
<file path=[Content_Types].xml><?xml version="1.0" encoding="utf-8"?>
<Types xmlns="http://schemas.openxmlformats.org/package/2006/content-types">
  <Default Extension="xml" ContentType="application/xml"/>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Name of Journal: </w:t>
      </w:r>
      <w:r>
        <w:rPr>
          <w:rFonts w:ascii="Book Antiqua" w:hAnsi="Book Antiqua" w:eastAsia="Book Antiqua" w:cs="Book Antiqua"/>
          <w:i/>
          <w:color w:val="000000"/>
          <w:highlight w:val="none"/>
        </w:rPr>
        <w:t>World Journal of Psychiatry</w:t>
      </w: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NO: </w:t>
      </w:r>
      <w:r>
        <w:rPr>
          <w:rFonts w:ascii="Book Antiqua" w:hAnsi="Book Antiqua" w:eastAsia="Book Antiqua" w:cs="Book Antiqua"/>
          <w:color w:val="000000"/>
          <w:highlight w:val="none"/>
        </w:rPr>
        <w:t>64914</w:t>
      </w: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Type: </w:t>
      </w:r>
      <w:r>
        <w:rPr>
          <w:rFonts w:ascii="Book Antiqua" w:hAnsi="Book Antiqua" w:eastAsia="Book Antiqua" w:cs="Book Antiqua"/>
          <w:color w:val="000000"/>
          <w:highlight w:val="none"/>
        </w:rPr>
        <w:t>SYSTEMATIC REVIEWS</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Thinking about worry: A systematic review and meta-analysis on the assessment of metacognitions in children and adolescents</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Köcher LM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rPr>
        <w:t>. Thinking about worry: A systematic review</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Laura M Köcher, Kai Schneider, Hanna Christiansen</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Laura M Köcher, Hanna Christiansen, </w:t>
      </w:r>
      <w:r>
        <w:rPr>
          <w:rFonts w:ascii="Book Antiqua" w:hAnsi="Book Antiqua" w:eastAsia="Book Antiqua" w:cs="Book Antiqua"/>
          <w:color w:val="000000"/>
          <w:highlight w:val="none"/>
        </w:rPr>
        <w:t>Department of Psychology, University of Marburg, Marburg 35037, Germany</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Kai Schneider, </w:t>
      </w:r>
      <w:r>
        <w:rPr>
          <w:rFonts w:ascii="Book Antiqua" w:hAnsi="Book Antiqua" w:eastAsia="Book Antiqua" w:cs="Book Antiqua"/>
          <w:color w:val="000000"/>
          <w:highlight w:val="none"/>
        </w:rPr>
        <w:t>Department of Clinical Child and Adolescent Psychology, University of Landau, Landau 76829, Germany</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Author contributions: </w:t>
      </w:r>
      <w:r>
        <w:rPr>
          <w:rFonts w:ascii="Book Antiqua" w:hAnsi="Book Antiqua" w:eastAsia="Book Antiqua" w:cs="Book Antiqua"/>
          <w:color w:val="000000"/>
          <w:highlight w:val="none"/>
        </w:rPr>
        <w:t>Köcher LM and Christiansen H designed the research; Köcher LM performed the research; Köcher LM and Schneider K analyzed the data; Köcher LM wrote the paper; Christiansen H and Schneider K supervised the paper; All authors read and approved the final manuscript.</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Corresponding author: Laura M Köcher, MSc, Research Associate, </w:t>
      </w:r>
      <w:r>
        <w:rPr>
          <w:rFonts w:ascii="Book Antiqua" w:hAnsi="Book Antiqua" w:eastAsia="Book Antiqua" w:cs="Book Antiqua"/>
          <w:color w:val="000000"/>
          <w:highlight w:val="none"/>
        </w:rPr>
        <w:t>Department of Psychology, University of Marburg, Frankfurter Straße 35, Marburg 35037, Germany. laura.koecher@uni-marburg.de</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Received: </w:t>
      </w:r>
      <w:r>
        <w:rPr>
          <w:rFonts w:ascii="Book Antiqua" w:hAnsi="Book Antiqua" w:eastAsia="Book Antiqua" w:cs="Book Antiqua"/>
          <w:color w:val="000000"/>
          <w:highlight w:val="none"/>
        </w:rPr>
        <w:t>February 25, 2021</w:t>
      </w: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Revised: </w:t>
      </w:r>
      <w:r>
        <w:rPr>
          <w:rFonts w:ascii="Book Antiqua" w:hAnsi="Book Antiqua" w:eastAsia="Book Antiqua" w:cs="Book Antiqua"/>
          <w:color w:val="000000"/>
          <w:highlight w:val="none"/>
        </w:rPr>
        <w:t>May 4, 2021</w:t>
      </w: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Accepted: </w:t>
      </w:r>
      <w:bookmarkStart w:id="0" w:name="OLE_LINK15"/>
      <w:bookmarkStart w:id="1" w:name="OLE_LINK33"/>
      <w:bookmarkStart w:id="2" w:name="OLE_LINK48"/>
      <w:r>
        <w:rPr>
          <w:rFonts w:ascii="Book Antiqua" w:hAnsi="Book Antiqua" w:eastAsia="宋体"/>
          <w:color w:val="000000" w:themeColor="text1"/>
          <w:highlight w:val="none"/>
          <w14:textFill>
            <w14:solidFill>
              <w14:schemeClr w14:val="tx1"/>
            </w14:solidFill>
          </w14:textFill>
        </w:rPr>
        <w:t>J</w:t>
      </w:r>
      <w:r>
        <w:rPr>
          <w:rFonts w:hint="eastAsia" w:ascii="Book Antiqua" w:hAnsi="Book Antiqua" w:eastAsia="宋体"/>
          <w:color w:val="000000" w:themeColor="text1"/>
          <w:highlight w:val="none"/>
          <w14:textFill>
            <w14:solidFill>
              <w14:schemeClr w14:val="tx1"/>
            </w14:solidFill>
          </w14:textFill>
        </w:rPr>
        <w:t>u</w:t>
      </w:r>
      <w:r>
        <w:rPr>
          <w:rFonts w:ascii="Book Antiqua" w:hAnsi="Book Antiqua" w:eastAsia="宋体"/>
          <w:color w:val="000000" w:themeColor="text1"/>
          <w:highlight w:val="none"/>
          <w14:textFill>
            <w14:solidFill>
              <w14:schemeClr w14:val="tx1"/>
            </w14:solidFill>
          </w14:textFill>
        </w:rPr>
        <w:t>ly 27, 2021</w:t>
      </w:r>
      <w:bookmarkEnd w:id="0"/>
      <w:bookmarkEnd w:id="1"/>
      <w:bookmarkEnd w:id="2"/>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b/>
          <w:bCs/>
          <w:color w:val="000000"/>
          <w:highlight w:val="none"/>
        </w:rPr>
        <w:t xml:space="preserve">Published online: </w:t>
      </w:r>
      <w:r>
        <w:rPr>
          <w:rFonts w:ascii="Book Antiqua" w:hAnsi="Book Antiqua" w:eastAsia="Book Antiqua" w:cs="Book Antiqua"/>
          <w:color w:val="000000"/>
          <w:highlight w:val="none"/>
        </w:rPr>
        <w:t>September 19, 2021</w:t>
      </w:r>
    </w:p>
    <w:p>
      <w:pPr>
        <w:adjustRightInd w:val="0"/>
        <w:snapToGrid w:val="0"/>
        <w:spacing w:line="360" w:lineRule="auto"/>
        <w:jc w:val="both"/>
        <w:rPr>
          <w:rFonts w:ascii="Book Antiqua" w:hAnsi="Book Antiqua"/>
          <w:highlight w:val="none"/>
        </w:rPr>
        <w:sectPr>
          <w:footerReference r:id="rId4" w:type="first"/>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Abstract</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BACKGROUND</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The metacognitive model of generalized anxiety disorder identifies three forms of metacognition: Positive metacognitive beliefs about worry (POS), negative metacognitive beliefs about worry (NEG), and meta-worry. Though this model was originally developed relying on adult samples, it has since been applied to children and youth in different studies, and results mostly support its validity for this group. As the roles of POS, meta-worry, and age-effects do not appear to be fully clarified for children and adolescents yet, an integration of studies on children and adolescents and the metacognitive model is both timely and worthwhile.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AIM</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To summarize the current research on relationships, age-effects, and measurements for POS, NEG, and meta-worry in childhood and youth.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METHODS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We carried out a literature search in the electronic databases PsycINFO, PubMed, PSYNDEX, and ERIC in 2017 and updated in 2020. Empirical research in German or English language on metacognition was included with child and adolescent samples diagnosed with anxiety disorders or healthy controls if POS, NEG, or meta-worry were measured. Studies were included for meta-analysis if they reported correlations between these metacognitions and anxiety or worry. Consensus rating for eligibility was done for 20.89% of full-texts with 90.32% agreement. Risk of bias was assessed with the appraisal tool for cross-sectional studies and consensus rating of appraisal tool for cross-sectional studies for 20.83% of included studies attaining agreement of intraclass correlation = 0.898. Overall, correlations between metacognitions, anxiety and worry were calculated with RevMan 5.4.1, assuming random-effects models. Meta-regressions with mean age as the covariate were performed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the online tool MetaMar 2.7.0. PROSPERO-ID: CRD42018078852.</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RESULTS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Overall,</w:t>
      </w:r>
      <w:r>
        <w:rPr>
          <w:rFonts w:ascii="Book Antiqua" w:hAnsi="Book Antiqua" w:eastAsia="Book Antiqua" w:cs="Book Antiqua"/>
          <w:i/>
          <w:iCs/>
          <w:color w:val="000000"/>
          <w:highlight w:val="none"/>
        </w:rPr>
        <w:t xml:space="preserve"> k</w:t>
      </w:r>
      <w:r>
        <w:rPr>
          <w:rFonts w:ascii="Book Antiqua" w:hAnsi="Book Antiqua" w:eastAsia="Book Antiqua" w:cs="Book Antiqua"/>
          <w:color w:val="000000"/>
          <w:highlight w:val="none"/>
        </w:rPr>
        <w:t xml:space="preserve"> = 763 records and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78 additional records were identified. Of those,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48 studies with 12839 participants were included and of those,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24 studies were included for meta-analysis. Most studies showed consistent NEG correlations with worry and anxiety, as well as higher values for clinical than for non-clinical samples. POS findings were less consistent. Meta-analysis revealed large effects for NEG correlating with worry and anxiety, small to medium effects for POS correlating with worry and anxiety, as well as small to medium effects for POS correlating with NEG. Meta-regressions did not reveal mean age as a significant covariate. Meta-worry was assessed in only one study. We identified eight questionnaires and one interview-format that assess metacognition about worry in children and adolescents.</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CONCLUSION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POS and NEG are measurable from the age of seven upwards and correlate with anxiety and worry without influences by age. Meta-worry requires further investigation.</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Key Words: </w:t>
      </w:r>
      <w:r>
        <w:rPr>
          <w:rFonts w:ascii="Book Antiqua" w:hAnsi="Book Antiqua" w:eastAsia="Book Antiqua" w:cs="Book Antiqua"/>
          <w:color w:val="000000"/>
          <w:highlight w:val="none"/>
        </w:rPr>
        <w:t>Metacognition; Anxiety; Child; Adolescent; Measures; Meta-analysis</w:t>
      </w:r>
    </w:p>
    <w:p>
      <w:pPr>
        <w:adjustRightInd w:val="0"/>
        <w:snapToGrid w:val="0"/>
        <w:spacing w:line="360" w:lineRule="auto"/>
        <w:jc w:val="both"/>
        <w:rPr>
          <w:rFonts w:ascii="Book Antiqua" w:hAnsi="Book Antiqua"/>
          <w:highlight w:val="none"/>
        </w:rPr>
      </w:pPr>
    </w:p>
    <w:p>
      <w:pPr>
        <w:spacing w:line="360" w:lineRule="auto"/>
        <w:jc w:val="both"/>
        <w:rPr>
          <w:rFonts w:ascii="Book Antiqua" w:hAnsi="Book Antiqua" w:eastAsia="Book Antiqua" w:cs="Book Antiqua"/>
          <w:color w:val="000000"/>
          <w:highlight w:val="none"/>
        </w:rPr>
      </w:pPr>
      <w:r>
        <w:rPr>
          <w:rFonts w:hint="eastAsia" w:ascii="Book Antiqua" w:hAnsi="Book Antiqua" w:eastAsia="Book Antiqua" w:cs="Book Antiqua"/>
          <w:b/>
          <w:color w:val="000000"/>
          <w:highlight w:val="none"/>
        </w:rPr>
        <w:t>©</w:t>
      </w:r>
      <w:r>
        <w:rPr>
          <w:rFonts w:ascii="Book Antiqua" w:hAnsi="Book Antiqua" w:eastAsia="Book Antiqua" w:cs="Book Antiqua"/>
          <w:b/>
          <w:color w:val="000000"/>
          <w:highlight w:val="none"/>
        </w:rPr>
        <w:t>The</w:t>
      </w:r>
      <w:r>
        <w:rPr>
          <w:rFonts w:ascii="Book Antiqua" w:hAnsi="Book Antiqua" w:eastAsia="Book Antiqua" w:cs="Book Antiqua"/>
          <w:color w:val="000000"/>
          <w:highlight w:val="none"/>
        </w:rPr>
        <w:t xml:space="preserve"> </w:t>
      </w:r>
      <w:r>
        <w:rPr>
          <w:rFonts w:ascii="Book Antiqua" w:hAnsi="Book Antiqua" w:eastAsia="Book Antiqua" w:cs="Book Antiqua"/>
          <w:b/>
          <w:color w:val="000000"/>
          <w:highlight w:val="none"/>
        </w:rPr>
        <w:t xml:space="preserve">Author(s) 2021. </w:t>
      </w:r>
      <w:r>
        <w:rPr>
          <w:rFonts w:ascii="Book Antiqua" w:hAnsi="Book Antiqua" w:eastAsia="Book Antiqua" w:cs="Book Antiqua"/>
          <w:color w:val="000000"/>
          <w:highlight w:val="none"/>
        </w:rPr>
        <w:t>Published by Baishideng Publishing Group Inc. All rights reserved.</w:t>
      </w:r>
    </w:p>
    <w:p>
      <w:pPr>
        <w:adjustRightInd w:val="0"/>
        <w:snapToGrid w:val="0"/>
        <w:spacing w:line="360" w:lineRule="auto"/>
        <w:jc w:val="both"/>
        <w:rPr>
          <w:rFonts w:ascii="Book Antiqua" w:hAnsi="Book Antiqua"/>
          <w:highlight w:val="none"/>
        </w:rPr>
      </w:pPr>
    </w:p>
    <w:p>
      <w:pPr>
        <w:adjustRightInd w:val="0"/>
        <w:snapToGrid w:val="0"/>
        <w:spacing w:line="360" w:lineRule="auto"/>
        <w:rPr>
          <w:rFonts w:ascii="Book Antiqua" w:hAnsi="Book Antiqua" w:eastAsia="Book Antiqua" w:cs="Book Antiqua"/>
          <w:highlight w:val="none"/>
          <w:lang w:val="pt-BR"/>
        </w:rPr>
      </w:pPr>
      <w:r>
        <w:rPr>
          <w:rFonts w:hint="eastAsia" w:ascii="Book Antiqua" w:hAnsi="Book Antiqua" w:eastAsia="宋体" w:cs="Book Antiqua"/>
          <w:b/>
          <w:bCs/>
          <w:color w:val="000000"/>
          <w:highlight w:val="none"/>
          <w:lang w:val="en-US" w:eastAsia="zh-CN"/>
        </w:rPr>
        <w:t xml:space="preserve">Citation: </w:t>
      </w:r>
      <w:r>
        <w:rPr>
          <w:rFonts w:ascii="Book Antiqua" w:hAnsi="Book Antiqua" w:eastAsia="Book Antiqua" w:cs="Book Antiqua"/>
          <w:color w:val="000000"/>
          <w:highlight w:val="none"/>
        </w:rPr>
        <w:t xml:space="preserve">Köcher LM, Schneider K, Christiansen H. Thinking about worry: A systematic review and meta-analysis on the assessment of metacognitions in children and adolescents. </w:t>
      </w:r>
      <w:r>
        <w:rPr>
          <w:rFonts w:ascii="Book Antiqua" w:hAnsi="Book Antiqua" w:eastAsia="Book Antiqua" w:cs="Book Antiqua"/>
          <w:i/>
          <w:iCs/>
          <w:color w:val="000000"/>
          <w:highlight w:val="none"/>
        </w:rPr>
        <w:t>World J Psychiatr</w:t>
      </w:r>
      <w:r>
        <w:rPr>
          <w:rFonts w:ascii="Book Antiqua" w:hAnsi="Book Antiqua" w:eastAsia="Book Antiqua" w:cs="Book Antiqua"/>
          <w:color w:val="000000"/>
          <w:highlight w:val="none"/>
        </w:rPr>
        <w:t xml:space="preserve"> </w:t>
      </w:r>
      <w:r>
        <w:rPr>
          <w:rFonts w:ascii="Book Antiqua" w:hAnsi="Book Antiqua" w:eastAsia="Book Antiqua" w:cs="Book Antiqua"/>
          <w:highlight w:val="none"/>
          <w:lang w:val="pt-BR"/>
        </w:rPr>
        <w:t xml:space="preserve">2021; 11(9): </w:t>
      </w:r>
      <w:r>
        <w:rPr>
          <w:rFonts w:hint="eastAsia" w:ascii="Book Antiqua" w:hAnsi="Book Antiqua"/>
          <w:sz w:val="24"/>
          <w:szCs w:val="24"/>
          <w:highlight w:val="none"/>
          <w:lang w:val="en-US" w:eastAsia="zh-CN"/>
        </w:rPr>
        <w:t>635-658</w:t>
      </w:r>
    </w:p>
    <w:p>
      <w:pPr>
        <w:adjustRightInd w:val="0"/>
        <w:snapToGrid w:val="0"/>
        <w:spacing w:line="360" w:lineRule="auto"/>
        <w:rPr>
          <w:rFonts w:ascii="Book Antiqua" w:hAnsi="Book Antiqua" w:eastAsia="Book Antiqua" w:cs="Book Antiqua"/>
          <w:highlight w:val="none"/>
          <w:lang w:val="pt-BR"/>
        </w:rPr>
      </w:pPr>
      <w:r>
        <w:rPr>
          <w:rFonts w:ascii="Book Antiqua" w:hAnsi="Book Antiqua" w:eastAsia="Book Antiqua" w:cs="Book Antiqua"/>
          <w:b/>
          <w:bCs/>
          <w:highlight w:val="none"/>
          <w:lang w:val="pt-BR"/>
        </w:rPr>
        <w:t>URL:</w:t>
      </w:r>
      <w:r>
        <w:rPr>
          <w:rFonts w:ascii="Book Antiqua" w:hAnsi="Book Antiqua" w:eastAsia="Book Antiqua" w:cs="Book Antiqua"/>
          <w:highlight w:val="none"/>
          <w:lang w:val="pt-BR"/>
        </w:rPr>
        <w:t xml:space="preserve"> https://www.wjgnet.com/2220-3206/full/v11/i9/</w:t>
      </w:r>
      <w:r>
        <w:rPr>
          <w:rFonts w:hint="eastAsia" w:ascii="Book Antiqua" w:hAnsi="Book Antiqua" w:eastAsia="宋体" w:cs="Book Antiqua"/>
          <w:highlight w:val="none"/>
          <w:lang w:val="en-US" w:eastAsia="zh-CN"/>
        </w:rPr>
        <w:t>635</w:t>
      </w:r>
      <w:r>
        <w:rPr>
          <w:rFonts w:ascii="Book Antiqua" w:hAnsi="Book Antiqua" w:eastAsia="Book Antiqua" w:cs="Book Antiqua"/>
          <w:highlight w:val="none"/>
          <w:lang w:val="pt-BR"/>
        </w:rPr>
        <w:t>.htm</w:t>
      </w:r>
    </w:p>
    <w:p>
      <w:pPr>
        <w:adjustRightInd w:val="0"/>
        <w:snapToGrid w:val="0"/>
        <w:spacing w:line="360" w:lineRule="auto"/>
        <w:rPr>
          <w:rFonts w:hint="default" w:ascii="Book Antiqua" w:hAnsi="Book Antiqua" w:eastAsia="宋体" w:cs="Book Antiqua"/>
          <w:highlight w:val="none"/>
          <w:lang w:val="en-US" w:eastAsia="zh-CN"/>
        </w:rPr>
      </w:pPr>
      <w:r>
        <w:rPr>
          <w:rFonts w:ascii="Book Antiqua" w:hAnsi="Book Antiqua" w:eastAsia="Book Antiqua" w:cs="Book Antiqua"/>
          <w:b/>
          <w:bCs/>
          <w:highlight w:val="none"/>
          <w:lang w:val="pt-BR"/>
        </w:rPr>
        <w:t>DOI:</w:t>
      </w:r>
      <w:r>
        <w:rPr>
          <w:rFonts w:ascii="Book Antiqua" w:hAnsi="Book Antiqua" w:eastAsia="Book Antiqua" w:cs="Book Antiqua"/>
          <w:highlight w:val="none"/>
          <w:lang w:val="pt-BR"/>
        </w:rPr>
        <w:t xml:space="preserve"> https://dx.doi.org/10.5498/wjp.v11.i9.</w:t>
      </w:r>
      <w:r>
        <w:rPr>
          <w:rFonts w:hint="eastAsia" w:ascii="Book Antiqua" w:hAnsi="Book Antiqua" w:eastAsia="宋体" w:cs="Book Antiqua"/>
          <w:highlight w:val="none"/>
          <w:lang w:val="en-US" w:eastAsia="zh-CN"/>
        </w:rPr>
        <w:t>635</w:t>
      </w:r>
    </w:p>
    <w:p>
      <w:pPr>
        <w:adjustRightInd w:val="0"/>
        <w:snapToGrid w:val="0"/>
        <w:spacing w:line="360" w:lineRule="auto"/>
        <w:jc w:val="both"/>
        <w:rPr>
          <w:rFonts w:ascii="Book Antiqua" w:hAnsi="Book Antiqua"/>
          <w:highlight w:val="none"/>
          <w:lang w:val="pt-BR"/>
        </w:rPr>
      </w:pPr>
    </w:p>
    <w:p>
      <w:pPr>
        <w:adjustRightInd w:val="0"/>
        <w:snapToGrid w:val="0"/>
        <w:spacing w:line="360" w:lineRule="auto"/>
        <w:jc w:val="both"/>
        <w:rPr>
          <w:rFonts w:ascii="Book Antiqua" w:hAnsi="Book Antiqua" w:eastAsia="Book Antiqua" w:cs="Book Antiqua"/>
          <w:b/>
          <w:caps/>
          <w:color w:val="000000"/>
          <w:highlight w:val="none"/>
          <w:u w:val="single"/>
        </w:rPr>
      </w:pPr>
      <w:r>
        <w:rPr>
          <w:rFonts w:ascii="Book Antiqua" w:hAnsi="Book Antiqua" w:eastAsia="Book Antiqua" w:cs="Book Antiqua"/>
          <w:b/>
          <w:bCs/>
          <w:color w:val="000000"/>
          <w:highlight w:val="none"/>
        </w:rPr>
        <w:t xml:space="preserve">Core Tip: </w:t>
      </w:r>
      <w:r>
        <w:rPr>
          <w:rFonts w:ascii="Book Antiqua" w:hAnsi="Book Antiqua" w:eastAsia="Book Antiqua" w:cs="Book Antiqua"/>
          <w:color w:val="000000"/>
          <w:highlight w:val="none"/>
        </w:rPr>
        <w:t>Systematic review and meta-analysis showed that positive metacognitive beliefs about worry and negative metacognitive beliefs about worry correlate with worry and anxiety, as claimed in the metacognitive model of generalized anxiety disorder. Studies tended not to report significant correlations between age and positive metacognitive beliefs about worry or negative metacognitive beliefs about worry. Mean age was not a significant covariate in meta-regressions. No conclusions about meta-worry’s influence can be drawn. We need an adequate measurement of meta-worry, and measurements applying to young children should undergo further investigation. Studies showed moderate to large heterogeneity, and the power of meta-regression might have been low. As mostly cross-sectional data were collected, no causal conclusions can be drawn.</w:t>
      </w:r>
    </w:p>
    <w:p>
      <w:pPr>
        <w:adjustRightInd w:val="0"/>
        <w:snapToGrid w:val="0"/>
        <w:spacing w:line="360" w:lineRule="auto"/>
        <w:jc w:val="both"/>
        <w:rPr>
          <w:rFonts w:ascii="Book Antiqua" w:hAnsi="Book Antiqua" w:eastAsia="Book Antiqua" w:cs="Book Antiqua"/>
          <w:b/>
          <w:caps/>
          <w:color w:val="000000"/>
          <w:highlight w:val="none"/>
          <w:u w:val="single"/>
        </w:rPr>
      </w:pPr>
    </w:p>
    <w:p>
      <w:pPr>
        <w:rPr>
          <w:rFonts w:ascii="Book Antiqua" w:hAnsi="Book Antiqua" w:eastAsia="Book Antiqua" w:cs="Book Antiqua"/>
          <w:b/>
          <w:caps/>
          <w:color w:val="000000"/>
          <w:highlight w:val="none"/>
          <w:u w:val="single"/>
        </w:rPr>
      </w:pPr>
      <w:r>
        <w:rPr>
          <w:rFonts w:ascii="Book Antiqua" w:hAnsi="Book Antiqua" w:eastAsia="Book Antiqua" w:cs="Book Antiqua"/>
          <w:b/>
          <w:caps/>
          <w:color w:val="000000"/>
          <w:highlight w:val="none"/>
          <w:u w:val="single"/>
        </w:rPr>
        <w:br w:type="page"/>
      </w:r>
    </w:p>
    <w:p>
      <w:pPr>
        <w:adjustRightInd w:val="0"/>
        <w:snapToGrid w:val="0"/>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INTRODUCTION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Anxiety disorders in children and adolescents reveal a 6.5% prevalence, making them the most prevalent mental disorder in this age group worldwide</w:t>
      </w:r>
      <w:r>
        <w:rPr>
          <w:rFonts w:ascii="Book Antiqua" w:hAnsi="Book Antiqua" w:eastAsia="Book Antiqua" w:cs="Book Antiqua"/>
          <w:color w:val="000000"/>
          <w:highlight w:val="none"/>
          <w:vertAlign w:val="superscript"/>
        </w:rPr>
        <w:t>[1]</w:t>
      </w:r>
      <w:r>
        <w:rPr>
          <w:rFonts w:ascii="Book Antiqua" w:hAnsi="Book Antiqua" w:eastAsia="Book Antiqua" w:cs="Book Antiqua"/>
          <w:color w:val="000000"/>
          <w:highlight w:val="none"/>
        </w:rPr>
        <w:t xml:space="preserve">. They are associated with various negative effects, </w:t>
      </w:r>
      <w:r>
        <w:rPr>
          <w:rFonts w:ascii="Book Antiqua" w:hAnsi="Book Antiqua" w:eastAsia="Book Antiqua" w:cs="Book Antiqua"/>
          <w:i/>
          <w:iCs/>
          <w:color w:val="000000"/>
          <w:highlight w:val="none"/>
        </w:rPr>
        <w:t>e</w:t>
      </w:r>
      <w:r>
        <w:rPr>
          <w:rFonts w:ascii="Book Antiqua" w:hAnsi="Book Antiqua" w:eastAsia="Book Antiqua" w:cs="Book Antiqua"/>
          <w:color w:val="000000"/>
          <w:highlight w:val="none"/>
        </w:rPr>
        <w:t>.</w:t>
      </w:r>
      <w:r>
        <w:rPr>
          <w:rFonts w:ascii="Book Antiqua" w:hAnsi="Book Antiqua" w:eastAsia="Book Antiqua" w:cs="Book Antiqua"/>
          <w:i/>
          <w:iCs/>
          <w:color w:val="000000"/>
          <w:highlight w:val="none"/>
        </w:rPr>
        <w:t>g</w:t>
      </w:r>
      <w:r>
        <w:rPr>
          <w:rFonts w:ascii="Book Antiqua" w:hAnsi="Book Antiqua" w:eastAsia="Book Antiqua" w:cs="Book Antiqua"/>
          <w:color w:val="000000"/>
          <w:highlight w:val="none"/>
        </w:rPr>
        <w:t>., impaired school performance, sleep and social functions, increased risk of comorbidities (such as depression or other anxiety disorders), and persistence into adulthood</w:t>
      </w:r>
      <w:r>
        <w:rPr>
          <w:rFonts w:ascii="Book Antiqua" w:hAnsi="Book Antiqua" w:eastAsia="Book Antiqua" w:cs="Book Antiqua"/>
          <w:color w:val="000000"/>
          <w:highlight w:val="none"/>
          <w:vertAlign w:val="superscript"/>
        </w:rPr>
        <w:t>[2–5]</w:t>
      </w:r>
      <w:r>
        <w:rPr>
          <w:rFonts w:ascii="Book Antiqua" w:hAnsi="Book Antiqua" w:eastAsia="Book Antiqua" w:cs="Book Antiqua"/>
          <w:color w:val="000000"/>
          <w:highlight w:val="none"/>
        </w:rPr>
        <w:t>. A key feature of anxiety is worry. Worries are understood as repetitive, chained thoughts about potentially negative future events, and they are fear-related</w:t>
      </w:r>
      <w:r>
        <w:rPr>
          <w:rFonts w:ascii="Book Antiqua" w:hAnsi="Book Antiqua" w:eastAsia="Book Antiqua" w:cs="Book Antiqua"/>
          <w:color w:val="000000"/>
          <w:highlight w:val="none"/>
          <w:vertAlign w:val="superscript"/>
        </w:rPr>
        <w:t>[6,7]</w:t>
      </w:r>
      <w:r>
        <w:rPr>
          <w:rFonts w:ascii="Book Antiqua" w:hAnsi="Book Antiqua" w:eastAsia="Book Antiqua" w:cs="Book Antiqua"/>
          <w:color w:val="000000"/>
          <w:highlight w:val="none"/>
        </w:rPr>
        <w:t>. These thoughts are common, occurring in 60.1% of children and adolescents</w:t>
      </w:r>
      <w:r>
        <w:rPr>
          <w:rFonts w:ascii="Book Antiqua" w:hAnsi="Book Antiqua" w:eastAsia="Book Antiqua" w:cs="Book Antiqua"/>
          <w:color w:val="000000"/>
          <w:highlight w:val="none"/>
          <w:vertAlign w:val="superscript"/>
        </w:rPr>
        <w:t>[8]</w:t>
      </w:r>
      <w:r>
        <w:rPr>
          <w:rFonts w:ascii="Book Antiqua" w:hAnsi="Book Antiqua" w:eastAsia="Book Antiqua" w:cs="Book Antiqua"/>
          <w:color w:val="000000"/>
          <w:highlight w:val="none"/>
        </w:rPr>
        <w:t>. Almost every second preschooler has worries, and even more children worry as they grow older</w:t>
      </w:r>
      <w:r>
        <w:rPr>
          <w:rFonts w:ascii="Book Antiqua" w:hAnsi="Book Antiqua" w:eastAsia="Book Antiqua" w:cs="Book Antiqua"/>
          <w:color w:val="000000"/>
          <w:highlight w:val="none"/>
          <w:vertAlign w:val="superscript"/>
        </w:rPr>
        <w:t>[9]</w:t>
      </w:r>
      <w:r>
        <w:rPr>
          <w:rFonts w:ascii="Book Antiqua" w:hAnsi="Book Antiqua" w:eastAsia="Book Antiqua" w:cs="Book Antiqua"/>
          <w:color w:val="000000"/>
          <w:highlight w:val="none"/>
        </w:rPr>
        <w:t>. Worry is associated with anxiety symptoms in community samples as well as in samples consisting of children with anxiety disorders</w:t>
      </w:r>
      <w:r>
        <w:rPr>
          <w:rFonts w:ascii="Book Antiqua" w:hAnsi="Book Antiqua" w:eastAsia="Book Antiqua" w:cs="Book Antiqua"/>
          <w:color w:val="000000"/>
          <w:highlight w:val="none"/>
          <w:vertAlign w:val="superscript"/>
        </w:rPr>
        <w:t>[10,11]</w:t>
      </w:r>
      <w:r>
        <w:rPr>
          <w:rFonts w:ascii="Book Antiqua" w:hAnsi="Book Antiqua" w:eastAsia="Book Antiqua" w:cs="Book Antiqua"/>
          <w:color w:val="000000"/>
          <w:highlight w:val="none"/>
        </w:rPr>
        <w:t>. Children with anxiety disorders suffer more intense worries than healthy children</w:t>
      </w:r>
      <w:r>
        <w:rPr>
          <w:rFonts w:ascii="Book Antiqua" w:hAnsi="Book Antiqua" w:eastAsia="Book Antiqua" w:cs="Book Antiqua"/>
          <w:color w:val="000000"/>
          <w:highlight w:val="none"/>
          <w:vertAlign w:val="superscript"/>
        </w:rPr>
        <w:t>[12]</w:t>
      </w:r>
      <w:r>
        <w:rPr>
          <w:rFonts w:ascii="Book Antiqua" w:hAnsi="Book Antiqua" w:eastAsia="Book Antiqua" w:cs="Book Antiqua"/>
          <w:color w:val="000000"/>
          <w:highlight w:val="none"/>
        </w:rPr>
        <w:t>. The frequency of worry itself, however, does not seem to be problematic. However, worries seem to become pathological when they are experienced as intense and uncontrollable</w:t>
      </w:r>
      <w:r>
        <w:rPr>
          <w:rFonts w:ascii="Book Antiqua" w:hAnsi="Book Antiqua" w:eastAsia="Book Antiqua" w:cs="Book Antiqua"/>
          <w:color w:val="000000"/>
          <w:highlight w:val="none"/>
          <w:vertAlign w:val="superscript"/>
        </w:rPr>
        <w:t>[13]</w:t>
      </w:r>
      <w:r>
        <w:rPr>
          <w:rFonts w:ascii="Book Antiqua" w:hAnsi="Book Antiqua" w:eastAsia="Book Antiqua" w:cs="Book Antiqua"/>
          <w:color w:val="000000"/>
          <w:highlight w:val="none"/>
        </w:rPr>
        <w:t>. Excessive worry is a core criterion of general anxiety disorder (GAD)</w:t>
      </w:r>
      <w:r>
        <w:rPr>
          <w:rFonts w:ascii="Book Antiqua" w:hAnsi="Book Antiqua" w:eastAsia="Book Antiqua" w:cs="Book Antiqua"/>
          <w:color w:val="000000"/>
          <w:highlight w:val="none"/>
          <w:vertAlign w:val="superscript"/>
        </w:rPr>
        <w:t>[14]</w:t>
      </w:r>
      <w:r>
        <w:rPr>
          <w:rFonts w:ascii="Book Antiqua" w:hAnsi="Book Antiqua" w:eastAsia="Book Antiqua" w:cs="Book Antiqua"/>
          <w:color w:val="000000"/>
          <w:highlight w:val="none"/>
        </w:rPr>
        <w:t>, and domain-specific worries are a diagnostic criterion of separation anxiety disorder (SAD)</w:t>
      </w:r>
      <w:r>
        <w:rPr>
          <w:rFonts w:ascii="Book Antiqua" w:hAnsi="Book Antiqua" w:eastAsia="Book Antiqua" w:cs="Book Antiqua"/>
          <w:color w:val="000000"/>
          <w:highlight w:val="none"/>
          <w:vertAlign w:val="superscript"/>
        </w:rPr>
        <w:t>[13]</w:t>
      </w:r>
      <w:r>
        <w:rPr>
          <w:rFonts w:ascii="Book Antiqua" w:hAnsi="Book Antiqua" w:eastAsia="Book Antiqua" w:cs="Book Antiqua"/>
          <w:color w:val="000000"/>
          <w:highlight w:val="none"/>
        </w:rPr>
        <w:t>. When compared specifically, children with diagnosed anxiety disorders reveal significantly more self-reported worry than healthy children, and children with GAD scored higher on worry assessments than children suffering from other anxiety disorders</w:t>
      </w:r>
      <w:r>
        <w:rPr>
          <w:rFonts w:ascii="Book Antiqua" w:hAnsi="Book Antiqua" w:eastAsia="Book Antiqua" w:cs="Book Antiqua"/>
          <w:color w:val="000000"/>
          <w:highlight w:val="none"/>
          <w:vertAlign w:val="superscript"/>
        </w:rPr>
        <w:t>[11]</w:t>
      </w:r>
      <w:r>
        <w:rPr>
          <w:rFonts w:ascii="Book Antiqua" w:hAnsi="Book Antiqua" w:eastAsia="Book Antiqua" w:cs="Book Antiqua"/>
          <w:color w:val="000000"/>
          <w:highlight w:val="none"/>
        </w:rPr>
        <w:t>. Worry is thus a central feature of anxiety in childhood and youth.</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In line with the importance of evaluating worries as intense and uncontrollable, both worry itself and "thinking about worry" play key roles in anxiety disorders. Such higher-level thinking is described as metacognition, a concept first defined by Flavell</w:t>
      </w:r>
      <w:r>
        <w:rPr>
          <w:rFonts w:ascii="Book Antiqua" w:hAnsi="Book Antiqua" w:eastAsia="Book Antiqua" w:cs="Book Antiqua"/>
          <w:color w:val="000000"/>
          <w:highlight w:val="none"/>
          <w:vertAlign w:val="superscript"/>
        </w:rPr>
        <w:t>[15]</w:t>
      </w:r>
      <w:r>
        <w:rPr>
          <w:rFonts w:ascii="Book Antiqua" w:hAnsi="Book Antiqua" w:eastAsia="Book Antiqua" w:cs="Book Antiqua"/>
          <w:color w:val="000000"/>
          <w:highlight w:val="none"/>
        </w:rPr>
        <w:t xml:space="preserve"> as "knowledge and cognition about cognitive phenomena" (S. 906). Metacognitions are known to be involved in the development and maintenance of mental disorders such as depression and anxiety or obsessive-compulsive disorders (OCD)</w:t>
      </w:r>
      <w:r>
        <w:rPr>
          <w:rFonts w:ascii="Book Antiqua" w:hAnsi="Book Antiqua" w:eastAsia="Book Antiqua" w:cs="Book Antiqua"/>
          <w:color w:val="000000"/>
          <w:highlight w:val="none"/>
          <w:vertAlign w:val="superscript"/>
        </w:rPr>
        <w:t>[16–20]</w:t>
      </w:r>
      <w:r>
        <w:rPr>
          <w:rFonts w:ascii="Book Antiqua" w:hAnsi="Book Antiqua" w:eastAsia="Book Antiqua" w:cs="Book Antiqua"/>
          <w:color w:val="000000"/>
          <w:highlight w:val="none"/>
        </w:rPr>
        <w:t>. For pathological worries to develop, Wells</w:t>
      </w:r>
      <w:r>
        <w:rPr>
          <w:rFonts w:ascii="Book Antiqua" w:hAnsi="Book Antiqua" w:eastAsia="Book Antiqua" w:cs="Book Antiqua"/>
          <w:color w:val="000000"/>
          <w:highlight w:val="none"/>
          <w:vertAlign w:val="superscript"/>
        </w:rPr>
        <w:t>[19–21]</w:t>
      </w:r>
      <w:r>
        <w:rPr>
          <w:rFonts w:ascii="Book Antiqua" w:hAnsi="Book Antiqua" w:eastAsia="Book Antiqua" w:cs="Book Antiqua"/>
          <w:color w:val="000000"/>
          <w:highlight w:val="none"/>
        </w:rPr>
        <w:t xml:space="preserve"> emphasizes three forms of metacognition that play decisive roles: Positive metacognitive beliefs about worry (POS), negative metacognitive beliefs about worry (NEG), and meta-worry. POS refer to the usefulness of various thoughts (</w:t>
      </w:r>
      <w:r>
        <w:rPr>
          <w:rFonts w:ascii="Book Antiqua" w:hAnsi="Book Antiqua" w:eastAsia="Book Antiqua" w:cs="Book Antiqua"/>
          <w:i/>
          <w:iCs/>
          <w:color w:val="000000"/>
          <w:highlight w:val="none"/>
        </w:rPr>
        <w:t>e.g</w:t>
      </w:r>
      <w:r>
        <w:rPr>
          <w:rFonts w:ascii="Book Antiqua" w:hAnsi="Book Antiqua" w:eastAsia="Book Antiqua" w:cs="Book Antiqua"/>
          <w:color w:val="000000"/>
          <w:highlight w:val="none"/>
        </w:rPr>
        <w:t>., "Worrying helps me to avoid problems in the future"</w:t>
      </w:r>
      <w:r>
        <w:rPr>
          <w:rFonts w:ascii="Book Antiqua" w:hAnsi="Book Antiqua" w:eastAsia="Book Antiqua" w:cs="Book Antiqua"/>
          <w:color w:val="000000"/>
          <w:highlight w:val="none"/>
          <w:vertAlign w:val="superscript"/>
        </w:rPr>
        <w:t>[22]</w:t>
      </w:r>
      <w:r>
        <w:rPr>
          <w:rFonts w:ascii="Book Antiqua" w:hAnsi="Book Antiqua" w:eastAsia="Book Antiqua" w:cs="Book Antiqua"/>
          <w:color w:val="000000"/>
          <w:highlight w:val="none"/>
        </w:rPr>
        <w:t>). NEG can be understood as trait-beliefs that a person generally holds about worries</w:t>
      </w:r>
      <w:r>
        <w:rPr>
          <w:rFonts w:ascii="Book Antiqua" w:hAnsi="Book Antiqua" w:eastAsia="Book Antiqua" w:cs="Book Antiqua"/>
          <w:color w:val="000000"/>
          <w:highlight w:val="none"/>
          <w:vertAlign w:val="superscript"/>
        </w:rPr>
        <w:t>[21]</w:t>
      </w:r>
      <w:r>
        <w:rPr>
          <w:rFonts w:ascii="Book Antiqua" w:hAnsi="Book Antiqua" w:eastAsia="Book Antiqua" w:cs="Book Antiqua"/>
          <w:color w:val="000000"/>
          <w:highlight w:val="none"/>
        </w:rPr>
        <w:t>. They include the appraisal of one’s own thoughts as uncontrollable and imply negative consequences of worries (</w:t>
      </w:r>
      <w:r>
        <w:rPr>
          <w:rFonts w:ascii="Book Antiqua" w:hAnsi="Book Antiqua" w:eastAsia="Book Antiqua" w:cs="Book Antiqua"/>
          <w:i/>
          <w:iCs/>
          <w:color w:val="000000"/>
          <w:highlight w:val="none"/>
        </w:rPr>
        <w:t>e.g</w:t>
      </w:r>
      <w:r>
        <w:rPr>
          <w:rFonts w:ascii="Book Antiqua" w:hAnsi="Book Antiqua" w:eastAsia="Book Antiqua" w:cs="Book Antiqua"/>
          <w:color w:val="000000"/>
          <w:highlight w:val="none"/>
        </w:rPr>
        <w:t>., "Worrying is dangerous for me"</w:t>
      </w:r>
      <w:r>
        <w:rPr>
          <w:rFonts w:ascii="Book Antiqua" w:hAnsi="Book Antiqua" w:eastAsia="Book Antiqua" w:cs="Book Antiqua"/>
          <w:color w:val="000000"/>
          <w:highlight w:val="none"/>
          <w:vertAlign w:val="superscript"/>
        </w:rPr>
        <w:t>[22]</w:t>
      </w:r>
      <w:r>
        <w:rPr>
          <w:rFonts w:ascii="Book Antiqua" w:hAnsi="Book Antiqua" w:eastAsia="Book Antiqua" w:cs="Book Antiqua"/>
          <w:color w:val="000000"/>
          <w:highlight w:val="none"/>
        </w:rPr>
        <w:t>). Meta-worry can be described as the state of worrying about worry</w:t>
      </w:r>
      <w:r>
        <w:rPr>
          <w:rFonts w:ascii="Book Antiqua" w:hAnsi="Book Antiqua" w:eastAsia="Book Antiqua" w:cs="Book Antiqua"/>
          <w:color w:val="000000"/>
          <w:highlight w:val="none"/>
          <w:vertAlign w:val="superscript"/>
        </w:rPr>
        <w:t>[21]</w:t>
      </w:r>
      <w:r>
        <w:rPr>
          <w:rFonts w:ascii="Book Antiqua" w:hAnsi="Book Antiqua" w:eastAsia="Book Antiqua" w:cs="Book Antiqua"/>
          <w:color w:val="000000"/>
          <w:highlight w:val="none"/>
        </w:rPr>
        <w:t>. Wells describes his assumptions about how these metacognitive constructs interact with each other and with worry, behavior, thought control strategies, and emotion in the metacognitive model of GAD</w:t>
      </w:r>
      <w:r>
        <w:rPr>
          <w:rFonts w:ascii="Book Antiqua" w:hAnsi="Book Antiqua" w:eastAsia="Book Antiqua" w:cs="Book Antiqua"/>
          <w:color w:val="000000"/>
          <w:highlight w:val="none"/>
          <w:vertAlign w:val="superscript"/>
        </w:rPr>
        <w:t>[19–21]</w:t>
      </w:r>
      <w:r>
        <w:rPr>
          <w:rFonts w:ascii="Book Antiqua" w:hAnsi="Book Antiqua" w:eastAsia="Book Antiqua" w:cs="Book Antiqua"/>
          <w:color w:val="000000"/>
          <w:highlight w:val="none"/>
        </w:rPr>
        <w:t>.</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 metacognitive model of GAD postulates that an intense, negative thought is what initially triggers worry. Worrying is then especially likely to become a coping strategy when someone tends to think about worry’s usefulness (POS). If general beliefs that worry is dangerous or uncontrollable (NEG) have been activated, one starts to worry about current worries (meta-worry). Meta-worry provokes emotions such as anxiety, which only exacerbates worry and meta-worry. Anxiety is misattributed as a consequence of the worries themselves, which in turn reinforces NEG. As this thought spiral continues, meta-worry triggers coping strategies such as reassurance, avoidance behavior, or substance abuse. As these dysfunctional attempts prevent the person from experiencing that worries are controllable and harmless, meta-worry and NEG about the danger of worries are reinforced. Meta-worry can also lead to thought-control strategies such as suppression, and if these fail, meta-worry and NEG will persist (for details and figural display of the metacognitive model of GAD see Wells</w:t>
      </w:r>
      <w:r>
        <w:rPr>
          <w:rFonts w:ascii="Book Antiqua" w:hAnsi="Book Antiqua" w:eastAsia="Book Antiqua" w:cs="Book Antiqua"/>
          <w:color w:val="000000"/>
          <w:highlight w:val="none"/>
          <w:vertAlign w:val="superscript"/>
        </w:rPr>
        <w:t>[21]</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 xml:space="preserve">The metacognitive model has been investigated in children and adolescents in different studies. Esbjørn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[23]</w:t>
      </w:r>
      <w:r>
        <w:rPr>
          <w:rFonts w:ascii="Book Antiqua" w:hAnsi="Book Antiqua" w:eastAsia="Book Antiqua" w:cs="Book Antiqua"/>
          <w:color w:val="000000"/>
          <w:highlight w:val="none"/>
        </w:rPr>
        <w:t xml:space="preserve"> showed that metacognitive processes, in addition to the effects of gender, age, and anxiety, account for 14% of the variance of worry and an additional 11% of the variance of anxiety in a healthy sample of children. In a second study, patients with GAD reported more POS and NEG than children with other anxiety disorders or healthy controls, and children with anxiety disorders reported more NEG than healthy controls</w:t>
      </w:r>
      <w:r>
        <w:rPr>
          <w:rFonts w:ascii="Book Antiqua" w:hAnsi="Book Antiqua" w:eastAsia="Book Antiqua" w:cs="Book Antiqua"/>
          <w:color w:val="000000"/>
          <w:highlight w:val="none"/>
          <w:vertAlign w:val="superscript"/>
        </w:rPr>
        <w:t>[23]</w:t>
      </w:r>
      <w:r>
        <w:rPr>
          <w:rFonts w:ascii="Book Antiqua" w:hAnsi="Book Antiqua" w:eastAsia="Book Antiqua" w:cs="Book Antiqua"/>
          <w:color w:val="000000"/>
          <w:highlight w:val="none"/>
        </w:rPr>
        <w:t>. Another study by Ellis and Hudson</w:t>
      </w:r>
      <w:r>
        <w:rPr>
          <w:rFonts w:ascii="Book Antiqua" w:hAnsi="Book Antiqua" w:eastAsia="Book Antiqua" w:cs="Book Antiqua"/>
          <w:color w:val="000000"/>
          <w:highlight w:val="none"/>
          <w:vertAlign w:val="superscript"/>
        </w:rPr>
        <w:t>[24]</w:t>
      </w:r>
      <w:r>
        <w:rPr>
          <w:rFonts w:ascii="Book Antiqua" w:hAnsi="Book Antiqua" w:eastAsia="Book Antiqua" w:cs="Book Antiqua"/>
          <w:color w:val="000000"/>
          <w:highlight w:val="none"/>
        </w:rPr>
        <w:t xml:space="preserve"> also showed that adolescents with anxiety disorders described more POS and NEG than a control group. These findings support assumptions of the metacognitive model of GAD and support its validity in childhood and youth. However, there are also contradictory findings that question this validity. For example, some studies failed to detect any significant relationships between POS and worry or anxiety in children</w:t>
      </w:r>
      <w:r>
        <w:rPr>
          <w:rFonts w:ascii="Book Antiqua" w:hAnsi="Book Antiqua" w:eastAsia="Book Antiqua" w:cs="Book Antiqua"/>
          <w:color w:val="000000"/>
          <w:highlight w:val="none"/>
          <w:vertAlign w:val="superscript"/>
        </w:rPr>
        <w:t>[25,26]</w:t>
      </w:r>
      <w:r>
        <w:rPr>
          <w:rFonts w:ascii="Book Antiqua" w:hAnsi="Book Antiqua" w:eastAsia="Book Antiqua" w:cs="Book Antiqua"/>
          <w:color w:val="000000"/>
          <w:highlight w:val="none"/>
        </w:rPr>
        <w:t xml:space="preserve"> or found no differences in either POS or NEG between clinical and non-clinical participants</w:t>
      </w:r>
      <w:r>
        <w:rPr>
          <w:rFonts w:ascii="Book Antiqua" w:hAnsi="Book Antiqua" w:eastAsia="Book Antiqua" w:cs="Book Antiqua"/>
          <w:color w:val="000000"/>
          <w:highlight w:val="none"/>
          <w:vertAlign w:val="superscript"/>
        </w:rPr>
        <w:t>[27,28]</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In addition, the question arises as to the age that these metacognitions about worry develop and whether they change with age. Ellis and Hudson</w:t>
      </w:r>
      <w:r>
        <w:rPr>
          <w:rFonts w:ascii="Book Antiqua" w:hAnsi="Book Antiqua" w:eastAsia="Book Antiqua" w:cs="Book Antiqua"/>
          <w:color w:val="000000"/>
          <w:highlight w:val="none"/>
          <w:vertAlign w:val="superscript"/>
        </w:rPr>
        <w:t>[29]</w:t>
      </w:r>
      <w:r>
        <w:rPr>
          <w:rFonts w:ascii="Book Antiqua" w:hAnsi="Book Antiqua" w:eastAsia="Book Antiqua" w:cs="Book Antiqua"/>
          <w:color w:val="000000"/>
          <w:highlight w:val="none"/>
        </w:rPr>
        <w:t xml:space="preserve"> noted that few studies on the metacognitive model included children under 12 years of age. There have also been mixed results about the relationship with age, as some studies show correlations between metacognitions and age</w:t>
      </w:r>
      <w:r>
        <w:rPr>
          <w:rFonts w:ascii="Book Antiqua" w:hAnsi="Book Antiqua" w:eastAsia="Book Antiqua" w:cs="Book Antiqua"/>
          <w:color w:val="000000"/>
          <w:highlight w:val="none"/>
          <w:vertAlign w:val="superscript"/>
        </w:rPr>
        <w:t>[24]</w:t>
      </w:r>
      <w:r>
        <w:rPr>
          <w:rFonts w:ascii="Book Antiqua" w:hAnsi="Book Antiqua" w:eastAsia="Book Antiqua" w:cs="Book Antiqua"/>
          <w:color w:val="000000"/>
          <w:highlight w:val="none"/>
        </w:rPr>
        <w:t xml:space="preserve"> while other studies do not</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When transferring adult models like the metacognitive model of GAD to children, the experience and cognitive skills of children must be taken into account</w:t>
      </w:r>
      <w:r>
        <w:rPr>
          <w:rFonts w:ascii="Book Antiqua" w:hAnsi="Book Antiqua" w:eastAsia="Book Antiqua" w:cs="Book Antiqua"/>
          <w:color w:val="000000"/>
          <w:highlight w:val="none"/>
          <w:vertAlign w:val="superscript"/>
        </w:rPr>
        <w:t>[24]</w:t>
      </w:r>
      <w:r>
        <w:rPr>
          <w:rFonts w:ascii="Book Antiqua" w:hAnsi="Book Antiqua" w:eastAsia="Book Antiqua" w:cs="Book Antiqua"/>
          <w:color w:val="000000"/>
          <w:highlight w:val="none"/>
        </w:rPr>
        <w:t>. Metacognitive skills are assumed to be gradually acquired</w:t>
      </w:r>
      <w:r>
        <w:rPr>
          <w:rFonts w:ascii="Book Antiqua" w:hAnsi="Book Antiqua" w:eastAsia="Book Antiqua" w:cs="Book Antiqua"/>
          <w:color w:val="000000"/>
          <w:highlight w:val="none"/>
          <w:vertAlign w:val="superscript"/>
        </w:rPr>
        <w:t>[31]</w:t>
      </w:r>
      <w:r>
        <w:rPr>
          <w:rFonts w:ascii="Book Antiqua" w:hAnsi="Book Antiqua" w:eastAsia="Book Antiqua" w:cs="Book Antiqua"/>
          <w:color w:val="000000"/>
          <w:highlight w:val="none"/>
        </w:rPr>
        <w:t>: At 3 years of age, children can name mental processes and distinguish them from the external environment</w:t>
      </w:r>
      <w:r>
        <w:rPr>
          <w:rFonts w:ascii="Book Antiqua" w:hAnsi="Book Antiqua" w:eastAsia="Book Antiqua" w:cs="Book Antiqua"/>
          <w:color w:val="000000"/>
          <w:highlight w:val="none"/>
          <w:vertAlign w:val="superscript"/>
        </w:rPr>
        <w:t>[32,33]</w:t>
      </w:r>
      <w:r>
        <w:rPr>
          <w:rFonts w:ascii="Book Antiqua" w:hAnsi="Book Antiqua" w:eastAsia="Book Antiqua" w:cs="Book Antiqua"/>
          <w:color w:val="000000"/>
          <w:highlight w:val="none"/>
        </w:rPr>
        <w:t>. From the age of four, children understand that thoughts can refer to non-real or non-present things</w:t>
      </w:r>
      <w:r>
        <w:rPr>
          <w:rFonts w:ascii="Book Antiqua" w:hAnsi="Book Antiqua" w:eastAsia="Book Antiqua" w:cs="Book Antiqua"/>
          <w:color w:val="000000"/>
          <w:highlight w:val="none"/>
          <w:vertAlign w:val="superscript"/>
        </w:rPr>
        <w:t>[34]</w:t>
      </w:r>
      <w:r>
        <w:rPr>
          <w:rFonts w:ascii="Book Antiqua" w:hAnsi="Book Antiqua" w:eastAsia="Book Antiqua" w:cs="Book Antiqua"/>
          <w:color w:val="000000"/>
          <w:highlight w:val="none"/>
        </w:rPr>
        <w:t>. Seven-year-old children know when, what, and at what frequency they themselves or others are thinking</w:t>
      </w:r>
      <w:r>
        <w:rPr>
          <w:rFonts w:ascii="Book Antiqua" w:hAnsi="Book Antiqua" w:eastAsia="Book Antiqua" w:cs="Book Antiqua"/>
          <w:color w:val="000000"/>
          <w:highlight w:val="none"/>
          <w:vertAlign w:val="superscript"/>
        </w:rPr>
        <w:t>[33–35]</w:t>
      </w:r>
      <w:r>
        <w:rPr>
          <w:rFonts w:ascii="Book Antiqua" w:hAnsi="Book Antiqua" w:eastAsia="Book Antiqua" w:cs="Book Antiqua"/>
          <w:color w:val="000000"/>
          <w:highlight w:val="none"/>
        </w:rPr>
        <w:t>. However, more recent results indicate that already 3- to 5-year-old children can demonstrate metacognitive knowledge when measured with an age-appropriate interview</w:t>
      </w:r>
      <w:r>
        <w:rPr>
          <w:rFonts w:ascii="Book Antiqua" w:hAnsi="Book Antiqua" w:eastAsia="Book Antiqua" w:cs="Book Antiqua"/>
          <w:color w:val="000000"/>
          <w:highlight w:val="none"/>
          <w:vertAlign w:val="superscript"/>
        </w:rPr>
        <w:t>[36]</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To evaluate the age at which children first think about their worries (</w:t>
      </w:r>
      <w:r>
        <w:rPr>
          <w:rFonts w:ascii="Book Antiqua" w:hAnsi="Book Antiqua" w:eastAsia="Book Antiqua" w:cs="Book Antiqua"/>
          <w:i/>
          <w:iCs/>
          <w:color w:val="000000"/>
          <w:highlight w:val="none"/>
        </w:rPr>
        <w:t>i.e</w:t>
      </w:r>
      <w:r>
        <w:rPr>
          <w:rFonts w:ascii="Book Antiqua" w:hAnsi="Book Antiqua" w:eastAsia="Book Antiqua" w:cs="Book Antiqua"/>
          <w:color w:val="000000"/>
          <w:highlight w:val="none"/>
        </w:rPr>
        <w:t>. metacognition about worry), an age-appropriate assessment is needed. Many studies use questionnaires to measure metacognition in children</w:t>
      </w:r>
      <w:r>
        <w:rPr>
          <w:rFonts w:ascii="Book Antiqua" w:hAnsi="Book Antiqua" w:eastAsia="Book Antiqua" w:cs="Book Antiqua"/>
          <w:color w:val="000000"/>
          <w:highlight w:val="none"/>
          <w:vertAlign w:val="superscript"/>
        </w:rPr>
        <w:t>[23,24,27]</w:t>
      </w:r>
      <w:r>
        <w:rPr>
          <w:rFonts w:ascii="Book Antiqua" w:hAnsi="Book Antiqua" w:eastAsia="Book Antiqua" w:cs="Book Antiqua"/>
          <w:color w:val="000000"/>
          <w:highlight w:val="none"/>
        </w:rPr>
        <w:t>. However, a recent review’s authors concluded that questionnaires for younger children yield mixed results for factor structure, internal consistency, and age-appropriateness, and they emphasize the need for further development and psychometric analysis of assessments for metacognition in childhood</w:t>
      </w:r>
      <w:r>
        <w:rPr>
          <w:rFonts w:ascii="Book Antiqua" w:hAnsi="Book Antiqua" w:eastAsia="Book Antiqua" w:cs="Book Antiqua"/>
          <w:color w:val="000000"/>
          <w:highlight w:val="none"/>
          <w:vertAlign w:val="superscript"/>
        </w:rPr>
        <w:t>[37]</w:t>
      </w:r>
      <w:r>
        <w:rPr>
          <w:rFonts w:ascii="Book Antiqua" w:hAnsi="Book Antiqua" w:eastAsia="Book Antiqua" w:cs="Book Antiqua"/>
          <w:color w:val="000000"/>
          <w:highlight w:val="none"/>
        </w:rPr>
        <w:t>.</w:t>
      </w:r>
    </w:p>
    <w:p>
      <w:pPr>
        <w:adjustRightInd w:val="0"/>
        <w:snapToGrid w:val="0"/>
        <w:spacing w:line="360" w:lineRule="auto"/>
        <w:ind w:firstLine="480" w:firstLineChars="200"/>
        <w:jc w:val="both"/>
        <w:rPr>
          <w:rFonts w:ascii="Book Antiqua" w:hAnsi="Book Antiqua"/>
          <w:highlight w:val="none"/>
          <w:lang w:eastAsia="zh-CN"/>
        </w:rPr>
      </w:pPr>
      <w:r>
        <w:rPr>
          <w:rFonts w:ascii="Book Antiqua" w:hAnsi="Book Antiqua" w:eastAsia="Book Antiqua" w:cs="Book Antiqua"/>
          <w:color w:val="000000"/>
          <w:highlight w:val="none"/>
        </w:rPr>
        <w:t>The present systematic review synthesizes the latest findings about metacognition on worry in children and adolescents. Current knowledge for POS, NEG, and meta-worry as well as their development is summarized, as are available assessments of POS, NEG, and meta-worry for children and adolescents. In so doing, we posed the questions below:</w:t>
      </w:r>
    </w:p>
    <w:p>
      <w:pPr>
        <w:adjustRightInd w:val="0"/>
        <w:snapToGrid w:val="0"/>
        <w:spacing w:line="360" w:lineRule="auto"/>
        <w:ind w:firstLine="480" w:firstLineChars="200"/>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What evidence is there for positive relationships between POS, NEG, and meta-worry with each other and with worry and anxiety in children and adolescents? </w:t>
      </w:r>
    </w:p>
    <w:p>
      <w:pPr>
        <w:adjustRightInd w:val="0"/>
        <w:snapToGrid w:val="0"/>
        <w:spacing w:line="360" w:lineRule="auto"/>
        <w:ind w:firstLine="480" w:firstLineChars="200"/>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At what age do children report POS, NEG, and meta-worry, and does age play any role in relationships with worry and anxiety?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Which methods are currently applicable to assess POS, NEG, and meta-worry in childhood and youth?</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To answer these questions, we conducted a systematic review of the recent literature. We synthesized the tested relationships between POS, NEG, meta-worry with each other, worry, and anxiety in order to compare those results with the postulated relationships in the metacognitive model of GAD. For further validation, we compared non-clinical samples and clinical samples consisting of children and adolescents with anxiety disorders, as the latter are likely to exhibit more NEG and meta-worry according to the metacognitive model of GAD, while that does not necessarily apply to POS (compare Wells</w:t>
      </w:r>
      <w:r>
        <w:rPr>
          <w:rFonts w:ascii="Book Antiqua" w:hAnsi="Book Antiqua" w:eastAsia="Book Antiqua" w:cs="Book Antiqua"/>
          <w:color w:val="000000"/>
          <w:highlight w:val="none"/>
          <w:vertAlign w:val="superscript"/>
        </w:rPr>
        <w:t>[21]</w:t>
      </w:r>
      <w:r>
        <w:rPr>
          <w:rFonts w:ascii="Book Antiqua" w:hAnsi="Book Antiqua" w:eastAsia="Book Antiqua" w:cs="Book Antiqua"/>
          <w:color w:val="000000"/>
          <w:highlight w:val="none"/>
        </w:rPr>
        <w:t>). To assess potential age effects, we summarized results for age of onset and developmental patterns for POS, NEG, and meta-worry. Different methods of assessing POS, NEG, and meta-worry and reported reliability measures, their usage in age-ranges, and the numbers of studies are resumed.</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Depending on the studies identified, we conducted additional meta-analysis based on effect sizes of POS, NEG, and meta-worry correlations with each other and with anxiety and worry. Whenever possible, we performed meta-regressions to analyze whether age is a significant covariate for these relationships.</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MATERIALS AND METHODS</w:t>
      </w:r>
    </w:p>
    <w:p>
      <w:pPr>
        <w:adjustRightInd w:val="0"/>
        <w:snapToGrid w:val="0"/>
        <w:spacing w:line="360" w:lineRule="auto"/>
        <w:jc w:val="both"/>
        <w:rPr>
          <w:rFonts w:ascii="Book Antiqua" w:hAnsi="Book Antiqua"/>
          <w:b/>
          <w:bCs/>
          <w:highlight w:val="none"/>
        </w:rPr>
      </w:pPr>
      <w:r>
        <w:rPr>
          <w:rFonts w:ascii="Book Antiqua" w:hAnsi="Book Antiqua" w:eastAsia="Book Antiqua" w:cs="Book Antiqua"/>
          <w:b/>
          <w:bCs/>
          <w:i/>
          <w:iCs/>
          <w:color w:val="000000"/>
          <w:highlight w:val="none"/>
        </w:rPr>
        <w:t>Literature search</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This systematic review was registered with PROSPERO (International prospective register of systematic reviews, PROSPERO-ID: CRD42018078852, last update: January 26, 2021) and is based on the PRISMA Statement</w:t>
      </w:r>
      <w:r>
        <w:rPr>
          <w:rFonts w:ascii="Book Antiqua" w:hAnsi="Book Antiqua" w:eastAsia="Book Antiqua" w:cs="Book Antiqua"/>
          <w:color w:val="000000"/>
          <w:highlight w:val="none"/>
          <w:vertAlign w:val="superscript"/>
        </w:rPr>
        <w:t>[38]</w:t>
      </w:r>
      <w:r>
        <w:rPr>
          <w:rFonts w:ascii="Book Antiqua" w:hAnsi="Book Antiqua" w:eastAsia="Book Antiqua" w:cs="Book Antiqua"/>
          <w:color w:val="000000"/>
          <w:highlight w:val="none"/>
        </w:rPr>
        <w:t xml:space="preserve"> and the PRISMA-P Statement</w:t>
      </w:r>
      <w:r>
        <w:rPr>
          <w:rFonts w:ascii="Book Antiqua" w:hAnsi="Book Antiqua" w:eastAsia="Book Antiqua" w:cs="Book Antiqua"/>
          <w:color w:val="000000"/>
          <w:highlight w:val="none"/>
          <w:vertAlign w:val="superscript"/>
        </w:rPr>
        <w:t>[39]</w:t>
      </w:r>
      <w:r>
        <w:rPr>
          <w:rFonts w:ascii="Book Antiqua" w:hAnsi="Book Antiqua" w:eastAsia="Book Antiqua" w:cs="Book Antiqua"/>
          <w:color w:val="000000"/>
          <w:highlight w:val="none"/>
        </w:rPr>
        <w:t xml:space="preserve">. The literature search was first run on September 24, 2017 and updated on February 6, 2020.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 search string "(children OR adolescents*) AND (meta cognition* OR metacognition* OR meta-cognitive belief* OR meta cognitive belief*) AND (anxiety OR worry OR phobia)" was used in the following databases: PsycINFO, PubMed, and PSYNDEX. In addition, available full-texts of the database ERIC were searched with the same search string. In the first search (2017), we set no limitations to obtain a preferably broad impression of the state of research. In the second search (2020), the period was limited to publication dates between 2017 and 2020. We identified additional studies through a backward search of reference lists by screening additive publications of research groups and, to include the gray literature, the screening of doctoral theses. After identifying records through the databases and additional searches, duplicates were removed. Afterwards, titles, key words, and abstracts in all records were screened by the first author. The full-text versions of the remaining records were analyzed for eligibility. Doctoral theses were only included if the data had not been published in a journal. In case of the latter, the publication was included and the doctoral thesis was excluded from analysis. The study selection process was conducted by one reviewer (Köcher LM). Additionally, 20.89%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33) of the full-texts were independently rated for eligibility by another reviewer (Schneider K). Overall, 90.32% of the ratings were in agreement. In case of discrepancies, a third reviewer (Christiansen H) was consulted, and consensus was reached for the remaining 9.68%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3) of records.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b/>
          <w:bCs/>
          <w:highlight w:val="none"/>
        </w:rPr>
      </w:pPr>
      <w:r>
        <w:rPr>
          <w:rFonts w:ascii="Book Antiqua" w:hAnsi="Book Antiqua" w:eastAsia="Book Antiqua" w:cs="Book Antiqua"/>
          <w:b/>
          <w:bCs/>
          <w:i/>
          <w:iCs/>
          <w:color w:val="000000"/>
          <w:highlight w:val="none"/>
        </w:rPr>
        <w:t>Study selection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Empirical studies reporting quantitative data were included in the systematic review, which fulfilled the following criteria: (1) Participants were 18 years of age or younger; (2) Non-clinical samples and/or clinical samples with anxiety disorders were investigated. We followed the classification for anxiety disorders in the fifth edition of the “Diagnostic and Statistical Manual of Mental Disorders” (DSM-5)</w:t>
      </w:r>
      <w:r>
        <w:rPr>
          <w:rFonts w:ascii="Book Antiqua" w:hAnsi="Book Antiqua" w:eastAsia="Book Antiqua" w:cs="Book Antiqua"/>
          <w:color w:val="000000"/>
          <w:highlight w:val="none"/>
          <w:vertAlign w:val="superscript"/>
        </w:rPr>
        <w:t>[40]</w:t>
      </w:r>
      <w:r>
        <w:rPr>
          <w:rFonts w:ascii="Book Antiqua" w:hAnsi="Book Antiqua" w:eastAsia="Book Antiqua" w:cs="Book Antiqua"/>
          <w:color w:val="000000"/>
          <w:highlight w:val="none"/>
        </w:rPr>
        <w:t>, including the following diagnoses: GAD, SAD, social anxiety disorder (SoD), specific phobia, agoraphobia, and panic disorder; (3) POS, NEG, and/or meta-worry were assessed as an outcome variable; (4) The study was published in English or German language; and (5) The study had been published by February 6, 2020.</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To be included in our meta-analysis, studies also had to fulfill these criteria:</w:t>
      </w:r>
      <w:r>
        <w:rPr>
          <w:rFonts w:ascii="Book Antiqua" w:hAnsi="Book Antiqua"/>
          <w:highlight w:val="none"/>
          <w:lang w:eastAsia="zh-CN"/>
        </w:rPr>
        <w:t xml:space="preserve"> </w:t>
      </w:r>
      <w:r>
        <w:rPr>
          <w:rFonts w:ascii="Book Antiqua" w:hAnsi="Book Antiqua" w:eastAsia="Book Antiqua" w:cs="Book Antiqua"/>
          <w:color w:val="000000"/>
          <w:highlight w:val="none"/>
        </w:rPr>
        <w:t>(6) Bivariate correlation coefficients for relationships between POS/NEG/meta-worry with each other/anxiety/worry were reported; and (7) Data were not reported in a study that had already been included in our meta-analysis.</w:t>
      </w:r>
    </w:p>
    <w:p>
      <w:pPr>
        <w:adjustRightInd w:val="0"/>
        <w:snapToGrid w:val="0"/>
        <w:spacing w:line="360" w:lineRule="auto"/>
        <w:ind w:hanging="288"/>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Data extraction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The first author extracted the following information from the included studies: Author(s), year of publication, title, country, study design, sample size, study population (non-clinical and/or clinical, and related diagnoses), participants’ age range and/or mean age, gender distribution, measurement of POS/NEG/meta-worry and reliability, anxiety measurement, worry measurement, relationship of POS/NEG/meta-worry with each other/anxiety/worry/age, and group differences between clinical and non-clinical subgroups in POS/NEG/meta-worry.</w:t>
      </w:r>
    </w:p>
    <w:p>
      <w:pPr>
        <w:adjustRightInd w:val="0"/>
        <w:snapToGrid w:val="0"/>
        <w:spacing w:line="360" w:lineRule="auto"/>
        <w:ind w:firstLine="709"/>
        <w:jc w:val="both"/>
        <w:rPr>
          <w:rFonts w:ascii="Book Antiqua" w:hAnsi="Book Antiqua"/>
          <w:highlight w:val="none"/>
        </w:rPr>
      </w:pPr>
      <w:r>
        <w:rPr>
          <w:rFonts w:ascii="Book Antiqua" w:hAnsi="Book Antiqua" w:eastAsia="Book Antiqua" w:cs="Book Antiqua"/>
          <w:color w:val="000000"/>
          <w:highlight w:val="none"/>
        </w:rPr>
        <w:t>The study characteristics coded for meta-analysis and meta-regression by the first author were: Effect sizes of correlations between POS/NEG/meta-worry with each other/anxiety/worry, sample size, and mean age. If studies reported correlational coefficients split for different subgroups such as male or female participants, or clinical or non-clinical participants, correlations were coded separately for subgroups and then combined to a single correlation according to the following procedure: Correlations were transformed into Fisher‘s z scores and weighted by subsample size, then the mean of both values was inversely z-transformed into product-moment-correlation coefficients. If a study reported a subsample’s data in a previous study that we had already included in the meta-analysis, only the other subsample’s data were coded for this study. For meta-regressions, studies were only included if they reported the mean age of their samples. If mean age was reported for split subgroups, values were coded for each of these subgroups and mean of the mean ages, weighted by subsample sizes, was calculated and used for meta-regression.</w:t>
      </w:r>
    </w:p>
    <w:p>
      <w:pPr>
        <w:adjustRightInd w:val="0"/>
        <w:snapToGrid w:val="0"/>
        <w:spacing w:line="360" w:lineRule="auto"/>
        <w:ind w:firstLine="709"/>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Risk of bias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To assess the risk of bias, each study was rated on the Appraisal tool for Cross-Sectional Studies (AXIS)</w:t>
      </w:r>
      <w:r>
        <w:rPr>
          <w:rFonts w:ascii="Book Antiqua" w:hAnsi="Book Antiqua" w:eastAsia="Book Antiqua" w:cs="Book Antiqua"/>
          <w:color w:val="000000"/>
          <w:highlight w:val="none"/>
          <w:vertAlign w:val="superscript"/>
        </w:rPr>
        <w:t>[41]</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by one reviewer (Köcher LM). AXIS-scores range between 0 and 20 and were clustered in the categories high (0-6), moderate (7-13), and low risk of bias (14-20) for a global rating. Additionally, 20.83% of studies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10) were rated by an independent reviewer in our working group. Our interrater agreement (intraclass correlation = 0.898) can be considered as good</w:t>
      </w:r>
      <w:r>
        <w:rPr>
          <w:rFonts w:ascii="Book Antiqua" w:hAnsi="Book Antiqua" w:eastAsia="Book Antiqua" w:cs="Book Antiqua"/>
          <w:color w:val="000000"/>
          <w:highlight w:val="none"/>
          <w:vertAlign w:val="superscript"/>
        </w:rPr>
        <w:t>[42]</w:t>
      </w:r>
      <w:r>
        <w:rPr>
          <w:rFonts w:ascii="Book Antiqua" w:hAnsi="Book Antiqua" w:eastAsia="Book Antiqua" w:cs="Book Antiqua"/>
          <w:color w:val="000000"/>
          <w:highlight w:val="none"/>
        </w:rPr>
        <w:t>.</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 xml:space="preserve">Statistical analysis </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Statistical analysis was performed by the first author and reviewed by the third author at the Department of Psychology, Philipps University Marburg. Coded correlation coefficients were transformed into Fisher’s z scale for meta-analysis. For reports of summary correlations, all summary Fisher’s z were back-transformed into Pearson’s product-moment correlations. Cohen’s criteria</w:t>
      </w:r>
      <w:r>
        <w:rPr>
          <w:rFonts w:ascii="Book Antiqua" w:hAnsi="Book Antiqua" w:eastAsia="Book Antiqua" w:cs="Book Antiqua"/>
          <w:color w:val="000000"/>
          <w:highlight w:val="none"/>
          <w:vertAlign w:val="superscript"/>
        </w:rPr>
        <w:t>[43]</w:t>
      </w:r>
      <w:r>
        <w:rPr>
          <w:rFonts w:ascii="Book Antiqua" w:hAnsi="Book Antiqua" w:eastAsia="Book Antiqua" w:cs="Book Antiqua"/>
          <w:color w:val="000000"/>
          <w:highlight w:val="none"/>
        </w:rPr>
        <w:t xml:space="preserve"> were used to interpret overall effect sizes. Random-effect models were used for analysis because of assumed heterogeneity in addition to sampling error. Calculations were computed using the computer program RevMan, version 5.4.1</w:t>
      </w:r>
      <w:r>
        <w:rPr>
          <w:rFonts w:ascii="Book Antiqua" w:hAnsi="Book Antiqua" w:eastAsia="Book Antiqua" w:cs="Book Antiqua"/>
          <w:color w:val="000000"/>
          <w:highlight w:val="none"/>
          <w:vertAlign w:val="superscript"/>
        </w:rPr>
        <w:t>[44]</w:t>
      </w:r>
      <w:r>
        <w:rPr>
          <w:rFonts w:ascii="Book Antiqua" w:hAnsi="Book Antiqua" w:eastAsia="Book Antiqua" w:cs="Book Antiqua"/>
          <w:color w:val="000000"/>
          <w:highlight w:val="none"/>
        </w:rPr>
        <w:t xml:space="preserve">. To show actual dispersion of overall effects, prediction intervals are reported in addition to CIs, as proposed by IntHout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[45]</w:t>
      </w:r>
      <w:r>
        <w:rPr>
          <w:rFonts w:ascii="Book Antiqua" w:hAnsi="Book Antiqua" w:eastAsia="Book Antiqua" w:cs="Book Antiqua"/>
          <w:color w:val="000000"/>
          <w:highlight w:val="none"/>
        </w:rPr>
        <w:t xml:space="preserve">, and calculated based on the </w:t>
      </w:r>
      <w:r>
        <w:rPr>
          <w:rFonts w:ascii="Book Antiqua" w:hAnsi="Book Antiqua" w:eastAsia="Book Antiqua" w:cs="Book Antiqua"/>
          <w:i/>
          <w:iCs/>
          <w:color w:val="000000"/>
          <w:highlight w:val="none"/>
        </w:rPr>
        <w:t>T</w:t>
      </w:r>
      <w:r>
        <w:rPr>
          <w:rFonts w:ascii="Book Antiqua" w:hAnsi="Book Antiqua" w:eastAsia="Book Antiqua" w:cs="Book Antiqua"/>
          <w:i/>
          <w:iCs/>
          <w:color w:val="000000"/>
          <w:highlight w:val="none"/>
          <w:vertAlign w:val="superscript"/>
        </w:rPr>
        <w:t>2</w:t>
      </w:r>
      <w:r>
        <w:rPr>
          <w:rFonts w:ascii="Book Antiqua" w:hAnsi="Book Antiqua" w:eastAsia="Book Antiqua" w:cs="Book Antiqua"/>
          <w:color w:val="000000"/>
          <w:highlight w:val="none"/>
        </w:rPr>
        <w:t>-estimate</w:t>
      </w:r>
      <w:r>
        <w:rPr>
          <w:rFonts w:ascii="Book Antiqua" w:hAnsi="Book Antiqua" w:eastAsia="Book Antiqua" w:cs="Book Antiqua"/>
          <w:color w:val="000000"/>
          <w:highlight w:val="none"/>
          <w:vertAlign w:val="superscript"/>
        </w:rPr>
        <w:t>[46]</w:t>
      </w:r>
      <w:r>
        <w:rPr>
          <w:rFonts w:ascii="Book Antiqua" w:hAnsi="Book Antiqua" w:eastAsia="Book Antiqua" w:cs="Book Antiqua"/>
          <w:color w:val="000000"/>
          <w:highlight w:val="none"/>
        </w:rPr>
        <w:t>.</w:t>
      </w:r>
      <w:r>
        <w:rPr>
          <w:rFonts w:ascii="Book Antiqua" w:hAnsi="Book Antiqua" w:eastAsia="Book Antiqua" w:cs="Book Antiqua"/>
          <w:i/>
          <w:iCs/>
          <w:color w:val="000000"/>
          <w:highlight w:val="none"/>
          <w:vertAlign w:val="superscript"/>
        </w:rPr>
        <w:t xml:space="preserve"> </w:t>
      </w:r>
      <w:r>
        <w:rPr>
          <w:rFonts w:ascii="Book Antiqua" w:hAnsi="Book Antiqua" w:eastAsia="Book Antiqua" w:cs="Book Antiqua"/>
          <w:color w:val="000000"/>
          <w:highlight w:val="none"/>
        </w:rPr>
        <w:t xml:space="preserve">Heterogeneity was tested using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-statistic and</w:t>
      </w:r>
      <w:r>
        <w:rPr>
          <w:rFonts w:ascii="Book Antiqua" w:hAnsi="Book Antiqua" w:eastAsia="Book Antiqua" w:cs="Book Antiqua"/>
          <w:i/>
          <w:iCs/>
          <w:color w:val="000000"/>
          <w:highlight w:val="none"/>
        </w:rPr>
        <w:t xml:space="preserve"> 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Interpretations of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are based on benchmarks proposed by Higgins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[47]</w:t>
      </w:r>
      <w:r>
        <w:rPr>
          <w:rFonts w:ascii="Book Antiqua" w:hAnsi="Book Antiqua" w:eastAsia="Book Antiqua" w:cs="Book Antiqua"/>
          <w:color w:val="000000"/>
          <w:highlight w:val="none"/>
        </w:rPr>
        <w:t xml:space="preserve">. Results of each meta-analysis are graphically illustrated in forest plots. A set of meta-regressions was conducted to test whether mean age of the included studies moderated the analyzed correlations significantly. Other potential covariates such as sample type (clinical </w:t>
      </w:r>
      <w:r>
        <w:rPr>
          <w:rFonts w:ascii="Book Antiqua" w:hAnsi="Book Antiqua" w:eastAsia="Book Antiqua" w:cs="Book Antiqua"/>
          <w:i/>
          <w:iCs/>
          <w:color w:val="000000"/>
          <w:highlight w:val="none"/>
        </w:rPr>
        <w:t>vs</w:t>
      </w:r>
      <w:r>
        <w:rPr>
          <w:rFonts w:ascii="Book Antiqua" w:hAnsi="Book Antiqua" w:eastAsia="Book Antiqua" w:cs="Book Antiqua"/>
          <w:color w:val="000000"/>
          <w:highlight w:val="none"/>
        </w:rPr>
        <w:t xml:space="preserve"> non-clinical) were not examined due to the low number of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 study</w:t>
      </w:r>
      <w:r>
        <w:rPr>
          <w:rFonts w:ascii="Book Antiqua" w:hAnsi="Book Antiqua" w:eastAsia="Book Antiqua" w:cs="Book Antiqua"/>
          <w:color w:val="000000"/>
          <w:highlight w:val="none"/>
          <w:vertAlign w:val="superscript"/>
        </w:rPr>
        <w:t>[25]</w:t>
      </w:r>
      <w:r>
        <w:rPr>
          <w:rFonts w:ascii="Book Antiqua" w:hAnsi="Book Antiqua" w:eastAsia="Book Antiqua" w:cs="Book Antiqua"/>
          <w:color w:val="000000"/>
          <w:highlight w:val="none"/>
        </w:rPr>
        <w:t xml:space="preserve"> included in the meta-analysis with a clinical sample only. Meta-regressions were run using the free online meta-analysis tool Meta-Mar, version 2.7.0</w:t>
      </w:r>
      <w:r>
        <w:rPr>
          <w:rFonts w:ascii="Book Antiqua" w:hAnsi="Book Antiqua" w:eastAsia="Book Antiqua" w:cs="Book Antiqua"/>
          <w:color w:val="000000"/>
          <w:highlight w:val="none"/>
          <w:vertAlign w:val="superscript"/>
        </w:rPr>
        <w:t>[48]</w:t>
      </w:r>
      <w:r>
        <w:rPr>
          <w:rFonts w:ascii="Book Antiqua" w:hAnsi="Book Antiqua" w:eastAsia="Book Antiqua" w:cs="Book Antiqua"/>
          <w:color w:val="000000"/>
          <w:highlight w:val="none"/>
        </w:rPr>
        <w:t>.</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RESULTS</w:t>
      </w: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Study selection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Figure 1 shows this review’s selection process divided into the first search in 2017 and the search updated in 2020. Overall,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763 records were identified through database searching. A total of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78 additional records were identified through other sources. Initially, a total of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110 duplicates were removed. Next, the first author screened the titles and abstracts of the identified studies.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158 records remained in the selection process after screening. Overall,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46 records fulfilled our inclusion criteria. Of those, each of two records reported two studies</w:t>
      </w:r>
      <w:r>
        <w:rPr>
          <w:rFonts w:ascii="Book Antiqua" w:hAnsi="Book Antiqua" w:eastAsia="Book Antiqua" w:cs="Book Antiqua"/>
          <w:color w:val="000000"/>
          <w:highlight w:val="none"/>
          <w:vertAlign w:val="superscript"/>
        </w:rPr>
        <w:t>[23,49]</w:t>
      </w:r>
      <w:r>
        <w:rPr>
          <w:rFonts w:ascii="Book Antiqua" w:hAnsi="Book Antiqua" w:eastAsia="Book Antiqua" w:cs="Book Antiqua"/>
          <w:color w:val="000000"/>
          <w:highlight w:val="none"/>
        </w:rPr>
        <w:t xml:space="preserve">, resulting in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48 studies overall included in this systematic literature review. In two cases, working groups analyzed the same datasets in two independently published records</w:t>
      </w:r>
      <w:r>
        <w:rPr>
          <w:rFonts w:ascii="Book Antiqua" w:hAnsi="Book Antiqua" w:eastAsia="Book Antiqua" w:cs="Book Antiqua"/>
          <w:color w:val="000000"/>
          <w:highlight w:val="none"/>
          <w:vertAlign w:val="superscript"/>
        </w:rPr>
        <w:t>[27,28,50,51]</w:t>
      </w:r>
      <w:r>
        <w:rPr>
          <w:rFonts w:ascii="Book Antiqua" w:hAnsi="Book Antiqua" w:eastAsia="Book Antiqua" w:cs="Book Antiqua"/>
          <w:color w:val="000000"/>
          <w:highlight w:val="none"/>
        </w:rPr>
        <w:t xml:space="preserve">. For quantitative synthesis,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24 studies fulfilled our inclusion criteria and were included in meta-analysis.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b/>
          <w:bCs/>
          <w:i/>
          <w:iCs/>
          <w:highlight w:val="none"/>
        </w:rPr>
      </w:pPr>
      <w:r>
        <w:rPr>
          <w:rFonts w:ascii="Book Antiqua" w:hAnsi="Book Antiqua" w:eastAsia="Book Antiqua" w:cs="Book Antiqua"/>
          <w:b/>
          <w:bCs/>
          <w:i/>
          <w:iCs/>
          <w:color w:val="000000"/>
          <w:highlight w:val="none"/>
        </w:rPr>
        <w:t xml:space="preserve">Characteristics of studies included in this systematic review </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An overview of the included studies and study characteristics is found in Table 1. They contain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47 published studies carried out in Australia, Canada, Denmark, Germany, Italy, Iran, Turkey, the United Kingdom or Ireland, and United States between 2003 and 2020. The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 remaining study is characterized as gray literature and was submitted in 2014 to qualify for a doctorate degree at a German university.</w:t>
      </w:r>
    </w:p>
    <w:p>
      <w:pPr>
        <w:adjustRightInd w:val="0"/>
        <w:snapToGrid w:val="0"/>
        <w:spacing w:line="360" w:lineRule="auto"/>
        <w:ind w:firstLine="480" w:firstLineChars="200"/>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A total of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12839 participants were examined in the included studies. Median sample size was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138.50 per study, range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1 to </w:t>
      </w:r>
      <w:r>
        <w:rPr>
          <w:rFonts w:ascii="Book Antiqua" w:hAnsi="Book Antiqua" w:eastAsia="Book Antiqua" w:cs="Book Antiqua"/>
          <w:i/>
          <w:iCs/>
          <w:color w:val="000000"/>
          <w:highlight w:val="none"/>
        </w:rPr>
        <w:t>n</w:t>
      </w:r>
      <w:r>
        <w:rPr>
          <w:rFonts w:ascii="Book Antiqua" w:hAnsi="Book Antiqua" w:eastAsia="Book Antiqua" w:cs="Book Antiqua"/>
          <w:color w:val="000000"/>
          <w:highlight w:val="none"/>
        </w:rPr>
        <w:t xml:space="preserve"> = 1817. Gender distribution was reported in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46 studies. Overall, a mean of 56.84% of participants per study described themselves as female, ranging from 0% to 100% per study. The age of participants ranged from 6 to 18 years.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30 studies involved a non-clinical sample,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8 studies involved a purely clinical sample, and</w:t>
      </w:r>
      <w:r>
        <w:rPr>
          <w:rFonts w:ascii="Book Antiqua" w:hAnsi="Book Antiqua" w:eastAsia="Book Antiqua" w:cs="Book Antiqua"/>
          <w:i/>
          <w:iCs/>
          <w:color w:val="000000"/>
          <w:highlight w:val="none"/>
        </w:rPr>
        <w:t xml:space="preserve"> k</w:t>
      </w:r>
      <w:r>
        <w:rPr>
          <w:rFonts w:ascii="Book Antiqua" w:hAnsi="Book Antiqua" w:eastAsia="Book Antiqua" w:cs="Book Antiqua"/>
          <w:color w:val="000000"/>
          <w:highlight w:val="none"/>
        </w:rPr>
        <w:t xml:space="preserve"> = 10 studies included both a clinical group and a non-clinical group. The non-clinical samples were usually convenience samples recruited from schools. Studies with clinical samples included the primary diagnoses GAD, SAD, SoD, panic disorder/agoraphobia, and specific phobia. In three studies, OCD or post-traumatic stress disorder were classified as anxiety disorders</w:t>
      </w:r>
      <w:r>
        <w:rPr>
          <w:rFonts w:ascii="Book Antiqua" w:hAnsi="Book Antiqua" w:eastAsia="Book Antiqua" w:cs="Book Antiqua"/>
          <w:color w:val="000000"/>
          <w:highlight w:val="none"/>
          <w:vertAlign w:val="superscript"/>
        </w:rPr>
        <w:t>[27,28,52]</w:t>
      </w:r>
      <w:r>
        <w:rPr>
          <w:rFonts w:ascii="Book Antiqua" w:hAnsi="Book Antiqua" w:eastAsia="Book Antiqua" w:cs="Book Antiqua"/>
          <w:color w:val="000000"/>
          <w:highlight w:val="none"/>
        </w:rPr>
        <w:t>. Patients with these primary disorders represented a percentage of 8.1% to 18.4% of patients included with anxiety disorders. Most studies revealed a cross-sectional design. Three studies included a retest-measurement to assess test-retest correlations for validating different questionnaires</w:t>
      </w:r>
      <w:r>
        <w:rPr>
          <w:rFonts w:ascii="Book Antiqua" w:hAnsi="Book Antiqua" w:eastAsia="Book Antiqua" w:cs="Book Antiqua"/>
          <w:color w:val="000000"/>
          <w:highlight w:val="none"/>
          <w:vertAlign w:val="superscript"/>
        </w:rPr>
        <w:t>[53–55]</w:t>
      </w:r>
      <w:r>
        <w:rPr>
          <w:rFonts w:ascii="Book Antiqua" w:hAnsi="Book Antiqua" w:eastAsia="Book Antiqua" w:cs="Book Antiqua"/>
          <w:color w:val="000000"/>
          <w:highlight w:val="none"/>
        </w:rPr>
        <w:t>. Nine studies followed a longitudinal design in the form of intervention studies with pre-post- (and follow-up) measurement points</w:t>
      </w:r>
      <w:r>
        <w:rPr>
          <w:rFonts w:ascii="Book Antiqua" w:hAnsi="Book Antiqua" w:eastAsia="Book Antiqua" w:cs="Book Antiqua"/>
          <w:color w:val="000000"/>
          <w:highlight w:val="none"/>
          <w:vertAlign w:val="superscript"/>
        </w:rPr>
        <w:t>[26,56–63]</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 xml:space="preserve">Risk of bias </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We used the AXIS-tool to assess the risk of bias. Most of the studies were classified as low risk of bias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25) and moderate risk of bias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23), whereas no study was classified as having a high risk of bias (see Table 1).</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What evidence is there for positive relationships between POS, NEG, and meta-worry with each other, worry, and anxiety for children and adolescents?</w:t>
      </w: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Relationships between POS, NEG, meta-worry, and worry: </w:t>
      </w:r>
      <w:r>
        <w:rPr>
          <w:rFonts w:ascii="Book Antiqua" w:hAnsi="Book Antiqua" w:eastAsia="Book Antiqua" w:cs="Book Antiqua"/>
          <w:color w:val="000000"/>
          <w:highlight w:val="none"/>
        </w:rPr>
        <w:t xml:space="preserve">Table 2 provides an overview of the relationships reported in the included studies. In total,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18 studies researched the relationships between POS, NEG, and worry. Most thereof demonstrated correlations between worry and both POS and NEG</w:t>
      </w:r>
      <w:r>
        <w:rPr>
          <w:rFonts w:ascii="Book Antiqua" w:hAnsi="Book Antiqua" w:eastAsia="Book Antiqua" w:cs="Book Antiqua"/>
          <w:color w:val="000000"/>
          <w:highlight w:val="none"/>
          <w:vertAlign w:val="superscript"/>
        </w:rPr>
        <w:t>[24,51,64–70]</w:t>
      </w:r>
      <w:r>
        <w:rPr>
          <w:rFonts w:ascii="Book Antiqua" w:hAnsi="Book Antiqua" w:eastAsia="Book Antiqua" w:cs="Book Antiqua"/>
          <w:color w:val="000000"/>
          <w:highlight w:val="none"/>
        </w:rPr>
        <w:t>. Moreover, two studies collected POS exclusively and reported significant correlations between worry and POS</w:t>
      </w:r>
      <w:r>
        <w:rPr>
          <w:rFonts w:ascii="Book Antiqua" w:hAnsi="Book Antiqua" w:eastAsia="Book Antiqua" w:cs="Book Antiqua"/>
          <w:color w:val="000000"/>
          <w:highlight w:val="none"/>
          <w:vertAlign w:val="superscript"/>
        </w:rPr>
        <w:t>[71,72]</w:t>
      </w:r>
      <w:r>
        <w:rPr>
          <w:rFonts w:ascii="Book Antiqua" w:hAnsi="Book Antiqua" w:eastAsia="Book Antiqua" w:cs="Book Antiqua"/>
          <w:color w:val="000000"/>
          <w:highlight w:val="none"/>
        </w:rPr>
        <w:t>. Two studies showed that POS and NEG contribute to worry as unique predictors</w:t>
      </w:r>
      <w:r>
        <w:rPr>
          <w:rFonts w:ascii="Book Antiqua" w:hAnsi="Book Antiqua" w:eastAsia="Book Antiqua" w:cs="Book Antiqua"/>
          <w:color w:val="000000"/>
          <w:highlight w:val="none"/>
          <w:vertAlign w:val="superscript"/>
        </w:rPr>
        <w:t>[23,73]</w:t>
      </w:r>
      <w:r>
        <w:rPr>
          <w:rFonts w:ascii="Book Antiqua" w:hAnsi="Book Antiqua" w:eastAsia="Book Antiqua" w:cs="Book Antiqua"/>
          <w:color w:val="000000"/>
          <w:highlight w:val="none"/>
        </w:rPr>
        <w:t>, and another study that exclusively measured POS identified it as a unique predictor of worry</w:t>
      </w:r>
      <w:r>
        <w:rPr>
          <w:rFonts w:ascii="Book Antiqua" w:hAnsi="Book Antiqua" w:eastAsia="Book Antiqua" w:cs="Book Antiqua"/>
          <w:color w:val="000000"/>
          <w:highlight w:val="none"/>
          <w:vertAlign w:val="superscript"/>
        </w:rPr>
        <w:t>[72]</w:t>
      </w:r>
      <w:r>
        <w:rPr>
          <w:rFonts w:ascii="Book Antiqua" w:hAnsi="Book Antiqua" w:eastAsia="Book Antiqua" w:cs="Book Antiqua"/>
          <w:color w:val="000000"/>
          <w:highlight w:val="none"/>
        </w:rPr>
        <w:t>. However, other studies found that worry correlated only with NEG, not with POS</w:t>
      </w:r>
      <w:r>
        <w:rPr>
          <w:rFonts w:ascii="Book Antiqua" w:hAnsi="Book Antiqua" w:eastAsia="Book Antiqua" w:cs="Book Antiqua"/>
          <w:color w:val="000000"/>
          <w:highlight w:val="none"/>
          <w:vertAlign w:val="superscript"/>
        </w:rPr>
        <w:t>[26,30,74,75]</w:t>
      </w:r>
      <w:r>
        <w:rPr>
          <w:rFonts w:ascii="Book Antiqua" w:hAnsi="Book Antiqua" w:eastAsia="Book Antiqua" w:cs="Book Antiqua"/>
          <w:color w:val="000000"/>
          <w:highlight w:val="none"/>
        </w:rPr>
        <w:t>. Another study detected a correlation between POS and worry that disappeared after the authors controlled for worry contents, while worry nevertheless continued to correlate with NEG</w:t>
      </w:r>
      <w:r>
        <w:rPr>
          <w:rFonts w:ascii="Book Antiqua" w:hAnsi="Book Antiqua" w:eastAsia="Book Antiqua" w:cs="Book Antiqua"/>
          <w:color w:val="000000"/>
          <w:highlight w:val="none"/>
          <w:vertAlign w:val="superscript"/>
        </w:rPr>
        <w:t>[28]</w:t>
      </w:r>
      <w:r>
        <w:rPr>
          <w:rFonts w:ascii="Book Antiqua" w:hAnsi="Book Antiqua" w:eastAsia="Book Antiqua" w:cs="Book Antiqua"/>
          <w:color w:val="000000"/>
          <w:highlight w:val="none"/>
        </w:rPr>
        <w:t>. One study detected no group differences in worry between participants who described POS or NEG verbally in open-ended questions and those who did not</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Only one study investigated the relationship between meta-worry and worry and observed positive correlations between them</w:t>
      </w:r>
      <w:r>
        <w:rPr>
          <w:rFonts w:ascii="Book Antiqua" w:hAnsi="Book Antiqua" w:eastAsia="Book Antiqua" w:cs="Book Antiqua"/>
          <w:color w:val="000000"/>
          <w:highlight w:val="none"/>
          <w:vertAlign w:val="superscript"/>
        </w:rPr>
        <w:t>[73]</w:t>
      </w:r>
      <w:r>
        <w:rPr>
          <w:rFonts w:ascii="Book Antiqua" w:hAnsi="Book Antiqua" w:eastAsia="Book Antiqua" w:cs="Book Antiqua"/>
          <w:color w:val="000000"/>
          <w:highlight w:val="none"/>
        </w:rPr>
        <w:t xml:space="preserve">.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Results of meta-analysis: </w:t>
      </w:r>
      <w:r>
        <w:rPr>
          <w:rFonts w:ascii="Book Antiqua" w:hAnsi="Book Antiqua" w:eastAsia="Book Antiqua" w:cs="Book Antiqua"/>
          <w:color w:val="000000"/>
          <w:highlight w:val="none"/>
        </w:rPr>
        <w:t>Table 3 shows our meta-analysis results. Meta-analysis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13) for correlation between POS and worry resulted in an overall small to medium effect size [</w:t>
      </w:r>
      <w:r>
        <w:rPr>
          <w:rFonts w:ascii="Book Antiqua" w:hAnsi="Book Antiqua" w:eastAsia="Book Antiqua" w:cs="Book Antiqua"/>
          <w:i/>
          <w:iCs/>
          <w:color w:val="000000"/>
          <w:highlight w:val="none"/>
        </w:rPr>
        <w:t>r</w:t>
      </w:r>
      <w:r>
        <w:rPr>
          <w:rFonts w:ascii="Book Antiqua" w:hAnsi="Book Antiqua" w:eastAsia="Book Antiqua" w:cs="Book Antiqua"/>
          <w:color w:val="000000"/>
          <w:highlight w:val="none"/>
        </w:rPr>
        <w:t xml:space="preserve"> = 0.27 (0.22, 0.33), </w:t>
      </w:r>
      <w:r>
        <w:rPr>
          <w:rFonts w:ascii="Book Antiqua" w:hAnsi="Book Antiqua" w:eastAsia="Book Antiqua" w:cs="Book Antiqua"/>
          <w:i/>
          <w:iCs/>
          <w:color w:val="000000"/>
          <w:highlight w:val="none"/>
        </w:rPr>
        <w:t xml:space="preserve">P </w:t>
      </w:r>
      <w:r>
        <w:rPr>
          <w:rFonts w:ascii="Book Antiqua" w:hAnsi="Book Antiqua" w:eastAsia="Book Antiqua" w:cs="Book Antiqua"/>
          <w:color w:val="000000"/>
          <w:highlight w:val="none"/>
        </w:rPr>
        <w:t xml:space="preserve">&lt; 0.001].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-Test for heterogeneity was significant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 xml:space="preserve"> = 36.14,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0.001), and inconsistency can be described as moderate to high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 67%). For correlation between NEG and worry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12), the overall correlation coefficient was </w:t>
      </w:r>
      <w:r>
        <w:rPr>
          <w:rFonts w:ascii="Book Antiqua" w:hAnsi="Book Antiqua" w:eastAsia="Book Antiqua" w:cs="Book Antiqua"/>
          <w:i/>
          <w:iCs/>
          <w:color w:val="000000"/>
          <w:highlight w:val="none"/>
        </w:rPr>
        <w:t xml:space="preserve">r </w:t>
      </w:r>
      <w:r>
        <w:rPr>
          <w:rFonts w:ascii="Book Antiqua" w:hAnsi="Book Antiqua" w:eastAsia="Book Antiqua" w:cs="Book Antiqua"/>
          <w:color w:val="000000"/>
          <w:highlight w:val="none"/>
        </w:rPr>
        <w:t xml:space="preserve">= 0.64 (0.55, 0.72),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0.001, indicating a large effect. Heterogeneity tests resulted in significant and substantial inconsistency: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 95%,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 xml:space="preserve"> = 233.90,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0.001. Forest plots for meta-analysis are depicted in Figures 2 and 3. As only one study examined meta-worry</w:t>
      </w:r>
      <w:r>
        <w:rPr>
          <w:rFonts w:ascii="Book Antiqua" w:hAnsi="Book Antiqua" w:eastAsia="Book Antiqua" w:cs="Book Antiqua"/>
          <w:color w:val="000000"/>
          <w:highlight w:val="none"/>
          <w:vertAlign w:val="superscript"/>
        </w:rPr>
        <w:t>[73]</w:t>
      </w:r>
      <w:r>
        <w:rPr>
          <w:rFonts w:ascii="Book Antiqua" w:hAnsi="Book Antiqua" w:eastAsia="Book Antiqua" w:cs="Book Antiqua"/>
          <w:color w:val="000000"/>
          <w:highlight w:val="none"/>
        </w:rPr>
        <w:t>, we could not conduct a meta-analysis for a correlation with worry.</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Relationships between POS, NEG, meta-worry, and anxiety: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21 studies analyzed the association between POS and NEG and anxiety symptoms. Correlations between POS, NEG, and anxiety were demonstrated in the majority of studies</w:t>
      </w:r>
      <w:r>
        <w:rPr>
          <w:rFonts w:ascii="Book Antiqua" w:hAnsi="Book Antiqua" w:eastAsia="Book Antiqua" w:cs="Book Antiqua"/>
          <w:color w:val="000000"/>
          <w:highlight w:val="none"/>
          <w:vertAlign w:val="superscript"/>
        </w:rPr>
        <w:t>[24,30,52–54,64,66–68,76–78]</w:t>
      </w:r>
      <w:r>
        <w:rPr>
          <w:rFonts w:ascii="Book Antiqua" w:hAnsi="Book Antiqua" w:eastAsia="Book Antiqua" w:cs="Book Antiqua"/>
          <w:color w:val="000000"/>
          <w:highlight w:val="none"/>
        </w:rPr>
        <w:t>. However, other study findings contradict those results. Three studies revealed correlations between anxiety and NEG, while anxiety failed to correlate with POS</w:t>
      </w:r>
      <w:r>
        <w:rPr>
          <w:rFonts w:ascii="Book Antiqua" w:hAnsi="Book Antiqua" w:eastAsia="Book Antiqua" w:cs="Book Antiqua"/>
          <w:color w:val="000000"/>
          <w:highlight w:val="none"/>
          <w:vertAlign w:val="superscript"/>
        </w:rPr>
        <w:t>[25,26,70]</w:t>
      </w:r>
      <w:r>
        <w:rPr>
          <w:rFonts w:ascii="Book Antiqua" w:hAnsi="Book Antiqua" w:eastAsia="Book Antiqua" w:cs="Book Antiqua"/>
          <w:color w:val="000000"/>
          <w:highlight w:val="none"/>
        </w:rPr>
        <w:t>. NEG contributed to anxiety as a unique predictor in one study, while POS did not predict anxiety significantly</w:t>
      </w:r>
      <w:r>
        <w:rPr>
          <w:rFonts w:ascii="Book Antiqua" w:hAnsi="Book Antiqua" w:eastAsia="Book Antiqua" w:cs="Book Antiqua"/>
          <w:color w:val="000000"/>
          <w:highlight w:val="none"/>
          <w:vertAlign w:val="superscript"/>
        </w:rPr>
        <w:t>[23]</w:t>
      </w:r>
      <w:r>
        <w:rPr>
          <w:rFonts w:ascii="Book Antiqua" w:hAnsi="Book Antiqua" w:eastAsia="Book Antiqua" w:cs="Book Antiqua"/>
          <w:color w:val="000000"/>
          <w:highlight w:val="none"/>
        </w:rPr>
        <w:t xml:space="preserve">. In study 1 by Benedetto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[49]</w:t>
      </w:r>
      <w:r>
        <w:rPr>
          <w:rFonts w:ascii="Book Antiqua" w:hAnsi="Book Antiqua" w:eastAsia="Book Antiqua" w:cs="Book Antiqua"/>
          <w:color w:val="000000"/>
          <w:highlight w:val="none"/>
        </w:rPr>
        <w:t>, anxiety did correlate with NEG in female and male participants, whereas POS and anxiety correlated significantly in female subjects only. In study 2, those two correlations were proven in adolescents with an anxiety disorder only but not in a non-clinical sample</w:t>
      </w:r>
      <w:r>
        <w:rPr>
          <w:rFonts w:ascii="Book Antiqua" w:hAnsi="Book Antiqua" w:eastAsia="Book Antiqua" w:cs="Book Antiqua"/>
          <w:color w:val="000000"/>
          <w:highlight w:val="none"/>
          <w:vertAlign w:val="superscript"/>
        </w:rPr>
        <w:t>[49]</w:t>
      </w:r>
      <w:r>
        <w:rPr>
          <w:rFonts w:ascii="Book Antiqua" w:hAnsi="Book Antiqua" w:eastAsia="Book Antiqua" w:cs="Book Antiqua"/>
          <w:color w:val="000000"/>
          <w:highlight w:val="none"/>
        </w:rPr>
        <w:t>. Another study showed that NEG correlated with anxiety in clinical and non-clinical groups, while POS were only associated with anxiety in a clinical group</w:t>
      </w:r>
      <w:r>
        <w:rPr>
          <w:rFonts w:ascii="Book Antiqua" w:hAnsi="Book Antiqua" w:eastAsia="Book Antiqua" w:cs="Book Antiqua"/>
          <w:color w:val="000000"/>
          <w:highlight w:val="none"/>
          <w:vertAlign w:val="superscript"/>
        </w:rPr>
        <w:t>[79]</w:t>
      </w:r>
      <w:r>
        <w:rPr>
          <w:rFonts w:ascii="Book Antiqua" w:hAnsi="Book Antiqua" w:eastAsia="Book Antiqua" w:cs="Book Antiqua"/>
          <w:color w:val="000000"/>
          <w:highlight w:val="none"/>
        </w:rPr>
        <w:t>. In the study by Wilson and Hughes</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children’s anxiety scores did not differ as to whether they reported NEG or POS. One study even identified a negative correlation between NEG and anxiety, while POS did not correlate with anxiety</w:t>
      </w:r>
      <w:r>
        <w:rPr>
          <w:rFonts w:ascii="Book Antiqua" w:hAnsi="Book Antiqua" w:eastAsia="Book Antiqua" w:cs="Book Antiqua"/>
          <w:color w:val="000000"/>
          <w:highlight w:val="none"/>
          <w:vertAlign w:val="superscript"/>
        </w:rPr>
        <w:t>[55]</w:t>
      </w:r>
      <w:r>
        <w:rPr>
          <w:rFonts w:ascii="Book Antiqua" w:hAnsi="Book Antiqua" w:eastAsia="Book Antiqua" w:cs="Book Antiqua"/>
          <w:color w:val="000000"/>
          <w:highlight w:val="none"/>
        </w:rPr>
        <w:t>. No study examined whether meta-worry was related to anxiety. Extracted relationships are shown in Table 2.</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Results of meta-analysis: </w:t>
      </w:r>
      <w:r>
        <w:rPr>
          <w:rFonts w:ascii="Book Antiqua" w:hAnsi="Book Antiqua" w:eastAsia="Book Antiqua" w:cs="Book Antiqua"/>
          <w:color w:val="000000"/>
          <w:highlight w:val="none"/>
        </w:rPr>
        <w:t xml:space="preserve">For the correlation between POS and anxiety, we identified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18 studies for meta-analysis. The overall effect size was small [</w:t>
      </w:r>
      <w:r>
        <w:rPr>
          <w:rFonts w:ascii="Book Antiqua" w:hAnsi="Book Antiqua" w:eastAsia="Book Antiqua" w:cs="Book Antiqua"/>
          <w:i/>
          <w:iCs/>
          <w:color w:val="000000"/>
          <w:highlight w:val="none"/>
        </w:rPr>
        <w:t>r</w:t>
      </w:r>
      <w:r>
        <w:rPr>
          <w:rFonts w:ascii="Book Antiqua" w:hAnsi="Book Antiqua" w:eastAsia="Book Antiqua" w:cs="Book Antiqua"/>
          <w:color w:val="000000"/>
          <w:highlight w:val="none"/>
        </w:rPr>
        <w:t xml:space="preserve"> = 0.20, 95%CI (0.16, 0.25), </w:t>
      </w:r>
      <w:r>
        <w:rPr>
          <w:rFonts w:ascii="Book Antiqua" w:hAnsi="Book Antiqua" w:eastAsia="Book Antiqua" w:cs="Book Antiqua"/>
          <w:i/>
          <w:iCs/>
          <w:color w:val="000000"/>
          <w:highlight w:val="none"/>
        </w:rPr>
        <w:t xml:space="preserve">P </w:t>
      </w:r>
      <w:r>
        <w:rPr>
          <w:rFonts w:ascii="Book Antiqua" w:hAnsi="Book Antiqua" w:eastAsia="Book Antiqua" w:cs="Book Antiqua"/>
          <w:color w:val="000000"/>
          <w:highlight w:val="none"/>
        </w:rPr>
        <w:t xml:space="preserve">&lt; 0.001].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-Test for heterogeneity was significant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 xml:space="preserve"> = 52.11,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0.001) and the amount of inconsistency is moderate to high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 67%). Testing of overall-effect size when correlating NEG and anxiety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18) resulted in a large effect [</w:t>
      </w:r>
      <w:r>
        <w:rPr>
          <w:rFonts w:ascii="Book Antiqua" w:hAnsi="Book Antiqua" w:eastAsia="Book Antiqua" w:cs="Book Antiqua"/>
          <w:i/>
          <w:iCs/>
          <w:color w:val="000000"/>
          <w:highlight w:val="none"/>
        </w:rPr>
        <w:t>r</w:t>
      </w:r>
      <w:r>
        <w:rPr>
          <w:rFonts w:ascii="Book Antiqua" w:hAnsi="Book Antiqua" w:eastAsia="Book Antiqua" w:cs="Book Antiqua"/>
          <w:color w:val="000000"/>
          <w:highlight w:val="none"/>
        </w:rPr>
        <w:t xml:space="preserve"> = 0.53 (0.46, 0.60), </w:t>
      </w:r>
      <w:r>
        <w:rPr>
          <w:rFonts w:ascii="Book Antiqua" w:hAnsi="Book Antiqua" w:eastAsia="Book Antiqua" w:cs="Book Antiqua"/>
          <w:i/>
          <w:iCs/>
          <w:color w:val="000000"/>
          <w:highlight w:val="none"/>
        </w:rPr>
        <w:t xml:space="preserve">P </w:t>
      </w:r>
      <w:r>
        <w:rPr>
          <w:rFonts w:ascii="Book Antiqua" w:hAnsi="Book Antiqua" w:eastAsia="Book Antiqua" w:cs="Book Antiqua"/>
          <w:color w:val="000000"/>
          <w:highlight w:val="none"/>
        </w:rPr>
        <w:t xml:space="preserve">&lt; 0.001]. With respect to heterogeneity, the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-statistic is significant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 xml:space="preserve"> = 234.07,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0.001), and results speak for inconsistency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 93%). Our meta-analysis results are displayed in Table 3, the forest plots in Figures 4 and 5. No meta-analyses for correlations between worry and meta-worry were possible as no study investigated potential relationships between those variables.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Clinical </w:t>
      </w:r>
      <w:r>
        <w:rPr>
          <w:rFonts w:ascii="Book Antiqua" w:hAnsi="Book Antiqua" w:eastAsia="Book Antiqua" w:cs="Book Antiqua"/>
          <w:b/>
          <w:bCs/>
          <w:i/>
          <w:iCs/>
          <w:color w:val="000000"/>
          <w:highlight w:val="none"/>
        </w:rPr>
        <w:t>vs</w:t>
      </w:r>
      <w:r>
        <w:rPr>
          <w:rFonts w:ascii="Book Antiqua" w:hAnsi="Book Antiqua" w:eastAsia="Book Antiqua" w:cs="Book Antiqua"/>
          <w:b/>
          <w:bCs/>
          <w:color w:val="000000"/>
          <w:highlight w:val="none"/>
        </w:rPr>
        <w:t xml:space="preserve"> non-clinical groups: </w:t>
      </w:r>
      <w:r>
        <w:rPr>
          <w:rFonts w:ascii="Book Antiqua" w:hAnsi="Book Antiqua" w:eastAsia="Book Antiqua" w:cs="Book Antiqua"/>
          <w:color w:val="000000"/>
          <w:highlight w:val="none"/>
        </w:rPr>
        <w:t xml:space="preserve">A total of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10 studies included both clinical and non-clinical samples. Three studies showed that their clinical sample held significantly higher POS and NEG than the non-clinical group</w:t>
      </w:r>
      <w:r>
        <w:rPr>
          <w:rFonts w:ascii="Book Antiqua" w:hAnsi="Book Antiqua" w:eastAsia="Book Antiqua" w:cs="Book Antiqua"/>
          <w:color w:val="000000"/>
          <w:highlight w:val="none"/>
          <w:vertAlign w:val="superscript"/>
        </w:rPr>
        <w:t>[24,52,79]</w:t>
      </w:r>
      <w:r>
        <w:rPr>
          <w:rFonts w:ascii="Book Antiqua" w:hAnsi="Book Antiqua" w:eastAsia="Book Antiqua" w:cs="Book Antiqua"/>
          <w:color w:val="000000"/>
          <w:highlight w:val="none"/>
        </w:rPr>
        <w:t>. In other studies, clinical participants reported more NEG than non-clinical participants, POS revealed no group difference</w:t>
      </w:r>
      <w:r>
        <w:rPr>
          <w:rFonts w:ascii="Book Antiqua" w:hAnsi="Book Antiqua" w:eastAsia="Book Antiqua" w:cs="Book Antiqua"/>
          <w:color w:val="000000"/>
          <w:highlight w:val="none"/>
          <w:vertAlign w:val="superscript"/>
        </w:rPr>
        <w:t>[49,53,74,80]</w:t>
      </w:r>
      <w:r>
        <w:rPr>
          <w:rFonts w:ascii="Book Antiqua" w:hAnsi="Book Antiqua" w:eastAsia="Book Antiqua" w:cs="Book Antiqua"/>
          <w:color w:val="000000"/>
          <w:highlight w:val="none"/>
        </w:rPr>
        <w:t>. One study found that both investigated clinical samples (GAD, other anxiety disorders) held significant higher NEG than a non-clinical group, but only patients with GAD differed from healthy controls in case of POS</w:t>
      </w:r>
      <w:r>
        <w:rPr>
          <w:rFonts w:ascii="Book Antiqua" w:hAnsi="Book Antiqua" w:eastAsia="Book Antiqua" w:cs="Book Antiqua"/>
          <w:color w:val="000000"/>
          <w:highlight w:val="none"/>
          <w:vertAlign w:val="superscript"/>
        </w:rPr>
        <w:t>[23]</w:t>
      </w:r>
      <w:r>
        <w:rPr>
          <w:rFonts w:ascii="Book Antiqua" w:hAnsi="Book Antiqua" w:eastAsia="Book Antiqua" w:cs="Book Antiqua"/>
          <w:color w:val="000000"/>
          <w:highlight w:val="none"/>
        </w:rPr>
        <w:t>. Two studies failed to demonstrate significant differences between a non-clinical sample and patients with anxiety disorders for POS or NEG</w:t>
      </w:r>
      <w:r>
        <w:rPr>
          <w:rFonts w:ascii="Book Antiqua" w:hAnsi="Book Antiqua" w:eastAsia="Book Antiqua" w:cs="Book Antiqua"/>
          <w:color w:val="000000"/>
          <w:highlight w:val="none"/>
          <w:vertAlign w:val="superscript"/>
        </w:rPr>
        <w:t>[27,28]</w:t>
      </w:r>
      <w:r>
        <w:rPr>
          <w:rFonts w:ascii="Book Antiqua" w:hAnsi="Book Antiqua" w:eastAsia="Book Antiqua" w:cs="Book Antiqua"/>
          <w:color w:val="000000"/>
          <w:highlight w:val="none"/>
        </w:rPr>
        <w:t xml:space="preserve">. Furthermore,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4 studies compared different anxiety disorders with each another specifically. The findings by Bacow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[27]</w:t>
      </w:r>
      <w:r>
        <w:rPr>
          <w:rFonts w:ascii="Book Antiqua" w:hAnsi="Book Antiqua" w:eastAsia="Book Antiqua" w:cs="Book Antiqua"/>
          <w:color w:val="000000"/>
          <w:highlight w:val="none"/>
        </w:rPr>
        <w:t xml:space="preserve"> indicate that children and adolescents with OCD, SAD, SoD, and non-clinical controls do not differ in POS or NEG. Another study reported no group differences between patients with GAD and patients with SoD for POS or NEG</w:t>
      </w:r>
      <w:r>
        <w:rPr>
          <w:rFonts w:ascii="Book Antiqua" w:hAnsi="Book Antiqua" w:eastAsia="Book Antiqua" w:cs="Book Antiqua"/>
          <w:color w:val="000000"/>
          <w:highlight w:val="none"/>
          <w:vertAlign w:val="superscript"/>
        </w:rPr>
        <w:t>[74]</w:t>
      </w:r>
      <w:r>
        <w:rPr>
          <w:rFonts w:ascii="Book Antiqua" w:hAnsi="Book Antiqua" w:eastAsia="Book Antiqua" w:cs="Book Antiqua"/>
          <w:color w:val="000000"/>
          <w:highlight w:val="none"/>
        </w:rPr>
        <w:t>. Ellis and Hudson</w:t>
      </w:r>
      <w:r>
        <w:rPr>
          <w:rFonts w:ascii="Book Antiqua" w:hAnsi="Book Antiqua" w:eastAsia="Book Antiqua" w:cs="Book Antiqua"/>
          <w:color w:val="000000"/>
          <w:highlight w:val="none"/>
          <w:vertAlign w:val="superscript"/>
        </w:rPr>
        <w:t>[24]</w:t>
      </w:r>
      <w:r>
        <w:rPr>
          <w:rFonts w:ascii="Book Antiqua" w:hAnsi="Book Antiqua" w:eastAsia="Book Antiqua" w:cs="Book Antiqua"/>
          <w:color w:val="000000"/>
          <w:highlight w:val="none"/>
        </w:rPr>
        <w:t xml:space="preserve"> detected no differences either between their sample with GAD and one with other anxiety disorders. Nevertheless, in their study 2, Esbjørn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[23]</w:t>
      </w:r>
      <w:r>
        <w:rPr>
          <w:rFonts w:ascii="Book Antiqua" w:hAnsi="Book Antiqua" w:eastAsia="Book Antiqua" w:cs="Book Antiqua"/>
          <w:color w:val="000000"/>
          <w:highlight w:val="none"/>
        </w:rPr>
        <w:t xml:space="preserve"> demonstrated that patients with GAD had higher NEG than those with other anxiety disorders, whereas POS did not differ between groups.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Relationships between POS, NEG, and meta-worry: </w:t>
      </w:r>
      <w:r>
        <w:rPr>
          <w:rFonts w:ascii="Book Antiqua" w:hAnsi="Book Antiqua" w:eastAsia="Book Antiqua" w:cs="Book Antiqua"/>
          <w:color w:val="000000"/>
          <w:highlight w:val="none"/>
        </w:rPr>
        <w:t>Correlations between POS and NEG were explored in</w:t>
      </w:r>
      <w:r>
        <w:rPr>
          <w:rFonts w:ascii="Book Antiqua" w:hAnsi="Book Antiqua" w:eastAsia="Book Antiqua" w:cs="Book Antiqua"/>
          <w:i/>
          <w:iCs/>
          <w:color w:val="000000"/>
          <w:highlight w:val="none"/>
        </w:rPr>
        <w:t xml:space="preserve"> k</w:t>
      </w:r>
      <w:r>
        <w:rPr>
          <w:rFonts w:ascii="Book Antiqua" w:hAnsi="Book Antiqua" w:eastAsia="Book Antiqua" w:cs="Book Antiqua"/>
          <w:color w:val="000000"/>
          <w:highlight w:val="none"/>
        </w:rPr>
        <w:t xml:space="preserve"> = 19 studies, as shown in Table 2. Most studies identified a positive correlation between POS and NEG</w:t>
      </w:r>
      <w:r>
        <w:rPr>
          <w:rFonts w:ascii="Book Antiqua" w:hAnsi="Book Antiqua" w:eastAsia="Book Antiqua" w:cs="Book Antiqua"/>
          <w:color w:val="000000"/>
          <w:highlight w:val="none"/>
          <w:vertAlign w:val="superscript"/>
        </w:rPr>
        <w:t>[30,51,52,55,64–67,69,76,77,81]</w:t>
      </w:r>
      <w:r>
        <w:rPr>
          <w:rFonts w:ascii="Book Antiqua" w:hAnsi="Book Antiqua" w:eastAsia="Book Antiqua" w:cs="Book Antiqua"/>
          <w:color w:val="000000"/>
          <w:highlight w:val="none"/>
        </w:rPr>
        <w:t xml:space="preserve">. In Benedetto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[49]</w:t>
      </w:r>
      <w:r>
        <w:rPr>
          <w:rFonts w:ascii="Book Antiqua" w:hAnsi="Book Antiqua" w:eastAsia="Book Antiqua" w:cs="Book Antiqua"/>
          <w:color w:val="000000"/>
          <w:highlight w:val="none"/>
        </w:rPr>
        <w:t xml:space="preserve"> study 1, POS and NEG correlated positively with each other for male but not female participants. In their second study, a correlation between POS and NEG only became evident in a non-clinical sample, not a clinical one. Reinholdt-Dunne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[79]</w:t>
      </w:r>
      <w:r>
        <w:rPr>
          <w:rFonts w:ascii="Book Antiqua" w:hAnsi="Book Antiqua" w:eastAsia="Book Antiqua" w:cs="Book Antiqua"/>
          <w:color w:val="000000"/>
          <w:highlight w:val="none"/>
        </w:rPr>
        <w:t xml:space="preserve"> reported the same result.</w:t>
      </w:r>
      <w:r>
        <w:rPr>
          <w:rFonts w:ascii="Book Antiqua" w:hAnsi="Book Antiqua" w:eastAsia="Book Antiqua" w:cs="Book Antiqua"/>
          <w:i/>
          <w:iCs/>
          <w:color w:val="000000"/>
          <w:highlight w:val="none"/>
        </w:rPr>
        <w:t xml:space="preserve"> </w:t>
      </w:r>
      <w:r>
        <w:rPr>
          <w:rFonts w:ascii="Book Antiqua" w:hAnsi="Book Antiqua" w:eastAsia="Book Antiqua" w:cs="Book Antiqua"/>
          <w:color w:val="000000"/>
          <w:highlight w:val="none"/>
        </w:rPr>
        <w:t>Still other working groups failed to demonstrate any significant correlation between POS and NEG</w:t>
      </w:r>
      <w:r>
        <w:rPr>
          <w:rFonts w:ascii="Book Antiqua" w:hAnsi="Book Antiqua" w:eastAsia="Book Antiqua" w:cs="Book Antiqua"/>
          <w:color w:val="000000"/>
          <w:highlight w:val="none"/>
          <w:vertAlign w:val="superscript"/>
        </w:rPr>
        <w:t>[25,26,68,82]</w:t>
      </w:r>
      <w:r>
        <w:rPr>
          <w:rFonts w:ascii="Book Antiqua" w:hAnsi="Book Antiqua" w:eastAsia="Book Antiqua" w:cs="Book Antiqua"/>
          <w:color w:val="000000"/>
          <w:highlight w:val="none"/>
        </w:rPr>
        <w:t>, and none analyzed relationships between POS and NEG with meta-worry.</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Results of meta-analysis: </w:t>
      </w:r>
      <w:r>
        <w:rPr>
          <w:rFonts w:ascii="Book Antiqua" w:hAnsi="Book Antiqua" w:eastAsia="Book Antiqua" w:cs="Book Antiqua"/>
          <w:color w:val="000000"/>
          <w:highlight w:val="none"/>
        </w:rPr>
        <w:t>We excluded one study from meta-analysis that showed a correlation between POS and NEG since they reported no effect size for correlation</w:t>
      </w:r>
      <w:r>
        <w:rPr>
          <w:rFonts w:ascii="Book Antiqua" w:hAnsi="Book Antiqua" w:eastAsia="Book Antiqua" w:cs="Book Antiqua"/>
          <w:color w:val="000000"/>
          <w:highlight w:val="none"/>
          <w:vertAlign w:val="superscript"/>
        </w:rPr>
        <w:t>[82]</w:t>
      </w:r>
      <w:r>
        <w:rPr>
          <w:rFonts w:ascii="Book Antiqua" w:hAnsi="Book Antiqua" w:eastAsia="Book Antiqua" w:cs="Book Antiqua"/>
          <w:color w:val="000000"/>
          <w:highlight w:val="none"/>
        </w:rPr>
        <w:t>. Overall effect size for the POS with NEG correlation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17) was small to medium, </w:t>
      </w:r>
      <w:r>
        <w:rPr>
          <w:rFonts w:ascii="Book Antiqua" w:hAnsi="Book Antiqua" w:eastAsia="Book Antiqua" w:cs="Book Antiqua"/>
          <w:i/>
          <w:iCs/>
          <w:color w:val="000000"/>
          <w:highlight w:val="none"/>
        </w:rPr>
        <w:t xml:space="preserve">r </w:t>
      </w:r>
      <w:r>
        <w:rPr>
          <w:rFonts w:ascii="Book Antiqua" w:hAnsi="Book Antiqua" w:eastAsia="Book Antiqua" w:cs="Book Antiqua"/>
          <w:color w:val="000000"/>
          <w:highlight w:val="none"/>
        </w:rPr>
        <w:t xml:space="preserve">= 0.24 (0.18, 0.28), </w:t>
      </w:r>
      <w:r>
        <w:rPr>
          <w:rFonts w:ascii="Book Antiqua" w:hAnsi="Book Antiqua" w:eastAsia="Book Antiqua" w:cs="Book Antiqua"/>
          <w:i/>
          <w:iCs/>
          <w:color w:val="000000"/>
          <w:highlight w:val="none"/>
        </w:rPr>
        <w:t xml:space="preserve">P </w:t>
      </w:r>
      <w:r>
        <w:rPr>
          <w:rFonts w:ascii="Book Antiqua" w:hAnsi="Book Antiqua" w:eastAsia="Book Antiqua" w:cs="Book Antiqua"/>
          <w:color w:val="000000"/>
          <w:highlight w:val="none"/>
        </w:rPr>
        <w:t>&lt; 0.001. Heterogeneity was shown to be significant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 xml:space="preserve"> = 66.44, </w:t>
      </w:r>
      <w:r>
        <w:rPr>
          <w:rFonts w:ascii="Book Antiqua" w:hAnsi="Book Antiqua" w:eastAsia="Book Antiqua" w:cs="Book Antiqua"/>
          <w:i/>
          <w:iCs/>
          <w:color w:val="000000"/>
          <w:highlight w:val="none"/>
        </w:rPr>
        <w:t>P</w:t>
      </w:r>
      <w:r>
        <w:rPr>
          <w:rFonts w:ascii="Book Antiqua" w:hAnsi="Book Antiqua" w:eastAsia="Book Antiqua" w:cs="Book Antiqua"/>
          <w:color w:val="000000"/>
          <w:highlight w:val="none"/>
        </w:rPr>
        <w:t xml:space="preserve"> &lt; 0.001), and inconsistency was high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 76%). Results are displayed in Table 3 and Figure 6.</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At what age do children report POS, NEG, and meta-worry, and does age play a role in relationships with worry and anxiety?</w:t>
      </w:r>
    </w:p>
    <w:p>
      <w:pPr>
        <w:adjustRightInd w:val="0"/>
        <w:snapToGrid w:val="0"/>
        <w:spacing w:line="360" w:lineRule="auto"/>
        <w:jc w:val="both"/>
        <w:rPr>
          <w:rFonts w:ascii="Book Antiqua" w:hAnsi="Book Antiqua" w:eastAsia="Book Antiqua" w:cs="Book Antiqua"/>
          <w:color w:val="000000"/>
          <w:highlight w:val="none"/>
        </w:rPr>
      </w:pPr>
      <w:r>
        <w:rPr>
          <w:rFonts w:ascii="Book Antiqua" w:hAnsi="Book Antiqua" w:eastAsia="Book Antiqua" w:cs="Book Antiqua"/>
          <w:b/>
          <w:bCs/>
          <w:color w:val="000000"/>
          <w:highlight w:val="none"/>
        </w:rPr>
        <w:t xml:space="preserve">Onset of metacognitive beliefs about worry: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31 studies examined metacognitive beliefs in children under the age of 12 years, and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14 studies included populations from age 7 years upwards. Only one study investigated metacognition in children as young as six</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Those authors asked children between 6 and 10 years of age to fill out open-ended questions about POS and NEG. Fifty-six percent of children expressed one or more POS, and 77% of children expressed one or more NEG; they observed no age-related differences in the numbers who named POS or NEG</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Six-year-old children thus do not seem to differ from older children in their POS and NEG. Other studies analyzed how well young children understand metacognitive questionnaires. Smith and Hudson</w:t>
      </w:r>
      <w:r>
        <w:rPr>
          <w:rFonts w:ascii="Book Antiqua" w:hAnsi="Book Antiqua" w:eastAsia="Book Antiqua" w:cs="Book Antiqua"/>
          <w:color w:val="000000"/>
          <w:highlight w:val="none"/>
          <w:vertAlign w:val="superscript"/>
        </w:rPr>
        <w:t>[52]</w:t>
      </w:r>
      <w:r>
        <w:rPr>
          <w:rFonts w:ascii="Book Antiqua" w:hAnsi="Book Antiqua" w:eastAsia="Book Antiqua" w:cs="Book Antiqua"/>
          <w:color w:val="000000"/>
          <w:highlight w:val="none"/>
        </w:rPr>
        <w:t xml:space="preserve"> found that six items on the often used Metacognitions Questionnaire for Children</w:t>
      </w:r>
      <w:r>
        <w:rPr>
          <w:rFonts w:ascii="Book Antiqua" w:hAnsi="Book Antiqua" w:eastAsia="Book Antiqua" w:cs="Book Antiqua"/>
          <w:color w:val="000000"/>
          <w:highlight w:val="none"/>
          <w:vertAlign w:val="superscript"/>
        </w:rPr>
        <w:t>[28]</w:t>
      </w:r>
      <w:r>
        <w:rPr>
          <w:rFonts w:ascii="Book Antiqua" w:hAnsi="Book Antiqua" w:eastAsia="Book Antiqua" w:cs="Book Antiqua"/>
          <w:color w:val="000000"/>
          <w:highlight w:val="none"/>
        </w:rPr>
        <w:t xml:space="preserve"> were not adequately understood by 35.8% to 78.6% of the 7- and 8-year-olds they investigated. White and Hudson</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xml:space="preserve"> changed those six items and included a fifth answer option, "I don’t understand". Their new instrument, the Revised Metacognitions Questionnaire for Children</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was tested in a sample of 187 7- to 12-year-old children. No item, including the six newly changed items, was marked as "I don’t understand" by more than 25% of 7-year-olds and 17% of 8-year-olds, indicating that the vast majority of this age group (75%-83%) was indeed able to rate their POS and NEG</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A small negative correlation was found between age and the number of not-understood items, and a similar significant group difference between 7- to 8-year-olds and 9- to 12-year-olds appeared, indicating that children understand POS and NEG better as they age</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xml:space="preserve">. </w:t>
      </w:r>
    </w:p>
    <w:p>
      <w:pPr>
        <w:adjustRightInd w:val="0"/>
        <w:snapToGrid w:val="0"/>
        <w:spacing w:line="360" w:lineRule="auto"/>
        <w:jc w:val="both"/>
        <w:rPr>
          <w:rFonts w:ascii="Book Antiqua" w:hAnsi="Book Antiqua"/>
          <w:b/>
          <w:bCs/>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Relationship between age and metacognition about worry: </w:t>
      </w:r>
      <w:r>
        <w:rPr>
          <w:rFonts w:ascii="Book Antiqua" w:hAnsi="Book Antiqua" w:eastAsia="Book Antiqua" w:cs="Book Antiqua"/>
          <w:color w:val="000000"/>
          <w:highlight w:val="none"/>
        </w:rPr>
        <w:t>Table 2 contains an overview of extracted relationships. Of all included studies, only a minority investigated whether metacognitive beliefs change with age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12). Most of those studies did not detect any correlation between POS and NEG, neither with participants’ age nor age-related differences</w:t>
      </w:r>
      <w:r>
        <w:rPr>
          <w:rFonts w:ascii="Book Antiqua" w:hAnsi="Book Antiqua" w:eastAsia="Book Antiqua" w:cs="Book Antiqua"/>
          <w:color w:val="000000"/>
          <w:highlight w:val="none"/>
          <w:vertAlign w:val="superscript"/>
        </w:rPr>
        <w:t>[24,27,28,30,72,77,79,82]</w:t>
      </w:r>
      <w:r>
        <w:rPr>
          <w:rFonts w:ascii="Book Antiqua" w:hAnsi="Book Antiqua" w:eastAsia="Book Antiqua" w:cs="Book Antiqua"/>
          <w:color w:val="000000"/>
          <w:highlight w:val="none"/>
        </w:rPr>
        <w:t>. In the open-ended questions asked verbally by Wilson and Hughes</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56% of children claimed to have at least one POS and 77% at least one NEG. The authors revealed no age-related difference in these answers from children aged 6 to 10 years. In contrast, another study’s results suggest that NEG may decline with age, as age did not correlate with POS, but NEG did correlate with age (with a small negative effect</w:t>
      </w:r>
      <w:r>
        <w:rPr>
          <w:rFonts w:ascii="Book Antiqua" w:hAnsi="Book Antiqua" w:eastAsia="Book Antiqua" w:cs="Book Antiqua"/>
          <w:color w:val="000000"/>
          <w:highlight w:val="none"/>
          <w:vertAlign w:val="superscript"/>
        </w:rPr>
        <w:t>[76]</w:t>
      </w:r>
      <w:r>
        <w:rPr>
          <w:rFonts w:ascii="Book Antiqua" w:hAnsi="Book Antiqua" w:eastAsia="Book Antiqua" w:cs="Book Antiqua"/>
          <w:color w:val="000000"/>
          <w:highlight w:val="none"/>
        </w:rPr>
        <w:t>). Interestingly, another study identified a small positive correlation between POS and age, but no significant correlation between NEG and age</w:t>
      </w:r>
      <w:r>
        <w:rPr>
          <w:rFonts w:ascii="Book Antiqua" w:hAnsi="Book Antiqua" w:eastAsia="Book Antiqua" w:cs="Book Antiqua"/>
          <w:color w:val="000000"/>
          <w:highlight w:val="none"/>
          <w:vertAlign w:val="superscript"/>
        </w:rPr>
        <w:t>[54]</w:t>
      </w:r>
      <w:r>
        <w:rPr>
          <w:rFonts w:ascii="Book Antiqua" w:hAnsi="Book Antiqua" w:eastAsia="Book Antiqua" w:cs="Book Antiqua"/>
          <w:color w:val="000000"/>
          <w:highlight w:val="none"/>
        </w:rPr>
        <w:t>. Another study also demonstrated a significant age effect for POS but none for NEG</w:t>
      </w:r>
      <w:r>
        <w:rPr>
          <w:rFonts w:ascii="Book Antiqua" w:hAnsi="Book Antiqua" w:eastAsia="Book Antiqua" w:cs="Book Antiqua"/>
          <w:color w:val="000000"/>
          <w:highlight w:val="none"/>
          <w:vertAlign w:val="superscript"/>
        </w:rPr>
        <w:t>[78]</w:t>
      </w:r>
      <w:r>
        <w:rPr>
          <w:rFonts w:ascii="Book Antiqua" w:hAnsi="Book Antiqua" w:eastAsia="Book Antiqua" w:cs="Book Antiqua"/>
          <w:color w:val="000000"/>
          <w:highlight w:val="none"/>
        </w:rPr>
        <w:t xml:space="preserve">.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Results of meta-regressions with age as covariate: </w:t>
      </w:r>
      <w:r>
        <w:rPr>
          <w:rFonts w:ascii="Book Antiqua" w:hAnsi="Book Antiqua" w:eastAsia="Book Antiqua" w:cs="Book Antiqua"/>
          <w:color w:val="000000"/>
          <w:highlight w:val="none"/>
        </w:rPr>
        <w:t xml:space="preserve">Results of the meta-regressions with mean age as covariate are presented in Table 4. </w:t>
      </w:r>
      <w:r>
        <w:rPr>
          <w:rFonts w:ascii="Book Antiqua" w:hAnsi="Book Antiqua" w:eastAsia="Book Antiqua" w:cs="Book Antiqua"/>
          <w:i/>
          <w:iCs/>
          <w:color w:val="000000"/>
          <w:highlight w:val="none"/>
        </w:rPr>
        <w:t>Z</w:t>
      </w:r>
      <w:r>
        <w:rPr>
          <w:rFonts w:ascii="Book Antiqua" w:hAnsi="Book Antiqua" w:eastAsia="Book Antiqua" w:cs="Book Antiqua"/>
          <w:color w:val="000000"/>
          <w:highlight w:val="none"/>
        </w:rPr>
        <w:t xml:space="preserve">-tests for latitudes did not reach significance in any meta-regression, therefore the null hypothesis of no effect cannot be rejected. We therefore found that mean age was not a significant covariate in any of the tested correlations.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Which methods are currently applicable to assess POS, NEG, and meta-worry in childhood and</w:t>
      </w:r>
      <w:r>
        <w:rPr>
          <w:rFonts w:ascii="Book Antiqua" w:hAnsi="Book Antiqua" w:eastAsia="Book Antiqua" w:cs="Book Antiqua"/>
          <w:color w:val="000000"/>
          <w:highlight w:val="none"/>
        </w:rPr>
        <w:t xml:space="preserve"> </w:t>
      </w:r>
      <w:r>
        <w:rPr>
          <w:rFonts w:ascii="Book Antiqua" w:hAnsi="Book Antiqua" w:eastAsia="Book Antiqua" w:cs="Book Antiqua"/>
          <w:b/>
          <w:bCs/>
          <w:i/>
          <w:iCs/>
          <w:color w:val="000000"/>
          <w:highlight w:val="none"/>
        </w:rPr>
        <w:t>youth?</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In total, the authors administered six different questionnaires to assess POS and NEG together. These include the Metacognitions Questionnaire-30-Item Version (MCQ-30)</w:t>
      </w:r>
      <w:r>
        <w:rPr>
          <w:rFonts w:ascii="Book Antiqua" w:hAnsi="Book Antiqua" w:eastAsia="Book Antiqua" w:cs="Book Antiqua"/>
          <w:color w:val="000000"/>
          <w:highlight w:val="none"/>
          <w:vertAlign w:val="superscript"/>
        </w:rPr>
        <w:t>[83]</w:t>
      </w:r>
      <w:r>
        <w:rPr>
          <w:rFonts w:ascii="Book Antiqua" w:hAnsi="Book Antiqua" w:eastAsia="Book Antiqua" w:cs="Book Antiqua"/>
          <w:color w:val="000000"/>
          <w:highlight w:val="none"/>
        </w:rPr>
        <w:t>, MCQ - Adolescent Version</w:t>
      </w:r>
      <w:r>
        <w:rPr>
          <w:rFonts w:ascii="Book Antiqua" w:hAnsi="Book Antiqua" w:eastAsia="Book Antiqua" w:cs="Book Antiqua"/>
          <w:color w:val="000000"/>
          <w:highlight w:val="none"/>
          <w:vertAlign w:val="superscript"/>
        </w:rPr>
        <w:t>[53]</w:t>
      </w:r>
      <w:r>
        <w:rPr>
          <w:rFonts w:ascii="Book Antiqua" w:hAnsi="Book Antiqua" w:eastAsia="Book Antiqua" w:cs="Book Antiqua"/>
          <w:color w:val="000000"/>
          <w:highlight w:val="none"/>
        </w:rPr>
        <w:t>, and MCQ for Children (MCQ-C)</w:t>
      </w:r>
      <w:r>
        <w:rPr>
          <w:rFonts w:ascii="Book Antiqua" w:hAnsi="Book Antiqua" w:eastAsia="Book Antiqua" w:cs="Book Antiqua"/>
          <w:color w:val="000000"/>
          <w:highlight w:val="none"/>
          <w:vertAlign w:val="superscript"/>
        </w:rPr>
        <w:t>[28]</w:t>
      </w:r>
      <w:r>
        <w:rPr>
          <w:rFonts w:ascii="Book Antiqua" w:hAnsi="Book Antiqua" w:eastAsia="Book Antiqua" w:cs="Book Antiqua"/>
          <w:color w:val="000000"/>
          <w:highlight w:val="none"/>
        </w:rPr>
        <w:t>. The Revised MCQ for Children (MCQ-CR)</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MCQ for Children-30-Item version (MCQ-C</w:t>
      </w:r>
      <w:r>
        <w:rPr>
          <w:rFonts w:ascii="Book Antiqua" w:hAnsi="Book Antiqua" w:eastAsia="Book Antiqua" w:cs="Book Antiqua"/>
          <w:color w:val="000000"/>
          <w:highlight w:val="none"/>
          <w:vertAlign w:val="subscript"/>
        </w:rPr>
        <w:t>30</w:t>
      </w:r>
      <w:r>
        <w:rPr>
          <w:rFonts w:ascii="Book Antiqua" w:hAnsi="Book Antiqua" w:eastAsia="Book Antiqua" w:cs="Book Antiqua"/>
          <w:color w:val="000000"/>
          <w:highlight w:val="none"/>
        </w:rPr>
        <w:t>)</w:t>
      </w:r>
      <w:r>
        <w:rPr>
          <w:rFonts w:ascii="Book Antiqua" w:hAnsi="Book Antiqua" w:eastAsia="Book Antiqua" w:cs="Book Antiqua"/>
          <w:color w:val="000000"/>
          <w:highlight w:val="none"/>
          <w:vertAlign w:val="superscript"/>
        </w:rPr>
        <w:t>[66]</w:t>
      </w:r>
      <w:r>
        <w:rPr>
          <w:rFonts w:ascii="Book Antiqua" w:hAnsi="Book Antiqua" w:eastAsia="Book Antiqua" w:cs="Book Antiqua"/>
          <w:color w:val="000000"/>
          <w:highlight w:val="none"/>
        </w:rPr>
        <w:t>, and Metakognitionsfragebogen für Kinder</w:t>
      </w:r>
      <w:r>
        <w:rPr>
          <w:rFonts w:ascii="Book Antiqua" w:hAnsi="Book Antiqua" w:eastAsia="Book Antiqua" w:cs="Book Antiqua"/>
          <w:color w:val="000000"/>
          <w:highlight w:val="none"/>
          <w:vertAlign w:val="superscript"/>
        </w:rPr>
        <w:t>[68]</w:t>
      </w:r>
      <w:r>
        <w:rPr>
          <w:rFonts w:ascii="Book Antiqua" w:hAnsi="Book Antiqua" w:eastAsia="Book Antiqua" w:cs="Book Antiqua"/>
          <w:color w:val="000000"/>
          <w:highlight w:val="none"/>
        </w:rPr>
        <w:t xml:space="preserve"> are more recent adaptations. All those questionnaires are variations of the MCQ developed by Cartwright-Hatton and Wells</w:t>
      </w:r>
      <w:r>
        <w:rPr>
          <w:rFonts w:ascii="Book Antiqua" w:hAnsi="Book Antiqua" w:eastAsia="Book Antiqua" w:cs="Book Antiqua"/>
          <w:color w:val="000000"/>
          <w:highlight w:val="none"/>
          <w:vertAlign w:val="superscript"/>
        </w:rPr>
        <w:t>[22]</w:t>
      </w:r>
      <w:r>
        <w:rPr>
          <w:rFonts w:ascii="Book Antiqua" w:hAnsi="Book Antiqua" w:eastAsia="Book Antiqua" w:cs="Book Antiqua"/>
          <w:color w:val="000000"/>
          <w:highlight w:val="none"/>
        </w:rPr>
        <w:t>. Despite POS and NEG, it also covers cognitive confidence, the need for control, and cognitive self-consciousness</w:t>
      </w:r>
      <w:r>
        <w:rPr>
          <w:rFonts w:ascii="Book Antiqua" w:hAnsi="Book Antiqua" w:eastAsia="Book Antiqua" w:cs="Book Antiqua"/>
          <w:color w:val="000000"/>
          <w:highlight w:val="none"/>
          <w:vertAlign w:val="superscript"/>
        </w:rPr>
        <w:t>[22]</w:t>
      </w:r>
      <w:r>
        <w:rPr>
          <w:rFonts w:ascii="Book Antiqua" w:hAnsi="Book Antiqua" w:eastAsia="Book Antiqua" w:cs="Book Antiqua"/>
          <w:color w:val="000000"/>
          <w:highlight w:val="none"/>
        </w:rPr>
        <w:t>. Furthermore, with Why Worry-II</w:t>
      </w:r>
      <w:r>
        <w:rPr>
          <w:rFonts w:ascii="Book Antiqua" w:hAnsi="Book Antiqua" w:eastAsia="Book Antiqua" w:cs="Book Antiqua"/>
          <w:color w:val="000000"/>
          <w:highlight w:val="none"/>
          <w:vertAlign w:val="superscript"/>
        </w:rPr>
        <w:t>[84]</w:t>
      </w:r>
      <w:r>
        <w:rPr>
          <w:rFonts w:ascii="Book Antiqua" w:hAnsi="Book Antiqua" w:eastAsia="Book Antiqua" w:cs="Book Antiqua"/>
          <w:color w:val="000000"/>
          <w:highlight w:val="none"/>
        </w:rPr>
        <w:t>, we extracted one questionnaire that exclusively measures POS. Only one study assessed meta-worry</w:t>
      </w:r>
      <w:r>
        <w:rPr>
          <w:rFonts w:ascii="Book Antiqua" w:hAnsi="Book Antiqua" w:eastAsia="Book Antiqua" w:cs="Book Antiqua"/>
          <w:color w:val="000000"/>
          <w:highlight w:val="none"/>
          <w:vertAlign w:val="superscript"/>
        </w:rPr>
        <w:t>[73]</w:t>
      </w:r>
      <w:r>
        <w:rPr>
          <w:rFonts w:ascii="Book Antiqua" w:hAnsi="Book Antiqua" w:eastAsia="Book Antiqua" w:cs="Book Antiqua"/>
          <w:color w:val="000000"/>
          <w:highlight w:val="none"/>
        </w:rPr>
        <w:t>. Its authors administered the meta-worry questionnaire</w:t>
      </w:r>
      <w:r>
        <w:rPr>
          <w:rFonts w:ascii="Book Antiqua" w:hAnsi="Book Antiqua" w:eastAsia="Book Antiqua" w:cs="Book Antiqua"/>
          <w:color w:val="000000"/>
          <w:highlight w:val="none"/>
          <w:vertAlign w:val="superscript"/>
        </w:rPr>
        <w:t>[21]</w:t>
      </w:r>
      <w:r>
        <w:rPr>
          <w:rFonts w:ascii="Book Antiqua" w:hAnsi="Book Antiqua" w:eastAsia="Book Antiqua" w:cs="Book Antiqua"/>
          <w:color w:val="000000"/>
          <w:highlight w:val="none"/>
        </w:rPr>
        <w:t xml:space="preserve"> for this purpose.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Of the studies included, only one assessed POS and NEG in children as young as 6 years of age</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Due to the lack of reading skills at this age, the children were orally asked these open-ended questions: "Worry can sometimes be helpful and good. Tell me some reasons why worry is good" and "Worry can sometimes be unhelpful and bad. Tell me some reasons why worry is bad"</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The authors assigned the children's responses to the categories POS (</w:t>
      </w:r>
      <w:r>
        <w:rPr>
          <w:rFonts w:ascii="Book Antiqua" w:hAnsi="Book Antiqua" w:eastAsia="Book Antiqua" w:cs="Book Antiqua"/>
          <w:i/>
          <w:iCs/>
          <w:color w:val="000000"/>
          <w:highlight w:val="none"/>
        </w:rPr>
        <w:t>e.g</w:t>
      </w:r>
      <w:r>
        <w:rPr>
          <w:rFonts w:ascii="Book Antiqua" w:hAnsi="Book Antiqua" w:eastAsia="Book Antiqua" w:cs="Book Antiqua"/>
          <w:color w:val="000000"/>
          <w:highlight w:val="none"/>
        </w:rPr>
        <w:t>., solves problems, motivates you, keeps you safe) and NEG (</w:t>
      </w:r>
      <w:r>
        <w:rPr>
          <w:rFonts w:ascii="Book Antiqua" w:hAnsi="Book Antiqua" w:eastAsia="Book Antiqua" w:cs="Book Antiqua"/>
          <w:i/>
          <w:iCs/>
          <w:color w:val="000000"/>
          <w:highlight w:val="none"/>
        </w:rPr>
        <w:t>e.g.</w:t>
      </w:r>
      <w:r>
        <w:rPr>
          <w:rFonts w:ascii="Book Antiqua" w:hAnsi="Book Antiqua" w:eastAsia="Book Antiqua" w:cs="Book Antiqua"/>
          <w:color w:val="000000"/>
          <w:highlight w:val="none"/>
        </w:rPr>
        <w:t xml:space="preserve">, impacts on activity, is uncontrollable, makes you unwell). An overview of the measurements used in these studies is found in Table 5.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DISCUSSION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To the best of our knowledge, this review is the first to describe systematically measuring instruments for POS and NEG as well as results on the validity of the metacognitive model by meta-analysis on correlations between POS and NEG with each other, worry, and anxiety. Presenting 48 studies, we provide a broad overview of this topic, upon which future research can build. We conducted a consensus rating of 20.89% of full-texts with agreement in 90.32%. Good interrater agreement was attained regarding the risk of bias assessment. No study was rated as showing a high risk of bias. Data from 24 studies could be included in quantitative synthesis to meta-analyze the strength of effect sizes. We were also able to analyze mean age as a moderator in meta-regressions and identify various measurement instruments for different age ranges and newer adaptations like MCQ-CR and MCQ-C</w:t>
      </w:r>
      <w:r>
        <w:rPr>
          <w:rFonts w:ascii="Book Antiqua" w:hAnsi="Book Antiqua" w:eastAsia="Book Antiqua" w:cs="Book Antiqua"/>
          <w:color w:val="000000"/>
          <w:highlight w:val="none"/>
          <w:vertAlign w:val="subscript"/>
        </w:rPr>
        <w:t>30</w:t>
      </w:r>
      <w:r>
        <w:rPr>
          <w:rFonts w:ascii="Book Antiqua" w:hAnsi="Book Antiqua" w:eastAsia="Book Antiqua" w:cs="Book Antiqua"/>
          <w:color w:val="000000"/>
          <w:highlight w:val="none"/>
        </w:rPr>
        <w:t xml:space="preserve"> that enable better coverage of POS and NEG in younger children. The use of orally posed open questions reveals another approach for assessing POS and NEG in even younger children, thus enabling us to investigate the onset of such beliefs about worry</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xml:space="preserve">.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What evidence is there for positive relationships between POS, NEG, and meta-worry with each other, worry, and anxiety in children and adolescents?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NEG correlated in all 14 studies</w:t>
      </w:r>
      <w:r>
        <w:rPr>
          <w:rFonts w:ascii="Book Antiqua" w:hAnsi="Book Antiqua" w:eastAsia="Book Antiqua" w:cs="Book Antiqua"/>
          <w:color w:val="000000"/>
          <w:highlight w:val="none"/>
          <w:vertAlign w:val="superscript"/>
        </w:rPr>
        <w:t>[24,25,26,28,30,51,64–69,75,82]</w:t>
      </w:r>
      <w:r>
        <w:rPr>
          <w:rFonts w:ascii="Book Antiqua" w:hAnsi="Book Antiqua" w:eastAsia="Book Antiqua" w:cs="Book Antiqua"/>
          <w:color w:val="000000"/>
          <w:highlight w:val="none"/>
        </w:rPr>
        <w:t xml:space="preserve"> with worry and proved to be an independent predictor of worry in three</w:t>
      </w:r>
      <w:r>
        <w:rPr>
          <w:rFonts w:ascii="Book Antiqua" w:hAnsi="Book Antiqua" w:eastAsia="Book Antiqua" w:cs="Book Antiqua"/>
          <w:color w:val="000000"/>
          <w:highlight w:val="none"/>
          <w:vertAlign w:val="superscript"/>
        </w:rPr>
        <w:t>[23,65,73]</w:t>
      </w:r>
      <w:r>
        <w:rPr>
          <w:rFonts w:ascii="Book Antiqua" w:hAnsi="Book Antiqua" w:eastAsia="Book Antiqua" w:cs="Book Antiqua"/>
          <w:color w:val="000000"/>
          <w:highlight w:val="none"/>
        </w:rPr>
        <w:t xml:space="preserve"> out of three studies. Meta-analysis showed large overall correlation between NEG and worry.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NEG also correlated with anxiety in 17</w:t>
      </w:r>
      <w:r>
        <w:rPr>
          <w:rFonts w:ascii="Book Antiqua" w:hAnsi="Book Antiqua" w:eastAsia="Book Antiqua" w:cs="Book Antiqua"/>
          <w:color w:val="000000"/>
          <w:highlight w:val="none"/>
          <w:vertAlign w:val="superscript"/>
        </w:rPr>
        <w:t>[24-26,30,52–55,64,66–68,76–79,82]</w:t>
      </w:r>
      <w:r>
        <w:rPr>
          <w:rFonts w:ascii="Book Antiqua" w:hAnsi="Book Antiqua" w:eastAsia="Book Antiqua" w:cs="Book Antiqua"/>
          <w:color w:val="000000"/>
          <w:highlight w:val="none"/>
        </w:rPr>
        <w:t xml:space="preserve"> of 19 studies. Benedetto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[49]</w:t>
      </w:r>
      <w:r>
        <w:rPr>
          <w:rFonts w:ascii="Book Antiqua" w:hAnsi="Book Antiqua" w:eastAsia="Book Antiqua" w:cs="Book Antiqua"/>
          <w:color w:val="000000"/>
          <w:highlight w:val="none"/>
        </w:rPr>
        <w:t xml:space="preserve"> study 2 revealed a correlation in their clinical sample only. Surprisingly, another study showed a significant negative relationship of medium effect size between NEG measured with MCQ-30 and anxiety in high school students</w:t>
      </w:r>
      <w:r>
        <w:rPr>
          <w:rFonts w:ascii="Book Antiqua" w:hAnsi="Book Antiqua" w:eastAsia="Book Antiqua" w:cs="Book Antiqua"/>
          <w:color w:val="000000"/>
          <w:highlight w:val="none"/>
          <w:vertAlign w:val="superscript"/>
        </w:rPr>
        <w:t>[55]</w:t>
      </w:r>
      <w:r>
        <w:rPr>
          <w:rFonts w:ascii="Book Antiqua" w:hAnsi="Book Antiqua" w:eastAsia="Book Antiqua" w:cs="Book Antiqua"/>
          <w:color w:val="000000"/>
          <w:highlight w:val="none"/>
        </w:rPr>
        <w:t>. The questionnaires used had not been adapted or evaluated for use in adolescents; their contradictory result may be attributable to their not mentioning any specific age range</w:t>
      </w:r>
      <w:r>
        <w:rPr>
          <w:rFonts w:ascii="Book Antiqua" w:hAnsi="Book Antiqua" w:eastAsia="Book Antiqua" w:cs="Book Antiqua"/>
          <w:color w:val="000000"/>
          <w:highlight w:val="none"/>
          <w:vertAlign w:val="superscript"/>
        </w:rPr>
        <w:t>[55]</w:t>
      </w:r>
      <w:r>
        <w:rPr>
          <w:rFonts w:ascii="Book Antiqua" w:hAnsi="Book Antiqua" w:eastAsia="Book Antiqua" w:cs="Book Antiqua"/>
          <w:color w:val="000000"/>
          <w:highlight w:val="none"/>
        </w:rPr>
        <w:t>. Overall, the correlation between NEG and anxiety in our meta-analysis revealed was large. NEG predicted anxiety uniquely in three</w:t>
      </w:r>
      <w:r>
        <w:rPr>
          <w:rFonts w:ascii="Book Antiqua" w:hAnsi="Book Antiqua" w:eastAsia="Book Antiqua" w:cs="Book Antiqua"/>
          <w:color w:val="000000"/>
          <w:highlight w:val="none"/>
          <w:vertAlign w:val="superscript"/>
        </w:rPr>
        <w:t>[23,68,75]</w:t>
      </w:r>
      <w:r>
        <w:rPr>
          <w:rFonts w:ascii="Book Antiqua" w:hAnsi="Book Antiqua" w:eastAsia="Book Antiqua" w:cs="Book Antiqua"/>
          <w:color w:val="000000"/>
          <w:highlight w:val="none"/>
        </w:rPr>
        <w:t xml:space="preserve"> out of four studies. One study found that NEG was not a significant predictor of anxiety, however</w:t>
      </w:r>
      <w:r>
        <w:rPr>
          <w:rFonts w:ascii="Book Antiqua" w:hAnsi="Book Antiqua" w:eastAsia="Book Antiqua" w:cs="Book Antiqua"/>
          <w:color w:val="000000"/>
          <w:highlight w:val="none"/>
          <w:vertAlign w:val="superscript"/>
        </w:rPr>
        <w:t>[25]</w:t>
      </w:r>
      <w:r>
        <w:rPr>
          <w:rFonts w:ascii="Book Antiqua" w:hAnsi="Book Antiqua" w:eastAsia="Book Antiqua" w:cs="Book Antiqua"/>
          <w:color w:val="000000"/>
          <w:highlight w:val="none"/>
        </w:rPr>
        <w:t>. Eight</w:t>
      </w:r>
      <w:r>
        <w:rPr>
          <w:rFonts w:ascii="Book Antiqua" w:hAnsi="Book Antiqua" w:eastAsia="Book Antiqua" w:cs="Book Antiqua"/>
          <w:color w:val="000000"/>
          <w:highlight w:val="none"/>
          <w:vertAlign w:val="superscript"/>
        </w:rPr>
        <w:t>[23,24,49,52,53,74,79,80]</w:t>
      </w:r>
      <w:r>
        <w:rPr>
          <w:rFonts w:ascii="Book Antiqua" w:hAnsi="Book Antiqua" w:eastAsia="Book Antiqua" w:cs="Book Antiqua"/>
          <w:color w:val="000000"/>
          <w:highlight w:val="none"/>
        </w:rPr>
        <w:t xml:space="preserve"> out of 10 studies that compared clinical and non-clinical samples showed higher NEG in participants with anxiety disorders, a finding that also supports the metacognitive model. Two studies</w:t>
      </w:r>
      <w:r>
        <w:rPr>
          <w:rFonts w:ascii="Book Antiqua" w:hAnsi="Book Antiqua" w:eastAsia="Book Antiqua" w:cs="Book Antiqua"/>
          <w:color w:val="000000"/>
          <w:highlight w:val="none"/>
          <w:vertAlign w:val="superscript"/>
        </w:rPr>
        <w:t>[27,28]</w:t>
      </w:r>
      <w:r>
        <w:rPr>
          <w:rFonts w:ascii="Book Antiqua" w:hAnsi="Book Antiqua" w:eastAsia="Book Antiqua" w:cs="Book Antiqua"/>
          <w:color w:val="000000"/>
          <w:highlight w:val="none"/>
        </w:rPr>
        <w:t xml:space="preserve"> detected no significant group differences.</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For POS, 12</w:t>
      </w:r>
      <w:r>
        <w:rPr>
          <w:rFonts w:ascii="Book Antiqua" w:hAnsi="Book Antiqua" w:eastAsia="Book Antiqua" w:cs="Book Antiqua"/>
          <w:color w:val="000000"/>
          <w:highlight w:val="none"/>
          <w:vertAlign w:val="superscript"/>
        </w:rPr>
        <w:t>[24,28,51,64–69,71,72,82]</w:t>
      </w:r>
      <w:r>
        <w:rPr>
          <w:rFonts w:ascii="Book Antiqua" w:hAnsi="Book Antiqua" w:eastAsia="Book Antiqua" w:cs="Book Antiqua"/>
          <w:color w:val="000000"/>
          <w:highlight w:val="none"/>
        </w:rPr>
        <w:t xml:space="preserve"> out of 16 studies showed a significant positive relationship with worry, while correlations failed to reach significance in four studies</w:t>
      </w:r>
      <w:r>
        <w:rPr>
          <w:rFonts w:ascii="Book Antiqua" w:hAnsi="Book Antiqua" w:eastAsia="Book Antiqua" w:cs="Book Antiqua"/>
          <w:color w:val="000000"/>
          <w:highlight w:val="none"/>
          <w:vertAlign w:val="superscript"/>
        </w:rPr>
        <w:t>[26,30,48,74]</w:t>
      </w:r>
      <w:r>
        <w:rPr>
          <w:rFonts w:ascii="Book Antiqua" w:hAnsi="Book Antiqua" w:eastAsia="Book Antiqua" w:cs="Book Antiqua"/>
          <w:color w:val="000000"/>
          <w:highlight w:val="none"/>
        </w:rPr>
        <w:t>. Meta-analysis resulted in a small overall effect size for the correlation between POS and worry. POS predicted worry in three</w:t>
      </w:r>
      <w:r>
        <w:rPr>
          <w:rFonts w:ascii="Book Antiqua" w:hAnsi="Book Antiqua" w:eastAsia="Book Antiqua" w:cs="Book Antiqua"/>
          <w:color w:val="000000"/>
          <w:highlight w:val="none"/>
          <w:vertAlign w:val="superscript"/>
        </w:rPr>
        <w:t>[23,71,73]</w:t>
      </w:r>
      <w:r>
        <w:rPr>
          <w:rFonts w:ascii="Book Antiqua" w:hAnsi="Book Antiqua" w:eastAsia="Book Antiqua" w:cs="Book Antiqua"/>
          <w:color w:val="000000"/>
          <w:highlight w:val="none"/>
        </w:rPr>
        <w:t xml:space="preserve"> out of four studies, while it was not significant in one study</w:t>
      </w:r>
      <w:r>
        <w:rPr>
          <w:rFonts w:ascii="Book Antiqua" w:hAnsi="Book Antiqua" w:eastAsia="Book Antiqua" w:cs="Book Antiqua"/>
          <w:color w:val="000000"/>
          <w:highlight w:val="none"/>
          <w:vertAlign w:val="superscript"/>
        </w:rPr>
        <w:t>[65]</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POS correlated with anxiety in 12</w:t>
      </w:r>
      <w:r>
        <w:rPr>
          <w:rFonts w:ascii="Book Antiqua" w:hAnsi="Book Antiqua" w:eastAsia="Book Antiqua" w:cs="Book Antiqua"/>
          <w:color w:val="000000"/>
          <w:highlight w:val="none"/>
          <w:vertAlign w:val="superscript"/>
        </w:rPr>
        <w:t>[24,30,52–54,64,66–68,76–78]</w:t>
      </w:r>
      <w:r>
        <w:rPr>
          <w:rFonts w:ascii="Book Antiqua" w:hAnsi="Book Antiqua" w:eastAsia="Book Antiqua" w:cs="Book Antiqua"/>
          <w:color w:val="000000"/>
          <w:highlight w:val="none"/>
        </w:rPr>
        <w:t xml:space="preserve"> out of 19 studies. Studies 1 and 2 of Benedetto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[49]</w:t>
      </w:r>
      <w:r>
        <w:rPr>
          <w:rFonts w:ascii="Book Antiqua" w:hAnsi="Book Antiqua" w:eastAsia="Book Antiqua" w:cs="Book Antiqua"/>
          <w:color w:val="000000"/>
          <w:highlight w:val="none"/>
        </w:rPr>
        <w:t xml:space="preserve"> did identify significant correlations but only in their clinical subgroup, while Reinholdt-Dunne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[79]</w:t>
      </w:r>
      <w:r>
        <w:rPr>
          <w:rFonts w:ascii="Book Antiqua" w:hAnsi="Book Antiqua" w:eastAsia="Book Antiqua" w:cs="Book Antiqua"/>
          <w:color w:val="000000"/>
          <w:highlight w:val="none"/>
        </w:rPr>
        <w:t xml:space="preserve"> detected a significant correlation in their non-clinical subgroup. In fact, four studies</w:t>
      </w:r>
      <w:r>
        <w:rPr>
          <w:rFonts w:ascii="Book Antiqua" w:hAnsi="Book Antiqua" w:eastAsia="Book Antiqua" w:cs="Book Antiqua"/>
          <w:color w:val="000000"/>
          <w:highlight w:val="none"/>
          <w:vertAlign w:val="superscript"/>
        </w:rPr>
        <w:t>[25,26,55,82]</w:t>
      </w:r>
      <w:r>
        <w:rPr>
          <w:rFonts w:ascii="Book Antiqua" w:hAnsi="Book Antiqua" w:eastAsia="Book Antiqua" w:cs="Book Antiqua"/>
          <w:color w:val="000000"/>
          <w:highlight w:val="none"/>
        </w:rPr>
        <w:t xml:space="preserve"> failed to indicate any significant correlations between POS and anxiety. Meta-analysis demonstrated a small to medium effect size for the correlation between POS and anxiety. POS proved to be unique predictors of anxiety in one</w:t>
      </w:r>
      <w:r>
        <w:rPr>
          <w:rFonts w:ascii="Book Antiqua" w:hAnsi="Book Antiqua" w:eastAsia="Book Antiqua" w:cs="Book Antiqua"/>
          <w:color w:val="000000"/>
          <w:highlight w:val="none"/>
          <w:vertAlign w:val="superscript"/>
        </w:rPr>
        <w:t>[68]</w:t>
      </w:r>
      <w:r>
        <w:rPr>
          <w:rFonts w:ascii="Book Antiqua" w:hAnsi="Book Antiqua" w:eastAsia="Book Antiqua" w:cs="Book Antiqua"/>
          <w:color w:val="000000"/>
          <w:highlight w:val="none"/>
        </w:rPr>
        <w:t xml:space="preserve"> of three studies, while two studies</w:t>
      </w:r>
      <w:r>
        <w:rPr>
          <w:rFonts w:ascii="Book Antiqua" w:hAnsi="Book Antiqua" w:eastAsia="Book Antiqua" w:cs="Book Antiqua"/>
          <w:color w:val="000000"/>
          <w:highlight w:val="none"/>
          <w:vertAlign w:val="superscript"/>
        </w:rPr>
        <w:t>[73,80]</w:t>
      </w:r>
      <w:r>
        <w:rPr>
          <w:rFonts w:ascii="Book Antiqua" w:hAnsi="Book Antiqua" w:eastAsia="Book Antiqua" w:cs="Book Antiqua"/>
          <w:color w:val="000000"/>
          <w:highlight w:val="none"/>
        </w:rPr>
        <w:t xml:space="preserve"> failed to prove POS as a significant predictor. Clinical groups scored higher on POS than non-clinical groups in four</w:t>
      </w:r>
      <w:r>
        <w:rPr>
          <w:rFonts w:ascii="Book Antiqua" w:hAnsi="Book Antiqua" w:eastAsia="Book Antiqua" w:cs="Book Antiqua"/>
          <w:color w:val="000000"/>
          <w:highlight w:val="none"/>
          <w:vertAlign w:val="superscript"/>
        </w:rPr>
        <w:t>[23,24,52,79]</w:t>
      </w:r>
      <w:r>
        <w:rPr>
          <w:rFonts w:ascii="Book Antiqua" w:hAnsi="Book Antiqua" w:eastAsia="Book Antiqua" w:cs="Book Antiqua"/>
          <w:color w:val="000000"/>
          <w:highlight w:val="none"/>
        </w:rPr>
        <w:t xml:space="preserve"> out of 10 studies, while six</w:t>
      </w:r>
      <w:r>
        <w:rPr>
          <w:rFonts w:ascii="Book Antiqua" w:hAnsi="Book Antiqua" w:eastAsia="Book Antiqua" w:cs="Book Antiqua"/>
          <w:color w:val="000000"/>
          <w:highlight w:val="none"/>
          <w:vertAlign w:val="superscript"/>
        </w:rPr>
        <w:t>[27,28,49,53,74,80]</w:t>
      </w:r>
      <w:r>
        <w:rPr>
          <w:rFonts w:ascii="Book Antiqua" w:hAnsi="Book Antiqua" w:eastAsia="Book Antiqua" w:cs="Book Antiqua"/>
          <w:color w:val="000000"/>
          <w:highlight w:val="none"/>
        </w:rPr>
        <w:t xml:space="preserve"> studies revealed no significant group differences.</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Correlations between POS and NEG were reported as significant in 12</w:t>
      </w:r>
      <w:r>
        <w:rPr>
          <w:rFonts w:ascii="Book Antiqua" w:hAnsi="Book Antiqua" w:eastAsia="Book Antiqua" w:cs="Book Antiqua"/>
          <w:color w:val="000000"/>
          <w:highlight w:val="none"/>
          <w:vertAlign w:val="superscript"/>
        </w:rPr>
        <w:t>[30,51,52,55,64–69,76,77,81]</w:t>
      </w:r>
      <w:r>
        <w:rPr>
          <w:rFonts w:ascii="Book Antiqua" w:hAnsi="Book Antiqua" w:eastAsia="Book Antiqua" w:cs="Book Antiqua"/>
          <w:color w:val="000000"/>
          <w:highlight w:val="none"/>
        </w:rPr>
        <w:t xml:space="preserve"> out of 19 studies, whereas that finding applied to only one of two subgroups in Studies 1 and 2 of Benedetto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[49]</w:t>
      </w:r>
      <w:r>
        <w:rPr>
          <w:rFonts w:ascii="Book Antiqua" w:hAnsi="Book Antiqua" w:eastAsia="Book Antiqua" w:cs="Book Antiqua"/>
          <w:color w:val="000000"/>
          <w:highlight w:val="none"/>
        </w:rPr>
        <w:t xml:space="preserve"> and a study by Reinholdt-Dunne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[79]</w:t>
      </w:r>
      <w:r>
        <w:rPr>
          <w:rFonts w:ascii="Book Antiqua" w:hAnsi="Book Antiqua" w:eastAsia="Book Antiqua" w:cs="Book Antiqua"/>
          <w:color w:val="000000"/>
          <w:highlight w:val="none"/>
        </w:rPr>
        <w:t xml:space="preserve">. Meta-analysis demonstrated a small to medium effect size.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These mixed results partly support the metacognitive model as well, but NEG seem to have a generally more stable effect on worry and anxiety than POS. POS correlations were quite smaller (small to medium effect sizes) while NEG correlations were large. This is not surprising since NEG revealed medium to large correlations with anxiety and worry in adults, while POS result in small to medium correlations with anxiety and worry</w:t>
      </w:r>
      <w:r>
        <w:rPr>
          <w:rFonts w:ascii="Book Antiqua" w:hAnsi="Book Antiqua" w:eastAsia="Book Antiqua" w:cs="Book Antiqua"/>
          <w:color w:val="000000"/>
          <w:highlight w:val="none"/>
          <w:vertAlign w:val="superscript"/>
        </w:rPr>
        <w:t>[83,85,86]</w:t>
      </w:r>
      <w:r>
        <w:rPr>
          <w:rFonts w:ascii="Book Antiqua" w:hAnsi="Book Antiqua" w:eastAsia="Book Antiqua" w:cs="Book Antiqua"/>
          <w:color w:val="000000"/>
          <w:highlight w:val="none"/>
        </w:rPr>
        <w:t>. Meta-analysis revealed a smaller effect for the correlation between POS and NEG (small to medium), while correlations for NEG with anxiety and worry are large - evidence that concurs with studies from adult research</w:t>
      </w:r>
      <w:r>
        <w:rPr>
          <w:rFonts w:ascii="Book Antiqua" w:hAnsi="Book Antiqua" w:eastAsia="Book Antiqua" w:cs="Book Antiqua"/>
          <w:color w:val="000000"/>
          <w:highlight w:val="none"/>
          <w:vertAlign w:val="superscript"/>
        </w:rPr>
        <w:t>[83,85,86]</w:t>
      </w:r>
      <w:r>
        <w:rPr>
          <w:rFonts w:ascii="Book Antiqua" w:hAnsi="Book Antiqua" w:eastAsia="Book Antiqua" w:cs="Book Antiqua"/>
          <w:color w:val="000000"/>
          <w:highlight w:val="none"/>
        </w:rPr>
        <w:t xml:space="preserve">. To evaluate conclusively the causal claims of the metacognitive model for children, longitudinal studies are needed. However, most of the studies we included applied a cross-sectional design that precludes such conclusions. Only 10 studies compared clinical to non-clinical samples. Future studies should compare POS, NEG, and meta-worry in clinical and non-clinical samples to validate further the metacognitive model of GAD in childhood and youth. For more information about the specific influence of NEG and meta-worry in the development of GAD, patients presenting different anxiety disorders should be compared also, since the results here are far from clear. In total, the overall situation that this systematic review and meta-analysis portrays indicates that NEG play an especially relevant role in worry and anxiety in children and adolescents, and that there is ample evidence from studies that supports the applicability of the metacognitive model of GAD in childhood and youth.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At what age do children report POS, NEG, and meta-worry, and does age play a role in the relationships with worry and anxiety?</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Fourteen studies in total included samples of children aged 7 years and upwards. None of those studies investigated the age of onset of metacognition about worry explicitly. To explore how well children understand questionnaire items, White and Hudson</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xml:space="preserve"> added a response option for not-understanding in the MCQ-CR, and their results support an improvement in how well items are understood from the age 7 to 12 years. Nevertheless, at least 75% of 7- to eight-year-olds understood every MCQ-CR item. Only one study investigated even younger children</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The authors posed open-ended questions verbally to assess POS and NEG in 6-year-olds and concluded that these children are capable of understanding and can describe beliefs about worry, as more than half of the 6- to 10-year-olds stated POS, and almost 8 out of 10 children stated NEG. Response frequencies did not differ with age. Although children are less capable of introspection at 5 years of age than 7- or 8-year-olds</w:t>
      </w:r>
      <w:r>
        <w:rPr>
          <w:rFonts w:ascii="Book Antiqua" w:hAnsi="Book Antiqua" w:eastAsia="Book Antiqua" w:cs="Book Antiqua"/>
          <w:color w:val="000000"/>
          <w:highlight w:val="none"/>
          <w:vertAlign w:val="superscript"/>
        </w:rPr>
        <w:t>[33,35]</w:t>
      </w:r>
      <w:r>
        <w:rPr>
          <w:rFonts w:ascii="Book Antiqua" w:hAnsi="Book Antiqua" w:eastAsia="Book Antiqua" w:cs="Book Antiqua"/>
          <w:color w:val="000000"/>
          <w:highlight w:val="none"/>
        </w:rPr>
        <w:t>, this result implicates that the metacognitive abilities needed to perceive and describe when worry arises and what feelings and thoughts are associated with it are already developed by the age of 6 years. It thus seems possible that we are underestimating the metacognitive ability of young children</w:t>
      </w:r>
      <w:r>
        <w:rPr>
          <w:rFonts w:ascii="Book Antiqua" w:hAnsi="Book Antiqua" w:eastAsia="Book Antiqua" w:cs="Book Antiqua"/>
          <w:color w:val="000000"/>
          <w:highlight w:val="none"/>
          <w:vertAlign w:val="superscript"/>
        </w:rPr>
        <w:t>[36]</w:t>
      </w:r>
      <w:r>
        <w:rPr>
          <w:rFonts w:ascii="Book Antiqua" w:hAnsi="Book Antiqua" w:eastAsia="Book Antiqua" w:cs="Book Antiqua"/>
          <w:color w:val="000000"/>
          <w:highlight w:val="none"/>
        </w:rPr>
        <w:t xml:space="preserve">. This could also be because POS and NEG are usually surveyed using questionnaires.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Most of the included studies revealed no significant associations between the participants’ age and NEG</w:t>
      </w:r>
      <w:r>
        <w:rPr>
          <w:rFonts w:ascii="Book Antiqua" w:hAnsi="Book Antiqua" w:eastAsia="Book Antiqua" w:cs="Book Antiqua"/>
          <w:color w:val="000000"/>
          <w:highlight w:val="none"/>
          <w:vertAlign w:val="superscript"/>
        </w:rPr>
        <w:t>[24,27,30,54,76,79,82]</w:t>
      </w:r>
      <w:r>
        <w:rPr>
          <w:rFonts w:ascii="Book Antiqua" w:hAnsi="Book Antiqua" w:eastAsia="Book Antiqua" w:cs="Book Antiqua"/>
          <w:color w:val="000000"/>
          <w:highlight w:val="none"/>
        </w:rPr>
        <w:t xml:space="preserve"> or POS</w:t>
      </w:r>
      <w:r>
        <w:rPr>
          <w:rFonts w:ascii="Book Antiqua" w:hAnsi="Book Antiqua" w:eastAsia="Book Antiqua" w:cs="Book Antiqua"/>
          <w:color w:val="000000"/>
          <w:highlight w:val="none"/>
          <w:vertAlign w:val="superscript"/>
        </w:rPr>
        <w:t>[24,27,30,72,76,77,79,81,82]</w:t>
      </w:r>
      <w:r>
        <w:rPr>
          <w:rFonts w:ascii="Book Antiqua" w:hAnsi="Book Antiqua" w:eastAsia="Book Antiqua" w:cs="Book Antiqua"/>
          <w:color w:val="000000"/>
          <w:highlight w:val="none"/>
        </w:rPr>
        <w:t>. Two studies even demonstrated negative correlations between age and NEG</w:t>
      </w:r>
      <w:r>
        <w:rPr>
          <w:rFonts w:ascii="Book Antiqua" w:hAnsi="Book Antiqua" w:eastAsia="Book Antiqua" w:cs="Book Antiqua"/>
          <w:color w:val="000000"/>
          <w:highlight w:val="none"/>
          <w:vertAlign w:val="superscript"/>
        </w:rPr>
        <w:t>[77,81]</w:t>
      </w:r>
      <w:r>
        <w:rPr>
          <w:rFonts w:ascii="Book Antiqua" w:hAnsi="Book Antiqua" w:eastAsia="Book Antiqua" w:cs="Book Antiqua"/>
          <w:color w:val="000000"/>
          <w:highlight w:val="none"/>
        </w:rPr>
        <w:t>. We cannot therefore assume any increase in POS and NEG with rising age. However, one study</w:t>
      </w:r>
      <w:r>
        <w:rPr>
          <w:rFonts w:ascii="Book Antiqua" w:hAnsi="Book Antiqua" w:eastAsia="Book Antiqua" w:cs="Book Antiqua"/>
          <w:color w:val="000000"/>
          <w:highlight w:val="none"/>
          <w:vertAlign w:val="superscript"/>
        </w:rPr>
        <w:t>[54]</w:t>
      </w:r>
      <w:r>
        <w:rPr>
          <w:rFonts w:ascii="Book Antiqua" w:hAnsi="Book Antiqua" w:eastAsia="Book Antiqua" w:cs="Book Antiqua"/>
          <w:color w:val="000000"/>
          <w:highlight w:val="none"/>
        </w:rPr>
        <w:t xml:space="preserve"> did show a positive correlation between POS and age. We analyzed mean age as a covariate in meta-regressions as a potential source of variance, but the results were not significant, thus we cannot assume that mean age is a relevant source of variance. Because of the rather small number of included studies in meta-regressions (range: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11-16) and the substantial heterogeneity as demonstrated by </w:t>
      </w:r>
      <w:r>
        <w:rPr>
          <w:rFonts w:ascii="Book Antiqua" w:hAnsi="Book Antiqua" w:eastAsia="Book Antiqua" w:cs="Book Antiqua"/>
          <w:i/>
          <w:iCs/>
          <w:color w:val="000000"/>
          <w:highlight w:val="none"/>
        </w:rPr>
        <w:t>Q-</w:t>
      </w:r>
      <w:r>
        <w:rPr>
          <w:rFonts w:ascii="Book Antiqua" w:hAnsi="Book Antiqua" w:eastAsia="Book Antiqua" w:cs="Book Antiqua"/>
          <w:color w:val="000000"/>
          <w:highlight w:val="none"/>
        </w:rPr>
        <w:t xml:space="preserve"> and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statistics, there might be insufficient power to demonstrate mean age’s moderating effect</w:t>
      </w:r>
      <w:r>
        <w:rPr>
          <w:rFonts w:ascii="Book Antiqua" w:hAnsi="Book Antiqua" w:eastAsia="Book Antiqua" w:cs="Book Antiqua"/>
          <w:color w:val="000000"/>
          <w:highlight w:val="none"/>
          <w:vertAlign w:val="superscript"/>
        </w:rPr>
        <w:t>[87]</w:t>
      </w:r>
      <w:r>
        <w:rPr>
          <w:rFonts w:ascii="Book Antiqua" w:hAnsi="Book Antiqua" w:eastAsia="Book Antiqua" w:cs="Book Antiqua"/>
          <w:color w:val="000000"/>
          <w:highlight w:val="none"/>
        </w:rPr>
        <w:t xml:space="preserve">. Our results therefore do not allow us to assume that mean age has a zero-effect on correlations between POS and NEG with each other, worry, and anxiety. Nevertheless, our overall results suggest that POS and NEG do not vary much with age and that the metacognitive model of GAD can be applied to a broad age range of seven to 18 years.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Which methods are currently applicable to assess POS, NEG, and meta-worry in childhood and</w:t>
      </w:r>
      <w:r>
        <w:rPr>
          <w:rFonts w:ascii="Book Antiqua" w:hAnsi="Book Antiqua" w:eastAsia="Book Antiqua" w:cs="Book Antiqua"/>
          <w:color w:val="000000"/>
          <w:highlight w:val="none"/>
        </w:rPr>
        <w:t xml:space="preserve"> </w:t>
      </w:r>
      <w:r>
        <w:rPr>
          <w:rFonts w:ascii="Book Antiqua" w:hAnsi="Book Antiqua" w:eastAsia="Book Antiqua" w:cs="Book Antiqua"/>
          <w:b/>
          <w:bCs/>
          <w:i/>
          <w:iCs/>
          <w:color w:val="000000"/>
          <w:highlight w:val="none"/>
        </w:rPr>
        <w:t>youth?</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The studies included in this review indicate that MCQ-family of questionnaires are the ones most widely used in research and clinical practice to measure metacognitive beliefs in childhood and youth. We identified six derivates of the MCQ in this review. The MCQ-C, applied in 22 studies, was most frequently administered in children and adolescents aged 7 to 18 years. For youth between 11 and 17 years, the MCQ - Adolescent Version was used in nine studies. MCQ-C</w:t>
      </w:r>
      <w:r>
        <w:rPr>
          <w:rFonts w:ascii="Book Antiqua" w:hAnsi="Book Antiqua" w:eastAsia="Book Antiqua" w:cs="Book Antiqua"/>
          <w:color w:val="000000"/>
          <w:highlight w:val="none"/>
          <w:vertAlign w:val="subscript"/>
        </w:rPr>
        <w:t>30</w:t>
      </w:r>
      <w:r>
        <w:rPr>
          <w:rFonts w:ascii="Book Antiqua" w:hAnsi="Book Antiqua" w:eastAsia="Book Antiqua" w:cs="Book Antiqua"/>
          <w:color w:val="000000"/>
          <w:highlight w:val="none"/>
        </w:rPr>
        <w:t xml:space="preserve"> was also used in 7- to 17-year-olds in eight studies. Since each study we included originated from a single research group, we may have overestimated the frequency of use. The MCQ-30, designed for adults, was administered by three study groups in adolescents between 15 and 18 years of age without any adaptations for that age group. Other MCQ-derivates were only used in one study each. The MCQ-CR was especially designed to be better understandable for 7- and 8-year-olds</w:t>
      </w:r>
      <w:r>
        <w:rPr>
          <w:rFonts w:ascii="Book Antiqua" w:hAnsi="Book Antiqua" w:eastAsia="Book Antiqua" w:cs="Book Antiqua"/>
          <w:color w:val="000000"/>
          <w:highlight w:val="none"/>
          <w:vertAlign w:val="superscript"/>
        </w:rPr>
        <w:t>[30]</w:t>
      </w:r>
      <w:r>
        <w:rPr>
          <w:rFonts w:ascii="Book Antiqua" w:hAnsi="Book Antiqua" w:eastAsia="Book Antiqua" w:cs="Book Antiqua"/>
          <w:color w:val="000000"/>
          <w:highlight w:val="none"/>
        </w:rPr>
        <w:t xml:space="preserve"> but was not distributed further. One study used the German questionnaire Metakognitionsfragebogen für Kinder</w:t>
      </w:r>
      <w:r>
        <w:rPr>
          <w:rFonts w:ascii="Book Antiqua" w:hAnsi="Book Antiqua" w:eastAsia="Book Antiqua" w:cs="Book Antiqua"/>
          <w:color w:val="000000"/>
          <w:highlight w:val="none"/>
          <w:vertAlign w:val="superscript"/>
        </w:rPr>
        <w:t>[68]</w:t>
      </w:r>
      <w:r>
        <w:rPr>
          <w:rFonts w:ascii="Book Antiqua" w:hAnsi="Book Antiqua" w:eastAsia="Book Antiqua" w:cs="Book Antiqua"/>
          <w:color w:val="000000"/>
          <w:highlight w:val="none"/>
        </w:rPr>
        <w:t>. To measure exclusively POS, Why Worry-II was used without pretesting or adaptation in a sample of 7- to 18 year-olds</w:t>
      </w:r>
      <w:r>
        <w:rPr>
          <w:rFonts w:ascii="Book Antiqua" w:hAnsi="Book Antiqua" w:eastAsia="Book Antiqua" w:cs="Book Antiqua"/>
          <w:color w:val="000000"/>
          <w:highlight w:val="none"/>
          <w:vertAlign w:val="superscript"/>
        </w:rPr>
        <w:t>[71]</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One study posed open-questions to assess verbally POS and NEG in children from the age of 6 to 10 years but detected no age-related differences in POS or NEG</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Such interview approaches represent an alternative method when surveying young children who may not yet be able to read well enough. To define the onset of POS and NEG more specifically, future research should also attempt to replicate the results of Wilson and Hughes</w:t>
      </w:r>
      <w:r>
        <w:rPr>
          <w:rFonts w:ascii="Book Antiqua" w:hAnsi="Book Antiqua" w:eastAsia="Book Antiqua" w:cs="Book Antiqua"/>
          <w:color w:val="000000"/>
          <w:highlight w:val="none"/>
          <w:vertAlign w:val="superscript"/>
        </w:rPr>
        <w:t>[70]</w:t>
      </w:r>
      <w:r>
        <w:rPr>
          <w:rFonts w:ascii="Book Antiqua" w:hAnsi="Book Antiqua" w:eastAsia="Book Antiqua" w:cs="Book Antiqua"/>
          <w:color w:val="000000"/>
          <w:highlight w:val="none"/>
        </w:rPr>
        <w:t xml:space="preserve"> with a larger sample and perhaps include even younger children. An interview-format was also applied in the dissertation of Bacow</w:t>
      </w:r>
      <w:r>
        <w:rPr>
          <w:rFonts w:ascii="Book Antiqua" w:hAnsi="Book Antiqua" w:eastAsia="Book Antiqua" w:cs="Book Antiqua"/>
          <w:color w:val="000000"/>
          <w:highlight w:val="none"/>
          <w:vertAlign w:val="superscript"/>
        </w:rPr>
        <w:t>[88]</w:t>
      </w:r>
      <w:r>
        <w:rPr>
          <w:rFonts w:ascii="Book Antiqua" w:hAnsi="Book Antiqua" w:eastAsia="Book Antiqua" w:cs="Book Antiqua"/>
          <w:color w:val="000000"/>
          <w:highlight w:val="none"/>
        </w:rPr>
        <w:t xml:space="preserve">, the MCQ-C author who designed the "Evaluations of Worries and Thoughts Interview for Children" (EWTI-C) to survey worry and associated beliefs. While the MCQ-C’s results were covered in the paper of Bacow </w:t>
      </w:r>
      <w:r>
        <w:rPr>
          <w:rFonts w:ascii="Book Antiqua" w:hAnsi="Book Antiqua" w:eastAsia="Book Antiqua" w:cs="Book Antiqua"/>
          <w:i/>
          <w:iCs/>
          <w:color w:val="000000"/>
          <w:highlight w:val="none"/>
        </w:rPr>
        <w:t>et al</w:t>
      </w:r>
      <w:r>
        <w:rPr>
          <w:rFonts w:ascii="Book Antiqua" w:hAnsi="Book Antiqua" w:eastAsia="Book Antiqua" w:cs="Book Antiqua"/>
          <w:color w:val="000000"/>
          <w:highlight w:val="none"/>
          <w:vertAlign w:val="superscript"/>
        </w:rPr>
        <w:t>[28]</w:t>
      </w:r>
      <w:r>
        <w:rPr>
          <w:rFonts w:ascii="Book Antiqua" w:hAnsi="Book Antiqua" w:eastAsia="Book Antiqua" w:cs="Book Antiqua"/>
          <w:color w:val="000000"/>
          <w:highlight w:val="none"/>
        </w:rPr>
        <w:t>, no EWTI-C data have been published yet. Interestingly, when measured with the EWTI-C, POS and NEG did not correlate with worry at all, and participants with anxiety disorder reported more NEG, but not POS, than non-clinical controls</w:t>
      </w:r>
      <w:r>
        <w:rPr>
          <w:rFonts w:ascii="Book Antiqua" w:hAnsi="Book Antiqua" w:eastAsia="Book Antiqua" w:cs="Book Antiqua"/>
          <w:color w:val="000000"/>
          <w:highlight w:val="none"/>
          <w:vertAlign w:val="superscript"/>
        </w:rPr>
        <w:t>[88]</w:t>
      </w:r>
      <w:r>
        <w:rPr>
          <w:rFonts w:ascii="Book Antiqua" w:hAnsi="Book Antiqua" w:eastAsia="Book Antiqua" w:cs="Book Antiqua"/>
          <w:color w:val="000000"/>
          <w:highlight w:val="none"/>
        </w:rPr>
        <w:t>. This indicates a need for valid and reliable methods to measure metacognition in childhood and youth. More recently, thanks to the availability of the MCQ-CR and MCQ-C</w:t>
      </w:r>
      <w:r>
        <w:rPr>
          <w:rFonts w:ascii="Book Antiqua" w:hAnsi="Book Antiqua" w:eastAsia="Book Antiqua" w:cs="Book Antiqua"/>
          <w:color w:val="000000"/>
          <w:highlight w:val="none"/>
          <w:vertAlign w:val="subscript"/>
        </w:rPr>
        <w:t>30</w:t>
      </w:r>
      <w:r>
        <w:rPr>
          <w:rFonts w:ascii="Book Antiqua" w:hAnsi="Book Antiqua" w:eastAsia="Book Antiqua" w:cs="Book Antiqua"/>
          <w:color w:val="000000"/>
          <w:highlight w:val="none"/>
        </w:rPr>
        <w:t>, two promising adaptations of the MCQ have been added and should be further investigated. Although meta-worry plays an important role in the metacognitive model, only one study investigated this construct using the meta-worry questionnaire with children aged 11 years</w:t>
      </w:r>
      <w:r>
        <w:rPr>
          <w:rFonts w:ascii="Book Antiqua" w:hAnsi="Book Antiqua" w:eastAsia="Book Antiqua" w:cs="Book Antiqua"/>
          <w:color w:val="000000"/>
          <w:highlight w:val="none"/>
          <w:vertAlign w:val="superscript"/>
        </w:rPr>
        <w:t>[73]</w:t>
      </w:r>
      <w:r>
        <w:rPr>
          <w:rFonts w:ascii="Book Antiqua" w:hAnsi="Book Antiqua" w:eastAsia="Book Antiqua" w:cs="Book Antiqua"/>
          <w:color w:val="000000"/>
          <w:highlight w:val="none"/>
        </w:rPr>
        <w:t xml:space="preserve">. This questionnaire has not yet been validated or adapted for children and adolescents. We need to improve and modify suitable instruments for measuring meta-worry, and it deserves more attention in future research.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i/>
          <w:iCs/>
          <w:color w:val="000000"/>
          <w:highlight w:val="none"/>
        </w:rPr>
        <w:t xml:space="preserve">Limitations </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Some limitations need to be considered: First, the results we extracted are mainly cross-sectional and thus preclude any causal conclusions. Longitudinal studies are needed to support the metacognitive model’s causal assumptions despite the overall relationship trends the cross-sectional data from this review has revealed so far.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Second, the broad heterogeneity revealed across the various meta-analyses we conducted should be considered a limitation. The amount of genuine variance not attributable to chance was medium to large, as the heterogeneity values indicate (</w:t>
      </w:r>
      <w:r>
        <w:rPr>
          <w:rFonts w:ascii="Book Antiqua" w:hAnsi="Book Antiqua" w:eastAsia="Book Antiqua" w:cs="Book Antiqua"/>
          <w:i/>
          <w:iCs/>
          <w:color w:val="000000"/>
          <w:highlight w:val="none"/>
        </w:rPr>
        <w:t>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 67% and 95%). Mean age was assessed as a covariate by meta-regression to see whether age plays a role in relationships between POS and NEG with worry and anxiety, but it did not explain variance. Other sources of variance might include differences in assessment methods for POS, NEG, anxiety and worry, sample types (clinical </w:t>
      </w:r>
      <w:r>
        <w:rPr>
          <w:rFonts w:ascii="Book Antiqua" w:hAnsi="Book Antiqua" w:eastAsia="Book Antiqua" w:cs="Book Antiqua"/>
          <w:i/>
          <w:iCs/>
          <w:color w:val="000000"/>
          <w:highlight w:val="none"/>
        </w:rPr>
        <w:t>vs</w:t>
      </w:r>
      <w:r>
        <w:rPr>
          <w:rFonts w:ascii="Book Antiqua" w:hAnsi="Book Antiqua" w:eastAsia="Book Antiqua" w:cs="Book Antiqua"/>
          <w:color w:val="000000"/>
          <w:highlight w:val="none"/>
        </w:rPr>
        <w:t xml:space="preserve"> non-clinical), percentage of comorbid disorders in clinical samples, and gender distribution. Additional meta-regressions for these potential covariates could help to explain the amount of variance among the included studies.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Third, some studies covered a broad age range</w:t>
      </w:r>
      <w:r>
        <w:rPr>
          <w:rFonts w:ascii="Book Antiqua" w:hAnsi="Book Antiqua" w:eastAsia="Book Antiqua" w:cs="Book Antiqua"/>
          <w:color w:val="000000"/>
          <w:highlight w:val="none"/>
          <w:vertAlign w:val="superscript"/>
        </w:rPr>
        <w:t>[28,51,69,78,79]</w:t>
      </w:r>
      <w:r>
        <w:rPr>
          <w:rFonts w:ascii="Book Antiqua" w:hAnsi="Book Antiqua" w:eastAsia="Book Antiqua" w:cs="Book Antiqua"/>
          <w:color w:val="000000"/>
          <w:highlight w:val="none"/>
        </w:rPr>
        <w:t>, limiting specific interpretations of potential developmental patterns specific to different age groups. We chose mean age as a covariate for meta-regression, but the ages of all participants might not have been accurately represented. Our results can thus only reflect the mean age of the samples and must be interpreted with caution for aggregation bias</w:t>
      </w:r>
      <w:r>
        <w:rPr>
          <w:rFonts w:ascii="Book Antiqua" w:hAnsi="Book Antiqua" w:eastAsia="Book Antiqua" w:cs="Book Antiqua"/>
          <w:color w:val="000000"/>
          <w:highlight w:val="none"/>
          <w:vertAlign w:val="superscript"/>
        </w:rPr>
        <w:t>[89]</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Fourth, only studies with clinical samples were included if they exclusively assessed patients with DSM-5</w:t>
      </w:r>
      <w:r>
        <w:rPr>
          <w:rFonts w:ascii="Book Antiqua" w:hAnsi="Book Antiqua" w:eastAsia="Book Antiqua" w:cs="Book Antiqua"/>
          <w:color w:val="000000"/>
          <w:highlight w:val="none"/>
          <w:vertAlign w:val="superscript"/>
        </w:rPr>
        <w:t>[40]</w:t>
      </w:r>
      <w:r>
        <w:rPr>
          <w:rFonts w:ascii="Book Antiqua" w:hAnsi="Book Antiqua" w:eastAsia="Book Antiqua" w:cs="Book Antiqua"/>
          <w:color w:val="000000"/>
          <w:highlight w:val="none"/>
        </w:rPr>
        <w:t xml:space="preserve"> listed anxiety disorders, but three studies</w:t>
      </w:r>
      <w:r>
        <w:rPr>
          <w:rFonts w:ascii="Book Antiqua" w:hAnsi="Book Antiqua" w:eastAsia="Book Antiqua" w:cs="Book Antiqua"/>
          <w:color w:val="000000"/>
          <w:highlight w:val="none"/>
          <w:vertAlign w:val="superscript"/>
        </w:rPr>
        <w:t>[27,28,52]</w:t>
      </w:r>
      <w:r>
        <w:rPr>
          <w:rFonts w:ascii="Book Antiqua" w:hAnsi="Book Antiqua" w:eastAsia="Book Antiqua" w:cs="Book Antiqua"/>
          <w:color w:val="000000"/>
          <w:highlight w:val="none"/>
        </w:rPr>
        <w:t xml:space="preserve"> contained clinical subgroups with post-traumatic stress disorder or OCD, as they had been included in anxiety disorders in the DSM’s earlier fourth edition</w:t>
      </w:r>
      <w:r>
        <w:rPr>
          <w:rFonts w:ascii="Book Antiqua" w:hAnsi="Book Antiqua" w:eastAsia="Book Antiqua" w:cs="Book Antiqua"/>
          <w:color w:val="000000"/>
          <w:highlight w:val="none"/>
          <w:vertAlign w:val="superscript"/>
        </w:rPr>
        <w:t>[90]</w:t>
      </w:r>
      <w:r>
        <w:rPr>
          <w:rFonts w:ascii="Book Antiqua" w:hAnsi="Book Antiqua" w:eastAsia="Book Antiqua" w:cs="Book Antiqua"/>
          <w:color w:val="000000"/>
          <w:highlight w:val="none"/>
        </w:rPr>
        <w:t>. Moreover, 60% of non-clinical participants in one study presented subclinical anxiety symptoms</w:t>
      </w:r>
      <w:r>
        <w:rPr>
          <w:rFonts w:ascii="Book Antiqua" w:hAnsi="Book Antiqua" w:eastAsia="Book Antiqua" w:cs="Book Antiqua"/>
          <w:color w:val="000000"/>
          <w:highlight w:val="none"/>
          <w:vertAlign w:val="superscript"/>
        </w:rPr>
        <w:t>[28]</w:t>
      </w:r>
      <w:r>
        <w:rPr>
          <w:rFonts w:ascii="Book Antiqua" w:hAnsi="Book Antiqua" w:eastAsia="Book Antiqua" w:cs="Book Antiqua"/>
          <w:color w:val="000000"/>
          <w:highlight w:val="none"/>
        </w:rPr>
        <w:t xml:space="preserve">.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Fifth, to measure POS and NEG, some Cronbach’s alpha values for the MCQ-C</w:t>
      </w:r>
      <w:r>
        <w:rPr>
          <w:rFonts w:ascii="Book Antiqua" w:hAnsi="Book Antiqua" w:eastAsia="Book Antiqua" w:cs="Book Antiqua"/>
          <w:color w:val="000000"/>
          <w:highlight w:val="none"/>
          <w:vertAlign w:val="superscript"/>
        </w:rPr>
        <w:t>[25,27,28,52,57,64,65,72,73]</w:t>
      </w:r>
      <w:r>
        <w:rPr>
          <w:rFonts w:ascii="Book Antiqua" w:hAnsi="Book Antiqua" w:eastAsia="Book Antiqua" w:cs="Book Antiqua"/>
          <w:color w:val="000000"/>
          <w:highlight w:val="none"/>
        </w:rPr>
        <w:t xml:space="preserve"> and MCQ-C</w:t>
      </w:r>
      <w:r>
        <w:rPr>
          <w:rFonts w:ascii="Book Antiqua" w:hAnsi="Book Antiqua" w:eastAsia="Book Antiqua" w:cs="Book Antiqua"/>
          <w:color w:val="000000"/>
          <w:highlight w:val="none"/>
          <w:vertAlign w:val="subscript"/>
        </w:rPr>
        <w:t>30</w:t>
      </w:r>
      <w:r>
        <w:rPr>
          <w:rFonts w:ascii="Book Antiqua" w:hAnsi="Book Antiqua" w:eastAsia="Book Antiqua" w:cs="Book Antiqua"/>
          <w:color w:val="000000"/>
          <w:highlight w:val="none"/>
          <w:vertAlign w:val="superscript"/>
        </w:rPr>
        <w:t>[60,76]</w:t>
      </w:r>
      <w:r>
        <w:rPr>
          <w:rFonts w:ascii="Book Antiqua" w:hAnsi="Book Antiqua" w:eastAsia="Book Antiqua" w:cs="Book Antiqua"/>
          <w:color w:val="000000"/>
          <w:highlight w:val="none"/>
        </w:rPr>
        <w:t xml:space="preserve"> fell below the recommended level of 0.70 for exploratory research as recommended by Nunnaly and Bernstein</w:t>
      </w:r>
      <w:r>
        <w:rPr>
          <w:rFonts w:ascii="Book Antiqua" w:hAnsi="Book Antiqua" w:eastAsia="Book Antiqua" w:cs="Book Antiqua"/>
          <w:color w:val="000000"/>
          <w:highlight w:val="none"/>
          <w:vertAlign w:val="superscript"/>
        </w:rPr>
        <w:t>[91]</w:t>
      </w:r>
      <w:r>
        <w:rPr>
          <w:rFonts w:ascii="Book Antiqua" w:hAnsi="Book Antiqua" w:eastAsia="Book Antiqua" w:cs="Book Antiqua"/>
          <w:color w:val="000000"/>
          <w:highlight w:val="none"/>
        </w:rPr>
        <w:t>. Moreover, the MCQ-C does not seem to be ideally suitable for use in younger children, as 35.8% to 78.6% of children aged 7 to 8 years did not fully understand six items</w:t>
      </w:r>
      <w:r>
        <w:rPr>
          <w:rFonts w:ascii="Book Antiqua" w:hAnsi="Book Antiqua" w:eastAsia="Book Antiqua" w:cs="Book Antiqua"/>
          <w:color w:val="000000"/>
          <w:highlight w:val="none"/>
          <w:vertAlign w:val="superscript"/>
        </w:rPr>
        <w:t>[52]</w:t>
      </w:r>
      <w:r>
        <w:rPr>
          <w:rFonts w:ascii="Book Antiqua" w:hAnsi="Book Antiqua" w:eastAsia="Book Antiqua" w:cs="Book Antiqua"/>
          <w:color w:val="000000"/>
          <w:highlight w:val="none"/>
        </w:rPr>
        <w:t>. As the MCQ-C was used in</w:t>
      </w:r>
      <w:r>
        <w:rPr>
          <w:rFonts w:ascii="Book Antiqua" w:hAnsi="Book Antiqua" w:eastAsia="Book Antiqua" w:cs="Book Antiqua"/>
          <w:i/>
          <w:iCs/>
          <w:color w:val="000000"/>
          <w:highlight w:val="none"/>
        </w:rPr>
        <w:t xml:space="preserve"> k</w:t>
      </w:r>
      <w:r>
        <w:rPr>
          <w:rFonts w:ascii="Book Antiqua" w:hAnsi="Book Antiqua" w:eastAsia="Book Antiqua" w:cs="Book Antiqua"/>
          <w:color w:val="000000"/>
          <w:highlight w:val="none"/>
        </w:rPr>
        <w:t xml:space="preserve"> = 22 studies and the MCQ-C</w:t>
      </w:r>
      <w:r>
        <w:rPr>
          <w:rFonts w:ascii="Book Antiqua" w:hAnsi="Book Antiqua" w:eastAsia="Book Antiqua" w:cs="Book Antiqua"/>
          <w:color w:val="000000"/>
          <w:highlight w:val="none"/>
          <w:vertAlign w:val="subscript"/>
        </w:rPr>
        <w:t>30</w:t>
      </w:r>
      <w:r>
        <w:rPr>
          <w:rFonts w:ascii="Book Antiqua" w:hAnsi="Book Antiqua" w:eastAsia="Book Antiqua" w:cs="Book Antiqua"/>
          <w:color w:val="000000"/>
          <w:highlight w:val="none"/>
        </w:rPr>
        <w:t xml:space="preserve"> in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8 studies, this factor should be considered a limitation. </w:t>
      </w:r>
    </w:p>
    <w:p>
      <w:pPr>
        <w:adjustRightInd w:val="0"/>
        <w:snapToGrid w:val="0"/>
        <w:spacing w:line="360" w:lineRule="auto"/>
        <w:ind w:firstLine="480" w:firstLineChars="200"/>
        <w:jc w:val="both"/>
        <w:rPr>
          <w:rFonts w:ascii="Book Antiqua" w:hAnsi="Book Antiqua"/>
          <w:highlight w:val="none"/>
        </w:rPr>
      </w:pPr>
      <w:r>
        <w:rPr>
          <w:rFonts w:ascii="Book Antiqua" w:hAnsi="Book Antiqua" w:eastAsia="Book Antiqua" w:cs="Book Antiqua"/>
          <w:color w:val="000000"/>
          <w:highlight w:val="none"/>
        </w:rPr>
        <w:t>Sixth, we could include only one unpublished study as gray literature</w:t>
      </w:r>
      <w:r>
        <w:rPr>
          <w:rFonts w:ascii="Book Antiqua" w:hAnsi="Book Antiqua" w:eastAsia="Book Antiqua" w:cs="Book Antiqua"/>
          <w:color w:val="000000"/>
          <w:highlight w:val="none"/>
          <w:vertAlign w:val="superscript"/>
        </w:rPr>
        <w:t>[68]</w:t>
      </w:r>
      <w:r>
        <w:rPr>
          <w:rFonts w:ascii="Book Antiqua" w:hAnsi="Book Antiqua" w:eastAsia="Book Antiqua" w:cs="Book Antiqua"/>
          <w:color w:val="000000"/>
          <w:highlight w:val="none"/>
        </w:rPr>
        <w:t xml:space="preserve">, therefore the risk of publication bias should be considered a limiting factor.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CONCLUSION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In conclusion, the studies included in this review demonstrate that POS and NEG are measurable by administering questionnaires in children from 7 years of age upwards, and even children aged as young as 6 years can already name them verbally. Furthermore, POS and NEG do not seem to vary with age in childhood and youth. NEG shows strong overall correlations with worry and anxiety over different age groups, highlighting their relevance in the development and maintenance of anxiety disorders and confirming the metacognitive model’s implications. POS’ smaller effect sizes and inconsistent findings suggest that these play a subordinate role, in line with the evidence from adult studies</w:t>
      </w:r>
      <w:r>
        <w:rPr>
          <w:rFonts w:ascii="Book Antiqua" w:hAnsi="Book Antiqua" w:eastAsia="Book Antiqua" w:cs="Book Antiqua"/>
          <w:color w:val="000000"/>
          <w:highlight w:val="none"/>
          <w:vertAlign w:val="superscript"/>
        </w:rPr>
        <w:t>[83,85,86]</w:t>
      </w:r>
      <w:r>
        <w:rPr>
          <w:rFonts w:ascii="Book Antiqua" w:hAnsi="Book Antiqua" w:eastAsia="Book Antiqua" w:cs="Book Antiqua"/>
          <w:color w:val="000000"/>
          <w:highlight w:val="none"/>
        </w:rPr>
        <w:t>. The current research data reveal quite large heterogeneity between studies that cannot be attributed to the influence of mean age. Nor can any conclusions about the influence of meta-worry on anxiety disorders be drawn. Measurements of meta-worry in children and adolescents are thus needed, and measurements of POS and NEG for young children require further research. Longitudinal studies could enable clearer conclusions to be made on causal relationships between the metacognitive model’s relevant constructs.</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ARTICLE HIGHLIGHTS</w:t>
      </w:r>
    </w:p>
    <w:p>
      <w:pPr>
        <w:adjustRightInd w:val="0"/>
        <w:snapToGrid w:val="0"/>
        <w:spacing w:line="360" w:lineRule="auto"/>
        <w:jc w:val="both"/>
        <w:rPr>
          <w:rFonts w:ascii="Book Antiqua" w:hAnsi="Book Antiqua"/>
          <w:highlight w:val="none"/>
        </w:rPr>
      </w:pPr>
      <w:r>
        <w:rPr>
          <w:rFonts w:ascii="Book Antiqua" w:hAnsi="Book Antiqua" w:eastAsia="Book Antiqua" w:cs="Book Antiqua"/>
          <w:b/>
          <w:i/>
          <w:color w:val="000000"/>
          <w:highlight w:val="none"/>
        </w:rPr>
        <w:t>Research background</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The metacognitive model of generalized anxiety disorder has been applied to children and youth in different studies. Results mostly support its validity, but the roles of positive metacognitive beliefs about worry (POS), meta-worry, and age-effects do not appear to be fully clarified yet.</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i/>
          <w:color w:val="000000"/>
          <w:highlight w:val="none"/>
        </w:rPr>
        <w:t>Research motivation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Summarizing the current research on relationships, age-effects, and measurements for POS, negative metacognitive beliefs about worry (NEG) and meta-worry in childhood and youth are both timely and worthwhile.</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i/>
          <w:color w:val="000000"/>
          <w:highlight w:val="none"/>
        </w:rPr>
        <w:t>Research objectives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Relationships between POS, NEG, and meta-worry with each other, worry, and anxiety, and possible age-effects for these relationships were analyzed. Assessment methods POS, NEG and meta-worry for children and adolescents were examined. </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i/>
          <w:color w:val="000000"/>
          <w:highlight w:val="none"/>
        </w:rPr>
        <w:t>Research methods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A literature search was carried out in the electronic databases PsycINFO, PubMed, PSYNDEX, and ERIC in 2017 and updated in 2020. Empirical research in German or English language on metacognition was included with child and adolescent samples diagnosed with anxiety disorders or healthy controls if POS, NEG, or meta-worry was measured. Meta-analysis for reported correlations between these metacognitions and anxiety or worry was carried out with RevMan 5.4.1, assuming random-effects models. Meta-regressions with mean age as the covariate were performed </w:t>
      </w:r>
      <w:r>
        <w:rPr>
          <w:rFonts w:ascii="Book Antiqua" w:hAnsi="Book Antiqua" w:eastAsia="Book Antiqua" w:cs="Book Antiqua"/>
          <w:i/>
          <w:iCs/>
          <w:color w:val="000000"/>
          <w:highlight w:val="none"/>
        </w:rPr>
        <w:t>via</w:t>
      </w:r>
      <w:r>
        <w:rPr>
          <w:rFonts w:ascii="Book Antiqua" w:hAnsi="Book Antiqua" w:eastAsia="Book Antiqua" w:cs="Book Antiqua"/>
          <w:color w:val="000000"/>
          <w:highlight w:val="none"/>
        </w:rPr>
        <w:t xml:space="preserve"> the online tool MetaMar 2.7.0.</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i/>
          <w:color w:val="000000"/>
          <w:highlight w:val="none"/>
        </w:rPr>
        <w:t>Research results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Overall, we included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48 studies in this systematic literature review and of those, </w:t>
      </w:r>
      <w:r>
        <w:rPr>
          <w:rFonts w:ascii="Book Antiqua" w:hAnsi="Book Antiqua" w:eastAsia="Book Antiqua" w:cs="Book Antiqua"/>
          <w:i/>
          <w:iCs/>
          <w:color w:val="000000"/>
          <w:highlight w:val="none"/>
        </w:rPr>
        <w:t>k</w:t>
      </w:r>
      <w:r>
        <w:rPr>
          <w:rFonts w:ascii="Book Antiqua" w:hAnsi="Book Antiqua" w:eastAsia="Book Antiqua" w:cs="Book Antiqua"/>
          <w:color w:val="000000"/>
          <w:highlight w:val="none"/>
        </w:rPr>
        <w:t xml:space="preserve"> = 24 studies fulfilled our inclusion criteria for meta-analysis. Systematic review and meta-analysis showed that POS and NEG correlate with worry and anxiety. Mean age was not a significant covariate in meta-regressions. Only one study measured meta-worry. We identified eight questionnaires and one interview approach for assessment of metacognitive beliefs.</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i/>
          <w:color w:val="000000"/>
          <w:highlight w:val="none"/>
        </w:rPr>
        <w:t>Research conclusions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Our overall results support the applicability of the metacognitive model of generalized anxiety disorder in childhood and youth. NEG play an especially relevant role in worry and anxiety in children and adolescents, while conclusions about meta-worry’s influence cannot be drawn. Most included studies used a cross-sectional design and thus preclude causal conclusions. Metacognitive beliefs do not seem to vary with age and appear to be measurable in children from 7 years upwards.</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i/>
          <w:color w:val="000000"/>
          <w:highlight w:val="none"/>
        </w:rPr>
        <w:t>Research perspectives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Longitudinal studies and research on the impact and measurement of meta-worry would be beneficial. Measurements applying to young children should undergo further investigation.</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aps/>
          <w:color w:val="000000"/>
          <w:highlight w:val="none"/>
          <w:u w:val="single"/>
        </w:rPr>
        <w:t>ACKNOWLEDGEMENTS</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The authors wish to thank Hannah Grote for help with risk of bias rating and all members of the working unit Clinical Child and Adolescent Psychology (Department of Psychology, University of Marburg) for their support throughout this study.</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REFERENCES</w:t>
      </w:r>
    </w:p>
    <w:p>
      <w:pPr>
        <w:adjustRightInd w:val="0"/>
        <w:snapToGrid w:val="0"/>
        <w:spacing w:line="360" w:lineRule="auto"/>
        <w:jc w:val="both"/>
        <w:rPr>
          <w:rFonts w:ascii="Book Antiqua" w:hAnsi="Book Antiqua"/>
          <w:highlight w:val="none"/>
        </w:rPr>
      </w:pPr>
      <w:bookmarkStart w:id="3" w:name="OLE_LINK10"/>
      <w:r>
        <w:rPr>
          <w:rFonts w:ascii="Book Antiqua" w:hAnsi="Book Antiqua" w:eastAsia="Book Antiqua" w:cs="Book Antiqua"/>
          <w:color w:val="000000"/>
          <w:highlight w:val="none"/>
        </w:rPr>
        <w:t xml:space="preserve">1 </w:t>
      </w:r>
      <w:r>
        <w:rPr>
          <w:rFonts w:ascii="Book Antiqua" w:hAnsi="Book Antiqua" w:eastAsia="Book Antiqua" w:cs="Book Antiqua"/>
          <w:b/>
          <w:bCs/>
          <w:color w:val="000000"/>
          <w:highlight w:val="none"/>
        </w:rPr>
        <w:t>Polanczyk GV</w:t>
      </w:r>
      <w:r>
        <w:rPr>
          <w:rFonts w:ascii="Book Antiqua" w:hAnsi="Book Antiqua" w:eastAsia="Book Antiqua" w:cs="Book Antiqua"/>
          <w:color w:val="000000"/>
          <w:highlight w:val="none"/>
        </w:rPr>
        <w:t xml:space="preserve">, Salum GA, Sugaya LS, Caye A, Rohde LA. Annual research review: A meta-analysis of the worldwide prevalence of mental disorders in children and adolescents. </w:t>
      </w:r>
      <w:r>
        <w:rPr>
          <w:rFonts w:ascii="Book Antiqua" w:hAnsi="Book Antiqua" w:eastAsia="Book Antiqua" w:cs="Book Antiqua"/>
          <w:i/>
          <w:iCs/>
          <w:color w:val="000000"/>
          <w:highlight w:val="none"/>
        </w:rPr>
        <w:t>J Child Psychol Psychiatry</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56</w:t>
      </w:r>
      <w:r>
        <w:rPr>
          <w:rFonts w:ascii="Book Antiqua" w:hAnsi="Book Antiqua" w:eastAsia="Book Antiqua" w:cs="Book Antiqua"/>
          <w:color w:val="000000"/>
          <w:highlight w:val="none"/>
        </w:rPr>
        <w:t>: 345-365 [PMID: 25649325 DOI: 10.1111/jcpp.12381]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 </w:t>
      </w:r>
      <w:r>
        <w:rPr>
          <w:rFonts w:ascii="Book Antiqua" w:hAnsi="Book Antiqua" w:eastAsia="Book Antiqua" w:cs="Book Antiqua"/>
          <w:b/>
          <w:bCs/>
          <w:color w:val="000000"/>
          <w:highlight w:val="none"/>
        </w:rPr>
        <w:t>Kim-Cohen J</w:t>
      </w:r>
      <w:r>
        <w:rPr>
          <w:rFonts w:ascii="Book Antiqua" w:hAnsi="Book Antiqua" w:eastAsia="Book Antiqua" w:cs="Book Antiqua"/>
          <w:color w:val="000000"/>
          <w:highlight w:val="none"/>
        </w:rPr>
        <w:t xml:space="preserve">, Caspi A, Moffitt TE, Harrington H, Milne BJ, Poulton R. Prior juvenile diagnoses in adults with mental disorder: developmental follow-back of a prospective-longitudinal cohort. </w:t>
      </w:r>
      <w:r>
        <w:rPr>
          <w:rFonts w:ascii="Book Antiqua" w:hAnsi="Book Antiqua" w:eastAsia="Book Antiqua" w:cs="Book Antiqua"/>
          <w:i/>
          <w:iCs/>
          <w:color w:val="000000"/>
          <w:highlight w:val="none"/>
        </w:rPr>
        <w:t>Arch Gen Psychiatry</w:t>
      </w:r>
      <w:r>
        <w:rPr>
          <w:rFonts w:ascii="Book Antiqua" w:hAnsi="Book Antiqua" w:eastAsia="Book Antiqua" w:cs="Book Antiqua"/>
          <w:color w:val="000000"/>
          <w:highlight w:val="none"/>
        </w:rPr>
        <w:t xml:space="preserve"> 2003; </w:t>
      </w:r>
      <w:r>
        <w:rPr>
          <w:rFonts w:ascii="Book Antiqua" w:hAnsi="Book Antiqua" w:eastAsia="Book Antiqua" w:cs="Book Antiqua"/>
          <w:b/>
          <w:bCs/>
          <w:color w:val="000000"/>
          <w:highlight w:val="none"/>
        </w:rPr>
        <w:t>60</w:t>
      </w:r>
      <w:r>
        <w:rPr>
          <w:rFonts w:ascii="Book Antiqua" w:hAnsi="Book Antiqua" w:eastAsia="Book Antiqua" w:cs="Book Antiqua"/>
          <w:color w:val="000000"/>
          <w:highlight w:val="none"/>
        </w:rPr>
        <w:t>: 709-717 [PMID: 12860775 DOI: 10.1001/archpsyc.60.7.709]</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 </w:t>
      </w:r>
      <w:r>
        <w:rPr>
          <w:rFonts w:ascii="Book Antiqua" w:hAnsi="Book Antiqua" w:eastAsia="Book Antiqua" w:cs="Book Antiqua"/>
          <w:b/>
          <w:bCs/>
          <w:color w:val="000000"/>
          <w:highlight w:val="none"/>
        </w:rPr>
        <w:t>Woodward LJ</w:t>
      </w:r>
      <w:r>
        <w:rPr>
          <w:rFonts w:ascii="Book Antiqua" w:hAnsi="Book Antiqua" w:eastAsia="Book Antiqua" w:cs="Book Antiqua"/>
          <w:color w:val="000000"/>
          <w:highlight w:val="none"/>
        </w:rPr>
        <w:t xml:space="preserve">, Fergusson DM. Life course outcomes of young people with anxiety disorders in adolescence. </w:t>
      </w:r>
      <w:r>
        <w:rPr>
          <w:rFonts w:ascii="Book Antiqua" w:hAnsi="Book Antiqua" w:eastAsia="Book Antiqua" w:cs="Book Antiqua"/>
          <w:i/>
          <w:iCs/>
          <w:color w:val="000000"/>
          <w:highlight w:val="none"/>
        </w:rPr>
        <w:t>J Am Acad Child Adolesc Psychiatry</w:t>
      </w:r>
      <w:r>
        <w:rPr>
          <w:rFonts w:ascii="Book Antiqua" w:hAnsi="Book Antiqua" w:eastAsia="Book Antiqua" w:cs="Book Antiqua"/>
          <w:color w:val="000000"/>
          <w:highlight w:val="none"/>
        </w:rPr>
        <w:t xml:space="preserve"> 2001; </w:t>
      </w:r>
      <w:r>
        <w:rPr>
          <w:rFonts w:ascii="Book Antiqua" w:hAnsi="Book Antiqua" w:eastAsia="Book Antiqua" w:cs="Book Antiqua"/>
          <w:b/>
          <w:bCs/>
          <w:color w:val="000000"/>
          <w:highlight w:val="none"/>
        </w:rPr>
        <w:t>40</w:t>
      </w:r>
      <w:r>
        <w:rPr>
          <w:rFonts w:ascii="Book Antiqua" w:hAnsi="Book Antiqua" w:eastAsia="Book Antiqua" w:cs="Book Antiqua"/>
          <w:color w:val="000000"/>
          <w:highlight w:val="none"/>
        </w:rPr>
        <w:t>: 1086-1093 [PMID: 11556633 DOI: 10.1097/00004583-200109000-00018]</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 </w:t>
      </w:r>
      <w:r>
        <w:rPr>
          <w:rFonts w:ascii="Book Antiqua" w:hAnsi="Book Antiqua" w:eastAsia="Book Antiqua" w:cs="Book Antiqua"/>
          <w:b/>
          <w:bCs/>
          <w:color w:val="000000"/>
          <w:highlight w:val="none"/>
        </w:rPr>
        <w:t>Hill C,</w:t>
      </w:r>
      <w:r>
        <w:rPr>
          <w:rFonts w:ascii="Book Antiqua" w:hAnsi="Book Antiqua" w:eastAsia="Book Antiqua" w:cs="Book Antiqua"/>
          <w:color w:val="000000"/>
          <w:highlight w:val="none"/>
        </w:rPr>
        <w:t xml:space="preserve"> Waite P, Creswell C. Anxiety disorders in children and adolescents. </w:t>
      </w:r>
      <w:r>
        <w:rPr>
          <w:rFonts w:ascii="Book Antiqua" w:hAnsi="Book Antiqua" w:eastAsia="Book Antiqua" w:cs="Book Antiqua"/>
          <w:i/>
          <w:iCs/>
          <w:color w:val="000000"/>
          <w:highlight w:val="none"/>
        </w:rPr>
        <w:t>Paediatr Child Health</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26</w:t>
      </w:r>
      <w:r>
        <w:rPr>
          <w:rFonts w:ascii="Book Antiqua" w:hAnsi="Book Antiqua" w:eastAsia="Book Antiqua" w:cs="Book Antiqua"/>
          <w:color w:val="000000"/>
          <w:highlight w:val="none"/>
        </w:rPr>
        <w:t>: 548–553 [DOI: 10.1016/j.paed.2016.08.007]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 </w:t>
      </w:r>
      <w:r>
        <w:rPr>
          <w:rFonts w:ascii="Book Antiqua" w:hAnsi="Book Antiqua" w:eastAsia="Book Antiqua" w:cs="Book Antiqua"/>
          <w:b/>
          <w:bCs/>
          <w:color w:val="000000"/>
          <w:highlight w:val="none"/>
        </w:rPr>
        <w:t>Ford T</w:t>
      </w:r>
      <w:r>
        <w:rPr>
          <w:rFonts w:ascii="Book Antiqua" w:hAnsi="Book Antiqua" w:eastAsia="Book Antiqua" w:cs="Book Antiqua"/>
          <w:color w:val="000000"/>
          <w:highlight w:val="none"/>
        </w:rPr>
        <w:t xml:space="preserve">, Goodman R, Meltzer H. The British Child and Adolescent Mental Health Survey 1999: the prevalence of DSM-IV disorders. </w:t>
      </w:r>
      <w:r>
        <w:rPr>
          <w:rFonts w:ascii="Book Antiqua" w:hAnsi="Book Antiqua" w:eastAsia="Book Antiqua" w:cs="Book Antiqua"/>
          <w:i/>
          <w:iCs/>
          <w:color w:val="000000"/>
          <w:highlight w:val="none"/>
        </w:rPr>
        <w:t>J Am Acad Child Adolesc Psychiatry</w:t>
      </w:r>
      <w:r>
        <w:rPr>
          <w:rFonts w:ascii="Book Antiqua" w:hAnsi="Book Antiqua" w:eastAsia="Book Antiqua" w:cs="Book Antiqua"/>
          <w:color w:val="000000"/>
          <w:highlight w:val="none"/>
        </w:rPr>
        <w:t xml:space="preserve"> 2003;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1203-1211 [PMID: 14560170 DOI: 10.1097/00004583-200310000-00011]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 </w:t>
      </w:r>
      <w:r>
        <w:rPr>
          <w:rFonts w:ascii="Book Antiqua" w:hAnsi="Book Antiqua" w:eastAsia="Book Antiqua" w:cs="Book Antiqua"/>
          <w:b/>
          <w:bCs/>
          <w:color w:val="000000"/>
          <w:highlight w:val="none"/>
        </w:rPr>
        <w:t>Borkovec TD</w:t>
      </w:r>
      <w:r>
        <w:rPr>
          <w:rFonts w:ascii="Book Antiqua" w:hAnsi="Book Antiqua" w:eastAsia="Book Antiqua" w:cs="Book Antiqua"/>
          <w:color w:val="000000"/>
          <w:highlight w:val="none"/>
        </w:rPr>
        <w:t xml:space="preserve">, Robinson E, Pruzinsky T, DePree JA. Preliminary exploration of worry: some characteristics and processes. </w:t>
      </w:r>
      <w:r>
        <w:rPr>
          <w:rFonts w:ascii="Book Antiqua" w:hAnsi="Book Antiqua" w:eastAsia="Book Antiqua" w:cs="Book Antiqua"/>
          <w:i/>
          <w:iCs/>
          <w:color w:val="000000"/>
          <w:highlight w:val="none"/>
        </w:rPr>
        <w:t>Behav Res Ther</w:t>
      </w:r>
      <w:r>
        <w:rPr>
          <w:rFonts w:ascii="Book Antiqua" w:hAnsi="Book Antiqua" w:eastAsia="Book Antiqua" w:cs="Book Antiqua"/>
          <w:color w:val="000000"/>
          <w:highlight w:val="none"/>
        </w:rPr>
        <w:t xml:space="preserve"> 1983; </w:t>
      </w:r>
      <w:r>
        <w:rPr>
          <w:rFonts w:ascii="Book Antiqua" w:hAnsi="Book Antiqua" w:eastAsia="Book Antiqua" w:cs="Book Antiqua"/>
          <w:b/>
          <w:bCs/>
          <w:color w:val="000000"/>
          <w:highlight w:val="none"/>
        </w:rPr>
        <w:t>21</w:t>
      </w:r>
      <w:r>
        <w:rPr>
          <w:rFonts w:ascii="Book Antiqua" w:hAnsi="Book Antiqua" w:eastAsia="Book Antiqua" w:cs="Book Antiqua"/>
          <w:color w:val="000000"/>
          <w:highlight w:val="none"/>
        </w:rPr>
        <w:t>: 9-16 [PMID: 6830571 DOI: 10.1016/0005-7967(83)90121-3]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 </w:t>
      </w:r>
      <w:r>
        <w:rPr>
          <w:rFonts w:ascii="Book Antiqua" w:hAnsi="Book Antiqua" w:eastAsia="Book Antiqua" w:cs="Book Antiqua"/>
          <w:b/>
          <w:bCs/>
          <w:color w:val="000000"/>
          <w:highlight w:val="none"/>
        </w:rPr>
        <w:t>Watkins ER</w:t>
      </w:r>
      <w:r>
        <w:rPr>
          <w:rFonts w:ascii="Book Antiqua" w:hAnsi="Book Antiqua" w:eastAsia="Book Antiqua" w:cs="Book Antiqua"/>
          <w:color w:val="000000"/>
          <w:highlight w:val="none"/>
        </w:rPr>
        <w:t xml:space="preserve">. Constructive and unconstructive repetitive thought. </w:t>
      </w:r>
      <w:r>
        <w:rPr>
          <w:rFonts w:ascii="Book Antiqua" w:hAnsi="Book Antiqua" w:eastAsia="Book Antiqua" w:cs="Book Antiqua"/>
          <w:i/>
          <w:iCs/>
          <w:color w:val="000000"/>
          <w:highlight w:val="none"/>
        </w:rPr>
        <w:t>Psychol Bull</w:t>
      </w:r>
      <w:r>
        <w:rPr>
          <w:rFonts w:ascii="Book Antiqua" w:hAnsi="Book Antiqua" w:eastAsia="Book Antiqua" w:cs="Book Antiqua"/>
          <w:color w:val="000000"/>
          <w:highlight w:val="none"/>
        </w:rPr>
        <w:t xml:space="preserve"> 2008; </w:t>
      </w:r>
      <w:r>
        <w:rPr>
          <w:rFonts w:ascii="Book Antiqua" w:hAnsi="Book Antiqua" w:eastAsia="Book Antiqua" w:cs="Book Antiqua"/>
          <w:b/>
          <w:bCs/>
          <w:color w:val="000000"/>
          <w:highlight w:val="none"/>
        </w:rPr>
        <w:t>134</w:t>
      </w:r>
      <w:r>
        <w:rPr>
          <w:rFonts w:ascii="Book Antiqua" w:hAnsi="Book Antiqua" w:eastAsia="Book Antiqua" w:cs="Book Antiqua"/>
          <w:color w:val="000000"/>
          <w:highlight w:val="none"/>
        </w:rPr>
        <w:t>: 163-206 [PMID: 18298268 DOI: 10.1037/0033-2909.134.2.163]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 </w:t>
      </w:r>
      <w:r>
        <w:rPr>
          <w:rFonts w:ascii="Book Antiqua" w:hAnsi="Book Antiqua" w:eastAsia="Book Antiqua" w:cs="Book Antiqua"/>
          <w:b/>
          <w:bCs/>
          <w:color w:val="000000"/>
          <w:highlight w:val="none"/>
        </w:rPr>
        <w:t>Muris P,</w:t>
      </w:r>
      <w:r>
        <w:rPr>
          <w:rFonts w:ascii="Book Antiqua" w:hAnsi="Book Antiqua" w:eastAsia="Book Antiqua" w:cs="Book Antiqua"/>
          <w:color w:val="000000"/>
          <w:highlight w:val="none"/>
        </w:rPr>
        <w:t xml:space="preserve"> Merckelbach H, Meesters C, Van Den Brand K. Cognitive development and worry in normal children. </w:t>
      </w:r>
      <w:r>
        <w:rPr>
          <w:rFonts w:ascii="Book Antiqua" w:hAnsi="Book Antiqua" w:eastAsia="Book Antiqua" w:cs="Book Antiqua"/>
          <w:i/>
          <w:iCs/>
          <w:color w:val="000000"/>
          <w:highlight w:val="none"/>
        </w:rPr>
        <w:t>Cognit Ther Res</w:t>
      </w:r>
      <w:r>
        <w:rPr>
          <w:rFonts w:ascii="Book Antiqua" w:hAnsi="Book Antiqua" w:eastAsia="Book Antiqua" w:cs="Book Antiqua"/>
          <w:color w:val="000000"/>
          <w:highlight w:val="none"/>
        </w:rPr>
        <w:t xml:space="preserve"> 2002; </w:t>
      </w:r>
      <w:r>
        <w:rPr>
          <w:rFonts w:ascii="Book Antiqua" w:hAnsi="Book Antiqua" w:eastAsia="Book Antiqua" w:cs="Book Antiqua"/>
          <w:b/>
          <w:bCs/>
          <w:color w:val="000000"/>
          <w:highlight w:val="none"/>
        </w:rPr>
        <w:t>26</w:t>
      </w:r>
      <w:r>
        <w:rPr>
          <w:rFonts w:ascii="Book Antiqua" w:hAnsi="Book Antiqua" w:eastAsia="Book Antiqua" w:cs="Book Antiqua"/>
          <w:color w:val="000000"/>
          <w:highlight w:val="none"/>
        </w:rPr>
        <w:t>: 775-787 [DOI: 10.1023/A:1021241517274]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 </w:t>
      </w:r>
      <w:r>
        <w:rPr>
          <w:rFonts w:ascii="Book Antiqua" w:hAnsi="Book Antiqua" w:eastAsia="Book Antiqua" w:cs="Book Antiqua"/>
          <w:b/>
          <w:bCs/>
          <w:color w:val="000000"/>
          <w:highlight w:val="none"/>
        </w:rPr>
        <w:t>Muris P</w:t>
      </w:r>
      <w:r>
        <w:rPr>
          <w:rFonts w:ascii="Book Antiqua" w:hAnsi="Book Antiqua" w:eastAsia="Book Antiqua" w:cs="Book Antiqua"/>
          <w:color w:val="000000"/>
          <w:highlight w:val="none"/>
        </w:rPr>
        <w:t xml:space="preserve">, Merckelbach H, Gadet B, Moulaert V. Fears, worries, and scary dreams in 4- to 12-year-old children: their content, developmental pattern, and origins. </w:t>
      </w:r>
      <w:r>
        <w:rPr>
          <w:rFonts w:ascii="Book Antiqua" w:hAnsi="Book Antiqua" w:eastAsia="Book Antiqua" w:cs="Book Antiqua"/>
          <w:i/>
          <w:iCs/>
          <w:color w:val="000000"/>
          <w:highlight w:val="none"/>
        </w:rPr>
        <w:t>J Clin Child Psychol</w:t>
      </w:r>
      <w:r>
        <w:rPr>
          <w:rFonts w:ascii="Book Antiqua" w:hAnsi="Book Antiqua" w:eastAsia="Book Antiqua" w:cs="Book Antiqua"/>
          <w:color w:val="000000"/>
          <w:highlight w:val="none"/>
        </w:rPr>
        <w:t xml:space="preserve"> 2000; </w:t>
      </w:r>
      <w:r>
        <w:rPr>
          <w:rFonts w:ascii="Book Antiqua" w:hAnsi="Book Antiqua" w:eastAsia="Book Antiqua" w:cs="Book Antiqua"/>
          <w:b/>
          <w:bCs/>
          <w:color w:val="000000"/>
          <w:highlight w:val="none"/>
        </w:rPr>
        <w:t>29</w:t>
      </w:r>
      <w:r>
        <w:rPr>
          <w:rFonts w:ascii="Book Antiqua" w:hAnsi="Book Antiqua" w:eastAsia="Book Antiqua" w:cs="Book Antiqua"/>
          <w:color w:val="000000"/>
          <w:highlight w:val="none"/>
        </w:rPr>
        <w:t>: 43-52 [PMID: 10693031 DOI: 10.1207/S15374424jccp2901_5]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10 </w:t>
      </w:r>
      <w:r>
        <w:rPr>
          <w:rFonts w:ascii="Book Antiqua" w:hAnsi="Book Antiqua" w:eastAsia="Book Antiqua" w:cs="Book Antiqua"/>
          <w:b/>
          <w:bCs/>
          <w:color w:val="000000"/>
          <w:highlight w:val="none"/>
        </w:rPr>
        <w:t>Weems CF</w:t>
      </w:r>
      <w:r>
        <w:rPr>
          <w:rFonts w:ascii="Book Antiqua" w:hAnsi="Book Antiqua" w:eastAsia="Book Antiqua" w:cs="Book Antiqua"/>
          <w:color w:val="000000"/>
          <w:highlight w:val="none"/>
        </w:rPr>
        <w:t xml:space="preserve">, Silverman WK, La Greca AM. What do youth referred for anxiety problems worry about? Worry and its relation to anxiety and anxiety disorders in children and adolescents. </w:t>
      </w:r>
      <w:r>
        <w:rPr>
          <w:rFonts w:ascii="Book Antiqua" w:hAnsi="Book Antiqua" w:eastAsia="Book Antiqua" w:cs="Book Antiqua"/>
          <w:i/>
          <w:iCs/>
          <w:color w:val="000000"/>
          <w:highlight w:val="none"/>
        </w:rPr>
        <w:t>J Abnorm Child Psychol</w:t>
      </w:r>
      <w:r>
        <w:rPr>
          <w:rFonts w:ascii="Book Antiqua" w:hAnsi="Book Antiqua" w:eastAsia="Book Antiqua" w:cs="Book Antiqua"/>
          <w:color w:val="000000"/>
          <w:highlight w:val="none"/>
        </w:rPr>
        <w:t xml:space="preserve"> 2000; </w:t>
      </w:r>
      <w:r>
        <w:rPr>
          <w:rFonts w:ascii="Book Antiqua" w:hAnsi="Book Antiqua" w:eastAsia="Book Antiqua" w:cs="Book Antiqua"/>
          <w:b/>
          <w:bCs/>
          <w:color w:val="000000"/>
          <w:highlight w:val="none"/>
        </w:rPr>
        <w:t>28</w:t>
      </w:r>
      <w:r>
        <w:rPr>
          <w:rFonts w:ascii="Book Antiqua" w:hAnsi="Book Antiqua" w:eastAsia="Book Antiqua" w:cs="Book Antiqua"/>
          <w:color w:val="000000"/>
          <w:highlight w:val="none"/>
        </w:rPr>
        <w:t>: 63-72 [PMID: 10772350 DOI: 10.1023/a:1005122101885]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11 </w:t>
      </w:r>
      <w:r>
        <w:rPr>
          <w:rFonts w:ascii="Book Antiqua" w:hAnsi="Book Antiqua" w:eastAsia="Book Antiqua" w:cs="Book Antiqua"/>
          <w:b/>
          <w:bCs/>
          <w:color w:val="000000"/>
          <w:highlight w:val="none"/>
        </w:rPr>
        <w:t>Esbjørn BH,</w:t>
      </w:r>
      <w:r>
        <w:rPr>
          <w:rFonts w:ascii="Book Antiqua" w:hAnsi="Book Antiqua" w:eastAsia="Book Antiqua" w:cs="Book Antiqua"/>
          <w:color w:val="000000"/>
          <w:highlight w:val="none"/>
        </w:rPr>
        <w:t xml:space="preserve"> Reinholdt-Dunne ML, Caspersen ID, Christensen LB, Chorpita BF. Penn State Worry Questionnaire: Findings Form Normative and Clinical Samples in Denmark. </w:t>
      </w:r>
      <w:r>
        <w:rPr>
          <w:rFonts w:ascii="Book Antiqua" w:hAnsi="Book Antiqua" w:eastAsia="Book Antiqua" w:cs="Book Antiqua"/>
          <w:i/>
          <w:iCs/>
          <w:color w:val="000000"/>
          <w:highlight w:val="none"/>
        </w:rPr>
        <w:t>J Psychopathol Behav Assess</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35</w:t>
      </w:r>
      <w:r>
        <w:rPr>
          <w:rFonts w:ascii="Book Antiqua" w:hAnsi="Book Antiqua" w:eastAsia="Book Antiqua" w:cs="Book Antiqua"/>
          <w:color w:val="000000"/>
          <w:highlight w:val="none"/>
        </w:rPr>
        <w:t>: 113-122 [DOI: 10.1007/s10862-012-9320-7]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12 </w:t>
      </w:r>
      <w:r>
        <w:rPr>
          <w:rFonts w:ascii="Book Antiqua" w:hAnsi="Book Antiqua" w:eastAsia="Book Antiqua" w:cs="Book Antiqua"/>
          <w:b/>
          <w:bCs/>
          <w:color w:val="000000"/>
          <w:highlight w:val="none"/>
        </w:rPr>
        <w:t>Perrin S</w:t>
      </w:r>
      <w:r>
        <w:rPr>
          <w:rFonts w:ascii="Book Antiqua" w:hAnsi="Book Antiqua" w:eastAsia="Book Antiqua" w:cs="Book Antiqua"/>
          <w:color w:val="000000"/>
          <w:highlight w:val="none"/>
        </w:rPr>
        <w:t xml:space="preserve">, Last CG. Worrisome thoughts in children clinically referred for anxiety disorder. </w:t>
      </w:r>
      <w:r>
        <w:rPr>
          <w:rFonts w:ascii="Book Antiqua" w:hAnsi="Book Antiqua" w:eastAsia="Book Antiqua" w:cs="Book Antiqua"/>
          <w:i/>
          <w:iCs/>
          <w:color w:val="000000"/>
          <w:highlight w:val="none"/>
        </w:rPr>
        <w:t>J Clin Child Psychol</w:t>
      </w:r>
      <w:r>
        <w:rPr>
          <w:rFonts w:ascii="Book Antiqua" w:hAnsi="Book Antiqua" w:eastAsia="Book Antiqua" w:cs="Book Antiqua"/>
          <w:color w:val="000000"/>
          <w:highlight w:val="none"/>
        </w:rPr>
        <w:t xml:space="preserve"> 1997; </w:t>
      </w:r>
      <w:r>
        <w:rPr>
          <w:rFonts w:ascii="Book Antiqua" w:hAnsi="Book Antiqua" w:eastAsia="Book Antiqua" w:cs="Book Antiqua"/>
          <w:b/>
          <w:bCs/>
          <w:color w:val="000000"/>
          <w:highlight w:val="none"/>
        </w:rPr>
        <w:t>26</w:t>
      </w:r>
      <w:r>
        <w:rPr>
          <w:rFonts w:ascii="Book Antiqua" w:hAnsi="Book Antiqua" w:eastAsia="Book Antiqua" w:cs="Book Antiqua"/>
          <w:color w:val="000000"/>
          <w:highlight w:val="none"/>
        </w:rPr>
        <w:t>: 181-189 [PMID: 9169378 DOI: 10.1207/s15374424jccp2602_6]</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13 </w:t>
      </w:r>
      <w:r>
        <w:rPr>
          <w:rFonts w:ascii="Book Antiqua" w:hAnsi="Book Antiqua" w:eastAsia="Book Antiqua" w:cs="Book Antiqua"/>
          <w:b/>
          <w:bCs/>
          <w:color w:val="000000"/>
          <w:highlight w:val="none"/>
        </w:rPr>
        <w:t>Wilson C</w:t>
      </w:r>
      <w:r>
        <w:rPr>
          <w:rFonts w:ascii="Book Antiqua" w:hAnsi="Book Antiqua" w:eastAsia="Book Antiqua" w:cs="Book Antiqua"/>
          <w:color w:val="000000"/>
          <w:highlight w:val="none"/>
        </w:rPr>
        <w:t xml:space="preserve">. Pathological Worry in Children: What is Currently Known? </w:t>
      </w:r>
      <w:r>
        <w:rPr>
          <w:rFonts w:ascii="Book Antiqua" w:hAnsi="Book Antiqua" w:eastAsia="Book Antiqua" w:cs="Book Antiqua"/>
          <w:i/>
          <w:iCs/>
          <w:color w:val="000000"/>
          <w:highlight w:val="none"/>
        </w:rPr>
        <w:t>J Exp Psychopathol</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1</w:t>
      </w:r>
      <w:r>
        <w:rPr>
          <w:rFonts w:ascii="Book Antiqua" w:hAnsi="Book Antiqua" w:eastAsia="Book Antiqua" w:cs="Book Antiqua"/>
          <w:color w:val="000000"/>
          <w:highlight w:val="none"/>
        </w:rPr>
        <w:t>: 6-33 [DOI: 10.5127/jep.008110]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14 </w:t>
      </w:r>
      <w:r>
        <w:rPr>
          <w:rFonts w:ascii="Book Antiqua" w:hAnsi="Book Antiqua" w:eastAsia="Book Antiqua" w:cs="Book Antiqua"/>
          <w:b/>
          <w:bCs/>
          <w:color w:val="000000"/>
          <w:highlight w:val="none"/>
        </w:rPr>
        <w:t>Remschidt H,</w:t>
      </w:r>
      <w:r>
        <w:rPr>
          <w:rFonts w:ascii="Book Antiqua" w:hAnsi="Book Antiqua" w:eastAsia="Book Antiqua" w:cs="Book Antiqua"/>
          <w:color w:val="000000"/>
          <w:highlight w:val="none"/>
        </w:rPr>
        <w:t xml:space="preserve"> Schmidt M, Poustka F. Multiaxiales Klassifikationsschema für psychische Störungen des Kindes- und Jugendalters nach ICD-10 der WHO: Mit einem synoptischen Vergleich von ICD-10 und DSM-IV. 7</w:t>
      </w:r>
      <w:r>
        <w:rPr>
          <w:rFonts w:ascii="Book Antiqua" w:hAnsi="Book Antiqua" w:eastAsia="Book Antiqua" w:cs="Book Antiqua"/>
          <w:color w:val="000000"/>
          <w:highlight w:val="none"/>
          <w:vertAlign w:val="superscript"/>
        </w:rPr>
        <w:t>th</w:t>
      </w:r>
      <w:r>
        <w:rPr>
          <w:rFonts w:ascii="Book Antiqua" w:hAnsi="Book Antiqua" w:eastAsia="Book Antiqua" w:cs="Book Antiqua"/>
          <w:color w:val="000000"/>
          <w:highlight w:val="none"/>
        </w:rPr>
        <w:t xml:space="preserve"> ed. Bern: Hogrefe, 2017 [DOI: 10.1024/85759-000]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15 </w:t>
      </w:r>
      <w:r>
        <w:rPr>
          <w:rFonts w:ascii="Book Antiqua" w:hAnsi="Book Antiqua" w:eastAsia="Book Antiqua" w:cs="Book Antiqua"/>
          <w:b/>
          <w:bCs/>
          <w:color w:val="000000"/>
          <w:highlight w:val="none"/>
        </w:rPr>
        <w:t>Flavell JH</w:t>
      </w:r>
      <w:r>
        <w:rPr>
          <w:rFonts w:ascii="Book Antiqua" w:hAnsi="Book Antiqua" w:eastAsia="Book Antiqua" w:cs="Book Antiqua"/>
          <w:color w:val="000000"/>
          <w:highlight w:val="none"/>
        </w:rPr>
        <w:t xml:space="preserve">. Metacognition and cognitive monitoring: A new area of cognitive-developmental inquiry. </w:t>
      </w:r>
      <w:r>
        <w:rPr>
          <w:rFonts w:ascii="Book Antiqua" w:hAnsi="Book Antiqua" w:eastAsia="Book Antiqua" w:cs="Book Antiqua"/>
          <w:i/>
          <w:iCs/>
          <w:color w:val="000000"/>
          <w:highlight w:val="none"/>
        </w:rPr>
        <w:t>Am Psychol</w:t>
      </w:r>
      <w:r>
        <w:rPr>
          <w:rFonts w:ascii="Book Antiqua" w:hAnsi="Book Antiqua" w:eastAsia="Book Antiqua" w:cs="Book Antiqua"/>
          <w:color w:val="000000"/>
          <w:highlight w:val="none"/>
        </w:rPr>
        <w:t xml:space="preserve"> 1979; </w:t>
      </w:r>
      <w:r>
        <w:rPr>
          <w:rFonts w:ascii="Book Antiqua" w:hAnsi="Book Antiqua" w:eastAsia="Book Antiqua" w:cs="Book Antiqua"/>
          <w:b/>
          <w:bCs/>
          <w:color w:val="000000"/>
          <w:highlight w:val="none"/>
        </w:rPr>
        <w:t>34</w:t>
      </w:r>
      <w:r>
        <w:rPr>
          <w:rFonts w:ascii="Book Antiqua" w:hAnsi="Book Antiqua" w:eastAsia="Book Antiqua" w:cs="Book Antiqua"/>
          <w:color w:val="000000"/>
          <w:highlight w:val="none"/>
        </w:rPr>
        <w:t>: 906–911 [DOI: 10.1037/0003-066X.34.10.906]</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16 </w:t>
      </w:r>
      <w:r>
        <w:rPr>
          <w:rFonts w:ascii="Book Antiqua" w:hAnsi="Book Antiqua" w:eastAsia="Book Antiqua" w:cs="Book Antiqua"/>
          <w:b/>
          <w:bCs/>
          <w:color w:val="000000"/>
          <w:highlight w:val="none"/>
        </w:rPr>
        <w:t>Fisher PL</w:t>
      </w:r>
      <w:r>
        <w:rPr>
          <w:rFonts w:ascii="Book Antiqua" w:hAnsi="Book Antiqua" w:eastAsia="Book Antiqua" w:cs="Book Antiqua"/>
          <w:color w:val="000000"/>
          <w:highlight w:val="none"/>
        </w:rPr>
        <w:t xml:space="preserve">, Wells A. Experimental modification of beliefs in obsessive-compulsive disorder: a test of the metacognitive model. </w:t>
      </w:r>
      <w:r>
        <w:rPr>
          <w:rFonts w:ascii="Book Antiqua" w:hAnsi="Book Antiqua" w:eastAsia="Book Antiqua" w:cs="Book Antiqua"/>
          <w:i/>
          <w:iCs/>
          <w:color w:val="000000"/>
          <w:highlight w:val="none"/>
        </w:rPr>
        <w:t>Behav Res Ther</w:t>
      </w:r>
      <w:r>
        <w:rPr>
          <w:rFonts w:ascii="Book Antiqua" w:hAnsi="Book Antiqua" w:eastAsia="Book Antiqua" w:cs="Book Antiqua"/>
          <w:color w:val="000000"/>
          <w:highlight w:val="none"/>
        </w:rPr>
        <w:t xml:space="preserve"> 2005; </w:t>
      </w:r>
      <w:r>
        <w:rPr>
          <w:rFonts w:ascii="Book Antiqua" w:hAnsi="Book Antiqua" w:eastAsia="Book Antiqua" w:cs="Book Antiqua"/>
          <w:b/>
          <w:bCs/>
          <w:color w:val="000000"/>
          <w:highlight w:val="none"/>
        </w:rPr>
        <w:t>43</w:t>
      </w:r>
      <w:r>
        <w:rPr>
          <w:rFonts w:ascii="Book Antiqua" w:hAnsi="Book Antiqua" w:eastAsia="Book Antiqua" w:cs="Book Antiqua"/>
          <w:color w:val="000000"/>
          <w:highlight w:val="none"/>
        </w:rPr>
        <w:t>: 821-829 [PMID: 15890171 DOI: 10.1016/j.brat.2004.09.002]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17 </w:t>
      </w:r>
      <w:r>
        <w:rPr>
          <w:rFonts w:ascii="Book Antiqua" w:hAnsi="Book Antiqua" w:eastAsia="Book Antiqua" w:cs="Book Antiqua"/>
          <w:b/>
          <w:bCs/>
          <w:color w:val="000000"/>
          <w:highlight w:val="none"/>
        </w:rPr>
        <w:t>Papageorgiou C,</w:t>
      </w:r>
      <w:r>
        <w:rPr>
          <w:rFonts w:ascii="Book Antiqua" w:hAnsi="Book Antiqua" w:eastAsia="Book Antiqua" w:cs="Book Antiqua"/>
          <w:color w:val="000000"/>
          <w:highlight w:val="none"/>
        </w:rPr>
        <w:t xml:space="preserve"> Wells A. Metacognitive beliefs about rumination in recurrent major depression. </w:t>
      </w:r>
      <w:r>
        <w:rPr>
          <w:rFonts w:ascii="Book Antiqua" w:hAnsi="Book Antiqua" w:eastAsia="Book Antiqua" w:cs="Book Antiqua"/>
          <w:i/>
          <w:iCs/>
          <w:color w:val="000000"/>
          <w:highlight w:val="none"/>
        </w:rPr>
        <w:t>Cogn Behav Pract</w:t>
      </w:r>
      <w:r>
        <w:rPr>
          <w:rFonts w:ascii="Book Antiqua" w:hAnsi="Book Antiqua" w:eastAsia="Book Antiqua" w:cs="Book Antiqua"/>
          <w:color w:val="000000"/>
          <w:highlight w:val="none"/>
        </w:rPr>
        <w:t xml:space="preserve"> 2001; </w:t>
      </w:r>
      <w:r>
        <w:rPr>
          <w:rFonts w:ascii="Book Antiqua" w:hAnsi="Book Antiqua" w:eastAsia="Book Antiqua" w:cs="Book Antiqua"/>
          <w:b/>
          <w:bCs/>
          <w:color w:val="000000"/>
          <w:highlight w:val="none"/>
        </w:rPr>
        <w:t>8</w:t>
      </w:r>
      <w:r>
        <w:rPr>
          <w:rFonts w:ascii="Book Antiqua" w:hAnsi="Book Antiqua" w:eastAsia="Book Antiqua" w:cs="Book Antiqua"/>
          <w:color w:val="000000"/>
          <w:highlight w:val="none"/>
        </w:rPr>
        <w:t>: 160-164 [DOI: 10.1016/S1077-7229(01)80021-3]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18 </w:t>
      </w:r>
      <w:r>
        <w:rPr>
          <w:rFonts w:ascii="Book Antiqua" w:hAnsi="Book Antiqua" w:eastAsia="Book Antiqua" w:cs="Book Antiqua"/>
          <w:b/>
          <w:bCs/>
          <w:color w:val="000000"/>
          <w:highlight w:val="none"/>
        </w:rPr>
        <w:t>Papageorgiou C,</w:t>
      </w:r>
      <w:r>
        <w:rPr>
          <w:rFonts w:ascii="Book Antiqua" w:hAnsi="Book Antiqua" w:eastAsia="Book Antiqua" w:cs="Book Antiqua"/>
          <w:color w:val="000000"/>
          <w:highlight w:val="none"/>
        </w:rPr>
        <w:t xml:space="preserve"> Wells A. An empirical test of a clinical metacognitive model of rumination and depression. </w:t>
      </w:r>
      <w:r>
        <w:rPr>
          <w:rFonts w:ascii="Book Antiqua" w:hAnsi="Book Antiqua" w:eastAsia="Book Antiqua" w:cs="Book Antiqua"/>
          <w:i/>
          <w:iCs/>
          <w:color w:val="000000"/>
          <w:highlight w:val="none"/>
        </w:rPr>
        <w:t>Cognit Ther Res</w:t>
      </w:r>
      <w:r>
        <w:rPr>
          <w:rFonts w:ascii="Book Antiqua" w:hAnsi="Book Antiqua" w:eastAsia="Book Antiqua" w:cs="Book Antiqua"/>
          <w:color w:val="000000"/>
          <w:highlight w:val="none"/>
        </w:rPr>
        <w:t xml:space="preserve"> 2003; </w:t>
      </w:r>
      <w:r>
        <w:rPr>
          <w:rFonts w:ascii="Book Antiqua" w:hAnsi="Book Antiqua" w:eastAsia="Book Antiqua" w:cs="Book Antiqua"/>
          <w:b/>
          <w:bCs/>
          <w:color w:val="000000"/>
          <w:highlight w:val="none"/>
        </w:rPr>
        <w:t>27</w:t>
      </w:r>
      <w:r>
        <w:rPr>
          <w:rFonts w:ascii="Book Antiqua" w:hAnsi="Book Antiqua" w:eastAsia="Book Antiqua" w:cs="Book Antiqua"/>
          <w:color w:val="000000"/>
          <w:highlight w:val="none"/>
        </w:rPr>
        <w:t>: 261-273 [DOI: 10.1023/A:1023962332399]</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19 </w:t>
      </w:r>
      <w:r>
        <w:rPr>
          <w:rFonts w:ascii="Book Antiqua" w:hAnsi="Book Antiqua" w:eastAsia="Book Antiqua" w:cs="Book Antiqua"/>
          <w:b/>
          <w:bCs/>
          <w:color w:val="000000"/>
          <w:highlight w:val="none"/>
        </w:rPr>
        <w:t>Wells A</w:t>
      </w:r>
      <w:r>
        <w:rPr>
          <w:rFonts w:ascii="Book Antiqua" w:hAnsi="Book Antiqua" w:eastAsia="Book Antiqua" w:cs="Book Antiqua"/>
          <w:color w:val="000000"/>
          <w:highlight w:val="none"/>
        </w:rPr>
        <w:t xml:space="preserve">. Meta-Cognition and Worry: A Cognitive Model of Generalized Anxiety Disorder. </w:t>
      </w:r>
      <w:r>
        <w:rPr>
          <w:rFonts w:ascii="Book Antiqua" w:hAnsi="Book Antiqua" w:eastAsia="Book Antiqua" w:cs="Book Antiqua"/>
          <w:i/>
          <w:iCs/>
          <w:color w:val="000000"/>
          <w:highlight w:val="none"/>
        </w:rPr>
        <w:t>Behav Cogn Psychother</w:t>
      </w:r>
      <w:r>
        <w:rPr>
          <w:rFonts w:ascii="Book Antiqua" w:hAnsi="Book Antiqua" w:eastAsia="Book Antiqua" w:cs="Book Antiqua"/>
          <w:color w:val="000000"/>
          <w:highlight w:val="none"/>
        </w:rPr>
        <w:t xml:space="preserve"> 1995;</w:t>
      </w:r>
      <w:r>
        <w:rPr>
          <w:rFonts w:ascii="Book Antiqua" w:hAnsi="Book Antiqua" w:eastAsia="Book Antiqua" w:cs="Book Antiqua"/>
          <w:b/>
          <w:bCs/>
          <w:color w:val="000000"/>
          <w:highlight w:val="none"/>
        </w:rPr>
        <w:t xml:space="preserve"> 23</w:t>
      </w:r>
      <w:r>
        <w:rPr>
          <w:rFonts w:ascii="Book Antiqua" w:hAnsi="Book Antiqua" w:eastAsia="Book Antiqua" w:cs="Book Antiqua"/>
          <w:color w:val="000000"/>
          <w:highlight w:val="none"/>
        </w:rPr>
        <w:t>: 301-320 [DOI: 10.1017/S1352465800015897]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20 </w:t>
      </w:r>
      <w:r>
        <w:rPr>
          <w:rFonts w:ascii="Book Antiqua" w:hAnsi="Book Antiqua" w:eastAsia="Book Antiqua" w:cs="Book Antiqua"/>
          <w:b/>
          <w:bCs/>
          <w:color w:val="000000"/>
          <w:highlight w:val="none"/>
        </w:rPr>
        <w:t>Wells A</w:t>
      </w:r>
      <w:r>
        <w:rPr>
          <w:rFonts w:ascii="Book Antiqua" w:hAnsi="Book Antiqua" w:eastAsia="Book Antiqua" w:cs="Book Antiqua"/>
          <w:color w:val="000000"/>
          <w:highlight w:val="none"/>
        </w:rPr>
        <w:t xml:space="preserve">. A cognitive model of generalized anxiety disorder. </w:t>
      </w:r>
      <w:r>
        <w:rPr>
          <w:rFonts w:ascii="Book Antiqua" w:hAnsi="Book Antiqua" w:eastAsia="Book Antiqua" w:cs="Book Antiqua"/>
          <w:i/>
          <w:iCs/>
          <w:color w:val="000000"/>
          <w:highlight w:val="none"/>
        </w:rPr>
        <w:t>Behav Modif</w:t>
      </w:r>
      <w:r>
        <w:rPr>
          <w:rFonts w:ascii="Book Antiqua" w:hAnsi="Book Antiqua" w:eastAsia="Book Antiqua" w:cs="Book Antiqua"/>
          <w:color w:val="000000"/>
          <w:highlight w:val="none"/>
        </w:rPr>
        <w:t xml:space="preserve"> 1999; </w:t>
      </w:r>
      <w:r>
        <w:rPr>
          <w:rFonts w:ascii="Book Antiqua" w:hAnsi="Book Antiqua" w:eastAsia="Book Antiqua" w:cs="Book Antiqua"/>
          <w:b/>
          <w:bCs/>
          <w:color w:val="000000"/>
          <w:highlight w:val="none"/>
        </w:rPr>
        <w:t>23</w:t>
      </w:r>
      <w:r>
        <w:rPr>
          <w:rFonts w:ascii="Book Antiqua" w:hAnsi="Book Antiqua" w:eastAsia="Book Antiqua" w:cs="Book Antiqua"/>
          <w:color w:val="000000"/>
          <w:highlight w:val="none"/>
        </w:rPr>
        <w:t>: 526-555 [PMID: 10533439 DOI: 10.1177/0145445599234002]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21 </w:t>
      </w:r>
      <w:r>
        <w:rPr>
          <w:rFonts w:ascii="Book Antiqua" w:hAnsi="Book Antiqua" w:eastAsia="Book Antiqua" w:cs="Book Antiqua"/>
          <w:b/>
          <w:bCs/>
          <w:color w:val="000000"/>
          <w:highlight w:val="none"/>
        </w:rPr>
        <w:t>Wells A</w:t>
      </w:r>
      <w:r>
        <w:rPr>
          <w:rFonts w:ascii="Book Antiqua" w:hAnsi="Book Antiqua" w:eastAsia="Book Antiqua" w:cs="Book Antiqua"/>
          <w:color w:val="000000"/>
          <w:highlight w:val="none"/>
        </w:rPr>
        <w:t>. The metacognitive model of GAD: Assessment of meta-worry and relationship with DSM-IV generalized anxiety disorder.</w:t>
      </w:r>
      <w:r>
        <w:rPr>
          <w:rFonts w:ascii="Book Antiqua" w:hAnsi="Book Antiqua" w:eastAsia="Book Antiqua" w:cs="Book Antiqua"/>
          <w:i/>
          <w:iCs/>
          <w:color w:val="000000"/>
          <w:highlight w:val="none"/>
        </w:rPr>
        <w:t xml:space="preserve"> Cognit Ther Res </w:t>
      </w:r>
      <w:r>
        <w:rPr>
          <w:rFonts w:ascii="Book Antiqua" w:hAnsi="Book Antiqua" w:eastAsia="Book Antiqua" w:cs="Book Antiqua"/>
          <w:color w:val="000000"/>
          <w:highlight w:val="none"/>
        </w:rPr>
        <w:t xml:space="preserve">2005; </w:t>
      </w:r>
      <w:r>
        <w:rPr>
          <w:rFonts w:ascii="Book Antiqua" w:hAnsi="Book Antiqua" w:eastAsia="Book Antiqua" w:cs="Book Antiqua"/>
          <w:b/>
          <w:bCs/>
          <w:color w:val="000000"/>
          <w:highlight w:val="none"/>
        </w:rPr>
        <w:t>29</w:t>
      </w:r>
      <w:r>
        <w:rPr>
          <w:rFonts w:ascii="Book Antiqua" w:hAnsi="Book Antiqua" w:eastAsia="Book Antiqua" w:cs="Book Antiqua"/>
          <w:color w:val="000000"/>
          <w:highlight w:val="none"/>
        </w:rPr>
        <w:t>: 107-121 [DOI: 10.1007/s10608-005-1652-0]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22 </w:t>
      </w:r>
      <w:r>
        <w:rPr>
          <w:rFonts w:ascii="Book Antiqua" w:hAnsi="Book Antiqua" w:eastAsia="Book Antiqua" w:cs="Book Antiqua"/>
          <w:b/>
          <w:bCs/>
          <w:color w:val="000000"/>
          <w:highlight w:val="none"/>
        </w:rPr>
        <w:t>Cartwright-Hatton S</w:t>
      </w:r>
      <w:r>
        <w:rPr>
          <w:rFonts w:ascii="Book Antiqua" w:hAnsi="Book Antiqua" w:eastAsia="Book Antiqua" w:cs="Book Antiqua"/>
          <w:color w:val="000000"/>
          <w:highlight w:val="none"/>
        </w:rPr>
        <w:t xml:space="preserve">, Wells A. Beliefs about worry and intrusions: the Meta-Cognitions Questionnaire and its correlates. </w:t>
      </w:r>
      <w:r>
        <w:rPr>
          <w:rFonts w:ascii="Book Antiqua" w:hAnsi="Book Antiqua" w:eastAsia="Book Antiqua" w:cs="Book Antiqua"/>
          <w:i/>
          <w:iCs/>
          <w:color w:val="000000"/>
          <w:highlight w:val="none"/>
        </w:rPr>
        <w:t>J Anxiety Disord</w:t>
      </w:r>
      <w:r>
        <w:rPr>
          <w:rFonts w:ascii="Book Antiqua" w:hAnsi="Book Antiqua" w:eastAsia="Book Antiqua" w:cs="Book Antiqua"/>
          <w:color w:val="000000"/>
          <w:highlight w:val="none"/>
        </w:rPr>
        <w:t xml:space="preserve"> 1997;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 279-296 [PMID: 9220301 DOI: 10.1016/s0887-6185(97)00011-x]</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23 </w:t>
      </w:r>
      <w:r>
        <w:rPr>
          <w:rFonts w:ascii="Book Antiqua" w:hAnsi="Book Antiqua" w:eastAsia="Book Antiqua" w:cs="Book Antiqua"/>
          <w:b/>
          <w:bCs/>
          <w:color w:val="000000"/>
          <w:highlight w:val="none"/>
        </w:rPr>
        <w:t>Esbjørn BH</w:t>
      </w:r>
      <w:r>
        <w:rPr>
          <w:rFonts w:ascii="Book Antiqua" w:hAnsi="Book Antiqua" w:eastAsia="Book Antiqua" w:cs="Book Antiqua"/>
          <w:color w:val="000000"/>
          <w:highlight w:val="none"/>
        </w:rPr>
        <w:t xml:space="preserve">, Lønfeldt NN, Nielsen SK, Reinholdt-Dunne ML, Sømhovd MJ, Cartwright-Hatton S. Meta-worry, worry, and anxiety in children and adolescents: relationships and interactions. </w:t>
      </w:r>
      <w:r>
        <w:rPr>
          <w:rFonts w:ascii="Book Antiqua" w:hAnsi="Book Antiqua" w:eastAsia="Book Antiqua" w:cs="Book Antiqua"/>
          <w:i/>
          <w:iCs/>
          <w:color w:val="000000"/>
          <w:highlight w:val="none"/>
        </w:rPr>
        <w:t>J Clin Child Adolesc Psychol</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44</w:t>
      </w:r>
      <w:r>
        <w:rPr>
          <w:rFonts w:ascii="Book Antiqua" w:hAnsi="Book Antiqua" w:eastAsia="Book Antiqua" w:cs="Book Antiqua"/>
          <w:color w:val="000000"/>
          <w:highlight w:val="none"/>
        </w:rPr>
        <w:t>: 145-156 [PMID: 24555865 DOI: 10.1080/15374416.2013.873980]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24 </w:t>
      </w:r>
      <w:r>
        <w:rPr>
          <w:rFonts w:ascii="Book Antiqua" w:hAnsi="Book Antiqua" w:eastAsia="Book Antiqua" w:cs="Book Antiqua"/>
          <w:b/>
          <w:bCs/>
          <w:color w:val="000000"/>
          <w:highlight w:val="none"/>
        </w:rPr>
        <w:t>Ellis DM,</w:t>
      </w:r>
      <w:r>
        <w:rPr>
          <w:rFonts w:ascii="Book Antiqua" w:hAnsi="Book Antiqua" w:eastAsia="Book Antiqua" w:cs="Book Antiqua"/>
          <w:color w:val="000000"/>
          <w:highlight w:val="none"/>
        </w:rPr>
        <w:t xml:space="preserve"> Hudson J. Test of the Metacognitive Model of Generalized Anxiety Disorder in Anxiety-Disordered Adolescents. </w:t>
      </w:r>
      <w:r>
        <w:rPr>
          <w:rFonts w:ascii="Book Antiqua" w:hAnsi="Book Antiqua" w:eastAsia="Book Antiqua" w:cs="Book Antiqua"/>
          <w:i/>
          <w:iCs/>
          <w:color w:val="000000"/>
          <w:highlight w:val="none"/>
        </w:rPr>
        <w:t>J Exp Psychopathol</w:t>
      </w:r>
      <w:r>
        <w:rPr>
          <w:rFonts w:ascii="Book Antiqua" w:hAnsi="Book Antiqua" w:eastAsia="Book Antiqua" w:cs="Book Antiqua"/>
          <w:color w:val="000000"/>
          <w:highlight w:val="none"/>
        </w:rPr>
        <w:t xml:space="preserve"> 2011; </w:t>
      </w:r>
      <w:r>
        <w:rPr>
          <w:rFonts w:ascii="Book Antiqua" w:hAnsi="Book Antiqua" w:eastAsia="Book Antiqua" w:cs="Book Antiqua"/>
          <w:b/>
          <w:bCs/>
          <w:color w:val="000000"/>
          <w:highlight w:val="none"/>
        </w:rPr>
        <w:t>2</w:t>
      </w:r>
      <w:r>
        <w:rPr>
          <w:rFonts w:ascii="Book Antiqua" w:hAnsi="Book Antiqua" w:eastAsia="Book Antiqua" w:cs="Book Antiqua"/>
          <w:color w:val="000000"/>
          <w:highlight w:val="none"/>
        </w:rPr>
        <w:t>: 28-43 [DOI: 10.5127/jep.011910]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25 </w:t>
      </w:r>
      <w:r>
        <w:rPr>
          <w:rFonts w:ascii="Book Antiqua" w:hAnsi="Book Antiqua" w:eastAsia="Book Antiqua" w:cs="Book Antiqua"/>
          <w:b/>
          <w:bCs/>
          <w:color w:val="000000"/>
          <w:highlight w:val="none"/>
        </w:rPr>
        <w:t>Hearn CS</w:t>
      </w:r>
      <w:r>
        <w:rPr>
          <w:rFonts w:ascii="Book Antiqua" w:hAnsi="Book Antiqua" w:eastAsia="Book Antiqua" w:cs="Book Antiqua"/>
          <w:color w:val="000000"/>
          <w:highlight w:val="none"/>
        </w:rPr>
        <w:t xml:space="preserve">, Donovan CL, Spence SH, March S. A worrying trend in Social Anxiety: To what degree are worry and its cognitive factors associated with youth Social Anxiety Disorder? </w:t>
      </w:r>
      <w:r>
        <w:rPr>
          <w:rFonts w:ascii="Book Antiqua" w:hAnsi="Book Antiqua" w:eastAsia="Book Antiqua" w:cs="Book Antiqua"/>
          <w:i/>
          <w:iCs/>
          <w:color w:val="000000"/>
          <w:highlight w:val="none"/>
        </w:rPr>
        <w:t>J Affect Disord</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208</w:t>
      </w:r>
      <w:r>
        <w:rPr>
          <w:rFonts w:ascii="Book Antiqua" w:hAnsi="Book Antiqua" w:eastAsia="Book Antiqua" w:cs="Book Antiqua"/>
          <w:color w:val="000000"/>
          <w:highlight w:val="none"/>
        </w:rPr>
        <w:t>: 33-40 [PMID: 27744124 DOI: 10.1016/j.jad.2016.09.052]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26 </w:t>
      </w:r>
      <w:r>
        <w:rPr>
          <w:rFonts w:ascii="Book Antiqua" w:hAnsi="Book Antiqua" w:eastAsia="Book Antiqua" w:cs="Book Antiqua"/>
          <w:b/>
          <w:bCs/>
          <w:color w:val="000000"/>
          <w:highlight w:val="none"/>
        </w:rPr>
        <w:t>Hearn CS</w:t>
      </w:r>
      <w:r>
        <w:rPr>
          <w:rFonts w:ascii="Book Antiqua" w:hAnsi="Book Antiqua" w:eastAsia="Book Antiqua" w:cs="Book Antiqua"/>
          <w:color w:val="000000"/>
          <w:highlight w:val="none"/>
        </w:rPr>
        <w:t xml:space="preserve">, Donovan CL, Spence SH, March S. Do worry and its associated cognitive variables alter following CBT treatment in a youth population with Social Anxiety Disorder? Results from a randomized controlled trial. </w:t>
      </w:r>
      <w:r>
        <w:rPr>
          <w:rFonts w:ascii="Book Antiqua" w:hAnsi="Book Antiqua" w:eastAsia="Book Antiqua" w:cs="Book Antiqua"/>
          <w:i/>
          <w:iCs/>
          <w:color w:val="000000"/>
          <w:highlight w:val="none"/>
        </w:rPr>
        <w:t>J Anxiety Disord</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53</w:t>
      </w:r>
      <w:r>
        <w:rPr>
          <w:rFonts w:ascii="Book Antiqua" w:hAnsi="Book Antiqua" w:eastAsia="Book Antiqua" w:cs="Book Antiqua"/>
          <w:color w:val="000000"/>
          <w:highlight w:val="none"/>
        </w:rPr>
        <w:t>: 46-57 [PMID: 29195187 DOI: 10.1016/j.janxdis.2017.11.005]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27 </w:t>
      </w:r>
      <w:r>
        <w:rPr>
          <w:rFonts w:ascii="Book Antiqua" w:hAnsi="Book Antiqua" w:eastAsia="Book Antiqua" w:cs="Book Antiqua"/>
          <w:b/>
          <w:bCs/>
          <w:color w:val="000000"/>
          <w:highlight w:val="none"/>
        </w:rPr>
        <w:t>Bacow TL</w:t>
      </w:r>
      <w:r>
        <w:rPr>
          <w:rFonts w:ascii="Book Antiqua" w:hAnsi="Book Antiqua" w:eastAsia="Book Antiqua" w:cs="Book Antiqua"/>
          <w:color w:val="000000"/>
          <w:highlight w:val="none"/>
        </w:rPr>
        <w:t xml:space="preserve">, May JE, Brody LR, Pincus DB. Are there specific metacognitive processes associated with anxiety disorders in youth? </w:t>
      </w:r>
      <w:r>
        <w:rPr>
          <w:rFonts w:ascii="Book Antiqua" w:hAnsi="Book Antiqua" w:eastAsia="Book Antiqua" w:cs="Book Antiqua"/>
          <w:i/>
          <w:iCs/>
          <w:color w:val="000000"/>
          <w:highlight w:val="none"/>
        </w:rPr>
        <w:t>Psychol Res Behav Manag</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3</w:t>
      </w:r>
      <w:r>
        <w:rPr>
          <w:rFonts w:ascii="Book Antiqua" w:hAnsi="Book Antiqua" w:eastAsia="Book Antiqua" w:cs="Book Antiqua"/>
          <w:color w:val="000000"/>
          <w:highlight w:val="none"/>
        </w:rPr>
        <w:t>: 81-90 [PMID: 22110332 DOI: 10.2147/PRBM.S11785]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28 </w:t>
      </w:r>
      <w:r>
        <w:rPr>
          <w:rFonts w:ascii="Book Antiqua" w:hAnsi="Book Antiqua" w:eastAsia="Book Antiqua" w:cs="Book Antiqua"/>
          <w:b/>
          <w:bCs/>
          <w:color w:val="000000"/>
          <w:highlight w:val="none"/>
        </w:rPr>
        <w:t>Bacow TL</w:t>
      </w:r>
      <w:r>
        <w:rPr>
          <w:rFonts w:ascii="Book Antiqua" w:hAnsi="Book Antiqua" w:eastAsia="Book Antiqua" w:cs="Book Antiqua"/>
          <w:color w:val="000000"/>
          <w:highlight w:val="none"/>
        </w:rPr>
        <w:t xml:space="preserve">, Pincus DB, Ehrenreich JT, Brody LR. The metacognitions questionnaire for children: development and validation in a clinical sample of children and adolescents with anxiety disorders. </w:t>
      </w:r>
      <w:r>
        <w:rPr>
          <w:rFonts w:ascii="Book Antiqua" w:hAnsi="Book Antiqua" w:eastAsia="Book Antiqua" w:cs="Book Antiqua"/>
          <w:i/>
          <w:iCs/>
          <w:color w:val="000000"/>
          <w:highlight w:val="none"/>
        </w:rPr>
        <w:t>J Anxiety Disord</w:t>
      </w:r>
      <w:r>
        <w:rPr>
          <w:rFonts w:ascii="Book Antiqua" w:hAnsi="Book Antiqua" w:eastAsia="Book Antiqua" w:cs="Book Antiqua"/>
          <w:color w:val="000000"/>
          <w:highlight w:val="none"/>
        </w:rPr>
        <w:t xml:space="preserve"> 2009; </w:t>
      </w:r>
      <w:r>
        <w:rPr>
          <w:rFonts w:ascii="Book Antiqua" w:hAnsi="Book Antiqua" w:eastAsia="Book Antiqua" w:cs="Book Antiqua"/>
          <w:b/>
          <w:bCs/>
          <w:color w:val="000000"/>
          <w:highlight w:val="none"/>
        </w:rPr>
        <w:t>23</w:t>
      </w:r>
      <w:r>
        <w:rPr>
          <w:rFonts w:ascii="Book Antiqua" w:hAnsi="Book Antiqua" w:eastAsia="Book Antiqua" w:cs="Book Antiqua"/>
          <w:color w:val="000000"/>
          <w:highlight w:val="none"/>
        </w:rPr>
        <w:t>: 727-736 [PMID: 19362445 DOI: 10.1016/j.janxdis.2009.02.013]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29 </w:t>
      </w:r>
      <w:r>
        <w:rPr>
          <w:rFonts w:ascii="Book Antiqua" w:hAnsi="Book Antiqua" w:eastAsia="Book Antiqua" w:cs="Book Antiqua"/>
          <w:b/>
          <w:bCs/>
          <w:color w:val="000000"/>
          <w:highlight w:val="none"/>
        </w:rPr>
        <w:t>Ellis DM</w:t>
      </w:r>
      <w:r>
        <w:rPr>
          <w:rFonts w:ascii="Book Antiqua" w:hAnsi="Book Antiqua" w:eastAsia="Book Antiqua" w:cs="Book Antiqua"/>
          <w:color w:val="000000"/>
          <w:highlight w:val="none"/>
        </w:rPr>
        <w:t xml:space="preserve">, Hudson JL. The metacognitive model of generalized anxiety disorder in children and adolescents. </w:t>
      </w:r>
      <w:r>
        <w:rPr>
          <w:rFonts w:ascii="Book Antiqua" w:hAnsi="Book Antiqua" w:eastAsia="Book Antiqua" w:cs="Book Antiqua"/>
          <w:i/>
          <w:iCs/>
          <w:color w:val="000000"/>
          <w:highlight w:val="none"/>
        </w:rPr>
        <w:t>Clin Child Fam Psychol Rev</w:t>
      </w:r>
      <w:r>
        <w:rPr>
          <w:rFonts w:ascii="Book Antiqua" w:hAnsi="Book Antiqua" w:eastAsia="Book Antiqua" w:cs="Book Antiqua"/>
          <w:color w:val="000000"/>
          <w:highlight w:val="none"/>
        </w:rPr>
        <w:t xml:space="preserve"> 2010; </w:t>
      </w:r>
      <w:r>
        <w:rPr>
          <w:rFonts w:ascii="Book Antiqua" w:hAnsi="Book Antiqua" w:eastAsia="Book Antiqua" w:cs="Book Antiqua"/>
          <w:b/>
          <w:bCs/>
          <w:color w:val="000000"/>
          <w:highlight w:val="none"/>
        </w:rPr>
        <w:t>13</w:t>
      </w:r>
      <w:r>
        <w:rPr>
          <w:rFonts w:ascii="Book Antiqua" w:hAnsi="Book Antiqua" w:eastAsia="Book Antiqua" w:cs="Book Antiqua"/>
          <w:color w:val="000000"/>
          <w:highlight w:val="none"/>
        </w:rPr>
        <w:t>: 151-163 [PMID: 20352491 DOI: 10.1007/s10567-010-0065-0]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30 </w:t>
      </w:r>
      <w:r>
        <w:rPr>
          <w:rFonts w:ascii="Book Antiqua" w:hAnsi="Book Antiqua" w:eastAsia="Book Antiqua" w:cs="Book Antiqua"/>
          <w:b/>
          <w:bCs/>
          <w:color w:val="000000"/>
          <w:highlight w:val="none"/>
        </w:rPr>
        <w:t>White JA,</w:t>
      </w:r>
      <w:r>
        <w:rPr>
          <w:rFonts w:ascii="Book Antiqua" w:hAnsi="Book Antiqua" w:eastAsia="Book Antiqua" w:cs="Book Antiqua"/>
          <w:color w:val="000000"/>
          <w:highlight w:val="none"/>
        </w:rPr>
        <w:t xml:space="preserve"> Hudson JL. The Metacognitive Model of Anxiety in Children: Towards a Reliable and Valid Measure. </w:t>
      </w:r>
      <w:r>
        <w:rPr>
          <w:rFonts w:ascii="Book Antiqua" w:hAnsi="Book Antiqua" w:eastAsia="Book Antiqua" w:cs="Book Antiqua"/>
          <w:i/>
          <w:iCs/>
          <w:color w:val="000000"/>
          <w:highlight w:val="none"/>
        </w:rPr>
        <w:t>Cognit Ther Res</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40</w:t>
      </w:r>
      <w:r>
        <w:rPr>
          <w:rFonts w:ascii="Book Antiqua" w:hAnsi="Book Antiqua" w:eastAsia="Book Antiqua" w:cs="Book Antiqua"/>
          <w:color w:val="000000"/>
          <w:highlight w:val="none"/>
        </w:rPr>
        <w:t>: 92-106 [DOI: 10.1007/s10608-015-9725-1]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31 </w:t>
      </w:r>
      <w:r>
        <w:rPr>
          <w:rFonts w:ascii="Book Antiqua" w:hAnsi="Book Antiqua" w:eastAsia="Book Antiqua" w:cs="Book Antiqua"/>
          <w:b/>
          <w:bCs/>
          <w:color w:val="000000"/>
          <w:highlight w:val="none"/>
        </w:rPr>
        <w:t xml:space="preserve">Kuhn D. </w:t>
      </w:r>
      <w:r>
        <w:rPr>
          <w:rFonts w:ascii="Book Antiqua" w:hAnsi="Book Antiqua" w:eastAsia="Book Antiqua" w:cs="Book Antiqua"/>
          <w:color w:val="000000"/>
          <w:highlight w:val="none"/>
        </w:rPr>
        <w:t>Metacognitive Development. In: Balter L, Tamis-LeMonda C. Child Psychology: A handbook of contemporary issues. Philadelphia: Psychology Press, 1999: 259–286</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32 </w:t>
      </w:r>
      <w:r>
        <w:rPr>
          <w:rFonts w:ascii="Book Antiqua" w:hAnsi="Book Antiqua" w:eastAsia="Book Antiqua" w:cs="Book Antiqua"/>
          <w:b/>
          <w:bCs/>
          <w:color w:val="000000"/>
          <w:highlight w:val="none"/>
        </w:rPr>
        <w:t>Estes D,</w:t>
      </w:r>
      <w:r>
        <w:rPr>
          <w:rFonts w:ascii="Book Antiqua" w:hAnsi="Book Antiqua" w:eastAsia="Book Antiqua" w:cs="Book Antiqua"/>
          <w:color w:val="000000"/>
          <w:highlight w:val="none"/>
        </w:rPr>
        <w:t xml:space="preserve"> Wellman HM, Woolley JD. Children’s Understanding of Mental Phenomena. In: Advances in Child Development and Behavior. San Diego: Academic Press, 1989: 41–87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33 </w:t>
      </w:r>
      <w:r>
        <w:rPr>
          <w:rFonts w:ascii="Book Antiqua" w:hAnsi="Book Antiqua" w:eastAsia="Book Antiqua" w:cs="Book Antiqua"/>
          <w:b/>
          <w:bCs/>
          <w:color w:val="000000"/>
          <w:highlight w:val="none"/>
        </w:rPr>
        <w:t>Flavell JH,</w:t>
      </w:r>
      <w:r>
        <w:rPr>
          <w:rFonts w:ascii="Book Antiqua" w:hAnsi="Book Antiqua" w:eastAsia="Book Antiqua" w:cs="Book Antiqua"/>
          <w:color w:val="000000"/>
          <w:highlight w:val="none"/>
        </w:rPr>
        <w:t xml:space="preserve"> Miller P. Social cognition. In: Damon W, Kuhn D. Handbook of child psychology. New York: Wiley, 1997: 851-898</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34 </w:t>
      </w:r>
      <w:r>
        <w:rPr>
          <w:rFonts w:ascii="Book Antiqua" w:hAnsi="Book Antiqua" w:eastAsia="Book Antiqua" w:cs="Book Antiqua"/>
          <w:b/>
          <w:bCs/>
          <w:color w:val="000000"/>
          <w:highlight w:val="none"/>
        </w:rPr>
        <w:t>Flavell JH</w:t>
      </w:r>
      <w:r>
        <w:rPr>
          <w:rFonts w:ascii="Book Antiqua" w:hAnsi="Book Antiqua" w:eastAsia="Book Antiqua" w:cs="Book Antiqua"/>
          <w:color w:val="000000"/>
          <w:highlight w:val="none"/>
        </w:rPr>
        <w:t xml:space="preserve">. Cognitive development: children's knowledge about the mind. </w:t>
      </w:r>
      <w:r>
        <w:rPr>
          <w:rFonts w:ascii="Book Antiqua" w:hAnsi="Book Antiqua" w:eastAsia="Book Antiqua" w:cs="Book Antiqua"/>
          <w:i/>
          <w:iCs/>
          <w:color w:val="000000"/>
          <w:highlight w:val="none"/>
        </w:rPr>
        <w:t>Annu Rev Psychol</w:t>
      </w:r>
      <w:r>
        <w:rPr>
          <w:rFonts w:ascii="Book Antiqua" w:hAnsi="Book Antiqua" w:eastAsia="Book Antiqua" w:cs="Book Antiqua"/>
          <w:color w:val="000000"/>
          <w:highlight w:val="none"/>
        </w:rPr>
        <w:t xml:space="preserve"> 1999; </w:t>
      </w:r>
      <w:r>
        <w:rPr>
          <w:rFonts w:ascii="Book Antiqua" w:hAnsi="Book Antiqua" w:eastAsia="Book Antiqua" w:cs="Book Antiqua"/>
          <w:b/>
          <w:bCs/>
          <w:color w:val="000000"/>
          <w:highlight w:val="none"/>
        </w:rPr>
        <w:t>50</w:t>
      </w:r>
      <w:r>
        <w:rPr>
          <w:rFonts w:ascii="Book Antiqua" w:hAnsi="Book Antiqua" w:eastAsia="Book Antiqua" w:cs="Book Antiqua"/>
          <w:color w:val="000000"/>
          <w:highlight w:val="none"/>
        </w:rPr>
        <w:t>: 21-45 [PMID: 10074674 DOI: 10.1146/annurev.psych.50.1.21]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35 </w:t>
      </w:r>
      <w:r>
        <w:rPr>
          <w:rFonts w:ascii="Book Antiqua" w:hAnsi="Book Antiqua" w:eastAsia="Book Antiqua" w:cs="Book Antiqua"/>
          <w:b/>
          <w:bCs/>
          <w:color w:val="000000"/>
          <w:highlight w:val="none"/>
        </w:rPr>
        <w:t>Flavell JH,</w:t>
      </w:r>
      <w:r>
        <w:rPr>
          <w:rFonts w:ascii="Book Antiqua" w:hAnsi="Book Antiqua" w:eastAsia="Book Antiqua" w:cs="Book Antiqua"/>
          <w:color w:val="000000"/>
          <w:highlight w:val="none"/>
        </w:rPr>
        <w:t xml:space="preserve"> Green FL, Flavell ER. The mind has a mind of its own: Developing knowledge about mental uncontrollability. </w:t>
      </w:r>
      <w:r>
        <w:rPr>
          <w:rFonts w:ascii="Book Antiqua" w:hAnsi="Book Antiqua" w:eastAsia="Book Antiqua" w:cs="Book Antiqua"/>
          <w:i/>
          <w:iCs/>
          <w:color w:val="000000"/>
          <w:highlight w:val="none"/>
        </w:rPr>
        <w:t>Cogn Dev</w:t>
      </w:r>
      <w:r>
        <w:rPr>
          <w:rFonts w:ascii="Book Antiqua" w:hAnsi="Book Antiqua" w:eastAsia="Book Antiqua" w:cs="Book Antiqua"/>
          <w:color w:val="000000"/>
          <w:highlight w:val="none"/>
        </w:rPr>
        <w:t xml:space="preserve"> 1998; </w:t>
      </w:r>
      <w:r>
        <w:rPr>
          <w:rFonts w:ascii="Book Antiqua" w:hAnsi="Book Antiqua" w:eastAsia="Book Antiqua" w:cs="Book Antiqua"/>
          <w:b/>
          <w:bCs/>
          <w:color w:val="000000"/>
          <w:highlight w:val="none"/>
        </w:rPr>
        <w:t>13</w:t>
      </w:r>
      <w:r>
        <w:rPr>
          <w:rFonts w:ascii="Book Antiqua" w:hAnsi="Book Antiqua" w:eastAsia="Book Antiqua" w:cs="Book Antiqua"/>
          <w:color w:val="000000"/>
          <w:highlight w:val="none"/>
        </w:rPr>
        <w:t>: 127-138 [DOI: 10.1016/S0885-2014(98)90024-7]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36 </w:t>
      </w:r>
      <w:r>
        <w:rPr>
          <w:rFonts w:ascii="Book Antiqua" w:hAnsi="Book Antiqua" w:eastAsia="Book Antiqua" w:cs="Book Antiqua"/>
          <w:b/>
          <w:bCs/>
          <w:color w:val="000000"/>
          <w:highlight w:val="none"/>
        </w:rPr>
        <w:t>Marulis LM,</w:t>
      </w:r>
      <w:r>
        <w:rPr>
          <w:rFonts w:ascii="Book Antiqua" w:hAnsi="Book Antiqua" w:eastAsia="Book Antiqua" w:cs="Book Antiqua"/>
          <w:color w:val="000000"/>
          <w:highlight w:val="none"/>
        </w:rPr>
        <w:t xml:space="preserve"> Palincsar AS, Berhenke AL, Whitebread D. Assessing metacognitive knowledge in 3–5 year olds: the development of a metacognitive knowledge interview (McKI). </w:t>
      </w:r>
      <w:r>
        <w:rPr>
          <w:rFonts w:ascii="Book Antiqua" w:hAnsi="Book Antiqua" w:eastAsia="Book Antiqua" w:cs="Book Antiqua"/>
          <w:i/>
          <w:iCs/>
          <w:color w:val="000000"/>
          <w:highlight w:val="none"/>
        </w:rPr>
        <w:t>Metacognit Learn</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11</w:t>
      </w:r>
      <w:r>
        <w:rPr>
          <w:rFonts w:ascii="Book Antiqua" w:hAnsi="Book Antiqua" w:eastAsia="Book Antiqua" w:cs="Book Antiqua"/>
          <w:color w:val="000000"/>
          <w:highlight w:val="none"/>
        </w:rPr>
        <w:t>: 339-368 [DOI: 10.1007/s11409-016-9157-7]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37 </w:t>
      </w:r>
      <w:r>
        <w:rPr>
          <w:rFonts w:ascii="Book Antiqua" w:hAnsi="Book Antiqua" w:eastAsia="Book Antiqua" w:cs="Book Antiqua"/>
          <w:b/>
          <w:bCs/>
          <w:color w:val="000000"/>
          <w:highlight w:val="none"/>
        </w:rPr>
        <w:t>Myers SG</w:t>
      </w:r>
      <w:r>
        <w:rPr>
          <w:rFonts w:ascii="Book Antiqua" w:hAnsi="Book Antiqua" w:eastAsia="Book Antiqua" w:cs="Book Antiqua"/>
          <w:color w:val="000000"/>
          <w:highlight w:val="none"/>
        </w:rPr>
        <w:t xml:space="preserve">, Solem S, Wells A. The Metacognitions Questionnaire and Its Derivatives in Children and Adolescents: A Systematic Review of Psychometric Properties. </w:t>
      </w:r>
      <w:r>
        <w:rPr>
          <w:rFonts w:ascii="Book Antiqua" w:hAnsi="Book Antiqua" w:eastAsia="Book Antiqua" w:cs="Book Antiqua"/>
          <w:i/>
          <w:iCs/>
          <w:color w:val="000000"/>
          <w:highlight w:val="none"/>
        </w:rPr>
        <w:t>Front Psychol</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10</w:t>
      </w:r>
      <w:r>
        <w:rPr>
          <w:rFonts w:ascii="Book Antiqua" w:hAnsi="Book Antiqua" w:eastAsia="Book Antiqua" w:cs="Book Antiqua"/>
          <w:color w:val="000000"/>
          <w:highlight w:val="none"/>
        </w:rPr>
        <w:t>: 1871 [PMID: 31551843 DOI: 10.3389/fpsyg.2019.01871]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38 </w:t>
      </w:r>
      <w:r>
        <w:rPr>
          <w:rFonts w:ascii="Book Antiqua" w:hAnsi="Book Antiqua" w:eastAsia="Book Antiqua" w:cs="Book Antiqua"/>
          <w:b/>
          <w:bCs/>
          <w:color w:val="000000"/>
          <w:highlight w:val="none"/>
        </w:rPr>
        <w:t>Moher D</w:t>
      </w:r>
      <w:r>
        <w:rPr>
          <w:rFonts w:ascii="Book Antiqua" w:hAnsi="Book Antiqua" w:eastAsia="Book Antiqua" w:cs="Book Antiqua"/>
          <w:color w:val="000000"/>
          <w:highlight w:val="none"/>
        </w:rPr>
        <w:t xml:space="preserve">, Liberati A, Tetzlaff J, Altman DG; PRISMA Group. Preferred reporting items for systematic reviews and meta-analyses: the PRISMA statement. </w:t>
      </w:r>
      <w:r>
        <w:rPr>
          <w:rFonts w:ascii="Book Antiqua" w:hAnsi="Book Antiqua" w:eastAsia="Book Antiqua" w:cs="Book Antiqua"/>
          <w:i/>
          <w:iCs/>
          <w:color w:val="000000"/>
          <w:highlight w:val="none"/>
        </w:rPr>
        <w:t>PLoS Med</w:t>
      </w:r>
      <w:r>
        <w:rPr>
          <w:rFonts w:ascii="Book Antiqua" w:hAnsi="Book Antiqua" w:eastAsia="Book Antiqua" w:cs="Book Antiqua"/>
          <w:color w:val="000000"/>
          <w:highlight w:val="none"/>
        </w:rPr>
        <w:t xml:space="preserve"> 2009; </w:t>
      </w:r>
      <w:r>
        <w:rPr>
          <w:rFonts w:ascii="Book Antiqua" w:hAnsi="Book Antiqua" w:eastAsia="Book Antiqua" w:cs="Book Antiqua"/>
          <w:b/>
          <w:bCs/>
          <w:color w:val="000000"/>
          <w:highlight w:val="none"/>
        </w:rPr>
        <w:t>6</w:t>
      </w:r>
      <w:r>
        <w:rPr>
          <w:rFonts w:ascii="Book Antiqua" w:hAnsi="Book Antiqua" w:eastAsia="Book Antiqua" w:cs="Book Antiqua"/>
          <w:color w:val="000000"/>
          <w:highlight w:val="none"/>
        </w:rPr>
        <w:t>: e1000097 [PMID: 19621072 DOI: 10.1371/journal.pmed.1000097]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39 </w:t>
      </w:r>
      <w:r>
        <w:rPr>
          <w:rFonts w:ascii="Book Antiqua" w:hAnsi="Book Antiqua" w:eastAsia="Book Antiqua" w:cs="Book Antiqua"/>
          <w:b/>
          <w:bCs/>
          <w:color w:val="000000"/>
          <w:highlight w:val="none"/>
        </w:rPr>
        <w:t>Moher D</w:t>
      </w:r>
      <w:r>
        <w:rPr>
          <w:rFonts w:ascii="Book Antiqua" w:hAnsi="Book Antiqua" w:eastAsia="Book Antiqua" w:cs="Book Antiqua"/>
          <w:color w:val="000000"/>
          <w:highlight w:val="none"/>
        </w:rPr>
        <w:t xml:space="preserve">, Shamseer L, Clarke M, Ghersi D, Liberati A, Petticrew M, Shekelle P, Stewart LA; PRISMA-P Group. Preferred reporting items for systematic review and meta-analysis protocols (PRISMA-P) 2015 statement. </w:t>
      </w:r>
      <w:r>
        <w:rPr>
          <w:rFonts w:ascii="Book Antiqua" w:hAnsi="Book Antiqua" w:eastAsia="Book Antiqua" w:cs="Book Antiqua"/>
          <w:i/>
          <w:iCs/>
          <w:color w:val="000000"/>
          <w:highlight w:val="none"/>
        </w:rPr>
        <w:t>Syst Rev</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4</w:t>
      </w:r>
      <w:r>
        <w:rPr>
          <w:rFonts w:ascii="Book Antiqua" w:hAnsi="Book Antiqua" w:eastAsia="Book Antiqua" w:cs="Book Antiqua"/>
          <w:color w:val="000000"/>
          <w:highlight w:val="none"/>
        </w:rPr>
        <w:t>: 1 [PMID: 25554246 DOI: 10.1186/2046-4053-4-1]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40 </w:t>
      </w:r>
      <w:r>
        <w:rPr>
          <w:rFonts w:ascii="Book Antiqua" w:hAnsi="Book Antiqua" w:eastAsia="Book Antiqua" w:cs="Book Antiqua"/>
          <w:b/>
          <w:bCs/>
          <w:color w:val="000000"/>
          <w:highlight w:val="none"/>
        </w:rPr>
        <w:t>American Psychiatric Association</w:t>
      </w:r>
      <w:r>
        <w:rPr>
          <w:rFonts w:ascii="Book Antiqua" w:hAnsi="Book Antiqua" w:eastAsia="Book Antiqua" w:cs="Book Antiqua"/>
          <w:color w:val="000000"/>
          <w:highlight w:val="none"/>
        </w:rPr>
        <w:t>.</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Diagnostic and Statistical Manual of Mental Disorders. 5</w:t>
      </w:r>
      <w:r>
        <w:rPr>
          <w:rFonts w:ascii="Book Antiqua" w:hAnsi="Book Antiqua" w:eastAsia="Book Antiqua" w:cs="Book Antiqua"/>
          <w:color w:val="000000"/>
          <w:highlight w:val="none"/>
          <w:vertAlign w:val="superscript"/>
        </w:rPr>
        <w:t>th</w:t>
      </w:r>
      <w:r>
        <w:rPr>
          <w:rFonts w:ascii="Book Antiqua" w:hAnsi="Book Antiqua" w:eastAsia="Book Antiqua" w:cs="Book Antiqua"/>
          <w:color w:val="000000"/>
          <w:highlight w:val="none"/>
        </w:rPr>
        <w:t xml:space="preserve"> ed. Arlingon (VA): American Psychiatric Publishing, 2013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41 </w:t>
      </w:r>
      <w:r>
        <w:rPr>
          <w:rFonts w:ascii="Book Antiqua" w:hAnsi="Book Antiqua" w:eastAsia="Book Antiqua" w:cs="Book Antiqua"/>
          <w:b/>
          <w:bCs/>
          <w:color w:val="000000"/>
          <w:highlight w:val="none"/>
        </w:rPr>
        <w:t>Downes MJ</w:t>
      </w:r>
      <w:r>
        <w:rPr>
          <w:rFonts w:ascii="Book Antiqua" w:hAnsi="Book Antiqua" w:eastAsia="Book Antiqua" w:cs="Book Antiqua"/>
          <w:color w:val="000000"/>
          <w:highlight w:val="none"/>
        </w:rPr>
        <w:t xml:space="preserve">, Brennan ML, Williams HC, Dean RS. Development of a critical appraisal tool to assess the quality of cross-sectional studies (AXIS). </w:t>
      </w:r>
      <w:r>
        <w:rPr>
          <w:rFonts w:ascii="Book Antiqua" w:hAnsi="Book Antiqua" w:eastAsia="Book Antiqua" w:cs="Book Antiqua"/>
          <w:i/>
          <w:iCs/>
          <w:color w:val="000000"/>
          <w:highlight w:val="none"/>
        </w:rPr>
        <w:t>BMJ Open</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6</w:t>
      </w:r>
      <w:r>
        <w:rPr>
          <w:rFonts w:ascii="Book Antiqua" w:hAnsi="Book Antiqua" w:eastAsia="Book Antiqua" w:cs="Book Antiqua"/>
          <w:color w:val="000000"/>
          <w:highlight w:val="none"/>
        </w:rPr>
        <w:t>: e011458 [PMID: 27932337 DOI: 10.1136/bmjopen-2016-011458]</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42 </w:t>
      </w:r>
      <w:r>
        <w:rPr>
          <w:rFonts w:ascii="Book Antiqua" w:hAnsi="Book Antiqua" w:eastAsia="Book Antiqua" w:cs="Book Antiqua"/>
          <w:b/>
          <w:bCs/>
          <w:color w:val="000000"/>
          <w:highlight w:val="none"/>
        </w:rPr>
        <w:t>Koo TK</w:t>
      </w:r>
      <w:r>
        <w:rPr>
          <w:rFonts w:ascii="Book Antiqua" w:hAnsi="Book Antiqua" w:eastAsia="Book Antiqua" w:cs="Book Antiqua"/>
          <w:color w:val="000000"/>
          <w:highlight w:val="none"/>
        </w:rPr>
        <w:t xml:space="preserve">, Li MY. A Guideline of Selecting and Reporting Intraclass Correlation Coefficients for Reliability Research. </w:t>
      </w:r>
      <w:r>
        <w:rPr>
          <w:rFonts w:ascii="Book Antiqua" w:hAnsi="Book Antiqua" w:eastAsia="Book Antiqua" w:cs="Book Antiqua"/>
          <w:i/>
          <w:iCs/>
          <w:color w:val="000000"/>
          <w:highlight w:val="none"/>
        </w:rPr>
        <w:t>J Chiropr Med</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15</w:t>
      </w:r>
      <w:r>
        <w:rPr>
          <w:rFonts w:ascii="Book Antiqua" w:hAnsi="Book Antiqua" w:eastAsia="Book Antiqua" w:cs="Book Antiqua"/>
          <w:color w:val="000000"/>
          <w:highlight w:val="none"/>
        </w:rPr>
        <w:t>: 155-163 [PMID: 27330520 DOI: 10.1016/j.jcm.2016.02.012]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43 </w:t>
      </w:r>
      <w:r>
        <w:rPr>
          <w:rFonts w:ascii="Book Antiqua" w:hAnsi="Book Antiqua" w:eastAsia="Book Antiqua" w:cs="Book Antiqua"/>
          <w:b/>
          <w:bCs/>
          <w:color w:val="000000"/>
          <w:highlight w:val="none"/>
        </w:rPr>
        <w:t>Cohen J</w:t>
      </w:r>
      <w:r>
        <w:rPr>
          <w:rFonts w:ascii="Book Antiqua" w:hAnsi="Book Antiqua" w:eastAsia="Book Antiqua" w:cs="Book Antiqua"/>
          <w:color w:val="000000"/>
          <w:highlight w:val="none"/>
        </w:rPr>
        <w:t xml:space="preserve">. A power primer. </w:t>
      </w:r>
      <w:r>
        <w:rPr>
          <w:rFonts w:ascii="Book Antiqua" w:hAnsi="Book Antiqua" w:eastAsia="Book Antiqua" w:cs="Book Antiqua"/>
          <w:i/>
          <w:iCs/>
          <w:color w:val="000000"/>
          <w:highlight w:val="none"/>
        </w:rPr>
        <w:t>Psychol Bull</w:t>
      </w:r>
      <w:r>
        <w:rPr>
          <w:rFonts w:ascii="Book Antiqua" w:hAnsi="Book Antiqua" w:eastAsia="Book Antiqua" w:cs="Book Antiqua"/>
          <w:color w:val="000000"/>
          <w:highlight w:val="none"/>
        </w:rPr>
        <w:t xml:space="preserve"> 1992; </w:t>
      </w:r>
      <w:r>
        <w:rPr>
          <w:rFonts w:ascii="Book Antiqua" w:hAnsi="Book Antiqua" w:eastAsia="Book Antiqua" w:cs="Book Antiqua"/>
          <w:b/>
          <w:bCs/>
          <w:color w:val="000000"/>
          <w:highlight w:val="none"/>
        </w:rPr>
        <w:t>112</w:t>
      </w:r>
      <w:r>
        <w:rPr>
          <w:rFonts w:ascii="Book Antiqua" w:hAnsi="Book Antiqua" w:eastAsia="Book Antiqua" w:cs="Book Antiqua"/>
          <w:color w:val="000000"/>
          <w:highlight w:val="none"/>
        </w:rPr>
        <w:t>: 155-159 [PMID: 19565683 DOI: 10.1037//0033-2909.112.1.155]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44 </w:t>
      </w:r>
      <w:r>
        <w:rPr>
          <w:rFonts w:ascii="Book Antiqua" w:hAnsi="Book Antiqua" w:eastAsia="Book Antiqua" w:cs="Book Antiqua"/>
          <w:b/>
          <w:bCs/>
          <w:color w:val="000000"/>
          <w:highlight w:val="none"/>
        </w:rPr>
        <w:t>The Cochrane Collaboration</w:t>
      </w:r>
      <w:r>
        <w:rPr>
          <w:rFonts w:ascii="Book Antiqua" w:hAnsi="Book Antiqua" w:eastAsia="Book Antiqua" w:cs="Book Antiqua"/>
          <w:color w:val="000000"/>
          <w:highlight w:val="none"/>
        </w:rPr>
        <w:t>. Review Manager (RevMan). [cited 10 January 2021]. Available from: https://training.cochrane.org/online-learning/core-software-cochrane-reviews/revman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45 </w:t>
      </w:r>
      <w:r>
        <w:rPr>
          <w:rFonts w:ascii="Book Antiqua" w:hAnsi="Book Antiqua" w:eastAsia="Book Antiqua" w:cs="Book Antiqua"/>
          <w:b/>
          <w:bCs/>
          <w:color w:val="000000"/>
          <w:highlight w:val="none"/>
        </w:rPr>
        <w:t>IntHout J</w:t>
      </w:r>
      <w:r>
        <w:rPr>
          <w:rFonts w:ascii="Book Antiqua" w:hAnsi="Book Antiqua" w:eastAsia="Book Antiqua" w:cs="Book Antiqua"/>
          <w:color w:val="000000"/>
          <w:highlight w:val="none"/>
        </w:rPr>
        <w:t xml:space="preserve">, Ioannidis JP, Rovers MM, Goeman JJ. Plea for routinely presenting prediction intervals in meta-analysis. </w:t>
      </w:r>
      <w:r>
        <w:rPr>
          <w:rFonts w:ascii="Book Antiqua" w:hAnsi="Book Antiqua" w:eastAsia="Book Antiqua" w:cs="Book Antiqua"/>
          <w:i/>
          <w:iCs/>
          <w:color w:val="000000"/>
          <w:highlight w:val="none"/>
        </w:rPr>
        <w:t>BMJ Open</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6</w:t>
      </w:r>
      <w:r>
        <w:rPr>
          <w:rFonts w:ascii="Book Antiqua" w:hAnsi="Book Antiqua" w:eastAsia="Book Antiqua" w:cs="Book Antiqua"/>
          <w:color w:val="000000"/>
          <w:highlight w:val="none"/>
        </w:rPr>
        <w:t>: e010247 [PMID: 27406637 DOI: 10.1136/bmjopen-2015-010247]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46 </w:t>
      </w:r>
      <w:r>
        <w:rPr>
          <w:rFonts w:ascii="Book Antiqua" w:hAnsi="Book Antiqua" w:eastAsia="Book Antiqua" w:cs="Book Antiqua"/>
          <w:b/>
          <w:bCs/>
          <w:color w:val="000000"/>
          <w:highlight w:val="none"/>
        </w:rPr>
        <w:t>Borenstein M</w:t>
      </w:r>
      <w:r>
        <w:rPr>
          <w:rFonts w:ascii="Book Antiqua" w:hAnsi="Book Antiqua" w:eastAsia="Book Antiqua" w:cs="Book Antiqua"/>
          <w:color w:val="000000"/>
          <w:highlight w:val="none"/>
        </w:rPr>
        <w:t>, Higgins JP, Hedges LV, Rothstein HR. Basics of meta-analysis: I</w:t>
      </w:r>
      <w:r>
        <w:rPr>
          <w:rFonts w:ascii="Book Antiqua" w:hAnsi="Book Antiqua" w:eastAsia="Book Antiqua" w:cs="Book Antiqua"/>
          <w:color w:val="000000"/>
          <w:highlight w:val="none"/>
          <w:vertAlign w:val="superscript"/>
        </w:rPr>
        <w:t>2</w:t>
      </w:r>
      <w:r>
        <w:rPr>
          <w:rFonts w:ascii="Book Antiqua" w:hAnsi="Book Antiqua" w:eastAsia="Book Antiqua" w:cs="Book Antiqua"/>
          <w:color w:val="000000"/>
          <w:highlight w:val="none"/>
        </w:rPr>
        <w:t xml:space="preserve"> is not an absolute measure of heterogeneity. </w:t>
      </w:r>
      <w:r>
        <w:rPr>
          <w:rFonts w:ascii="Book Antiqua" w:hAnsi="Book Antiqua" w:eastAsia="Book Antiqua" w:cs="Book Antiqua"/>
          <w:i/>
          <w:iCs/>
          <w:color w:val="000000"/>
          <w:highlight w:val="none"/>
        </w:rPr>
        <w:t>Res Synth Methods</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8</w:t>
      </w:r>
      <w:r>
        <w:rPr>
          <w:rFonts w:ascii="Book Antiqua" w:hAnsi="Book Antiqua" w:eastAsia="Book Antiqua" w:cs="Book Antiqua"/>
          <w:color w:val="000000"/>
          <w:highlight w:val="none"/>
        </w:rPr>
        <w:t>: 5-18 [PMID: 28058794 DOI: 10.1002/jrsm.1230]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47 </w:t>
      </w:r>
      <w:r>
        <w:rPr>
          <w:rFonts w:ascii="Book Antiqua" w:hAnsi="Book Antiqua" w:eastAsia="Book Antiqua" w:cs="Book Antiqua"/>
          <w:b/>
          <w:bCs/>
          <w:color w:val="000000"/>
          <w:highlight w:val="none"/>
        </w:rPr>
        <w:t>Higgins JP</w:t>
      </w:r>
      <w:r>
        <w:rPr>
          <w:rFonts w:ascii="Book Antiqua" w:hAnsi="Book Antiqua" w:eastAsia="Book Antiqua" w:cs="Book Antiqua"/>
          <w:color w:val="000000"/>
          <w:highlight w:val="none"/>
        </w:rPr>
        <w:t xml:space="preserve">, Thompson SG, Deeks JJ, Altman DG. Measuring inconsistency in meta-analyses. </w:t>
      </w:r>
      <w:r>
        <w:rPr>
          <w:rFonts w:ascii="Book Antiqua" w:hAnsi="Book Antiqua" w:eastAsia="Book Antiqua" w:cs="Book Antiqua"/>
          <w:i/>
          <w:iCs/>
          <w:color w:val="000000"/>
          <w:highlight w:val="none"/>
        </w:rPr>
        <w:t>BMJ</w:t>
      </w:r>
      <w:r>
        <w:rPr>
          <w:rFonts w:ascii="Book Antiqua" w:hAnsi="Book Antiqua" w:eastAsia="Book Antiqua" w:cs="Book Antiqua"/>
          <w:color w:val="000000"/>
          <w:highlight w:val="none"/>
        </w:rPr>
        <w:t xml:space="preserve"> 2003; </w:t>
      </w:r>
      <w:r>
        <w:rPr>
          <w:rFonts w:ascii="Book Antiqua" w:hAnsi="Book Antiqua" w:eastAsia="Book Antiqua" w:cs="Book Antiqua"/>
          <w:b/>
          <w:bCs/>
          <w:color w:val="000000"/>
          <w:highlight w:val="none"/>
        </w:rPr>
        <w:t>327</w:t>
      </w:r>
      <w:r>
        <w:rPr>
          <w:rFonts w:ascii="Book Antiqua" w:hAnsi="Book Antiqua" w:eastAsia="Book Antiqua" w:cs="Book Antiqua"/>
          <w:color w:val="000000"/>
          <w:highlight w:val="none"/>
        </w:rPr>
        <w:t>: 557-560 [PMID: 12958120 DOI: 10.1136/bmj.327.7414.557]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48 </w:t>
      </w:r>
      <w:r>
        <w:rPr>
          <w:rFonts w:ascii="Book Antiqua" w:hAnsi="Book Antiqua" w:eastAsia="Book Antiqua" w:cs="Book Antiqua"/>
          <w:b/>
          <w:bCs/>
          <w:color w:val="000000"/>
          <w:highlight w:val="none"/>
        </w:rPr>
        <w:t>Beheshti A,</w:t>
      </w:r>
      <w:r>
        <w:rPr>
          <w:rFonts w:ascii="Book Antiqua" w:hAnsi="Book Antiqua" w:eastAsia="Book Antiqua" w:cs="Book Antiqua"/>
          <w:color w:val="000000"/>
          <w:highlight w:val="none"/>
        </w:rPr>
        <w:t xml:space="preserve"> Chavanon M-L, Albrecht B, Christiansen H. Meta-Mar: a free online meta-analysis service. [cited 10 January 2021]. In: Meta-Mar [Internet]. Available from: https://www.meta-mar.com/</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49 </w:t>
      </w:r>
      <w:r>
        <w:rPr>
          <w:rFonts w:ascii="Book Antiqua" w:hAnsi="Book Antiqua" w:eastAsia="Book Antiqua" w:cs="Book Antiqua"/>
          <w:b/>
          <w:bCs/>
          <w:color w:val="000000"/>
          <w:highlight w:val="none"/>
        </w:rPr>
        <w:t>Benedetto L,</w:t>
      </w:r>
      <w:r>
        <w:rPr>
          <w:rFonts w:ascii="Book Antiqua" w:hAnsi="Book Antiqua" w:eastAsia="Book Antiqua" w:cs="Book Antiqua"/>
          <w:color w:val="000000"/>
          <w:highlight w:val="none"/>
        </w:rPr>
        <w:t xml:space="preserve"> La Fauci E, Ingrassia M. Exploring meta-worry and perceived parenting behaviors in adolescents’ anxiety.</w:t>
      </w:r>
      <w:r>
        <w:rPr>
          <w:rFonts w:ascii="Book Antiqua" w:hAnsi="Book Antiqua" w:eastAsia="Book Antiqua" w:cs="Book Antiqua"/>
          <w:i/>
          <w:iCs/>
          <w:color w:val="000000"/>
          <w:highlight w:val="none"/>
        </w:rPr>
        <w:t xml:space="preserve"> Life Span Disabil </w:t>
      </w:r>
      <w:r>
        <w:rPr>
          <w:rFonts w:ascii="Book Antiqua" w:hAnsi="Book Antiqua" w:eastAsia="Book Antiqua" w:cs="Book Antiqua"/>
          <w:color w:val="000000"/>
          <w:highlight w:val="none"/>
        </w:rPr>
        <w:t xml:space="preserve">2018; </w:t>
      </w:r>
      <w:r>
        <w:rPr>
          <w:rFonts w:ascii="Book Antiqua" w:hAnsi="Book Antiqua" w:eastAsia="Book Antiqua" w:cs="Book Antiqua"/>
          <w:b/>
          <w:bCs/>
          <w:color w:val="000000"/>
          <w:highlight w:val="none"/>
        </w:rPr>
        <w:t>2</w:t>
      </w:r>
      <w:r>
        <w:rPr>
          <w:rFonts w:ascii="Book Antiqua" w:hAnsi="Book Antiqua" w:eastAsia="Book Antiqua" w:cs="Book Antiqua"/>
          <w:color w:val="000000"/>
          <w:highlight w:val="none"/>
        </w:rPr>
        <w:t>: 117-141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50 </w:t>
      </w:r>
      <w:r>
        <w:rPr>
          <w:rFonts w:ascii="Book Antiqua" w:hAnsi="Book Antiqua" w:eastAsia="Book Antiqua" w:cs="Book Antiqua"/>
          <w:b/>
          <w:bCs/>
          <w:color w:val="000000"/>
          <w:highlight w:val="none"/>
        </w:rPr>
        <w:t>Francis R,</w:t>
      </w:r>
      <w:r>
        <w:rPr>
          <w:rFonts w:ascii="Book Antiqua" w:hAnsi="Book Antiqua" w:eastAsia="Book Antiqua" w:cs="Book Antiqua"/>
          <w:color w:val="000000"/>
          <w:highlight w:val="none"/>
        </w:rPr>
        <w:t xml:space="preserve"> Hawes DJ, Abbott M, Costa DSJ. Development and Preliminary Validation of the Threat Appraisal Questionnaire for Children (TAQ-C). </w:t>
      </w:r>
      <w:r>
        <w:rPr>
          <w:rFonts w:ascii="Book Antiqua" w:hAnsi="Book Antiqua" w:eastAsia="Book Antiqua" w:cs="Book Antiqua"/>
          <w:i/>
          <w:iCs/>
          <w:color w:val="000000"/>
          <w:highlight w:val="none"/>
        </w:rPr>
        <w:t>J Psychopathol Behav Assess</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39</w:t>
      </w:r>
      <w:r>
        <w:rPr>
          <w:rFonts w:ascii="Book Antiqua" w:hAnsi="Book Antiqua" w:eastAsia="Book Antiqua" w:cs="Book Antiqua"/>
          <w:color w:val="000000"/>
          <w:highlight w:val="none"/>
        </w:rPr>
        <w:t>: 322-341 [DOI: 10.1007/s10862-016-9584-4]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51 </w:t>
      </w:r>
      <w:r>
        <w:rPr>
          <w:rFonts w:ascii="Book Antiqua" w:hAnsi="Book Antiqua" w:eastAsia="Book Antiqua" w:cs="Book Antiqua"/>
          <w:b/>
          <w:bCs/>
          <w:color w:val="000000"/>
          <w:highlight w:val="none"/>
        </w:rPr>
        <w:t>Francis R,</w:t>
      </w:r>
      <w:r>
        <w:rPr>
          <w:rFonts w:ascii="Book Antiqua" w:hAnsi="Book Antiqua" w:eastAsia="Book Antiqua" w:cs="Book Antiqua"/>
          <w:color w:val="000000"/>
          <w:highlight w:val="none"/>
        </w:rPr>
        <w:t xml:space="preserve"> Hawes DJ, Abbott MJ, Costa DSJ. Cognitive mechanisms for worry in early adolescence: Re-examining the role of high verbal intelligence. </w:t>
      </w:r>
      <w:r>
        <w:rPr>
          <w:rFonts w:ascii="Book Antiqua" w:hAnsi="Book Antiqua" w:eastAsia="Book Antiqua" w:cs="Book Antiqua"/>
          <w:i/>
          <w:iCs/>
          <w:color w:val="000000"/>
          <w:highlight w:val="none"/>
        </w:rPr>
        <w:t xml:space="preserve">Pers Individ Dif </w:t>
      </w:r>
      <w:r>
        <w:rPr>
          <w:rFonts w:ascii="Book Antiqua" w:hAnsi="Book Antiqua" w:eastAsia="Book Antiqua" w:cs="Book Antiqua"/>
          <w:color w:val="000000"/>
          <w:highlight w:val="none"/>
        </w:rPr>
        <w:t xml:space="preserve">2018; </w:t>
      </w:r>
      <w:r>
        <w:rPr>
          <w:rFonts w:ascii="Book Antiqua" w:hAnsi="Book Antiqua" w:eastAsia="Book Antiqua" w:cs="Book Antiqua"/>
          <w:b/>
          <w:bCs/>
          <w:color w:val="000000"/>
          <w:highlight w:val="none"/>
        </w:rPr>
        <w:t>120</w:t>
      </w:r>
      <w:r>
        <w:rPr>
          <w:rFonts w:ascii="Book Antiqua" w:hAnsi="Book Antiqua" w:eastAsia="Book Antiqua" w:cs="Book Antiqua"/>
          <w:color w:val="000000"/>
          <w:highlight w:val="none"/>
        </w:rPr>
        <w:t>: 179-184 [DOI: 10.1016/j.paid.2017.08.044]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52 </w:t>
      </w:r>
      <w:r>
        <w:rPr>
          <w:rFonts w:ascii="Book Antiqua" w:hAnsi="Book Antiqua" w:eastAsia="Book Antiqua" w:cs="Book Antiqua"/>
          <w:b/>
          <w:bCs/>
          <w:color w:val="000000"/>
          <w:highlight w:val="none"/>
        </w:rPr>
        <w:t>Smith KE</w:t>
      </w:r>
      <w:r>
        <w:rPr>
          <w:rFonts w:ascii="Book Antiqua" w:hAnsi="Book Antiqua" w:eastAsia="Book Antiqua" w:cs="Book Antiqua"/>
          <w:color w:val="000000"/>
          <w:highlight w:val="none"/>
        </w:rPr>
        <w:t xml:space="preserve">, Hudson JL. Metacognitive beliefs and processes in clinical anxiety in children. </w:t>
      </w:r>
      <w:r>
        <w:rPr>
          <w:rFonts w:ascii="Book Antiqua" w:hAnsi="Book Antiqua" w:eastAsia="Book Antiqua" w:cs="Book Antiqua"/>
          <w:i/>
          <w:iCs/>
          <w:color w:val="000000"/>
          <w:highlight w:val="none"/>
        </w:rPr>
        <w:t>J Clin Child Adolesc Psychol</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590-602 [PMID: 23356384 DOI: 10.1080/15374416.2012.755925]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53 </w:t>
      </w:r>
      <w:r>
        <w:rPr>
          <w:rFonts w:ascii="Book Antiqua" w:hAnsi="Book Antiqua" w:eastAsia="Book Antiqua" w:cs="Book Antiqua"/>
          <w:b/>
          <w:bCs/>
          <w:color w:val="000000"/>
          <w:highlight w:val="none"/>
        </w:rPr>
        <w:t>Cartwright-Hatton S</w:t>
      </w:r>
      <w:r>
        <w:rPr>
          <w:rFonts w:ascii="Book Antiqua" w:hAnsi="Book Antiqua" w:eastAsia="Book Antiqua" w:cs="Book Antiqua"/>
          <w:color w:val="000000"/>
          <w:highlight w:val="none"/>
        </w:rPr>
        <w:t xml:space="preserve">, Mather A, Illingworth V, Brocki J, Harrington R, Wells A. Development and preliminary validation of the Meta-cognitions Questionnaire-Adolescent Version. </w:t>
      </w:r>
      <w:r>
        <w:rPr>
          <w:rFonts w:ascii="Book Antiqua" w:hAnsi="Book Antiqua" w:eastAsia="Book Antiqua" w:cs="Book Antiqua"/>
          <w:i/>
          <w:iCs/>
          <w:color w:val="000000"/>
          <w:highlight w:val="none"/>
        </w:rPr>
        <w:t>J Anxiety Disord</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18</w:t>
      </w:r>
      <w:r>
        <w:rPr>
          <w:rFonts w:ascii="Book Antiqua" w:hAnsi="Book Antiqua" w:eastAsia="Book Antiqua" w:cs="Book Antiqua"/>
          <w:color w:val="000000"/>
          <w:highlight w:val="none"/>
        </w:rPr>
        <w:t>: 411-422 [PMID: 15125986 DOI: 10.1016/S0887-6185(02)00294-3]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54 </w:t>
      </w:r>
      <w:r>
        <w:rPr>
          <w:rFonts w:ascii="Book Antiqua" w:hAnsi="Book Antiqua" w:eastAsia="Book Antiqua" w:cs="Book Antiqua"/>
          <w:b/>
          <w:bCs/>
          <w:color w:val="000000"/>
          <w:highlight w:val="none"/>
        </w:rPr>
        <w:t>Zimmermann M,</w:t>
      </w:r>
      <w:r>
        <w:rPr>
          <w:rFonts w:ascii="Book Antiqua" w:hAnsi="Book Antiqua" w:eastAsia="Book Antiqua" w:cs="Book Antiqua"/>
          <w:color w:val="000000"/>
          <w:highlight w:val="none"/>
        </w:rPr>
        <w:t xml:space="preserve"> Glemser M, Ertle A. Dysfunktionale Metakognitionen im Jugendalter: Psychometrische Evaluation einer deutschsprachigen Version des Meta-cognitions Questionaire - Adolescent Version (MCQ-A). </w:t>
      </w:r>
      <w:r>
        <w:rPr>
          <w:rFonts w:ascii="Book Antiqua" w:hAnsi="Book Antiqua" w:eastAsia="Book Antiqua" w:cs="Book Antiqua"/>
          <w:i/>
          <w:iCs/>
          <w:color w:val="000000"/>
          <w:highlight w:val="none"/>
        </w:rPr>
        <w:t>Z Kinder Jugendpsychiatr Psychother</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47</w:t>
      </w:r>
      <w:r>
        <w:rPr>
          <w:rFonts w:ascii="Book Antiqua" w:hAnsi="Book Antiqua" w:eastAsia="Book Antiqua" w:cs="Book Antiqua"/>
          <w:color w:val="000000"/>
          <w:highlight w:val="none"/>
        </w:rPr>
        <w:t>: 264–273 [DOI: 10.1026/1616-3443/a000492]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55 </w:t>
      </w:r>
      <w:r>
        <w:rPr>
          <w:rFonts w:ascii="Book Antiqua" w:hAnsi="Book Antiqua" w:eastAsia="Book Antiqua" w:cs="Book Antiqua"/>
          <w:b/>
          <w:bCs/>
          <w:color w:val="000000"/>
          <w:highlight w:val="none"/>
        </w:rPr>
        <w:t>Babaei S</w:t>
      </w:r>
      <w:r>
        <w:rPr>
          <w:rFonts w:ascii="Book Antiqua" w:hAnsi="Book Antiqua" w:eastAsia="Book Antiqua" w:cs="Book Antiqua"/>
          <w:color w:val="000000"/>
          <w:highlight w:val="none"/>
        </w:rPr>
        <w:t xml:space="preserve">, Ranjbar Varandi S, Hatami Z, Gharechahi M. Metacognition Beliefs and General Health in Predicting Alexithymia in Students. </w:t>
      </w:r>
      <w:r>
        <w:rPr>
          <w:rFonts w:ascii="Book Antiqua" w:hAnsi="Book Antiqua" w:eastAsia="Book Antiqua" w:cs="Book Antiqua"/>
          <w:i/>
          <w:iCs/>
          <w:color w:val="000000"/>
          <w:highlight w:val="none"/>
        </w:rPr>
        <w:t>Glob J Health Sci</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8</w:t>
      </w:r>
      <w:r>
        <w:rPr>
          <w:rFonts w:ascii="Book Antiqua" w:hAnsi="Book Antiqua" w:eastAsia="Book Antiqua" w:cs="Book Antiqua"/>
          <w:color w:val="000000"/>
          <w:highlight w:val="none"/>
        </w:rPr>
        <w:t>: 117-125 [PMID: 26383206 DOI: 10.5539/gjhs.v8n2p117]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56 </w:t>
      </w:r>
      <w:r>
        <w:rPr>
          <w:rFonts w:ascii="Book Antiqua" w:hAnsi="Book Antiqua" w:eastAsia="Book Antiqua" w:cs="Book Antiqua"/>
          <w:b/>
          <w:bCs/>
          <w:color w:val="000000"/>
          <w:highlight w:val="none"/>
        </w:rPr>
        <w:t>Esbjørn BH</w:t>
      </w:r>
      <w:r>
        <w:rPr>
          <w:rFonts w:ascii="Book Antiqua" w:hAnsi="Book Antiqua" w:eastAsia="Book Antiqua" w:cs="Book Antiqua"/>
          <w:color w:val="000000"/>
          <w:highlight w:val="none"/>
        </w:rPr>
        <w:t xml:space="preserve">, Normann N, Christiansen BM, Reinholdt-Dunne ML. The efficacy of group metacognitive therapy for children (MCT-c) with generalized anxiety disorder: An open trial. </w:t>
      </w:r>
      <w:r>
        <w:rPr>
          <w:rFonts w:ascii="Book Antiqua" w:hAnsi="Book Antiqua" w:eastAsia="Book Antiqua" w:cs="Book Antiqua"/>
          <w:i/>
          <w:iCs/>
          <w:color w:val="000000"/>
          <w:highlight w:val="none"/>
        </w:rPr>
        <w:t>J Anxiety Disord</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53</w:t>
      </w:r>
      <w:r>
        <w:rPr>
          <w:rFonts w:ascii="Book Antiqua" w:hAnsi="Book Antiqua" w:eastAsia="Book Antiqua" w:cs="Book Antiqua"/>
          <w:color w:val="000000"/>
          <w:highlight w:val="none"/>
        </w:rPr>
        <w:t>: 16-21 [PMID: 29145078 DOI: 10.1016/j.janxdis.2017.11.002]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57 </w:t>
      </w:r>
      <w:r>
        <w:rPr>
          <w:rFonts w:ascii="Book Antiqua" w:hAnsi="Book Antiqua" w:eastAsia="Book Antiqua" w:cs="Book Antiqua"/>
          <w:b/>
          <w:bCs/>
          <w:color w:val="000000"/>
          <w:highlight w:val="none"/>
        </w:rPr>
        <w:t>Fergus TA</w:t>
      </w:r>
      <w:r>
        <w:rPr>
          <w:rFonts w:ascii="Book Antiqua" w:hAnsi="Book Antiqua" w:eastAsia="Book Antiqua" w:cs="Book Antiqua"/>
          <w:color w:val="000000"/>
          <w:highlight w:val="none"/>
        </w:rPr>
        <w:t xml:space="preserve">, Limbers CA. Reducing Test Anxiety in School Settings: A Controlled Pilot Study Examining a Group Format Delivery of the Attention Training Technique Among Adolescent Students. </w:t>
      </w:r>
      <w:r>
        <w:rPr>
          <w:rFonts w:ascii="Book Antiqua" w:hAnsi="Book Antiqua" w:eastAsia="Book Antiqua" w:cs="Book Antiqua"/>
          <w:i/>
          <w:iCs/>
          <w:color w:val="000000"/>
          <w:highlight w:val="none"/>
        </w:rPr>
        <w:t>Behav Ther</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50</w:t>
      </w:r>
      <w:r>
        <w:rPr>
          <w:rFonts w:ascii="Book Antiqua" w:hAnsi="Book Antiqua" w:eastAsia="Book Antiqua" w:cs="Book Antiqua"/>
          <w:color w:val="000000"/>
          <w:highlight w:val="none"/>
        </w:rPr>
        <w:t>: 803-816 [PMID: 31208689 DOI: 10.1016/j.beth.2018.12.001]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58 </w:t>
      </w:r>
      <w:r>
        <w:rPr>
          <w:rFonts w:ascii="Book Antiqua" w:hAnsi="Book Antiqua" w:eastAsia="Book Antiqua" w:cs="Book Antiqua"/>
          <w:b/>
          <w:bCs/>
          <w:color w:val="000000"/>
          <w:highlight w:val="none"/>
        </w:rPr>
        <w:t>Holmes MC</w:t>
      </w:r>
      <w:r>
        <w:rPr>
          <w:rFonts w:ascii="Book Antiqua" w:hAnsi="Book Antiqua" w:eastAsia="Book Antiqua" w:cs="Book Antiqua"/>
          <w:color w:val="000000"/>
          <w:highlight w:val="none"/>
        </w:rPr>
        <w:t xml:space="preserve">, Donovan CL, Farrell LJ, March S. The efficacy of a group-based, disorder-specific treatment program for childhood GAD--a randomized controlled trial. </w:t>
      </w:r>
      <w:r>
        <w:rPr>
          <w:rFonts w:ascii="Book Antiqua" w:hAnsi="Book Antiqua" w:eastAsia="Book Antiqua" w:cs="Book Antiqua"/>
          <w:i/>
          <w:iCs/>
          <w:color w:val="000000"/>
          <w:highlight w:val="none"/>
        </w:rPr>
        <w:t>Behav Res Ther</w:t>
      </w:r>
      <w:r>
        <w:rPr>
          <w:rFonts w:ascii="Book Antiqua" w:hAnsi="Book Antiqua" w:eastAsia="Book Antiqua" w:cs="Book Antiqua"/>
          <w:color w:val="000000"/>
          <w:highlight w:val="none"/>
        </w:rPr>
        <w:t xml:space="preserve"> 2014; </w:t>
      </w:r>
      <w:r>
        <w:rPr>
          <w:rFonts w:ascii="Book Antiqua" w:hAnsi="Book Antiqua" w:eastAsia="Book Antiqua" w:cs="Book Antiqua"/>
          <w:b/>
          <w:bCs/>
          <w:color w:val="000000"/>
          <w:highlight w:val="none"/>
        </w:rPr>
        <w:t>61</w:t>
      </w:r>
      <w:r>
        <w:rPr>
          <w:rFonts w:ascii="Book Antiqua" w:hAnsi="Book Antiqua" w:eastAsia="Book Antiqua" w:cs="Book Antiqua"/>
          <w:color w:val="000000"/>
          <w:highlight w:val="none"/>
        </w:rPr>
        <w:t>: 122-135 [PMID: 25193003 DOI: 10.1016/j.brat.2014.08.002]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59 </w:t>
      </w:r>
      <w:r>
        <w:rPr>
          <w:rFonts w:ascii="Book Antiqua" w:hAnsi="Book Antiqua" w:eastAsia="Book Antiqua" w:cs="Book Antiqua"/>
          <w:b/>
          <w:bCs/>
          <w:color w:val="000000"/>
          <w:highlight w:val="none"/>
        </w:rPr>
        <w:t>Holmes MC</w:t>
      </w:r>
      <w:r>
        <w:rPr>
          <w:rFonts w:ascii="Book Antiqua" w:hAnsi="Book Antiqua" w:eastAsia="Book Antiqua" w:cs="Book Antiqua"/>
          <w:color w:val="000000"/>
          <w:highlight w:val="none"/>
        </w:rPr>
        <w:t xml:space="preserve">, Donovan CL, Farrell LJ. A Disorder-Specific, Cognitively Focused Group Treatment for Childhood Generalized Anxiety Disorder: Development and Case Illustration of the No Worries! Program. </w:t>
      </w:r>
      <w:r>
        <w:rPr>
          <w:rFonts w:ascii="Book Antiqua" w:hAnsi="Book Antiqua" w:eastAsia="Book Antiqua" w:cs="Book Antiqua"/>
          <w:i/>
          <w:iCs/>
          <w:color w:val="000000"/>
          <w:highlight w:val="none"/>
        </w:rPr>
        <w:t>J Cogn Psychother</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29</w:t>
      </w:r>
      <w:r>
        <w:rPr>
          <w:rFonts w:ascii="Book Antiqua" w:hAnsi="Book Antiqua" w:eastAsia="Book Antiqua" w:cs="Book Antiqua"/>
          <w:color w:val="000000"/>
          <w:highlight w:val="none"/>
        </w:rPr>
        <w:t>: 275-301 [PMID: 32755939 DOI: 10.1891/0889-8391.29.4.275]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60 </w:t>
      </w:r>
      <w:r>
        <w:rPr>
          <w:rFonts w:ascii="Book Antiqua" w:hAnsi="Book Antiqua" w:eastAsia="Book Antiqua" w:cs="Book Antiqua"/>
          <w:b/>
          <w:bCs/>
          <w:color w:val="000000"/>
          <w:highlight w:val="none"/>
        </w:rPr>
        <w:t>Normann N,</w:t>
      </w:r>
      <w:r>
        <w:rPr>
          <w:rFonts w:ascii="Book Antiqua" w:hAnsi="Book Antiqua" w:eastAsia="Book Antiqua" w:cs="Book Antiqua"/>
          <w:color w:val="000000"/>
          <w:highlight w:val="none"/>
        </w:rPr>
        <w:t xml:space="preserve"> Lønfeldt NN, Reinholdt-Dunne ML, Esbjørn BH. Negative Thoughts and Metacognitions in Anxious Children Following CBT. </w:t>
      </w:r>
      <w:r>
        <w:rPr>
          <w:rFonts w:ascii="Book Antiqua" w:hAnsi="Book Antiqua" w:eastAsia="Book Antiqua" w:cs="Book Antiqua"/>
          <w:i/>
          <w:iCs/>
          <w:color w:val="000000"/>
          <w:highlight w:val="none"/>
        </w:rPr>
        <w:t>Cognit Ther Res</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40</w:t>
      </w:r>
      <w:r>
        <w:rPr>
          <w:rFonts w:ascii="Book Antiqua" w:hAnsi="Book Antiqua" w:eastAsia="Book Antiqua" w:cs="Book Antiqua"/>
          <w:color w:val="000000"/>
          <w:highlight w:val="none"/>
        </w:rPr>
        <w:t>: 188-197 [DOI: 10.1007/s10608-015-9740-2]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61 </w:t>
      </w:r>
      <w:r>
        <w:rPr>
          <w:rFonts w:ascii="Book Antiqua" w:hAnsi="Book Antiqua" w:eastAsia="Book Antiqua" w:cs="Book Antiqua"/>
          <w:b/>
          <w:bCs/>
          <w:color w:val="000000"/>
          <w:highlight w:val="none"/>
        </w:rPr>
        <w:t>Sanger KL,</w:t>
      </w:r>
      <w:r>
        <w:rPr>
          <w:rFonts w:ascii="Book Antiqua" w:hAnsi="Book Antiqua" w:eastAsia="Book Antiqua" w:cs="Book Antiqua"/>
          <w:color w:val="000000"/>
          <w:highlight w:val="none"/>
        </w:rPr>
        <w:t xml:space="preserve"> Dorjee D. Mindfulness training with adolescents enhances metacognition and the inhibition of irrelevant stimuli: Evidence from event-related brain potentials. </w:t>
      </w:r>
      <w:r>
        <w:rPr>
          <w:rFonts w:ascii="Book Antiqua" w:hAnsi="Book Antiqua" w:eastAsia="Book Antiqua" w:cs="Book Antiqua"/>
          <w:i/>
          <w:iCs/>
          <w:color w:val="000000"/>
          <w:highlight w:val="none"/>
        </w:rPr>
        <w:t>Trends Neurosci Educ</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5</w:t>
      </w:r>
      <w:r>
        <w:rPr>
          <w:rFonts w:ascii="Book Antiqua" w:hAnsi="Book Antiqua" w:eastAsia="Book Antiqua" w:cs="Book Antiqua"/>
          <w:color w:val="000000"/>
          <w:highlight w:val="none"/>
        </w:rPr>
        <w:t xml:space="preserve">: 1-11 [DOI: 10.1016/j.tine.2016.01.001] </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62 </w:t>
      </w:r>
      <w:r>
        <w:rPr>
          <w:rFonts w:ascii="Book Antiqua" w:hAnsi="Book Antiqua" w:eastAsia="Book Antiqua" w:cs="Book Antiqua"/>
          <w:b/>
          <w:bCs/>
          <w:color w:val="000000"/>
          <w:highlight w:val="none"/>
        </w:rPr>
        <w:t>Simons M</w:t>
      </w:r>
      <w:r>
        <w:rPr>
          <w:rFonts w:ascii="Book Antiqua" w:hAnsi="Book Antiqua" w:eastAsia="Book Antiqua" w:cs="Book Antiqua"/>
          <w:color w:val="000000"/>
          <w:highlight w:val="none"/>
        </w:rPr>
        <w:t xml:space="preserve">, Vloet TD. Emetophobia - A Metacognitive Therapeutic Approach for an Overlooked Disorder. </w:t>
      </w:r>
      <w:r>
        <w:rPr>
          <w:rFonts w:ascii="Book Antiqua" w:hAnsi="Book Antiqua" w:eastAsia="Book Antiqua" w:cs="Book Antiqua"/>
          <w:i/>
          <w:iCs/>
          <w:color w:val="000000"/>
          <w:highlight w:val="none"/>
        </w:rPr>
        <w:t>Z Kinder Jugendpsychiatr Psychother</w:t>
      </w:r>
      <w:r>
        <w:rPr>
          <w:rFonts w:ascii="Book Antiqua" w:hAnsi="Book Antiqua" w:eastAsia="Book Antiqua" w:cs="Book Antiqua"/>
          <w:color w:val="000000"/>
          <w:highlight w:val="none"/>
        </w:rPr>
        <w:t xml:space="preserve"> 2018; </w:t>
      </w:r>
      <w:r>
        <w:rPr>
          <w:rFonts w:ascii="Book Antiqua" w:hAnsi="Book Antiqua" w:eastAsia="Book Antiqua" w:cs="Book Antiqua"/>
          <w:b/>
          <w:bCs/>
          <w:color w:val="000000"/>
          <w:highlight w:val="none"/>
        </w:rPr>
        <w:t>46</w:t>
      </w:r>
      <w:r>
        <w:rPr>
          <w:rFonts w:ascii="Book Antiqua" w:hAnsi="Book Antiqua" w:eastAsia="Book Antiqua" w:cs="Book Antiqua"/>
          <w:color w:val="000000"/>
          <w:highlight w:val="none"/>
        </w:rPr>
        <w:t>: 57-66 [PMID: 27685192 DOI: 10.1024/1422-4917/a000464]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63 </w:t>
      </w:r>
      <w:r>
        <w:rPr>
          <w:rFonts w:ascii="Book Antiqua" w:hAnsi="Book Antiqua" w:eastAsia="Book Antiqua" w:cs="Book Antiqua"/>
          <w:b/>
          <w:bCs/>
          <w:color w:val="000000"/>
          <w:highlight w:val="none"/>
        </w:rPr>
        <w:t>Thorslund J</w:t>
      </w:r>
      <w:r>
        <w:rPr>
          <w:rFonts w:ascii="Book Antiqua" w:hAnsi="Book Antiqua" w:eastAsia="Book Antiqua" w:cs="Book Antiqua"/>
          <w:color w:val="000000"/>
          <w:highlight w:val="none"/>
        </w:rPr>
        <w:t xml:space="preserve">, McEvoy PM, Anderson RA. Group metacognitive therapy for adolescents with anxiety and depressive disorders: A pilot study. </w:t>
      </w:r>
      <w:r>
        <w:rPr>
          <w:rFonts w:ascii="Book Antiqua" w:hAnsi="Book Antiqua" w:eastAsia="Book Antiqua" w:cs="Book Antiqua"/>
          <w:i/>
          <w:iCs/>
          <w:color w:val="000000"/>
          <w:highlight w:val="none"/>
        </w:rPr>
        <w:t>J Clin Psychol</w:t>
      </w:r>
      <w:r>
        <w:rPr>
          <w:rFonts w:ascii="Book Antiqua" w:hAnsi="Book Antiqua" w:eastAsia="Book Antiqua" w:cs="Book Antiqua"/>
          <w:color w:val="000000"/>
          <w:highlight w:val="none"/>
        </w:rPr>
        <w:t xml:space="preserve"> 2020; </w:t>
      </w:r>
      <w:r>
        <w:rPr>
          <w:rFonts w:ascii="Book Antiqua" w:hAnsi="Book Antiqua" w:eastAsia="Book Antiqua" w:cs="Book Antiqua"/>
          <w:b/>
          <w:bCs/>
          <w:color w:val="000000"/>
          <w:highlight w:val="none"/>
        </w:rPr>
        <w:t>76</w:t>
      </w:r>
      <w:r>
        <w:rPr>
          <w:rFonts w:ascii="Book Antiqua" w:hAnsi="Book Antiqua" w:eastAsia="Book Antiqua" w:cs="Book Antiqua"/>
          <w:color w:val="000000"/>
          <w:highlight w:val="none"/>
        </w:rPr>
        <w:t>: 625-645 [PMID: 31916590 DOI: 10.1002/jclp.22914]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64 </w:t>
      </w:r>
      <w:r>
        <w:rPr>
          <w:rFonts w:ascii="Book Antiqua" w:hAnsi="Book Antiqua" w:eastAsia="Book Antiqua" w:cs="Book Antiqua"/>
          <w:b/>
          <w:bCs/>
          <w:color w:val="000000"/>
          <w:highlight w:val="none"/>
        </w:rPr>
        <w:t>Benedetto L,</w:t>
      </w:r>
      <w:r>
        <w:rPr>
          <w:rFonts w:ascii="Book Antiqua" w:hAnsi="Book Antiqua" w:eastAsia="Book Antiqua" w:cs="Book Antiqua"/>
          <w:color w:val="000000"/>
          <w:highlight w:val="none"/>
        </w:rPr>
        <w:t xml:space="preserve"> Di Blasi D, Pacicca P. Worry and Meta-Cognitive Beliefs in Childhood Anxiety Disorders. </w:t>
      </w:r>
      <w:r>
        <w:rPr>
          <w:rFonts w:ascii="Book Antiqua" w:hAnsi="Book Antiqua" w:eastAsia="Book Antiqua" w:cs="Book Antiqua"/>
          <w:i/>
          <w:iCs/>
          <w:color w:val="000000"/>
          <w:highlight w:val="none"/>
        </w:rPr>
        <w:t>Mediterr J Clin Psychol</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1</w:t>
      </w:r>
      <w:r>
        <w:rPr>
          <w:rFonts w:ascii="Book Antiqua" w:hAnsi="Book Antiqua" w:eastAsia="Book Antiqua" w:cs="Book Antiqua"/>
          <w:color w:val="000000"/>
          <w:highlight w:val="none"/>
        </w:rPr>
        <w:t>: 1-14 [DOI: 10.6092/2282-1619/2013.1.932]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65 </w:t>
      </w:r>
      <w:r>
        <w:rPr>
          <w:rFonts w:ascii="Book Antiqua" w:hAnsi="Book Antiqua" w:eastAsia="Book Antiqua" w:cs="Book Antiqua"/>
          <w:b/>
          <w:bCs/>
          <w:color w:val="000000"/>
          <w:highlight w:val="none"/>
        </w:rPr>
        <w:t>Donovan CL</w:t>
      </w:r>
      <w:r>
        <w:rPr>
          <w:rFonts w:ascii="Book Antiqua" w:hAnsi="Book Antiqua" w:eastAsia="Book Antiqua" w:cs="Book Antiqua"/>
          <w:color w:val="000000"/>
          <w:highlight w:val="none"/>
        </w:rPr>
        <w:t xml:space="preserve">, Holmes MC, Farrell LJ, Hearn CS. Thinking about worry: Investigation of the cognitive components of worry in children. </w:t>
      </w:r>
      <w:r>
        <w:rPr>
          <w:rFonts w:ascii="Book Antiqua" w:hAnsi="Book Antiqua" w:eastAsia="Book Antiqua" w:cs="Book Antiqua"/>
          <w:i/>
          <w:iCs/>
          <w:color w:val="000000"/>
          <w:highlight w:val="none"/>
        </w:rPr>
        <w:t>J Affect Disord</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208</w:t>
      </w:r>
      <w:r>
        <w:rPr>
          <w:rFonts w:ascii="Book Antiqua" w:hAnsi="Book Antiqua" w:eastAsia="Book Antiqua" w:cs="Book Antiqua"/>
          <w:color w:val="000000"/>
          <w:highlight w:val="none"/>
        </w:rPr>
        <w:t>: 230-237 [PMID: 27792968 DOI: 10.1016/j.jad.2016.09.061]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66 </w:t>
      </w:r>
      <w:r>
        <w:rPr>
          <w:rFonts w:ascii="Book Antiqua" w:hAnsi="Book Antiqua" w:eastAsia="Book Antiqua" w:cs="Book Antiqua"/>
          <w:b/>
          <w:bCs/>
          <w:color w:val="000000"/>
          <w:highlight w:val="none"/>
        </w:rPr>
        <w:t>Esbjørn BH</w:t>
      </w:r>
      <w:r>
        <w:rPr>
          <w:rFonts w:ascii="Book Antiqua" w:hAnsi="Book Antiqua" w:eastAsia="Book Antiqua" w:cs="Book Antiqua"/>
          <w:color w:val="000000"/>
          <w:highlight w:val="none"/>
        </w:rPr>
        <w:t xml:space="preserve">, Sømhovd MJ, Holm JM, Lønfeldt NN, Bender PK, Nielsen SK, Reinholdt-Dunne ML. A structural assessment of the 30-item Metacognitions Questionnaire for Children and its relations to anxiety symptoms. </w:t>
      </w:r>
      <w:r>
        <w:rPr>
          <w:rFonts w:ascii="Book Antiqua" w:hAnsi="Book Antiqua" w:eastAsia="Book Antiqua" w:cs="Book Antiqua"/>
          <w:i/>
          <w:iCs/>
          <w:color w:val="000000"/>
          <w:highlight w:val="none"/>
        </w:rPr>
        <w:t>Psychol Assess</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25</w:t>
      </w:r>
      <w:r>
        <w:rPr>
          <w:rFonts w:ascii="Book Antiqua" w:hAnsi="Book Antiqua" w:eastAsia="Book Antiqua" w:cs="Book Antiqua"/>
          <w:color w:val="000000"/>
          <w:highlight w:val="none"/>
        </w:rPr>
        <w:t>: 1211-1219 [PMID: 23876156 DOI: 10.1037/a0033793]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67 </w:t>
      </w:r>
      <w:r>
        <w:rPr>
          <w:rFonts w:ascii="Book Antiqua" w:hAnsi="Book Antiqua" w:eastAsia="Book Antiqua" w:cs="Book Antiqua"/>
          <w:b/>
          <w:bCs/>
          <w:color w:val="000000"/>
          <w:highlight w:val="none"/>
        </w:rPr>
        <w:t>Gini G</w:t>
      </w:r>
      <w:r>
        <w:rPr>
          <w:rFonts w:ascii="Book Antiqua" w:hAnsi="Book Antiqua" w:eastAsia="Book Antiqua" w:cs="Book Antiqua"/>
          <w:color w:val="000000"/>
          <w:highlight w:val="none"/>
        </w:rPr>
        <w:t xml:space="preserve">, Marino C, Spada MM. The Role of Metacognitions and Thinking Styles in the Negative Outcomes of Adolescents' Peer Victimization. </w:t>
      </w:r>
      <w:r>
        <w:rPr>
          <w:rFonts w:ascii="Book Antiqua" w:hAnsi="Book Antiqua" w:eastAsia="Book Antiqua" w:cs="Book Antiqua"/>
          <w:i/>
          <w:iCs/>
          <w:color w:val="000000"/>
          <w:highlight w:val="none"/>
        </w:rPr>
        <w:t>Violence Vict</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34</w:t>
      </w:r>
      <w:r>
        <w:rPr>
          <w:rFonts w:ascii="Book Antiqua" w:hAnsi="Book Antiqua" w:eastAsia="Book Antiqua" w:cs="Book Antiqua"/>
          <w:color w:val="000000"/>
          <w:highlight w:val="none"/>
        </w:rPr>
        <w:t>: 752-769 [PMID: 31575813 DOI: 10.1891/0886-6708.VV-D-18-00016]</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68 </w:t>
      </w:r>
      <w:r>
        <w:rPr>
          <w:rFonts w:ascii="Book Antiqua" w:hAnsi="Book Antiqua" w:eastAsia="Book Antiqua" w:cs="Book Antiqua"/>
          <w:b/>
          <w:bCs/>
          <w:color w:val="000000"/>
          <w:highlight w:val="none"/>
        </w:rPr>
        <w:t xml:space="preserve">Naumann L. </w:t>
      </w:r>
      <w:r>
        <w:rPr>
          <w:rFonts w:ascii="Book Antiqua" w:hAnsi="Book Antiqua" w:eastAsia="Book Antiqua" w:cs="Book Antiqua"/>
          <w:color w:val="000000"/>
          <w:highlight w:val="none"/>
        </w:rPr>
        <w:t>Understanding and assessing worrying - analyzing relevant psychopathological mechanisms relevant for generalized anxiety disorder across the lifespan. Doctoral Thesis, The University of Cologne. 2014. Available from: https://kups.ub.uni-koeln.de/6135/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69 </w:t>
      </w:r>
      <w:r>
        <w:rPr>
          <w:rFonts w:ascii="Book Antiqua" w:hAnsi="Book Antiqua" w:eastAsia="Book Antiqua" w:cs="Book Antiqua"/>
          <w:b/>
          <w:bCs/>
          <w:color w:val="000000"/>
          <w:highlight w:val="none"/>
        </w:rPr>
        <w:t>Wilson C</w:t>
      </w:r>
      <w:r>
        <w:rPr>
          <w:rFonts w:ascii="Book Antiqua" w:hAnsi="Book Antiqua" w:eastAsia="Book Antiqua" w:cs="Book Antiqua"/>
          <w:color w:val="000000"/>
          <w:highlight w:val="none"/>
        </w:rPr>
        <w:t xml:space="preserve">, Hall M. Thought control strategies in adolescents: links with OCD symptoms and meta-cognitive beliefs. </w:t>
      </w:r>
      <w:r>
        <w:rPr>
          <w:rFonts w:ascii="Book Antiqua" w:hAnsi="Book Antiqua" w:eastAsia="Book Antiqua" w:cs="Book Antiqua"/>
          <w:i/>
          <w:iCs/>
          <w:color w:val="000000"/>
          <w:highlight w:val="none"/>
        </w:rPr>
        <w:t>Behav Cogn Psychother</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40</w:t>
      </w:r>
      <w:r>
        <w:rPr>
          <w:rFonts w:ascii="Book Antiqua" w:hAnsi="Book Antiqua" w:eastAsia="Book Antiqua" w:cs="Book Antiqua"/>
          <w:color w:val="000000"/>
          <w:highlight w:val="none"/>
        </w:rPr>
        <w:t>: 438-451 [PMID: 22380705 DOI: 10.1017/S135246581200001X]</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70 </w:t>
      </w:r>
      <w:r>
        <w:rPr>
          <w:rFonts w:ascii="Book Antiqua" w:hAnsi="Book Antiqua" w:eastAsia="Book Antiqua" w:cs="Book Antiqua"/>
          <w:b/>
          <w:bCs/>
          <w:color w:val="000000"/>
          <w:highlight w:val="none"/>
        </w:rPr>
        <w:t>Wilson C</w:t>
      </w:r>
      <w:r>
        <w:rPr>
          <w:rFonts w:ascii="Book Antiqua" w:hAnsi="Book Antiqua" w:eastAsia="Book Antiqua" w:cs="Book Antiqua"/>
          <w:color w:val="000000"/>
          <w:highlight w:val="none"/>
        </w:rPr>
        <w:t xml:space="preserve">, Hughes C. Worry, beliefs about worry and problem solving in young children. </w:t>
      </w:r>
      <w:r>
        <w:rPr>
          <w:rFonts w:ascii="Book Antiqua" w:hAnsi="Book Antiqua" w:eastAsia="Book Antiqua" w:cs="Book Antiqua"/>
          <w:i/>
          <w:iCs/>
          <w:color w:val="000000"/>
          <w:highlight w:val="none"/>
        </w:rPr>
        <w:t>Behav Cogn Psychother</w:t>
      </w:r>
      <w:r>
        <w:rPr>
          <w:rFonts w:ascii="Book Antiqua" w:hAnsi="Book Antiqua" w:eastAsia="Book Antiqua" w:cs="Book Antiqua"/>
          <w:color w:val="000000"/>
          <w:highlight w:val="none"/>
        </w:rPr>
        <w:t xml:space="preserve"> 2011; </w:t>
      </w:r>
      <w:r>
        <w:rPr>
          <w:rFonts w:ascii="Book Antiqua" w:hAnsi="Book Antiqua" w:eastAsia="Book Antiqua" w:cs="Book Antiqua"/>
          <w:b/>
          <w:bCs/>
          <w:color w:val="000000"/>
          <w:highlight w:val="none"/>
        </w:rPr>
        <w:t>39</w:t>
      </w:r>
      <w:r>
        <w:rPr>
          <w:rFonts w:ascii="Book Antiqua" w:hAnsi="Book Antiqua" w:eastAsia="Book Antiqua" w:cs="Book Antiqua"/>
          <w:color w:val="000000"/>
          <w:highlight w:val="none"/>
        </w:rPr>
        <w:t>: 507-521 [PMID: 21878136 DOI: 10.1017/S1352465811000269]</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71 </w:t>
      </w:r>
      <w:r>
        <w:rPr>
          <w:rFonts w:ascii="Book Antiqua" w:hAnsi="Book Antiqua" w:eastAsia="Book Antiqua" w:cs="Book Antiqua"/>
          <w:b/>
          <w:bCs/>
          <w:color w:val="000000"/>
          <w:highlight w:val="none"/>
        </w:rPr>
        <w:t>Laugesen N</w:t>
      </w:r>
      <w:r>
        <w:rPr>
          <w:rFonts w:ascii="Book Antiqua" w:hAnsi="Book Antiqua" w:eastAsia="Book Antiqua" w:cs="Book Antiqua"/>
          <w:color w:val="000000"/>
          <w:highlight w:val="none"/>
        </w:rPr>
        <w:t xml:space="preserve">, Dugas MJ, Bukowski WM. Understanding adolescent worry: the application of a cognitive model. </w:t>
      </w:r>
      <w:r>
        <w:rPr>
          <w:rFonts w:ascii="Book Antiqua" w:hAnsi="Book Antiqua" w:eastAsia="Book Antiqua" w:cs="Book Antiqua"/>
          <w:i/>
          <w:iCs/>
          <w:color w:val="000000"/>
          <w:highlight w:val="none"/>
        </w:rPr>
        <w:t>J Abnorm Child Psychol</w:t>
      </w:r>
      <w:r>
        <w:rPr>
          <w:rFonts w:ascii="Book Antiqua" w:hAnsi="Book Antiqua" w:eastAsia="Book Antiqua" w:cs="Book Antiqua"/>
          <w:color w:val="000000"/>
          <w:highlight w:val="none"/>
        </w:rPr>
        <w:t xml:space="preserve"> 2003; </w:t>
      </w:r>
      <w:r>
        <w:rPr>
          <w:rFonts w:ascii="Book Antiqua" w:hAnsi="Book Antiqua" w:eastAsia="Book Antiqua" w:cs="Book Antiqua"/>
          <w:b/>
          <w:bCs/>
          <w:color w:val="000000"/>
          <w:highlight w:val="none"/>
        </w:rPr>
        <w:t>31</w:t>
      </w:r>
      <w:r>
        <w:rPr>
          <w:rFonts w:ascii="Book Antiqua" w:hAnsi="Book Antiqua" w:eastAsia="Book Antiqua" w:cs="Book Antiqua"/>
          <w:color w:val="000000"/>
          <w:highlight w:val="none"/>
        </w:rPr>
        <w:t>: 55-64 [PMID: 12597699 DOI: 10.1023/a:1021721332181]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72 </w:t>
      </w:r>
      <w:r>
        <w:rPr>
          <w:rFonts w:ascii="Book Antiqua" w:hAnsi="Book Antiqua" w:eastAsia="Book Antiqua" w:cs="Book Antiqua"/>
          <w:b/>
          <w:bCs/>
          <w:color w:val="000000"/>
          <w:highlight w:val="none"/>
        </w:rPr>
        <w:t>Carr I,</w:t>
      </w:r>
      <w:r>
        <w:rPr>
          <w:rFonts w:ascii="Book Antiqua" w:hAnsi="Book Antiqua" w:eastAsia="Book Antiqua" w:cs="Book Antiqua"/>
          <w:color w:val="000000"/>
          <w:highlight w:val="none"/>
        </w:rPr>
        <w:t xml:space="preserve"> Szabó M. Worry in Children: Changing Associations With Fear, Thinking, and Problem-Solving. </w:t>
      </w:r>
      <w:r>
        <w:rPr>
          <w:rFonts w:ascii="Book Antiqua" w:hAnsi="Book Antiqua" w:eastAsia="Book Antiqua" w:cs="Book Antiqua"/>
          <w:i/>
          <w:iCs/>
          <w:color w:val="000000"/>
          <w:highlight w:val="none"/>
        </w:rPr>
        <w:t>J Early Adolesc</w:t>
      </w:r>
      <w:r>
        <w:rPr>
          <w:rFonts w:ascii="Book Antiqua" w:hAnsi="Book Antiqua" w:eastAsia="Book Antiqua" w:cs="Book Antiqua"/>
          <w:color w:val="000000"/>
          <w:highlight w:val="none"/>
        </w:rPr>
        <w:t xml:space="preserve"> 2015; </w:t>
      </w:r>
      <w:r>
        <w:rPr>
          <w:rFonts w:ascii="Book Antiqua" w:hAnsi="Book Antiqua" w:eastAsia="Book Antiqua" w:cs="Book Antiqua"/>
          <w:b/>
          <w:bCs/>
          <w:color w:val="000000"/>
          <w:highlight w:val="none"/>
        </w:rPr>
        <w:t>35</w:t>
      </w:r>
      <w:r>
        <w:rPr>
          <w:rFonts w:ascii="Book Antiqua" w:hAnsi="Book Antiqua" w:eastAsia="Book Antiqua" w:cs="Book Antiqua"/>
          <w:color w:val="000000"/>
          <w:highlight w:val="none"/>
        </w:rPr>
        <w:t>: 120-135 [DOI: 10.1177/0272431614529366]</w:t>
      </w:r>
    </w:p>
    <w:p>
      <w:pPr>
        <w:adjustRightInd w:val="0"/>
        <w:snapToGrid w:val="0"/>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73 </w:t>
      </w:r>
      <w:r>
        <w:rPr>
          <w:rFonts w:ascii="Book Antiqua" w:hAnsi="Book Antiqua" w:eastAsia="Book Antiqua" w:cs="Book Antiqua"/>
          <w:b/>
          <w:bCs/>
          <w:color w:val="000000"/>
          <w:highlight w:val="none"/>
        </w:rPr>
        <w:t>Fisak B</w:t>
      </w:r>
      <w:r>
        <w:rPr>
          <w:rFonts w:ascii="Book Antiqua" w:hAnsi="Book Antiqua" w:eastAsia="Book Antiqua" w:cs="Book Antiqua"/>
          <w:color w:val="000000"/>
          <w:highlight w:val="none"/>
        </w:rPr>
        <w:t xml:space="preserve">, Mentuccia M, Przeworski A. Meta-worry in adolescents: examination of the psychometric properties of the meta-worry questionnaire in an adolescent sample. </w:t>
      </w:r>
      <w:r>
        <w:rPr>
          <w:rFonts w:ascii="Book Antiqua" w:hAnsi="Book Antiqua" w:eastAsia="Book Antiqua" w:cs="Book Antiqua"/>
          <w:i/>
          <w:iCs/>
          <w:color w:val="000000"/>
          <w:highlight w:val="none"/>
        </w:rPr>
        <w:t>Behav Cogn Psychother</w:t>
      </w:r>
      <w:r>
        <w:rPr>
          <w:rFonts w:ascii="Book Antiqua" w:hAnsi="Book Antiqua" w:eastAsia="Book Antiqua" w:cs="Book Antiqua"/>
          <w:color w:val="000000"/>
          <w:highlight w:val="none"/>
        </w:rPr>
        <w:t xml:space="preserve"> 2014;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491-496 [PMID: 23735158 DOI: 10.1017/S1352465813000374]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74 </w:t>
      </w:r>
      <w:r>
        <w:rPr>
          <w:rFonts w:ascii="Book Antiqua" w:hAnsi="Book Antiqua" w:eastAsia="Book Antiqua" w:cs="Book Antiqua"/>
          <w:b/>
          <w:bCs/>
          <w:color w:val="000000"/>
          <w:highlight w:val="none"/>
        </w:rPr>
        <w:t>Hearn CS</w:t>
      </w:r>
      <w:r>
        <w:rPr>
          <w:rFonts w:ascii="Book Antiqua" w:hAnsi="Book Antiqua" w:eastAsia="Book Antiqua" w:cs="Book Antiqua"/>
          <w:color w:val="000000"/>
          <w:highlight w:val="none"/>
        </w:rPr>
        <w:t xml:space="preserve">, Donovan CL, Spence SH, March S, Holmes MC. What's the Worry with Social Anxiety? Comparing Cognitive Processes in Children with Generalized Anxiety Disorder and Social Anxiety Disorder. </w:t>
      </w:r>
      <w:r>
        <w:rPr>
          <w:rFonts w:ascii="Book Antiqua" w:hAnsi="Book Antiqua" w:eastAsia="Book Antiqua" w:cs="Book Antiqua"/>
          <w:i/>
          <w:iCs/>
          <w:color w:val="000000"/>
          <w:highlight w:val="none"/>
        </w:rPr>
        <w:t>Child Psychiatry Hum Dev</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48</w:t>
      </w:r>
      <w:r>
        <w:rPr>
          <w:rFonts w:ascii="Book Antiqua" w:hAnsi="Book Antiqua" w:eastAsia="Book Antiqua" w:cs="Book Antiqua"/>
          <w:color w:val="000000"/>
          <w:highlight w:val="none"/>
        </w:rPr>
        <w:t>: 786-795 [PMID: 27917455 DOI: 10.1007/s10578-016-0703-y]</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75 </w:t>
      </w:r>
      <w:r>
        <w:rPr>
          <w:rFonts w:ascii="Book Antiqua" w:hAnsi="Book Antiqua" w:eastAsia="Book Antiqua" w:cs="Book Antiqua"/>
          <w:b/>
          <w:bCs/>
          <w:color w:val="000000"/>
          <w:highlight w:val="none"/>
        </w:rPr>
        <w:t>Kertz S</w:t>
      </w:r>
      <w:r>
        <w:rPr>
          <w:rFonts w:ascii="Book Antiqua" w:hAnsi="Book Antiqua" w:eastAsia="Book Antiqua" w:cs="Book Antiqua"/>
          <w:color w:val="000000"/>
          <w:highlight w:val="none"/>
        </w:rPr>
        <w:t xml:space="preserve">, Woodruff-Borden J. The role of metacognition, intolerance of uncertainty, and negative problem orientation in children's worry. </w:t>
      </w:r>
      <w:r>
        <w:rPr>
          <w:rFonts w:ascii="Book Antiqua" w:hAnsi="Book Antiqua" w:eastAsia="Book Antiqua" w:cs="Book Antiqua"/>
          <w:i/>
          <w:iCs/>
          <w:color w:val="000000"/>
          <w:highlight w:val="none"/>
        </w:rPr>
        <w:t>Behav Cogn Psychother</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41</w:t>
      </w:r>
      <w:r>
        <w:rPr>
          <w:rFonts w:ascii="Book Antiqua" w:hAnsi="Book Antiqua" w:eastAsia="Book Antiqua" w:cs="Book Antiqua"/>
          <w:color w:val="000000"/>
          <w:highlight w:val="none"/>
        </w:rPr>
        <w:t>: 243-248 [PMID: 22877861 DOI: 10.1017/S1352465812000641]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76 </w:t>
      </w:r>
      <w:r>
        <w:rPr>
          <w:rFonts w:ascii="Book Antiqua" w:hAnsi="Book Antiqua" w:eastAsia="Book Antiqua" w:cs="Book Antiqua"/>
          <w:b/>
          <w:bCs/>
          <w:color w:val="000000"/>
          <w:highlight w:val="none"/>
        </w:rPr>
        <w:t>Lønfeldt NN,</w:t>
      </w:r>
      <w:r>
        <w:rPr>
          <w:rFonts w:ascii="Book Antiqua" w:hAnsi="Book Antiqua" w:eastAsia="Book Antiqua" w:cs="Book Antiqua"/>
          <w:color w:val="000000"/>
          <w:highlight w:val="none"/>
        </w:rPr>
        <w:t xml:space="preserve"> Esbjørn BH, Normann N, Breinholst S, Francis SE. Do Mother’s Metacognitions, Beliefs, and Behaviors Predict Child Anxiety-Related Metacognitions? </w:t>
      </w:r>
      <w:r>
        <w:rPr>
          <w:rFonts w:ascii="Book Antiqua" w:hAnsi="Book Antiqua" w:eastAsia="Book Antiqua" w:cs="Book Antiqua"/>
          <w:i/>
          <w:iCs/>
          <w:color w:val="000000"/>
          <w:highlight w:val="none"/>
        </w:rPr>
        <w:t xml:space="preserve">Child Youth Care Forum </w:t>
      </w:r>
      <w:r>
        <w:rPr>
          <w:rFonts w:ascii="Book Antiqua" w:hAnsi="Book Antiqua" w:eastAsia="Book Antiqua" w:cs="Book Antiqua"/>
          <w:color w:val="000000"/>
          <w:highlight w:val="none"/>
        </w:rPr>
        <w:t xml:space="preserve">2017; </w:t>
      </w:r>
      <w:r>
        <w:rPr>
          <w:rFonts w:ascii="Book Antiqua" w:hAnsi="Book Antiqua" w:eastAsia="Book Antiqua" w:cs="Book Antiqua"/>
          <w:b/>
          <w:bCs/>
          <w:color w:val="000000"/>
          <w:highlight w:val="none"/>
        </w:rPr>
        <w:t>46</w:t>
      </w:r>
      <w:r>
        <w:rPr>
          <w:rFonts w:ascii="Book Antiqua" w:hAnsi="Book Antiqua" w:eastAsia="Book Antiqua" w:cs="Book Antiqua"/>
          <w:color w:val="000000"/>
          <w:highlight w:val="none"/>
        </w:rPr>
        <w:t>: 577-599 [DOI: 10.1007/s10566-017-9396-z]</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77 </w:t>
      </w:r>
      <w:r>
        <w:rPr>
          <w:rFonts w:ascii="Book Antiqua" w:hAnsi="Book Antiqua" w:eastAsia="Book Antiqua" w:cs="Book Antiqua"/>
          <w:b/>
          <w:bCs/>
          <w:color w:val="000000"/>
          <w:highlight w:val="none"/>
        </w:rPr>
        <w:t>Lønfeldt NN,</w:t>
      </w:r>
      <w:r>
        <w:rPr>
          <w:rFonts w:ascii="Book Antiqua" w:hAnsi="Book Antiqua" w:eastAsia="Book Antiqua" w:cs="Book Antiqua"/>
          <w:color w:val="000000"/>
          <w:highlight w:val="none"/>
        </w:rPr>
        <w:t xml:space="preserve"> Marin CE, Silverman WK, Reinholdt-Dunne ML, Esbjørn BH. The Role of Metacognitions in the Association between Children’s Perceptions of Maternal Control and Anxiety. </w:t>
      </w:r>
      <w:r>
        <w:rPr>
          <w:rFonts w:ascii="Book Antiqua" w:hAnsi="Book Antiqua" w:eastAsia="Book Antiqua" w:cs="Book Antiqua"/>
          <w:i/>
          <w:iCs/>
          <w:color w:val="000000"/>
          <w:highlight w:val="none"/>
        </w:rPr>
        <w:t>J Child Fam Stud</w:t>
      </w:r>
      <w:r>
        <w:rPr>
          <w:rFonts w:ascii="Book Antiqua" w:hAnsi="Book Antiqua" w:eastAsia="Book Antiqua" w:cs="Book Antiqua"/>
          <w:color w:val="000000"/>
          <w:highlight w:val="none"/>
        </w:rPr>
        <w:t xml:space="preserve"> 2017; </w:t>
      </w:r>
      <w:r>
        <w:rPr>
          <w:rFonts w:ascii="Book Antiqua" w:hAnsi="Book Antiqua" w:eastAsia="Book Antiqua" w:cs="Book Antiqua"/>
          <w:b/>
          <w:bCs/>
          <w:color w:val="000000"/>
          <w:highlight w:val="none"/>
        </w:rPr>
        <w:t>26</w:t>
      </w:r>
      <w:r>
        <w:rPr>
          <w:rFonts w:ascii="Book Antiqua" w:hAnsi="Book Antiqua" w:eastAsia="Book Antiqua" w:cs="Book Antiqua"/>
          <w:color w:val="000000"/>
          <w:highlight w:val="none"/>
        </w:rPr>
        <w:t>: 1398-1408 [DOI: 10.1007/s10826-017-0664-1]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78 </w:t>
      </w:r>
      <w:r>
        <w:rPr>
          <w:rFonts w:ascii="Book Antiqua" w:hAnsi="Book Antiqua" w:eastAsia="Book Antiqua" w:cs="Book Antiqua"/>
          <w:b/>
          <w:bCs/>
          <w:color w:val="000000"/>
          <w:highlight w:val="none"/>
        </w:rPr>
        <w:t>Irak M</w:t>
      </w:r>
      <w:r>
        <w:rPr>
          <w:rFonts w:ascii="Book Antiqua" w:hAnsi="Book Antiqua" w:eastAsia="Book Antiqua" w:cs="Book Antiqua"/>
          <w:color w:val="000000"/>
          <w:highlight w:val="none"/>
        </w:rPr>
        <w:t xml:space="preserve">. Standardization of Turkish form of metacognition questionnaire for children and adolescents: the relationships with anxiety and obsessive-compulsive symptoms. </w:t>
      </w:r>
      <w:r>
        <w:rPr>
          <w:rFonts w:ascii="Book Antiqua" w:hAnsi="Book Antiqua" w:eastAsia="Book Antiqua" w:cs="Book Antiqua"/>
          <w:i/>
          <w:iCs/>
          <w:color w:val="000000"/>
          <w:highlight w:val="none"/>
        </w:rPr>
        <w:t>Turk Psikiyatri Derg</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23</w:t>
      </w:r>
      <w:r>
        <w:rPr>
          <w:rFonts w:ascii="Book Antiqua" w:hAnsi="Book Antiqua" w:eastAsia="Book Antiqua" w:cs="Book Antiqua"/>
          <w:color w:val="000000"/>
          <w:highlight w:val="none"/>
        </w:rPr>
        <w:t>: 46-52 [PMID: 22374631]</w:t>
      </w:r>
    </w:p>
    <w:p>
      <w:pPr>
        <w:adjustRightInd w:val="0"/>
        <w:snapToGrid w:val="0"/>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79 </w:t>
      </w:r>
      <w:r>
        <w:rPr>
          <w:rFonts w:ascii="Book Antiqua" w:hAnsi="Book Antiqua" w:eastAsia="Book Antiqua" w:cs="Book Antiqua"/>
          <w:b/>
          <w:bCs/>
          <w:color w:val="000000"/>
          <w:highlight w:val="none"/>
        </w:rPr>
        <w:t>Reinholdt-Dunne ML</w:t>
      </w:r>
      <w:r>
        <w:rPr>
          <w:rFonts w:ascii="Book Antiqua" w:hAnsi="Book Antiqua" w:eastAsia="Book Antiqua" w:cs="Book Antiqua"/>
          <w:color w:val="000000"/>
          <w:highlight w:val="none"/>
        </w:rPr>
        <w:t xml:space="preserve">, Blicher A, Nordahl H, Normann N, Esbjørn BH, Wells A. Modeling the Relationships Between Metacognitive Beliefs, Attention Control and Symptoms in Children With and Without Anxiety Disorders: A Test of the S-REF Model. </w:t>
      </w:r>
      <w:r>
        <w:rPr>
          <w:rFonts w:ascii="Book Antiqua" w:hAnsi="Book Antiqua" w:eastAsia="Book Antiqua" w:cs="Book Antiqua"/>
          <w:i/>
          <w:iCs/>
          <w:color w:val="000000"/>
          <w:highlight w:val="none"/>
        </w:rPr>
        <w:t>Front Psychol</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10</w:t>
      </w:r>
      <w:r>
        <w:rPr>
          <w:rFonts w:ascii="Book Antiqua" w:hAnsi="Book Antiqua" w:eastAsia="Book Antiqua" w:cs="Book Antiqua"/>
          <w:color w:val="000000"/>
          <w:highlight w:val="none"/>
        </w:rPr>
        <w:t>: 1205 [PMID: 31231273 DOI: 10.3389/fpsyg.2019.01205]</w:t>
      </w:r>
    </w:p>
    <w:p>
      <w:pPr>
        <w:adjustRightInd w:val="0"/>
        <w:snapToGrid w:val="0"/>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80 </w:t>
      </w:r>
      <w:r>
        <w:rPr>
          <w:rFonts w:ascii="Book Antiqua" w:hAnsi="Book Antiqua" w:eastAsia="Book Antiqua" w:cs="Book Antiqua"/>
          <w:b/>
          <w:bCs/>
          <w:color w:val="000000"/>
          <w:highlight w:val="none"/>
        </w:rPr>
        <w:t>Donovan CL</w:t>
      </w:r>
      <w:r>
        <w:rPr>
          <w:rFonts w:ascii="Book Antiqua" w:hAnsi="Book Antiqua" w:eastAsia="Book Antiqua" w:cs="Book Antiqua"/>
          <w:color w:val="000000"/>
          <w:highlight w:val="none"/>
        </w:rPr>
        <w:t xml:space="preserve">, Holmes MC, Farrell LJ. Investigation of the cognitive variables associated with worry in children with Generalised Anxiety Disorder and their parents. </w:t>
      </w:r>
      <w:r>
        <w:rPr>
          <w:rFonts w:ascii="Book Antiqua" w:hAnsi="Book Antiqua" w:eastAsia="Book Antiqua" w:cs="Book Antiqua"/>
          <w:i/>
          <w:iCs/>
          <w:color w:val="000000"/>
          <w:highlight w:val="none"/>
        </w:rPr>
        <w:t>J Affect Disord</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192</w:t>
      </w:r>
      <w:r>
        <w:rPr>
          <w:rFonts w:ascii="Book Antiqua" w:hAnsi="Book Antiqua" w:eastAsia="Book Antiqua" w:cs="Book Antiqua"/>
          <w:color w:val="000000"/>
          <w:highlight w:val="none"/>
        </w:rPr>
        <w:t>: 1-7 [PMID: 26702733 DOI: 10.1016/j.jad.2015.12.003]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81 </w:t>
      </w:r>
      <w:r>
        <w:rPr>
          <w:rFonts w:ascii="Book Antiqua" w:hAnsi="Book Antiqua" w:eastAsia="Book Antiqua" w:cs="Book Antiqua"/>
          <w:b/>
          <w:bCs/>
          <w:color w:val="000000"/>
          <w:highlight w:val="none"/>
        </w:rPr>
        <w:t>Matthews L,</w:t>
      </w:r>
      <w:r>
        <w:rPr>
          <w:rFonts w:ascii="Book Antiqua" w:hAnsi="Book Antiqua" w:eastAsia="Book Antiqua" w:cs="Book Antiqua"/>
          <w:color w:val="000000"/>
          <w:highlight w:val="none"/>
        </w:rPr>
        <w:t xml:space="preserve"> Reynolds S, Derisley J. Examining Cognitive Models of Obsessive Compulsive Disorder in Adolescents. </w:t>
      </w:r>
      <w:r>
        <w:rPr>
          <w:rFonts w:ascii="Book Antiqua" w:hAnsi="Book Antiqua" w:eastAsia="Book Antiqua" w:cs="Book Antiqua"/>
          <w:i/>
          <w:iCs/>
          <w:color w:val="000000"/>
          <w:highlight w:val="none"/>
        </w:rPr>
        <w:t>Behav Cogn Psychother</w:t>
      </w:r>
      <w:r>
        <w:rPr>
          <w:rFonts w:ascii="Book Antiqua" w:hAnsi="Book Antiqua" w:eastAsia="Book Antiqua" w:cs="Book Antiqua"/>
          <w:color w:val="000000"/>
          <w:highlight w:val="none"/>
        </w:rPr>
        <w:t xml:space="preserve"> 2006; </w:t>
      </w:r>
      <w:r>
        <w:rPr>
          <w:rFonts w:ascii="Book Antiqua" w:hAnsi="Book Antiqua" w:eastAsia="Book Antiqua" w:cs="Book Antiqua"/>
          <w:b/>
          <w:bCs/>
          <w:color w:val="000000"/>
          <w:highlight w:val="none"/>
        </w:rPr>
        <w:t>35</w:t>
      </w:r>
      <w:r>
        <w:rPr>
          <w:rFonts w:ascii="Book Antiqua" w:hAnsi="Book Antiqua" w:eastAsia="Book Antiqua" w:cs="Book Antiqua"/>
          <w:color w:val="000000"/>
          <w:highlight w:val="none"/>
        </w:rPr>
        <w:t>: 149-163 [DOI: 10.1017/S1352465806003213]</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82 </w:t>
      </w:r>
      <w:r>
        <w:rPr>
          <w:rFonts w:ascii="Book Antiqua" w:hAnsi="Book Antiqua" w:eastAsia="Book Antiqua" w:cs="Book Antiqua"/>
          <w:b/>
          <w:bCs/>
          <w:color w:val="000000"/>
          <w:highlight w:val="none"/>
        </w:rPr>
        <w:t>Wilson C</w:t>
      </w:r>
      <w:r>
        <w:rPr>
          <w:rFonts w:ascii="Book Antiqua" w:hAnsi="Book Antiqua" w:eastAsia="Book Antiqua" w:cs="Book Antiqua"/>
          <w:color w:val="000000"/>
          <w:highlight w:val="none"/>
        </w:rPr>
        <w:t xml:space="preserve">, Budd B, Chernin R, King H, Leddy A, Maclennan F, Mallandain I. The role of meta-cognition and parenting in adolescent worry. </w:t>
      </w:r>
      <w:r>
        <w:rPr>
          <w:rFonts w:ascii="Book Antiqua" w:hAnsi="Book Antiqua" w:eastAsia="Book Antiqua" w:cs="Book Antiqua"/>
          <w:i/>
          <w:iCs/>
          <w:color w:val="000000"/>
          <w:highlight w:val="none"/>
        </w:rPr>
        <w:t>J Anxiety Disord</w:t>
      </w:r>
      <w:r>
        <w:rPr>
          <w:rFonts w:ascii="Book Antiqua" w:hAnsi="Book Antiqua" w:eastAsia="Book Antiqua" w:cs="Book Antiqua"/>
          <w:color w:val="000000"/>
          <w:highlight w:val="none"/>
        </w:rPr>
        <w:t xml:space="preserve"> 2011; </w:t>
      </w:r>
      <w:r>
        <w:rPr>
          <w:rFonts w:ascii="Book Antiqua" w:hAnsi="Book Antiqua" w:eastAsia="Book Antiqua" w:cs="Book Antiqua"/>
          <w:b/>
          <w:bCs/>
          <w:color w:val="000000"/>
          <w:highlight w:val="none"/>
        </w:rPr>
        <w:t>25</w:t>
      </w:r>
      <w:r>
        <w:rPr>
          <w:rFonts w:ascii="Book Antiqua" w:hAnsi="Book Antiqua" w:eastAsia="Book Antiqua" w:cs="Book Antiqua"/>
          <w:color w:val="000000"/>
          <w:highlight w:val="none"/>
        </w:rPr>
        <w:t>: 71-79 [PMID: 20828983 DOI: 10.1016/j.janxdis.2010.08.005]</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83 </w:t>
      </w:r>
      <w:r>
        <w:rPr>
          <w:rFonts w:ascii="Book Antiqua" w:hAnsi="Book Antiqua" w:eastAsia="Book Antiqua" w:cs="Book Antiqua"/>
          <w:b/>
          <w:bCs/>
          <w:color w:val="000000"/>
          <w:highlight w:val="none"/>
        </w:rPr>
        <w:t>Wells A</w:t>
      </w:r>
      <w:r>
        <w:rPr>
          <w:rFonts w:ascii="Book Antiqua" w:hAnsi="Book Antiqua" w:eastAsia="Book Antiqua" w:cs="Book Antiqua"/>
          <w:color w:val="000000"/>
          <w:highlight w:val="none"/>
        </w:rPr>
        <w:t xml:space="preserve">, Cartwright-Hatton S. A short form of the metacognitions questionnaire: properties of the MCQ-30. </w:t>
      </w:r>
      <w:r>
        <w:rPr>
          <w:rFonts w:ascii="Book Antiqua" w:hAnsi="Book Antiqua" w:eastAsia="Book Antiqua" w:cs="Book Antiqua"/>
          <w:i/>
          <w:iCs/>
          <w:color w:val="000000"/>
          <w:highlight w:val="none"/>
        </w:rPr>
        <w:t>Behav Res Ther</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42</w:t>
      </w:r>
      <w:r>
        <w:rPr>
          <w:rFonts w:ascii="Book Antiqua" w:hAnsi="Book Antiqua" w:eastAsia="Book Antiqua" w:cs="Book Antiqua"/>
          <w:color w:val="000000"/>
          <w:highlight w:val="none"/>
        </w:rPr>
        <w:t>: 385-396 [PMID: 14998733 DOI: 10.1016/S0005-7967(03)00147-5]</w:t>
      </w:r>
    </w:p>
    <w:p>
      <w:pPr>
        <w:adjustRightInd w:val="0"/>
        <w:snapToGrid w:val="0"/>
        <w:spacing w:line="360" w:lineRule="auto"/>
        <w:jc w:val="both"/>
        <w:rPr>
          <w:rFonts w:ascii="Book Antiqua" w:hAnsi="Book Antiqua" w:eastAsia="Book Antiqua" w:cs="Book Antiqua"/>
          <w:color w:val="000000"/>
          <w:highlight w:val="none"/>
        </w:rPr>
      </w:pPr>
      <w:r>
        <w:rPr>
          <w:rFonts w:ascii="Book Antiqua" w:hAnsi="Book Antiqua" w:eastAsia="Book Antiqua" w:cs="Book Antiqua"/>
          <w:color w:val="000000"/>
          <w:highlight w:val="none"/>
        </w:rPr>
        <w:t xml:space="preserve">84 </w:t>
      </w:r>
      <w:r>
        <w:rPr>
          <w:rFonts w:ascii="Book Antiqua" w:hAnsi="Book Antiqua" w:eastAsia="Book Antiqua" w:cs="Book Antiqua"/>
          <w:b/>
          <w:bCs/>
          <w:color w:val="000000"/>
          <w:highlight w:val="none"/>
        </w:rPr>
        <w:t>Gosselin P,</w:t>
      </w:r>
      <w:r>
        <w:rPr>
          <w:rFonts w:ascii="Book Antiqua" w:hAnsi="Book Antiqua" w:eastAsia="Book Antiqua" w:cs="Book Antiqua"/>
          <w:color w:val="000000"/>
          <w:highlight w:val="none"/>
        </w:rPr>
        <w:t xml:space="preserve"> Ladouceur R, Langlois F, Freeston MH, Dugas MJ, Bertrand J. Development and validation of a new instrument to evaluate erroneous beliefs about worries. </w:t>
      </w:r>
      <w:r>
        <w:rPr>
          <w:rFonts w:ascii="Book Antiqua" w:hAnsi="Book Antiqua" w:eastAsia="Book Antiqua" w:cs="Book Antiqua"/>
          <w:i/>
          <w:iCs/>
          <w:color w:val="000000"/>
          <w:highlight w:val="none"/>
        </w:rPr>
        <w:t xml:space="preserve">Eur Rev Appl Psychol </w:t>
      </w:r>
      <w:r>
        <w:rPr>
          <w:rFonts w:ascii="Book Antiqua" w:hAnsi="Book Antiqua" w:eastAsia="Book Antiqua" w:cs="Book Antiqua"/>
          <w:color w:val="000000"/>
          <w:highlight w:val="none"/>
        </w:rPr>
        <w:t xml:space="preserve">2003; </w:t>
      </w:r>
      <w:r>
        <w:rPr>
          <w:rFonts w:ascii="Book Antiqua" w:hAnsi="Book Antiqua" w:eastAsia="Book Antiqua" w:cs="Book Antiqua"/>
          <w:b/>
          <w:bCs/>
          <w:color w:val="000000"/>
          <w:highlight w:val="none"/>
        </w:rPr>
        <w:t>53</w:t>
      </w:r>
      <w:r>
        <w:rPr>
          <w:rFonts w:ascii="Book Antiqua" w:hAnsi="Book Antiqua" w:eastAsia="Book Antiqua" w:cs="Book Antiqua"/>
          <w:color w:val="000000"/>
          <w:highlight w:val="none"/>
        </w:rPr>
        <w:t>: 199-211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85 </w:t>
      </w:r>
      <w:r>
        <w:rPr>
          <w:rFonts w:ascii="Book Antiqua" w:hAnsi="Book Antiqua" w:eastAsia="Book Antiqua" w:cs="Book Antiqua"/>
          <w:b/>
          <w:bCs/>
          <w:color w:val="000000"/>
          <w:highlight w:val="none"/>
        </w:rPr>
        <w:t>Cho Y</w:t>
      </w:r>
      <w:r>
        <w:rPr>
          <w:rFonts w:ascii="Book Antiqua" w:hAnsi="Book Antiqua" w:eastAsia="Book Antiqua" w:cs="Book Antiqua"/>
          <w:color w:val="000000"/>
          <w:highlight w:val="none"/>
        </w:rPr>
        <w:t xml:space="preserve">, Jahng S, Chai S. The factor structure and concurrent validity of the Korean version of the Metacognitions Questionnaire 30 (K-MCQ-30). </w:t>
      </w:r>
      <w:r>
        <w:rPr>
          <w:rFonts w:ascii="Book Antiqua" w:hAnsi="Book Antiqua" w:eastAsia="Book Antiqua" w:cs="Book Antiqua"/>
          <w:i/>
          <w:iCs/>
          <w:color w:val="000000"/>
          <w:highlight w:val="none"/>
        </w:rPr>
        <w:t>J Clin Psychol</w:t>
      </w:r>
      <w:r>
        <w:rPr>
          <w:rFonts w:ascii="Book Antiqua" w:hAnsi="Book Antiqua" w:eastAsia="Book Antiqua" w:cs="Book Antiqua"/>
          <w:color w:val="000000"/>
          <w:highlight w:val="none"/>
        </w:rPr>
        <w:t xml:space="preserve"> 2012; </w:t>
      </w:r>
      <w:r>
        <w:rPr>
          <w:rFonts w:ascii="Book Antiqua" w:hAnsi="Book Antiqua" w:eastAsia="Book Antiqua" w:cs="Book Antiqua"/>
          <w:b/>
          <w:bCs/>
          <w:color w:val="000000"/>
          <w:highlight w:val="none"/>
        </w:rPr>
        <w:t>68</w:t>
      </w:r>
      <w:r>
        <w:rPr>
          <w:rFonts w:ascii="Book Antiqua" w:hAnsi="Book Antiqua" w:eastAsia="Book Antiqua" w:cs="Book Antiqua"/>
          <w:color w:val="000000"/>
          <w:highlight w:val="none"/>
        </w:rPr>
        <w:t>: 349-391 [PMID: 22307959 DOI: 10.1002/jclp.20867]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86 </w:t>
      </w:r>
      <w:r>
        <w:rPr>
          <w:rFonts w:ascii="Book Antiqua" w:hAnsi="Book Antiqua" w:eastAsia="Book Antiqua" w:cs="Book Antiqua"/>
          <w:b/>
          <w:bCs/>
          <w:color w:val="000000"/>
          <w:highlight w:val="none"/>
        </w:rPr>
        <w:t>Quattropani MC,</w:t>
      </w:r>
      <w:r>
        <w:rPr>
          <w:rFonts w:ascii="Book Antiqua" w:hAnsi="Book Antiqua" w:eastAsia="Book Antiqua" w:cs="Book Antiqua"/>
          <w:color w:val="000000"/>
          <w:highlight w:val="none"/>
        </w:rPr>
        <w:t xml:space="preserve"> Lenzo V, Mucciardi M, Toffle ME. Psychometric properties of the Italian version of the Short Form of the Metacognitions Questionnaire (MCQ-30). </w:t>
      </w:r>
      <w:r>
        <w:rPr>
          <w:rFonts w:ascii="Book Antiqua" w:hAnsi="Book Antiqua" w:eastAsia="Book Antiqua" w:cs="Book Antiqua"/>
          <w:i/>
          <w:iCs/>
          <w:color w:val="000000"/>
          <w:highlight w:val="none"/>
        </w:rPr>
        <w:t>Boll di Psicol Appl</w:t>
      </w:r>
      <w:r>
        <w:rPr>
          <w:rFonts w:ascii="Book Antiqua" w:hAnsi="Book Antiqua" w:eastAsia="Book Antiqua" w:cs="Book Antiqua"/>
          <w:color w:val="000000"/>
          <w:highlight w:val="none"/>
        </w:rPr>
        <w:t xml:space="preserve"> 2014;</w:t>
      </w:r>
      <w:r>
        <w:rPr>
          <w:rFonts w:ascii="Book Antiqua" w:hAnsi="Book Antiqua" w:eastAsia="Book Antiqua" w:cs="Book Antiqua"/>
          <w:b/>
          <w:bCs/>
          <w:color w:val="000000"/>
          <w:highlight w:val="none"/>
        </w:rPr>
        <w:t xml:space="preserve"> 62</w:t>
      </w:r>
      <w:r>
        <w:rPr>
          <w:rFonts w:ascii="Book Antiqua" w:hAnsi="Book Antiqua" w:eastAsia="Book Antiqua" w:cs="Book Antiqua"/>
          <w:color w:val="000000"/>
          <w:highlight w:val="none"/>
        </w:rPr>
        <w:t>: 29-41</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87 </w:t>
      </w:r>
      <w:r>
        <w:rPr>
          <w:rFonts w:ascii="Book Antiqua" w:hAnsi="Book Antiqua" w:eastAsia="Book Antiqua" w:cs="Book Antiqua"/>
          <w:b/>
          <w:bCs/>
          <w:color w:val="000000"/>
          <w:highlight w:val="none"/>
        </w:rPr>
        <w:t>Hempel S</w:t>
      </w:r>
      <w:r>
        <w:rPr>
          <w:rFonts w:ascii="Book Antiqua" w:hAnsi="Book Antiqua" w:eastAsia="Book Antiqua" w:cs="Book Antiqua"/>
          <w:color w:val="000000"/>
          <w:highlight w:val="none"/>
        </w:rPr>
        <w:t xml:space="preserve">, Miles JN, Booth MJ, Wang Z, Morton SC, Shekelle PG. Risk of bias: a simulation study of power to detect study-level moderator effects in meta-analysis. </w:t>
      </w:r>
      <w:r>
        <w:rPr>
          <w:rFonts w:ascii="Book Antiqua" w:hAnsi="Book Antiqua" w:eastAsia="Book Antiqua" w:cs="Book Antiqua"/>
          <w:i/>
          <w:iCs/>
          <w:color w:val="000000"/>
          <w:highlight w:val="none"/>
        </w:rPr>
        <w:t>Syst Rev</w:t>
      </w:r>
      <w:r>
        <w:rPr>
          <w:rFonts w:ascii="Book Antiqua" w:hAnsi="Book Antiqua" w:eastAsia="Book Antiqua" w:cs="Book Antiqua"/>
          <w:color w:val="000000"/>
          <w:highlight w:val="none"/>
        </w:rPr>
        <w:t xml:space="preserve"> 2013; </w:t>
      </w:r>
      <w:r>
        <w:rPr>
          <w:rFonts w:ascii="Book Antiqua" w:hAnsi="Book Antiqua" w:eastAsia="Book Antiqua" w:cs="Book Antiqua"/>
          <w:b/>
          <w:bCs/>
          <w:color w:val="000000"/>
          <w:highlight w:val="none"/>
        </w:rPr>
        <w:t>2</w:t>
      </w:r>
      <w:r>
        <w:rPr>
          <w:rFonts w:ascii="Book Antiqua" w:hAnsi="Book Antiqua" w:eastAsia="Book Antiqua" w:cs="Book Antiqua"/>
          <w:color w:val="000000"/>
          <w:highlight w:val="none"/>
        </w:rPr>
        <w:t>: 107 [PMID: 24286208 DOI: 10.1186/2046-4053-2-107]</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88 </w:t>
      </w:r>
      <w:r>
        <w:rPr>
          <w:rFonts w:ascii="Book Antiqua" w:hAnsi="Book Antiqua" w:eastAsia="Book Antiqua" w:cs="Book Antiqua"/>
          <w:b/>
          <w:bCs/>
          <w:color w:val="000000"/>
          <w:highlight w:val="none"/>
        </w:rPr>
        <w:t>Bacow TL</w:t>
      </w:r>
      <w:r>
        <w:rPr>
          <w:rFonts w:ascii="Book Antiqua" w:hAnsi="Book Antiqua" w:eastAsia="Book Antiqua" w:cs="Book Antiqua"/>
          <w:color w:val="000000"/>
          <w:highlight w:val="none"/>
        </w:rPr>
        <w:t>.</w:t>
      </w:r>
      <w:r>
        <w:rPr>
          <w:rFonts w:ascii="Book Antiqua" w:hAnsi="Book Antiqua" w:eastAsia="Book Antiqua" w:cs="Book Antiqua"/>
          <w:b/>
          <w:bCs/>
          <w:color w:val="000000"/>
          <w:highlight w:val="none"/>
        </w:rPr>
        <w:t xml:space="preserve"> </w:t>
      </w:r>
      <w:r>
        <w:rPr>
          <w:rFonts w:ascii="Book Antiqua" w:hAnsi="Book Antiqua" w:eastAsia="Book Antiqua" w:cs="Book Antiqua"/>
          <w:color w:val="000000"/>
          <w:highlight w:val="none"/>
        </w:rPr>
        <w:t>Metacognitive processes in anxious children: Associations with diagnostic status. Doctoral Thesis, The University of Boston, 2008</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89 </w:t>
      </w:r>
      <w:r>
        <w:rPr>
          <w:rFonts w:ascii="Book Antiqua" w:hAnsi="Book Antiqua" w:eastAsia="Book Antiqua" w:cs="Book Antiqua"/>
          <w:b/>
          <w:bCs/>
          <w:color w:val="000000"/>
          <w:highlight w:val="none"/>
        </w:rPr>
        <w:t>Baker WL</w:t>
      </w:r>
      <w:r>
        <w:rPr>
          <w:rFonts w:ascii="Book Antiqua" w:hAnsi="Book Antiqua" w:eastAsia="Book Antiqua" w:cs="Book Antiqua"/>
          <w:color w:val="000000"/>
          <w:highlight w:val="none"/>
        </w:rPr>
        <w:t xml:space="preserve">, White CM, Cappelleri JC, Kluger J, Coleman CI; Health Outcomes, Policy, and Economics (HOPE) Collaborative Group. Understanding heterogeneity in meta-analysis: the role of meta-regression. </w:t>
      </w:r>
      <w:r>
        <w:rPr>
          <w:rFonts w:ascii="Book Antiqua" w:hAnsi="Book Antiqua" w:eastAsia="Book Antiqua" w:cs="Book Antiqua"/>
          <w:i/>
          <w:iCs/>
          <w:color w:val="000000"/>
          <w:highlight w:val="none"/>
        </w:rPr>
        <w:t>Int J Clin Pract</w:t>
      </w:r>
      <w:r>
        <w:rPr>
          <w:rFonts w:ascii="Book Antiqua" w:hAnsi="Book Antiqua" w:eastAsia="Book Antiqua" w:cs="Book Antiqua"/>
          <w:color w:val="000000"/>
          <w:highlight w:val="none"/>
        </w:rPr>
        <w:t xml:space="preserve"> 2009; </w:t>
      </w:r>
      <w:r>
        <w:rPr>
          <w:rFonts w:ascii="Book Antiqua" w:hAnsi="Book Antiqua" w:eastAsia="Book Antiqua" w:cs="Book Antiqua"/>
          <w:b/>
          <w:bCs/>
          <w:color w:val="000000"/>
          <w:highlight w:val="none"/>
        </w:rPr>
        <w:t>63</w:t>
      </w:r>
      <w:r>
        <w:rPr>
          <w:rFonts w:ascii="Book Antiqua" w:hAnsi="Book Antiqua" w:eastAsia="Book Antiqua" w:cs="Book Antiqua"/>
          <w:color w:val="000000"/>
          <w:highlight w:val="none"/>
        </w:rPr>
        <w:t>: 1426-1434 [PMID: 19769699 DOI: 10.1111/j.1742-1241.2009.02168.x]</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90 </w:t>
      </w:r>
      <w:r>
        <w:rPr>
          <w:rFonts w:ascii="Book Antiqua" w:hAnsi="Book Antiqua" w:eastAsia="Book Antiqua" w:cs="Book Antiqua"/>
          <w:b/>
          <w:bCs/>
          <w:color w:val="000000"/>
          <w:highlight w:val="none"/>
        </w:rPr>
        <w:t xml:space="preserve">American Psychiatric Association. </w:t>
      </w:r>
      <w:r>
        <w:rPr>
          <w:rFonts w:ascii="Book Antiqua" w:hAnsi="Book Antiqua" w:eastAsia="Book Antiqua" w:cs="Book Antiqua"/>
          <w:color w:val="000000"/>
          <w:highlight w:val="none"/>
        </w:rPr>
        <w:t>Diagnostic and Statistical Manual of Mental Disorders. 4</w:t>
      </w:r>
      <w:r>
        <w:rPr>
          <w:rFonts w:ascii="Book Antiqua" w:hAnsi="Book Antiqua" w:eastAsia="Book Antiqua" w:cs="Book Antiqua"/>
          <w:color w:val="000000"/>
          <w:highlight w:val="none"/>
          <w:vertAlign w:val="superscript"/>
        </w:rPr>
        <w:t>th</w:t>
      </w:r>
      <w:r>
        <w:rPr>
          <w:rFonts w:ascii="Book Antiqua" w:hAnsi="Book Antiqua" w:eastAsia="Book Antiqua" w:cs="Book Antiqua"/>
          <w:color w:val="000000"/>
          <w:highlight w:val="none"/>
        </w:rPr>
        <w:t xml:space="preserve"> ed. Arlingon (VA): American Psychiatric Publishing, 1994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91 </w:t>
      </w:r>
      <w:r>
        <w:rPr>
          <w:rFonts w:ascii="Book Antiqua" w:hAnsi="Book Antiqua" w:eastAsia="Book Antiqua" w:cs="Book Antiqua"/>
          <w:b/>
          <w:bCs/>
          <w:color w:val="000000"/>
          <w:highlight w:val="none"/>
        </w:rPr>
        <w:t>Nunnaly JC,</w:t>
      </w:r>
      <w:r>
        <w:rPr>
          <w:rFonts w:ascii="Book Antiqua" w:hAnsi="Book Antiqua" w:eastAsia="Book Antiqua" w:cs="Book Antiqua"/>
          <w:color w:val="000000"/>
          <w:highlight w:val="none"/>
        </w:rPr>
        <w:t xml:space="preserve"> Bernstein IH. Psychometric Theory. 3</w:t>
      </w:r>
      <w:r>
        <w:rPr>
          <w:rFonts w:ascii="Book Antiqua" w:hAnsi="Book Antiqua" w:eastAsia="Book Antiqua" w:cs="Book Antiqua"/>
          <w:color w:val="000000"/>
          <w:highlight w:val="none"/>
          <w:vertAlign w:val="superscript"/>
        </w:rPr>
        <w:t>rd</w:t>
      </w:r>
      <w:r>
        <w:rPr>
          <w:rFonts w:ascii="Book Antiqua" w:hAnsi="Book Antiqua" w:eastAsia="Book Antiqua" w:cs="Book Antiqua"/>
          <w:color w:val="000000"/>
          <w:highlight w:val="none"/>
        </w:rPr>
        <w:t xml:space="preserve"> ed. New York: McGraw-Hill, 1994</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92 </w:t>
      </w:r>
      <w:r>
        <w:rPr>
          <w:rFonts w:ascii="Book Antiqua" w:hAnsi="Book Antiqua" w:eastAsia="Book Antiqua" w:cs="Book Antiqua"/>
          <w:b/>
          <w:bCs/>
          <w:color w:val="000000"/>
          <w:highlight w:val="none"/>
        </w:rPr>
        <w:t>Boysan M,</w:t>
      </w:r>
      <w:r>
        <w:rPr>
          <w:rFonts w:ascii="Book Antiqua" w:hAnsi="Book Antiqua" w:eastAsia="Book Antiqua" w:cs="Book Antiqua"/>
          <w:color w:val="000000"/>
          <w:highlight w:val="none"/>
        </w:rPr>
        <w:t xml:space="preserve"> Kadak MT, Tarakcioglu MC, Sertdurak ZS, Demirel OF. Psychometric Properties of Turkish versions of the Leyton Obsessional Inventory-Child Version (LOI-CV) and Obsessive Beliefs Questionnaire-Child Version (OBQ-CV). </w:t>
      </w:r>
      <w:r>
        <w:rPr>
          <w:rFonts w:ascii="Book Antiqua" w:hAnsi="Book Antiqua" w:eastAsia="Book Antiqua" w:cs="Book Antiqua"/>
          <w:i/>
          <w:iCs/>
          <w:color w:val="000000"/>
          <w:highlight w:val="none"/>
        </w:rPr>
        <w:t>Klin Psikofarmakol Bülteni-Bulletin Clin Psychopharmacol</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26</w:t>
      </w:r>
      <w:r>
        <w:rPr>
          <w:rFonts w:ascii="Book Antiqua" w:hAnsi="Book Antiqua" w:eastAsia="Book Antiqua" w:cs="Book Antiqua"/>
          <w:color w:val="000000"/>
          <w:highlight w:val="none"/>
        </w:rPr>
        <w:t>: 382-396 [DOI: 10.5455/bcp.20151203125902]</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93 </w:t>
      </w:r>
      <w:r>
        <w:rPr>
          <w:rFonts w:ascii="Book Antiqua" w:hAnsi="Book Antiqua" w:eastAsia="Book Antiqua" w:cs="Book Antiqua"/>
          <w:b/>
          <w:bCs/>
          <w:color w:val="000000"/>
          <w:highlight w:val="none"/>
        </w:rPr>
        <w:t>Esbjørn BH</w:t>
      </w:r>
      <w:r>
        <w:rPr>
          <w:rFonts w:ascii="Book Antiqua" w:hAnsi="Book Antiqua" w:eastAsia="Book Antiqua" w:cs="Book Antiqua"/>
          <w:color w:val="000000"/>
          <w:highlight w:val="none"/>
        </w:rPr>
        <w:t xml:space="preserve">, Normann N, Lønfeldt NN, Tolstrup M, Reinholdt-Dunne ML. Exploring the relationships between maternal and child metacognitions and child anxiety. </w:t>
      </w:r>
      <w:r>
        <w:rPr>
          <w:rFonts w:ascii="Book Antiqua" w:hAnsi="Book Antiqua" w:eastAsia="Book Antiqua" w:cs="Book Antiqua"/>
          <w:i/>
          <w:iCs/>
          <w:color w:val="000000"/>
          <w:highlight w:val="none"/>
        </w:rPr>
        <w:t>Scand J Psychol</w:t>
      </w:r>
      <w:r>
        <w:rPr>
          <w:rFonts w:ascii="Book Antiqua" w:hAnsi="Book Antiqua" w:eastAsia="Book Antiqua" w:cs="Book Antiqua"/>
          <w:color w:val="000000"/>
          <w:highlight w:val="none"/>
        </w:rPr>
        <w:t xml:space="preserve"> 2016; </w:t>
      </w:r>
      <w:r>
        <w:rPr>
          <w:rFonts w:ascii="Book Antiqua" w:hAnsi="Book Antiqua" w:eastAsia="Book Antiqua" w:cs="Book Antiqua"/>
          <w:b/>
          <w:bCs/>
          <w:color w:val="000000"/>
          <w:highlight w:val="none"/>
        </w:rPr>
        <w:t>57</w:t>
      </w:r>
      <w:r>
        <w:rPr>
          <w:rFonts w:ascii="Book Antiqua" w:hAnsi="Book Antiqua" w:eastAsia="Book Antiqua" w:cs="Book Antiqua"/>
          <w:color w:val="000000"/>
          <w:highlight w:val="none"/>
        </w:rPr>
        <w:t>: 201-206 [PMID: 27119255 DOI: 10.1111/sjop.12286]</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94 </w:t>
      </w:r>
      <w:r>
        <w:rPr>
          <w:rFonts w:ascii="Book Antiqua" w:hAnsi="Book Antiqua" w:eastAsia="Book Antiqua" w:cs="Book Antiqua"/>
          <w:b/>
          <w:bCs/>
          <w:color w:val="000000"/>
          <w:highlight w:val="none"/>
        </w:rPr>
        <w:t>Gallagher B</w:t>
      </w:r>
      <w:r>
        <w:rPr>
          <w:rFonts w:ascii="Book Antiqua" w:hAnsi="Book Antiqua" w:eastAsia="Book Antiqua" w:cs="Book Antiqua"/>
          <w:color w:val="000000"/>
          <w:highlight w:val="none"/>
        </w:rPr>
        <w:t xml:space="preserve">, Cartwright-Hatton S. The relationship between parenting factors and trait anxiety: mediating role of cognitive errors and metacognition. </w:t>
      </w:r>
      <w:r>
        <w:rPr>
          <w:rFonts w:ascii="Book Antiqua" w:hAnsi="Book Antiqua" w:eastAsia="Book Antiqua" w:cs="Book Antiqua"/>
          <w:i/>
          <w:iCs/>
          <w:color w:val="000000"/>
          <w:highlight w:val="none"/>
        </w:rPr>
        <w:t>J Anxiety Disord</w:t>
      </w:r>
      <w:r>
        <w:rPr>
          <w:rFonts w:ascii="Book Antiqua" w:hAnsi="Book Antiqua" w:eastAsia="Book Antiqua" w:cs="Book Antiqua"/>
          <w:color w:val="000000"/>
          <w:highlight w:val="none"/>
        </w:rPr>
        <w:t xml:space="preserve"> 2008; </w:t>
      </w:r>
      <w:r>
        <w:rPr>
          <w:rFonts w:ascii="Book Antiqua" w:hAnsi="Book Antiqua" w:eastAsia="Book Antiqua" w:cs="Book Antiqua"/>
          <w:b/>
          <w:bCs/>
          <w:color w:val="000000"/>
          <w:highlight w:val="none"/>
        </w:rPr>
        <w:t>22</w:t>
      </w:r>
      <w:r>
        <w:rPr>
          <w:rFonts w:ascii="Book Antiqua" w:hAnsi="Book Antiqua" w:eastAsia="Book Antiqua" w:cs="Book Antiqua"/>
          <w:color w:val="000000"/>
          <w:highlight w:val="none"/>
        </w:rPr>
        <w:t>: 722-733 [PMID: 17766082 DOI: 10.1016/j.janxdis.2007.07.006]</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95 </w:t>
      </w:r>
      <w:r>
        <w:rPr>
          <w:rFonts w:ascii="Book Antiqua" w:hAnsi="Book Antiqua" w:eastAsia="Book Antiqua" w:cs="Book Antiqua"/>
          <w:b/>
          <w:bCs/>
          <w:color w:val="000000"/>
          <w:highlight w:val="none"/>
        </w:rPr>
        <w:t>Mather A</w:t>
      </w:r>
      <w:r>
        <w:rPr>
          <w:rFonts w:ascii="Book Antiqua" w:hAnsi="Book Antiqua" w:eastAsia="Book Antiqua" w:cs="Book Antiqua"/>
          <w:color w:val="000000"/>
          <w:highlight w:val="none"/>
        </w:rPr>
        <w:t xml:space="preserve">, Cartwright-Hatton S. Cognitive predictors of obsessive-compulsive symptoms in adolescence: a preliminary investigation. </w:t>
      </w:r>
      <w:r>
        <w:rPr>
          <w:rFonts w:ascii="Book Antiqua" w:hAnsi="Book Antiqua" w:eastAsia="Book Antiqua" w:cs="Book Antiqua"/>
          <w:i/>
          <w:iCs/>
          <w:color w:val="000000"/>
          <w:highlight w:val="none"/>
        </w:rPr>
        <w:t>J Clin Child Adolesc Psychol</w:t>
      </w:r>
      <w:r>
        <w:rPr>
          <w:rFonts w:ascii="Book Antiqua" w:hAnsi="Book Antiqua" w:eastAsia="Book Antiqua" w:cs="Book Antiqua"/>
          <w:color w:val="000000"/>
          <w:highlight w:val="none"/>
        </w:rPr>
        <w:t xml:space="preserve"> 2004; </w:t>
      </w:r>
      <w:r>
        <w:rPr>
          <w:rFonts w:ascii="Book Antiqua" w:hAnsi="Book Antiqua" w:eastAsia="Book Antiqua" w:cs="Book Antiqua"/>
          <w:b/>
          <w:bCs/>
          <w:color w:val="000000"/>
          <w:highlight w:val="none"/>
        </w:rPr>
        <w:t>33</w:t>
      </w:r>
      <w:r>
        <w:rPr>
          <w:rFonts w:ascii="Book Antiqua" w:hAnsi="Book Antiqua" w:eastAsia="Book Antiqua" w:cs="Book Antiqua"/>
          <w:color w:val="000000"/>
          <w:highlight w:val="none"/>
        </w:rPr>
        <w:t>: 743-749 [PMID: 15498741 DOI: 10.1207/s15374424jccp3304_9]</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 xml:space="preserve">96 </w:t>
      </w:r>
      <w:r>
        <w:rPr>
          <w:rFonts w:ascii="Book Antiqua" w:hAnsi="Book Antiqua" w:eastAsia="Book Antiqua" w:cs="Book Antiqua"/>
          <w:b/>
          <w:bCs/>
          <w:color w:val="000000"/>
          <w:highlight w:val="none"/>
        </w:rPr>
        <w:t>Yavuz M</w:t>
      </w:r>
      <w:r>
        <w:rPr>
          <w:rFonts w:ascii="Book Antiqua" w:hAnsi="Book Antiqua" w:eastAsia="Book Antiqua" w:cs="Book Antiqua"/>
          <w:color w:val="000000"/>
          <w:highlight w:val="none"/>
        </w:rPr>
        <w:t xml:space="preserve">, Altan B, Bayrak B, Gündüz M, Bolat N. The relationships between nomophobia, alexithymia and metacognitive problems in an adolescent population. </w:t>
      </w:r>
      <w:r>
        <w:rPr>
          <w:rFonts w:ascii="Book Antiqua" w:hAnsi="Book Antiqua" w:eastAsia="Book Antiqua" w:cs="Book Antiqua"/>
          <w:i/>
          <w:iCs/>
          <w:color w:val="000000"/>
          <w:highlight w:val="none"/>
        </w:rPr>
        <w:t>Turk J Pediatr</w:t>
      </w:r>
      <w:r>
        <w:rPr>
          <w:rFonts w:ascii="Book Antiqua" w:hAnsi="Book Antiqua" w:eastAsia="Book Antiqua" w:cs="Book Antiqua"/>
          <w:color w:val="000000"/>
          <w:highlight w:val="none"/>
        </w:rPr>
        <w:t xml:space="preserve"> 2019; </w:t>
      </w:r>
      <w:r>
        <w:rPr>
          <w:rFonts w:ascii="Book Antiqua" w:hAnsi="Book Antiqua" w:eastAsia="Book Antiqua" w:cs="Book Antiqua"/>
          <w:b/>
          <w:bCs/>
          <w:color w:val="000000"/>
          <w:highlight w:val="none"/>
        </w:rPr>
        <w:t>61</w:t>
      </w:r>
      <w:r>
        <w:rPr>
          <w:rFonts w:ascii="Book Antiqua" w:hAnsi="Book Antiqua" w:eastAsia="Book Antiqua" w:cs="Book Antiqua"/>
          <w:color w:val="000000"/>
          <w:highlight w:val="none"/>
        </w:rPr>
        <w:t>: 345-351 [PMID: 31916711 DOI: 10.24953/turkjped.2019.03.005]</w:t>
      </w:r>
    </w:p>
    <w:bookmarkEnd w:id="3"/>
    <w:p>
      <w:pPr>
        <w:adjustRightInd w:val="0"/>
        <w:snapToGrid w:val="0"/>
        <w:spacing w:line="360" w:lineRule="auto"/>
        <w:jc w:val="both"/>
        <w:rPr>
          <w:rFonts w:ascii="Book Antiqua" w:hAnsi="Book Antiqua"/>
          <w:highlight w:val="none"/>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Footnotes</w:t>
      </w: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Conflict-of-interest statement: </w:t>
      </w:r>
      <w:r>
        <w:rPr>
          <w:rFonts w:ascii="Book Antiqua" w:hAnsi="Book Antiqua" w:eastAsia="Book Antiqua" w:cs="Book Antiqua"/>
          <w:color w:val="000000"/>
          <w:highlight w:val="none"/>
        </w:rPr>
        <w:t>None of the authors has any conflict of interest to declare.</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PRISMA 2009 Checklist statement: </w:t>
      </w:r>
      <w:r>
        <w:rPr>
          <w:rFonts w:ascii="Book Antiqua" w:hAnsi="Book Antiqua" w:eastAsia="Book Antiqua" w:cs="Book Antiqua"/>
          <w:color w:val="000000"/>
          <w:highlight w:val="none"/>
        </w:rPr>
        <w:t>The authors have read the PRISMA 2009 Checklist, and the manuscript was prepared and revised according to the PRISMA 2009 Checklist.</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bCs/>
          <w:color w:val="000000"/>
          <w:highlight w:val="none"/>
        </w:rPr>
        <w:t xml:space="preserve">Open-Access: </w:t>
      </w:r>
      <w:r>
        <w:rPr>
          <w:rFonts w:ascii="Book Antiqua" w:hAnsi="Book Antiqua" w:eastAsia="Book Antiqua" w:cs="Book Antiqua"/>
          <w:color w:val="000000"/>
          <w:highlight w: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Manuscript source: </w:t>
      </w:r>
      <w:r>
        <w:rPr>
          <w:rFonts w:ascii="Book Antiqua" w:hAnsi="Book Antiqua" w:eastAsia="Book Antiqua" w:cs="Book Antiqua"/>
          <w:color w:val="000000"/>
          <w:highlight w:val="none"/>
        </w:rPr>
        <w:t>Invited manuscript</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Peer-review started: </w:t>
      </w:r>
      <w:r>
        <w:rPr>
          <w:rFonts w:ascii="Book Antiqua" w:hAnsi="Book Antiqua" w:eastAsia="Book Antiqua" w:cs="Book Antiqua"/>
          <w:color w:val="000000"/>
          <w:highlight w:val="none"/>
        </w:rPr>
        <w:t>February 25, 2021</w:t>
      </w: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First decision: </w:t>
      </w:r>
      <w:r>
        <w:rPr>
          <w:rFonts w:ascii="Book Antiqua" w:hAnsi="Book Antiqua" w:eastAsia="Book Antiqua" w:cs="Book Antiqua"/>
          <w:color w:val="000000"/>
          <w:highlight w:val="none"/>
        </w:rPr>
        <w:t>April 21, 2021</w:t>
      </w: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Article in press: </w:t>
      </w:r>
      <w:r>
        <w:rPr>
          <w:rFonts w:ascii="Book Antiqua" w:hAnsi="Book Antiqua" w:eastAsia="宋体"/>
          <w:color w:val="000000" w:themeColor="text1"/>
          <w:highlight w:val="none"/>
          <w14:textFill>
            <w14:solidFill>
              <w14:schemeClr w14:val="tx1"/>
            </w14:solidFill>
          </w14:textFill>
        </w:rPr>
        <w:t>J</w:t>
      </w:r>
      <w:r>
        <w:rPr>
          <w:rFonts w:hint="eastAsia" w:ascii="Book Antiqua" w:hAnsi="Book Antiqua" w:eastAsia="宋体"/>
          <w:color w:val="000000" w:themeColor="text1"/>
          <w:highlight w:val="none"/>
          <w14:textFill>
            <w14:solidFill>
              <w14:schemeClr w14:val="tx1"/>
            </w14:solidFill>
          </w14:textFill>
        </w:rPr>
        <w:t>u</w:t>
      </w:r>
      <w:r>
        <w:rPr>
          <w:rFonts w:ascii="Book Antiqua" w:hAnsi="Book Antiqua" w:eastAsia="宋体"/>
          <w:color w:val="000000" w:themeColor="text1"/>
          <w:highlight w:val="none"/>
          <w14:textFill>
            <w14:solidFill>
              <w14:schemeClr w14:val="tx1"/>
            </w14:solidFill>
          </w14:textFill>
        </w:rPr>
        <w:t>ly 27, 2021</w:t>
      </w:r>
    </w:p>
    <w:p>
      <w:pPr>
        <w:adjustRightInd w:val="0"/>
        <w:snapToGrid w:val="0"/>
        <w:spacing w:line="360" w:lineRule="auto"/>
        <w:jc w:val="both"/>
        <w:rPr>
          <w:rFonts w:ascii="Book Antiqua" w:hAnsi="Book Antiqua"/>
          <w:highlight w:val="none"/>
        </w:rPr>
      </w:pP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Specialty type: </w:t>
      </w:r>
      <w:r>
        <w:rPr>
          <w:rFonts w:ascii="Book Antiqua" w:hAnsi="Book Antiqua" w:eastAsia="Book Antiqua" w:cs="Book Antiqua"/>
          <w:color w:val="000000"/>
          <w:highlight w:val="none"/>
        </w:rPr>
        <w:t>Psychology</w:t>
      </w: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 xml:space="preserve">Country/Territory of origin: </w:t>
      </w:r>
      <w:r>
        <w:rPr>
          <w:rFonts w:ascii="Book Antiqua" w:hAnsi="Book Antiqua" w:eastAsia="Book Antiqua" w:cs="Book Antiqua"/>
          <w:color w:val="000000"/>
          <w:highlight w:val="none"/>
        </w:rPr>
        <w:t>Germany</w:t>
      </w:r>
    </w:p>
    <w:p>
      <w:pPr>
        <w:adjustRightInd w:val="0"/>
        <w:snapToGrid w:val="0"/>
        <w:spacing w:line="360" w:lineRule="auto"/>
        <w:jc w:val="both"/>
        <w:rPr>
          <w:rFonts w:ascii="Book Antiqua" w:hAnsi="Book Antiqua"/>
          <w:highlight w:val="none"/>
        </w:rPr>
      </w:pPr>
      <w:r>
        <w:rPr>
          <w:rFonts w:ascii="Book Antiqua" w:hAnsi="Book Antiqua" w:eastAsia="Book Antiqua" w:cs="Book Antiqua"/>
          <w:b/>
          <w:color w:val="000000"/>
          <w:highlight w:val="none"/>
        </w:rPr>
        <w:t>Peer-review report’s scientific quality classification</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Grade A (Excellent): 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Grade B (Very good): B</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Grade C (Good): 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Grade D (Fair): 0</w:t>
      </w:r>
    </w:p>
    <w:p>
      <w:pPr>
        <w:adjustRightInd w:val="0"/>
        <w:snapToGrid w:val="0"/>
        <w:spacing w:line="360" w:lineRule="auto"/>
        <w:jc w:val="both"/>
        <w:rPr>
          <w:rFonts w:ascii="Book Antiqua" w:hAnsi="Book Antiqua"/>
          <w:highlight w:val="none"/>
        </w:rPr>
      </w:pPr>
      <w:r>
        <w:rPr>
          <w:rFonts w:ascii="Book Antiqua" w:hAnsi="Book Antiqua" w:eastAsia="Book Antiqua" w:cs="Book Antiqua"/>
          <w:color w:val="000000"/>
          <w:highlight w:val="none"/>
        </w:rPr>
        <w:t>Grade E (Poor): 0</w:t>
      </w:r>
    </w:p>
    <w:p>
      <w:pPr>
        <w:adjustRightInd w:val="0"/>
        <w:snapToGrid w:val="0"/>
        <w:spacing w:line="360" w:lineRule="auto"/>
        <w:jc w:val="both"/>
        <w:rPr>
          <w:rFonts w:ascii="Book Antiqua" w:hAnsi="Book Antiqua"/>
          <w:highlight w:val="none"/>
        </w:rPr>
      </w:pPr>
    </w:p>
    <w:p>
      <w:pPr>
        <w:spacing w:line="360" w:lineRule="auto"/>
        <w:jc w:val="both"/>
        <w:rPr>
          <w:rFonts w:ascii="Book Antiqua" w:hAnsi="Book Antiqua" w:eastAsia="Book Antiqua" w:cs="Book Antiqua"/>
          <w:bCs/>
          <w:color w:val="000000"/>
          <w:highlight w:val="none"/>
        </w:rPr>
      </w:pPr>
      <w:r>
        <w:rPr>
          <w:rFonts w:ascii="Book Antiqua" w:hAnsi="Book Antiqua" w:eastAsia="Book Antiqua" w:cs="Book Antiqua"/>
          <w:b/>
          <w:color w:val="000000"/>
          <w:highlight w:val="none"/>
        </w:rPr>
        <w:t xml:space="preserve">P-Reviewer: </w:t>
      </w:r>
      <w:r>
        <w:rPr>
          <w:rFonts w:ascii="Book Antiqua" w:hAnsi="Book Antiqua" w:eastAsia="Book Antiqua" w:cs="Book Antiqua"/>
          <w:color w:val="000000"/>
          <w:highlight w:val="none"/>
        </w:rPr>
        <w:t>Moradi L</w:t>
      </w:r>
      <w:r>
        <w:rPr>
          <w:rFonts w:ascii="Book Antiqua" w:hAnsi="Book Antiqua" w:eastAsia="Book Antiqua" w:cs="Book Antiqua"/>
          <w:b/>
          <w:color w:val="000000"/>
          <w:highlight w:val="none"/>
        </w:rPr>
        <w:t xml:space="preserve"> S-Editor: </w:t>
      </w:r>
      <w:r>
        <w:rPr>
          <w:rFonts w:ascii="Book Antiqua" w:hAnsi="Book Antiqua" w:eastAsia="Book Antiqua" w:cs="Book Antiqua"/>
          <w:color w:val="000000"/>
          <w:highlight w:val="none"/>
        </w:rPr>
        <w:t>Liu M</w:t>
      </w:r>
      <w:r>
        <w:rPr>
          <w:rFonts w:ascii="Book Antiqua" w:hAnsi="Book Antiqua" w:eastAsia="Book Antiqua" w:cs="Book Antiqua"/>
          <w:b/>
          <w:color w:val="000000"/>
          <w:highlight w:val="none"/>
        </w:rPr>
        <w:t xml:space="preserve"> L-Editor: </w:t>
      </w:r>
      <w:r>
        <w:rPr>
          <w:rFonts w:ascii="Book Antiqua" w:hAnsi="Book Antiqua" w:eastAsia="Book Antiqua" w:cs="Book Antiqua"/>
          <w:bCs/>
          <w:color w:val="000000"/>
          <w:highlight w:val="none"/>
        </w:rPr>
        <w:t>Filipodia</w:t>
      </w:r>
      <w:r>
        <w:rPr>
          <w:rFonts w:ascii="Book Antiqua" w:hAnsi="Book Antiqua" w:eastAsia="Book Antiqua" w:cs="Book Antiqua"/>
          <w:b/>
          <w:color w:val="000000"/>
          <w:highlight w:val="none"/>
        </w:rPr>
        <w:t xml:space="preserve"> P-Editor: </w:t>
      </w:r>
      <w:r>
        <w:rPr>
          <w:rFonts w:ascii="Book Antiqua" w:hAnsi="Book Antiqua" w:eastAsia="Book Antiqua" w:cs="Book Antiqua"/>
          <w:bCs/>
          <w:color w:val="000000"/>
          <w:highlight w:val="none"/>
        </w:rPr>
        <w:t>Wang LYT</w:t>
      </w:r>
    </w:p>
    <w:p>
      <w:pPr>
        <w:adjustRightInd w:val="0"/>
        <w:snapToGrid w:val="0"/>
        <w:spacing w:line="360" w:lineRule="auto"/>
        <w:jc w:val="both"/>
        <w:rPr>
          <w:rFonts w:ascii="Book Antiqua" w:hAnsi="Book Antiqua"/>
          <w:highlight w:val="none"/>
        </w:rPr>
        <w:sectPr>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eastAsia="Book Antiqua" w:cs="Book Antiqua"/>
          <w:b/>
          <w:color w:val="000000"/>
          <w:highlight w:val="none"/>
        </w:rPr>
      </w:pPr>
      <w:r>
        <w:rPr>
          <w:rFonts w:ascii="Book Antiqua" w:hAnsi="Book Antiqua" w:eastAsia="Book Antiqua" w:cs="Book Antiqua"/>
          <w:b/>
          <w:color w:val="000000"/>
          <w:highlight w:val="none"/>
        </w:rPr>
        <w:t>Figure Legends</w:t>
      </w:r>
    </w:p>
    <w:p>
      <w:pPr>
        <w:adjustRightInd w:val="0"/>
        <w:snapToGrid w:val="0"/>
        <w:spacing w:line="360" w:lineRule="auto"/>
        <w:jc w:val="both"/>
        <w:rPr>
          <w:rFonts w:ascii="Book Antiqua" w:hAnsi="Book Antiqua"/>
          <w:b/>
          <w:bCs/>
          <w:highlight w:val="none"/>
        </w:rPr>
      </w:pPr>
      <w:r>
        <w:rPr>
          <w:rFonts w:ascii="Book Antiqua" w:hAnsi="Book Antiqua"/>
          <w:highlight w:val="none"/>
          <w:lang w:val="de-DE" w:eastAsia="de-DE"/>
        </w:rPr>
        <w:drawing>
          <wp:inline distT="0" distB="0" distL="0" distR="0">
            <wp:extent cx="4582795" cy="520128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3509" cy="5202080"/>
                    </a:xfrm>
                    <a:prstGeom prst="rect">
                      <a:avLst/>
                    </a:prstGeom>
                  </pic:spPr>
                </pic:pic>
              </a:graphicData>
            </a:graphic>
          </wp:inline>
        </w:drawing>
      </w:r>
    </w:p>
    <w:p>
      <w:pPr>
        <w:adjustRightInd w:val="0"/>
        <w:snapToGrid w:val="0"/>
        <w:spacing w:line="360" w:lineRule="auto"/>
        <w:jc w:val="both"/>
        <w:rPr>
          <w:rFonts w:ascii="Book Antiqua" w:hAnsi="Book Antiqua" w:eastAsia="Book Antiqua" w:cs="Book Antiqua"/>
          <w:b/>
          <w:bCs/>
          <w:color w:val="000000"/>
          <w:highlight w:val="none"/>
        </w:rPr>
      </w:pPr>
      <w:r>
        <w:rPr>
          <w:rFonts w:ascii="Book Antiqua" w:hAnsi="Book Antiqua" w:eastAsia="Book Antiqua" w:cs="Book Antiqua"/>
          <w:b/>
          <w:bCs/>
          <w:color w:val="000000"/>
          <w:highlight w:val="none"/>
        </w:rPr>
        <w:t>Figure 1</w:t>
      </w:r>
      <w:r>
        <w:rPr>
          <w:rFonts w:ascii="Book Antiqua" w:hAnsi="Book Antiqua" w:eastAsia="Book Antiqua" w:cs="Book Antiqua"/>
          <w:b/>
          <w:bCs/>
          <w:i/>
          <w:iCs/>
          <w:color w:val="000000"/>
          <w:highlight w:val="none"/>
        </w:rPr>
        <w:t xml:space="preserve"> </w:t>
      </w:r>
      <w:r>
        <w:rPr>
          <w:rFonts w:ascii="Book Antiqua" w:hAnsi="Book Antiqua" w:eastAsia="Book Antiqua" w:cs="Book Antiqua"/>
          <w:b/>
          <w:bCs/>
          <w:color w:val="000000"/>
          <w:highlight w:val="none"/>
        </w:rPr>
        <w:t>Adapted PRISMA Flowchart for study selection in this systematic review and meta-analysis.</w:t>
      </w:r>
    </w:p>
    <w:p>
      <w:pPr>
        <w:adjustRightInd w:val="0"/>
        <w:snapToGrid w:val="0"/>
        <w:spacing w:line="360" w:lineRule="auto"/>
        <w:jc w:val="both"/>
        <w:rPr>
          <w:rFonts w:ascii="Book Antiqua" w:hAnsi="Book Antiqua"/>
          <w:highlight w:val="none"/>
        </w:rPr>
      </w:pPr>
      <w:r>
        <w:rPr>
          <w:rFonts w:ascii="Book Antiqua" w:hAnsi="Book Antiqua"/>
          <w:b/>
          <w:bCs/>
          <w:highlight w:val="none"/>
        </w:rPr>
        <w:br w:type="page"/>
      </w:r>
    </w:p>
    <w:p>
      <w:pPr>
        <w:keepNext/>
        <w:adjustRightInd w:val="0"/>
        <w:snapToGrid w:val="0"/>
        <w:spacing w:line="360" w:lineRule="auto"/>
        <w:rPr>
          <w:rFonts w:ascii="Book Antiqua" w:hAnsi="Book Antiqua"/>
          <w:highlight w:val="none"/>
          <w:lang w:eastAsia="de-DE"/>
        </w:rPr>
      </w:pPr>
      <w:r>
        <w:rPr>
          <w:rFonts w:ascii="Book Antiqua" w:hAnsi="Book Antiqua"/>
          <w:highlight w:val="none"/>
          <w:lang w:val="de-DE" w:eastAsia="de-DE"/>
        </w:rPr>
        <w:drawing>
          <wp:inline distT="0" distB="0" distL="0" distR="0">
            <wp:extent cx="5147310" cy="206819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a:blip r:embed="rId7" cstate="print">
                      <a:extLst>
                        <a:ext uri="{28A0092B-C50C-407E-A947-70E740481C1C}">
                          <a14:useLocalDpi xmlns:a14="http://schemas.microsoft.com/office/drawing/2010/main" val="0"/>
                        </a:ext>
                      </a:extLst>
                    </a:blip>
                    <a:srcRect l="2828" t="35059" r="3020" b="36478"/>
                    <a:stretch>
                      <a:fillRect/>
                    </a:stretch>
                  </pic:blipFill>
                  <pic:spPr>
                    <a:xfrm>
                      <a:off x="0" y="0"/>
                      <a:ext cx="5154184" cy="2071347"/>
                    </a:xfrm>
                    <a:prstGeom prst="rect">
                      <a:avLst/>
                    </a:prstGeom>
                    <a:ln>
                      <a:noFill/>
                    </a:ln>
                  </pic:spPr>
                </pic:pic>
              </a:graphicData>
            </a:graphic>
          </wp:inline>
        </w:drawing>
      </w:r>
    </w:p>
    <w:p>
      <w:pPr>
        <w:keepNext/>
        <w:adjustRightInd w:val="0"/>
        <w:snapToGrid w:val="0"/>
        <w:spacing w:line="360" w:lineRule="auto"/>
        <w:rPr>
          <w:rFonts w:ascii="Book Antiqua" w:hAnsi="Book Antiqua"/>
          <w:highlight w:val="none"/>
        </w:rPr>
      </w:pPr>
      <w:r>
        <w:rPr>
          <w:rFonts w:ascii="Book Antiqua" w:hAnsi="Book Antiqua"/>
          <w:b/>
          <w:bCs/>
          <w:highlight w:val="none"/>
          <w:lang w:eastAsia="de-DE"/>
        </w:rPr>
        <w:t>F</w:t>
      </w:r>
      <w:r>
        <w:rPr>
          <w:rFonts w:ascii="Book Antiqua" w:hAnsi="Book Antiqua"/>
          <w:b/>
          <w:bCs/>
          <w:highlight w:val="none"/>
        </w:rPr>
        <w:t>igure 2 Meta-analysis forest plot on the correlation between measures of positive metacognitive beliefs about worry and worry</w:t>
      </w:r>
      <w:r>
        <w:rPr>
          <w:rFonts w:ascii="Book Antiqua" w:hAnsi="Book Antiqua"/>
          <w:b/>
          <w:bCs/>
          <w:highlight w:val="none"/>
          <w:lang w:eastAsia="zh-CN"/>
        </w:rPr>
        <w:t xml:space="preserve">. </w:t>
      </w:r>
      <w:r>
        <w:rPr>
          <w:rFonts w:ascii="Book Antiqua" w:hAnsi="Book Antiqua"/>
          <w:highlight w:val="none"/>
          <w:lang w:eastAsia="zh-CN"/>
        </w:rPr>
        <w:t>CI: Confidence interval; SE: Standard error.</w:t>
      </w:r>
    </w:p>
    <w:p>
      <w:pPr>
        <w:keepNext/>
        <w:adjustRightInd w:val="0"/>
        <w:snapToGrid w:val="0"/>
        <w:spacing w:line="360" w:lineRule="auto"/>
        <w:rPr>
          <w:rFonts w:ascii="Book Antiqua" w:hAnsi="Book Antiqua"/>
          <w:b/>
          <w:highlight w:val="none"/>
          <w:lang w:eastAsia="de-DE"/>
        </w:rPr>
      </w:pPr>
      <w:r>
        <w:rPr>
          <w:rFonts w:ascii="Book Antiqua" w:hAnsi="Book Antiqua"/>
          <w:highlight w:val="none"/>
        </w:rPr>
        <w:br w:type="page"/>
      </w:r>
    </w:p>
    <w:p>
      <w:pPr>
        <w:keepNext/>
        <w:adjustRightInd w:val="0"/>
        <w:snapToGrid w:val="0"/>
        <w:spacing w:line="360" w:lineRule="auto"/>
        <w:rPr>
          <w:rFonts w:ascii="Book Antiqua" w:hAnsi="Book Antiqua"/>
          <w:highlight w:val="none"/>
        </w:rPr>
      </w:pPr>
      <w:r>
        <w:rPr>
          <w:rFonts w:ascii="Book Antiqua" w:hAnsi="Book Antiqua"/>
          <w:b/>
          <w:highlight w:val="none"/>
          <w:lang w:val="de-DE" w:eastAsia="de-DE"/>
        </w:rPr>
        <w:drawing>
          <wp:inline distT="0" distB="0" distL="0" distR="0">
            <wp:extent cx="6767195" cy="26746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a:picLocks noChangeAspect="1"/>
                    </pic:cNvPicPr>
                  </pic:nvPicPr>
                  <pic:blipFill>
                    <a:blip r:embed="rId8" cstate="print">
                      <a:extLst>
                        <a:ext uri="{28A0092B-C50C-407E-A947-70E740481C1C}">
                          <a14:useLocalDpi xmlns:a14="http://schemas.microsoft.com/office/drawing/2010/main" val="0"/>
                        </a:ext>
                      </a:extLst>
                    </a:blip>
                    <a:srcRect l="2790" t="35845" r="2768" b="36077"/>
                    <a:stretch>
                      <a:fillRect/>
                    </a:stretch>
                  </pic:blipFill>
                  <pic:spPr>
                    <a:xfrm>
                      <a:off x="0" y="0"/>
                      <a:ext cx="6787666" cy="2682671"/>
                    </a:xfrm>
                    <a:prstGeom prst="rect">
                      <a:avLst/>
                    </a:prstGeom>
                    <a:ln>
                      <a:noFill/>
                    </a:ln>
                  </pic:spPr>
                </pic:pic>
              </a:graphicData>
            </a:graphic>
          </wp:inline>
        </w:drawing>
      </w:r>
    </w:p>
    <w:p>
      <w:pPr>
        <w:keepNext/>
        <w:adjustRightInd w:val="0"/>
        <w:snapToGrid w:val="0"/>
        <w:spacing w:line="360" w:lineRule="auto"/>
        <w:rPr>
          <w:rFonts w:ascii="Book Antiqua" w:hAnsi="Book Antiqua"/>
          <w:highlight w:val="none"/>
        </w:rPr>
      </w:pPr>
      <w:r>
        <w:rPr>
          <w:rFonts w:ascii="Book Antiqua" w:hAnsi="Book Antiqua"/>
          <w:b/>
          <w:bCs/>
          <w:color w:val="000000" w:themeColor="text1"/>
          <w:highlight w:val="none"/>
          <w14:textFill>
            <w14:solidFill>
              <w14:schemeClr w14:val="tx1"/>
            </w14:solidFill>
          </w14:textFill>
        </w:rPr>
        <w:t>Figure 3 Meta-analysis forest plot on the correlation between measures of negative metacognitive beliefs about worry and worry</w:t>
      </w:r>
      <w:r>
        <w:rPr>
          <w:rFonts w:ascii="Book Antiqua" w:hAnsi="Book Antiqua"/>
          <w:b/>
          <w:bCs/>
          <w:i/>
          <w:color w:val="000000" w:themeColor="text1"/>
          <w:highlight w:val="none"/>
          <w14:textFill>
            <w14:solidFill>
              <w14:schemeClr w14:val="tx1"/>
            </w14:solidFill>
          </w14:textFill>
        </w:rPr>
        <w:t xml:space="preserve">. </w:t>
      </w:r>
      <w:r>
        <w:rPr>
          <w:rFonts w:ascii="Book Antiqua" w:hAnsi="Book Antiqua"/>
          <w:highlight w:val="none"/>
          <w:lang w:eastAsia="zh-CN"/>
        </w:rPr>
        <w:t>CI: Confidence interval; SE: Standard error.</w:t>
      </w:r>
    </w:p>
    <w:p>
      <w:pPr>
        <w:keepNext/>
        <w:adjustRightInd w:val="0"/>
        <w:snapToGrid w:val="0"/>
        <w:spacing w:line="360" w:lineRule="auto"/>
        <w:jc w:val="center"/>
        <w:rPr>
          <w:rFonts w:ascii="Book Antiqua" w:hAnsi="Book Antiqua"/>
          <w:highlight w:val="none"/>
        </w:rPr>
      </w:pPr>
      <w:r>
        <w:rPr>
          <w:rFonts w:ascii="Book Antiqua" w:hAnsi="Book Antiqua"/>
          <w:b/>
          <w:highlight w:val="none"/>
          <w:lang w:eastAsia="de-DE"/>
        </w:rPr>
        <w:br w:type="page"/>
      </w:r>
      <w:r>
        <w:rPr>
          <w:rFonts w:ascii="Book Antiqua" w:hAnsi="Book Antiqua"/>
          <w:highlight w:val="none"/>
          <w:lang w:val="de-DE" w:eastAsia="de-DE"/>
        </w:rPr>
        <w:drawing>
          <wp:inline distT="0" distB="0" distL="0" distR="0">
            <wp:extent cx="6141720" cy="326136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a:blip r:embed="rId9" cstate="print">
                      <a:extLst>
                        <a:ext uri="{28A0092B-C50C-407E-A947-70E740481C1C}">
                          <a14:useLocalDpi xmlns:a14="http://schemas.microsoft.com/office/drawing/2010/main" val="0"/>
                        </a:ext>
                      </a:extLst>
                    </a:blip>
                    <a:srcRect l="2649" t="31011" r="2981" b="31297"/>
                    <a:stretch>
                      <a:fillRect/>
                    </a:stretch>
                  </pic:blipFill>
                  <pic:spPr>
                    <a:xfrm>
                      <a:off x="0" y="0"/>
                      <a:ext cx="6148504" cy="3264626"/>
                    </a:xfrm>
                    <a:prstGeom prst="rect">
                      <a:avLst/>
                    </a:prstGeom>
                    <a:ln>
                      <a:noFill/>
                    </a:ln>
                  </pic:spPr>
                </pic:pic>
              </a:graphicData>
            </a:graphic>
          </wp:inline>
        </w:drawing>
      </w:r>
    </w:p>
    <w:p>
      <w:pPr>
        <w:keepNext/>
        <w:adjustRightInd w:val="0"/>
        <w:snapToGrid w:val="0"/>
        <w:spacing w:line="360" w:lineRule="auto"/>
        <w:rPr>
          <w:rFonts w:ascii="Book Antiqua" w:hAnsi="Book Antiqua"/>
          <w:highlight w:val="none"/>
        </w:rPr>
      </w:pPr>
      <w:r>
        <w:rPr>
          <w:rFonts w:ascii="Book Antiqua" w:hAnsi="Book Antiqua"/>
          <w:b/>
          <w:bCs/>
          <w:color w:val="000000" w:themeColor="text1"/>
          <w:highlight w:val="none"/>
          <w14:textFill>
            <w14:solidFill>
              <w14:schemeClr w14:val="tx1"/>
            </w14:solidFill>
          </w14:textFill>
        </w:rPr>
        <w:t>Figure 4 Meta-analysis forest plot on the correlation between measures of positive metacognitive beliefs about worry and anxiety</w:t>
      </w:r>
      <w:r>
        <w:rPr>
          <w:rFonts w:ascii="Book Antiqua" w:hAnsi="Book Antiqua"/>
          <w:b/>
          <w:bCs/>
          <w:i/>
          <w:color w:val="000000" w:themeColor="text1"/>
          <w:highlight w:val="none"/>
          <w14:textFill>
            <w14:solidFill>
              <w14:schemeClr w14:val="tx1"/>
            </w14:solidFill>
          </w14:textFill>
        </w:rPr>
        <w:t xml:space="preserve">. </w:t>
      </w:r>
      <w:r>
        <w:rPr>
          <w:rFonts w:ascii="Book Antiqua" w:hAnsi="Book Antiqua"/>
          <w:highlight w:val="none"/>
          <w:lang w:eastAsia="zh-CN"/>
        </w:rPr>
        <w:t>CI: Confidence interval; SE: Standard error.</w:t>
      </w:r>
    </w:p>
    <w:p>
      <w:pPr>
        <w:pStyle w:val="13"/>
        <w:adjustRightInd w:val="0"/>
        <w:snapToGrid w:val="0"/>
        <w:spacing w:line="360" w:lineRule="auto"/>
        <w:rPr>
          <w:rFonts w:ascii="Book Antiqua" w:hAnsi="Book Antiqua"/>
          <w:b/>
          <w:bCs/>
          <w:color w:val="000000" w:themeColor="text1"/>
          <w:sz w:val="24"/>
          <w:szCs w:val="24"/>
          <w:highlight w:val="none"/>
          <w14:textFill>
            <w14:solidFill>
              <w14:schemeClr w14:val="tx1"/>
            </w14:solidFill>
          </w14:textFill>
        </w:rPr>
      </w:pPr>
      <w:r>
        <w:rPr>
          <w:rFonts w:ascii="Book Antiqua" w:hAnsi="Book Antiqua"/>
          <w:b/>
          <w:bCs/>
          <w:i/>
          <w:color w:val="000000" w:themeColor="text1"/>
          <w:sz w:val="24"/>
          <w:szCs w:val="24"/>
          <w:highlight w:val="none"/>
          <w14:textFill>
            <w14:solidFill>
              <w14:schemeClr w14:val="tx1"/>
            </w14:solidFill>
          </w14:textFill>
        </w:rPr>
        <w:br w:type="page"/>
      </w:r>
    </w:p>
    <w:p>
      <w:pPr>
        <w:keepNext/>
        <w:adjustRightInd w:val="0"/>
        <w:snapToGrid w:val="0"/>
        <w:spacing w:line="360" w:lineRule="auto"/>
        <w:rPr>
          <w:rFonts w:ascii="Book Antiqua" w:hAnsi="Book Antiqua"/>
          <w:highlight w:val="none"/>
        </w:rPr>
      </w:pPr>
      <w:r>
        <w:rPr>
          <w:rFonts w:ascii="Book Antiqua" w:hAnsi="Book Antiqua"/>
          <w:highlight w:val="none"/>
          <w:lang w:val="de-DE" w:eastAsia="de-DE"/>
        </w:rPr>
        <w:drawing>
          <wp:inline distT="0" distB="0" distL="0" distR="0">
            <wp:extent cx="6508115" cy="326136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pic:cNvPicPr>
                  </pic:nvPicPr>
                  <pic:blipFill>
                    <a:blip r:embed="rId10" cstate="print">
                      <a:extLst>
                        <a:ext uri="{28A0092B-C50C-407E-A947-70E740481C1C}">
                          <a14:useLocalDpi xmlns:a14="http://schemas.microsoft.com/office/drawing/2010/main" val="0"/>
                        </a:ext>
                      </a:extLst>
                    </a:blip>
                    <a:srcRect l="3006" t="31485" r="2735" b="32984"/>
                    <a:stretch>
                      <a:fillRect/>
                    </a:stretch>
                  </pic:blipFill>
                  <pic:spPr>
                    <a:xfrm>
                      <a:off x="0" y="0"/>
                      <a:ext cx="6512573" cy="3263403"/>
                    </a:xfrm>
                    <a:prstGeom prst="rect">
                      <a:avLst/>
                    </a:prstGeom>
                    <a:ln>
                      <a:noFill/>
                    </a:ln>
                  </pic:spPr>
                </pic:pic>
              </a:graphicData>
            </a:graphic>
          </wp:inline>
        </w:drawing>
      </w:r>
    </w:p>
    <w:p>
      <w:pPr>
        <w:keepNext/>
        <w:adjustRightInd w:val="0"/>
        <w:snapToGrid w:val="0"/>
        <w:spacing w:line="360" w:lineRule="auto"/>
        <w:rPr>
          <w:rFonts w:ascii="Book Antiqua" w:hAnsi="Book Antiqua"/>
          <w:highlight w:val="none"/>
          <w:lang w:eastAsia="zh-CN"/>
        </w:rPr>
      </w:pPr>
      <w:r>
        <w:rPr>
          <w:rFonts w:ascii="Book Antiqua" w:hAnsi="Book Antiqua"/>
          <w:b/>
          <w:bCs/>
          <w:color w:val="000000" w:themeColor="text1"/>
          <w:highlight w:val="none"/>
          <w14:textFill>
            <w14:solidFill>
              <w14:schemeClr w14:val="tx1"/>
            </w14:solidFill>
          </w14:textFill>
        </w:rPr>
        <w:t>Figure 5 Meta-analysis forest plot on the correlation between measures of negative metacognitive beliefs about worry and anxiety</w:t>
      </w:r>
      <w:r>
        <w:rPr>
          <w:rFonts w:ascii="Book Antiqua" w:hAnsi="Book Antiqua"/>
          <w:b/>
          <w:bCs/>
          <w:i/>
          <w:color w:val="000000" w:themeColor="text1"/>
          <w:highlight w:val="none"/>
          <w14:textFill>
            <w14:solidFill>
              <w14:schemeClr w14:val="tx1"/>
            </w14:solidFill>
          </w14:textFill>
        </w:rPr>
        <w:t>.</w:t>
      </w:r>
      <w:r>
        <w:rPr>
          <w:rFonts w:ascii="Book Antiqua" w:hAnsi="Book Antiqua"/>
          <w:i/>
          <w:color w:val="000000" w:themeColor="text1"/>
          <w:highlight w:val="none"/>
          <w14:textFill>
            <w14:solidFill>
              <w14:schemeClr w14:val="tx1"/>
            </w14:solidFill>
          </w14:textFill>
        </w:rPr>
        <w:t xml:space="preserve"> </w:t>
      </w:r>
      <w:r>
        <w:rPr>
          <w:rFonts w:ascii="Book Antiqua" w:hAnsi="Book Antiqua"/>
          <w:highlight w:val="none"/>
          <w:lang w:eastAsia="zh-CN"/>
        </w:rPr>
        <w:t>CI: Confidence interval; SE: Standard error.</w:t>
      </w:r>
    </w:p>
    <w:p>
      <w:pPr>
        <w:keepNext/>
        <w:adjustRightInd w:val="0"/>
        <w:snapToGrid w:val="0"/>
        <w:spacing w:line="360" w:lineRule="auto"/>
        <w:rPr>
          <w:rFonts w:ascii="Book Antiqua" w:hAnsi="Book Antiqua"/>
          <w:b/>
          <w:i/>
          <w:iCs/>
          <w:highlight w:val="none"/>
          <w:lang w:eastAsia="de-DE"/>
        </w:rPr>
      </w:pPr>
      <w:r>
        <w:rPr>
          <w:rFonts w:ascii="Book Antiqua" w:hAnsi="Book Antiqua"/>
          <w:highlight w:val="none"/>
          <w:lang w:eastAsia="zh-CN"/>
        </w:rPr>
        <w:br w:type="page"/>
      </w:r>
      <w:r>
        <w:rPr>
          <w:rFonts w:ascii="Book Antiqua" w:hAnsi="Book Antiqua"/>
          <w:b/>
          <w:highlight w:val="none"/>
          <w:lang w:val="de-DE" w:eastAsia="de-DE"/>
        </w:rPr>
        <w:drawing>
          <wp:inline distT="0" distB="0" distL="0" distR="0">
            <wp:extent cx="6295390" cy="30911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pic:cNvPicPr>
                  </pic:nvPicPr>
                  <pic:blipFill>
                    <a:blip r:embed="rId11" cstate="print">
                      <a:extLst>
                        <a:ext uri="{28A0092B-C50C-407E-A947-70E740481C1C}">
                          <a14:useLocalDpi xmlns:a14="http://schemas.microsoft.com/office/drawing/2010/main" val="0"/>
                        </a:ext>
                      </a:extLst>
                    </a:blip>
                    <a:srcRect l="2618" t="31676" r="2982" b="33454"/>
                    <a:stretch>
                      <a:fillRect/>
                    </a:stretch>
                  </pic:blipFill>
                  <pic:spPr>
                    <a:xfrm>
                      <a:off x="0" y="0"/>
                      <a:ext cx="6299959" cy="3093539"/>
                    </a:xfrm>
                    <a:prstGeom prst="rect">
                      <a:avLst/>
                    </a:prstGeom>
                    <a:ln>
                      <a:noFill/>
                    </a:ln>
                  </pic:spPr>
                </pic:pic>
              </a:graphicData>
            </a:graphic>
          </wp:inline>
        </w:drawing>
      </w:r>
    </w:p>
    <w:p>
      <w:pPr>
        <w:keepNext/>
        <w:adjustRightInd w:val="0"/>
        <w:snapToGrid w:val="0"/>
        <w:spacing w:line="360" w:lineRule="auto"/>
        <w:rPr>
          <w:rFonts w:ascii="Book Antiqua" w:hAnsi="Book Antiqua"/>
          <w:highlight w:val="none"/>
          <w:lang w:eastAsia="zh-CN"/>
        </w:rPr>
      </w:pPr>
      <w:r>
        <w:rPr>
          <w:rFonts w:ascii="Book Antiqua" w:hAnsi="Book Antiqua"/>
          <w:b/>
          <w:bCs/>
          <w:color w:val="000000" w:themeColor="text1"/>
          <w:highlight w:val="none"/>
          <w14:textFill>
            <w14:solidFill>
              <w14:schemeClr w14:val="tx1"/>
            </w14:solidFill>
          </w14:textFill>
        </w:rPr>
        <w:t>Figure 6 Meta-analysis forest plot on the correlation between measures of positive metacognitive beliefs about worry and negative metacognitive beliefs about worry</w:t>
      </w:r>
      <w:r>
        <w:rPr>
          <w:rFonts w:ascii="Book Antiqua" w:hAnsi="Book Antiqua"/>
          <w:b/>
          <w:bCs/>
          <w:i/>
          <w:color w:val="000000" w:themeColor="text1"/>
          <w:highlight w:val="none"/>
          <w14:textFill>
            <w14:solidFill>
              <w14:schemeClr w14:val="tx1"/>
            </w14:solidFill>
          </w14:textFill>
        </w:rPr>
        <w:t xml:space="preserve">. </w:t>
      </w:r>
      <w:r>
        <w:rPr>
          <w:rFonts w:ascii="Book Antiqua" w:hAnsi="Book Antiqua"/>
          <w:highlight w:val="none"/>
          <w:lang w:eastAsia="zh-CN"/>
        </w:rPr>
        <w:t>CI: Confidence interval; SE: Standard error.</w:t>
      </w:r>
    </w:p>
    <w:p>
      <w:pPr>
        <w:adjustRightInd w:val="0"/>
        <w:snapToGrid w:val="0"/>
        <w:spacing w:line="360" w:lineRule="auto"/>
        <w:rPr>
          <w:rFonts w:ascii="Book Antiqua" w:hAnsi="Book Antiqua"/>
          <w:highlight w:val="none"/>
          <w:lang w:eastAsia="de-DE"/>
        </w:rPr>
        <w:sectPr>
          <w:pgSz w:w="11900" w:h="16840"/>
          <w:pgMar w:top="1134" w:right="1417" w:bottom="1417" w:left="1417" w:header="708" w:footer="708" w:gutter="0"/>
          <w:cols w:space="708" w:num="1"/>
          <w:docGrid w:linePitch="360" w:charSpace="0"/>
        </w:sectPr>
      </w:pPr>
    </w:p>
    <w:p>
      <w:pPr>
        <w:adjustRightInd w:val="0"/>
        <w:snapToGrid w:val="0"/>
        <w:spacing w:line="360" w:lineRule="auto"/>
        <w:rPr>
          <w:rFonts w:ascii="Book Antiqua" w:hAnsi="Book Antiqua"/>
          <w:b/>
          <w:bCs/>
          <w:highlight w:val="none"/>
          <w:lang w:eastAsia="de-DE"/>
        </w:rPr>
      </w:pPr>
      <w:r>
        <w:rPr>
          <w:rFonts w:ascii="Book Antiqua" w:hAnsi="Book Antiqua" w:cs="Arial"/>
          <w:b/>
          <w:bCs/>
          <w:color w:val="000000" w:themeColor="text1"/>
          <w:highlight w:val="none"/>
          <w14:textFill>
            <w14:solidFill>
              <w14:schemeClr w14:val="tx1"/>
            </w14:solidFill>
          </w14:textFill>
        </w:rPr>
        <w:t>Table 1 Overview of studies included in the systematic review</w:t>
      </w:r>
    </w:p>
    <w:tbl>
      <w:tblPr>
        <w:tblStyle w:val="19"/>
        <w:tblW w:w="1389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77"/>
        <w:gridCol w:w="1146"/>
        <w:gridCol w:w="860"/>
        <w:gridCol w:w="1002"/>
        <w:gridCol w:w="2291"/>
        <w:gridCol w:w="1146"/>
        <w:gridCol w:w="1575"/>
        <w:gridCol w:w="1862"/>
        <w:gridCol w:w="143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Ref.</w:t>
            </w:r>
          </w:p>
        </w:tc>
        <w:tc>
          <w:tcPr>
            <w:tcW w:w="1146"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Sample</w:t>
            </w:r>
          </w:p>
        </w:tc>
        <w:tc>
          <w:tcPr>
            <w:tcW w:w="860"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i/>
                <w:iCs/>
                <w:highlight w:val="none"/>
              </w:rPr>
            </w:pPr>
            <w:r>
              <w:rPr>
                <w:rFonts w:ascii="Book Antiqua" w:hAnsi="Book Antiqua" w:cs="Arial"/>
                <w:b/>
                <w:bCs/>
                <w:i/>
                <w:iCs/>
                <w:highlight w:val="none"/>
              </w:rPr>
              <w:t>n</w:t>
            </w:r>
          </w:p>
        </w:tc>
        <w:tc>
          <w:tcPr>
            <w:tcW w:w="1002"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Female (%)</w:t>
            </w:r>
          </w:p>
        </w:tc>
        <w:tc>
          <w:tcPr>
            <w:tcW w:w="2291"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Age in year</w:t>
            </w:r>
            <w:r>
              <w:rPr>
                <w:rFonts w:hint="eastAsia" w:ascii="Book Antiqua" w:hAnsi="Book Antiqua" w:cs="Arial"/>
                <w:b/>
                <w:bCs/>
                <w:highlight w:val="none"/>
                <w:lang w:eastAsia="zh-CN"/>
              </w:rPr>
              <w:t xml:space="preserve"> </w:t>
            </w:r>
            <w:r>
              <w:rPr>
                <w:rFonts w:ascii="Book Antiqua" w:hAnsi="Book Antiqua" w:cs="Arial"/>
                <w:b/>
                <w:bCs/>
                <w:highlight w:val="none"/>
              </w:rPr>
              <w:t xml:space="preserve">(range), </w:t>
            </w:r>
            <w:r>
              <w:rPr>
                <w:rFonts w:ascii="Book Antiqua" w:hAnsi="Book Antiqua" w:cs="Arial"/>
                <w:b/>
                <w:bCs/>
                <w:iCs/>
                <w:highlight w:val="none"/>
              </w:rPr>
              <w:t>mean ± SD</w:t>
            </w:r>
          </w:p>
        </w:tc>
        <w:tc>
          <w:tcPr>
            <w:tcW w:w="1146"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Risk of bias</w:t>
            </w:r>
          </w:p>
        </w:tc>
        <w:tc>
          <w:tcPr>
            <w:tcW w:w="1575"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POS/NEG/meta-worry</w:t>
            </w:r>
          </w:p>
        </w:tc>
        <w:tc>
          <w:tcPr>
            <w:tcW w:w="1862"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Worry</w:t>
            </w:r>
          </w:p>
        </w:tc>
        <w:tc>
          <w:tcPr>
            <w:tcW w:w="1433" w:type="dxa"/>
            <w:tcBorders>
              <w:top w:val="single" w:color="auto" w:sz="4" w:space="0"/>
              <w:bottom w:val="single" w:color="auto" w:sz="4" w:space="0"/>
            </w:tcBorders>
          </w:tcPr>
          <w:p>
            <w:pPr>
              <w:keepLines/>
              <w:adjustRightInd w:val="0"/>
              <w:snapToGrid w:val="0"/>
              <w:spacing w:line="360" w:lineRule="auto"/>
              <w:rPr>
                <w:rFonts w:ascii="Book Antiqua" w:hAnsi="Book Antiqua" w:cs="Arial"/>
                <w:b/>
                <w:bCs/>
                <w:highlight w:val="none"/>
              </w:rPr>
            </w:pPr>
            <w:r>
              <w:rPr>
                <w:rFonts w:ascii="Book Antiqua" w:hAnsi="Book Antiqua" w:cs="Arial"/>
                <w:b/>
                <w:bCs/>
                <w:highlight w:val="none"/>
              </w:rPr>
              <w:t>Anxiety</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color w:val="000000"/>
                <w:highlight w:val="none"/>
              </w:rPr>
              <w:t xml:space="preserve">Babaei </w:t>
            </w:r>
            <w:r>
              <w:rPr>
                <w:rFonts w:ascii="Book Antiqua" w:hAnsi="Book Antiqua" w:cs="Arial"/>
                <w:i/>
                <w:color w:val="000000"/>
                <w:highlight w:val="none"/>
              </w:rPr>
              <w:t>et al</w:t>
            </w:r>
            <w:r>
              <w:rPr>
                <w:rFonts w:ascii="Book Antiqua" w:hAnsi="Book Antiqua" w:cs="Arial"/>
                <w:color w:val="000000"/>
                <w:highlight w:val="none"/>
              </w:rPr>
              <w:fldChar w:fldCharType="begin" w:fldLock="1"/>
            </w:r>
            <w:r>
              <w:rPr>
                <w:rFonts w:ascii="Book Antiqua" w:hAnsi="Book Antiqua" w:cs="Arial"/>
                <w:color w:val="000000"/>
                <w:highlight w:val="none"/>
              </w:rPr>
              <w:instrText xml:space="preserve">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mendeley":{"formattedCitation":"&lt;sup&gt;[56]&lt;/sup&gt;","plainTextFormattedCitation":"[56]","previouslyFormattedCitation":"&lt;sup&gt;[56]&lt;/sup&gt;"},"properties":{"noteIndex":0},"schema":"https://github.com/citation-style-language/schema/raw/master/csl-citation.json"}</w:instrText>
            </w:r>
            <w:r>
              <w:rPr>
                <w:rFonts w:ascii="Book Antiqua" w:hAnsi="Book Antiqua" w:cs="Arial"/>
                <w:color w:val="000000"/>
                <w:highlight w:val="none"/>
              </w:rPr>
              <w:fldChar w:fldCharType="separate"/>
            </w:r>
            <w:r>
              <w:rPr>
                <w:rFonts w:ascii="Book Antiqua" w:hAnsi="Book Antiqua" w:cs="Arial"/>
                <w:color w:val="000000"/>
                <w:highlight w:val="none"/>
                <w:vertAlign w:val="superscript"/>
              </w:rPr>
              <w:t>[55]</w:t>
            </w:r>
            <w:r>
              <w:rPr>
                <w:rFonts w:ascii="Book Antiqua" w:hAnsi="Book Antiqua" w:cs="Arial"/>
                <w:color w:val="000000"/>
                <w:highlight w:val="none"/>
              </w:rPr>
              <w:fldChar w:fldCharType="end"/>
            </w:r>
          </w:p>
        </w:tc>
        <w:tc>
          <w:tcPr>
            <w:tcW w:w="1146"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NC</w:t>
            </w:r>
          </w:p>
        </w:tc>
        <w:tc>
          <w:tcPr>
            <w:tcW w:w="860"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200</w:t>
            </w:r>
          </w:p>
        </w:tc>
        <w:tc>
          <w:tcPr>
            <w:tcW w:w="1002"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NA</w:t>
            </w:r>
          </w:p>
        </w:tc>
        <w:tc>
          <w:tcPr>
            <w:tcW w:w="2291"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NA</w:t>
            </w:r>
          </w:p>
        </w:tc>
        <w:tc>
          <w:tcPr>
            <w:tcW w:w="1146"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(9)</w:t>
            </w:r>
          </w:p>
        </w:tc>
        <w:tc>
          <w:tcPr>
            <w:tcW w:w="1575"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MCQ-30</w:t>
            </w:r>
          </w:p>
        </w:tc>
        <w:tc>
          <w:tcPr>
            <w:tcW w:w="1862"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Borders>
              <w:top w:val="single" w:color="auto" w:sz="4" w:space="0"/>
            </w:tcBorders>
          </w:tcPr>
          <w:p>
            <w:pPr>
              <w:keepLines/>
              <w:adjustRightInd w:val="0"/>
              <w:snapToGrid w:val="0"/>
              <w:spacing w:line="360" w:lineRule="auto"/>
              <w:rPr>
                <w:rFonts w:ascii="Book Antiqua" w:hAnsi="Book Antiqua" w:cs="Arial"/>
                <w:highlight w:val="none"/>
              </w:rPr>
            </w:pPr>
            <w:r>
              <w:rPr>
                <w:rFonts w:ascii="Book Antiqua" w:hAnsi="Book Antiqua" w:cs="Arial"/>
                <w:highlight w:val="none"/>
              </w:rPr>
              <w:t>GHQ-scale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 xml:space="preserve">Bacow </w:t>
            </w:r>
            <w:r>
              <w:rPr>
                <w:rFonts w:ascii="Book Antiqua" w:hAnsi="Book Antiqua" w:cs="Arial"/>
                <w:i/>
                <w:color w:val="000000"/>
                <w:highlight w:val="none"/>
              </w:rPr>
              <w:t>et al</w:t>
            </w:r>
            <w:r>
              <w:rPr>
                <w:rFonts w:ascii="Book Antiqua" w:hAnsi="Book Antiqua" w:cs="Arial"/>
                <w:color w:val="000000"/>
                <w:highlight w:val="none"/>
              </w:rPr>
              <w:fldChar w:fldCharType="begin" w:fldLock="1"/>
            </w:r>
            <w:r>
              <w:rPr>
                <w:rFonts w:ascii="Book Antiqua" w:hAnsi="Book Antiqua" w:cs="Arial"/>
                <w:color w:val="000000"/>
                <w:highlight w:val="none"/>
              </w:rPr>
              <w:instrText xml:space="preserve">ADDIN CSL_CITATION {"citationItems":[{"id":"ITEM-1","itemData":{"DOI":"10.2147/PRBM.S11785","ISSN":"1179-1578","PMID":"22110332","abstract":"While Wells' metacognitive model of generalized anxiety disorder (GAD) posits that certain metacognitive processes, such as negative meta-worry (negative beliefs about worry), are more strongly associated with symptoms of GAD than other anxiety disorders in adults, research has yet to determine whether the same pattern is true for younger individuals. We examined the relationship between several metacognitive processes and anxiety disorder diagnostic status in a sample of 98 youth aged 7-17 years. Twenty youth with GAD were compared with similarly sized groups of youth with obsessive-compulsive disorder (OCD, n = 18), social phobia (SOC, n = 20), separation anxiety disorder (SAD, n = 20), and healthy controls who were not patients (NONP, n = 20) using a self-report measure of metacognition adapted for use with young people in this age range (Metacognitions Questionnaire for Children). Contrary to expectations, only one specific metacognitive process was significantly associated with an anxiety disorder diagnosis, in that the controls endorsed a greater degree of cognitive monitoring (self-reported awareness of one's thoughts) than those with SAD. In addition, there was a trend indicating that nonpatients scored higher than youth with GAD on this scale. These surprising results suggest potentially differing patterns in the relationships between symptoms and metacognitive awareness in anxious youth, depending on the type of anxiety disorder presentation.","author":[{"dropping-particle":"","family":"Bacow","given":"Terri Landon","non-dropping-particle":"","parse-names":false,"suffix":""},{"dropping-particle":"","family":"Ehrenreich May","given":"Jill","non-dropping-particle":"","parse-names":false,"suffix":""},{"dropping-particle":"","family":"Brody","given":"Leslie R","non-dropping-particle":"","parse-names":false,"suffix":""},{"dropping-particle":"","family":"Pincus","given":"Donna B","non-dropping-particle":"","parse-names":false,"suffix":""}],"container-title":"Psychology Research and Behavior Management","id":"ITEM-1","issued":{"date-parts":[["2010","9"]]},"page":"81","title":"Are there specific metacognitive processes associated with anxiety disorders in youth?","type":"article-journal","volume":"3"},"uris":["http://www.mendeley.com/documents/?uuid=df4834f6-b667-4675-87d9-2f7d84c7a311"]}],"mendeley":{"formattedCitation":"&lt;sup&gt;[27]&lt;/sup&gt;","plainTextFormattedCitation":"[27]","previouslyFormattedCitation":"&lt;sup&gt;[27]&lt;/sup&gt;"},"properties":{"noteIndex":0},"schema":"https://github.com/citation-style-language/schema/raw/master/csl-citation.json"}</w:instrText>
            </w:r>
            <w:r>
              <w:rPr>
                <w:rFonts w:ascii="Book Antiqua" w:hAnsi="Book Antiqua" w:cs="Arial"/>
                <w:color w:val="000000"/>
                <w:highlight w:val="none"/>
              </w:rPr>
              <w:fldChar w:fldCharType="separate"/>
            </w:r>
            <w:r>
              <w:rPr>
                <w:rFonts w:ascii="Book Antiqua" w:hAnsi="Book Antiqua" w:cs="Arial"/>
                <w:color w:val="000000"/>
                <w:highlight w:val="none"/>
                <w:vertAlign w:val="superscript"/>
              </w:rPr>
              <w:t>[27]</w:t>
            </w:r>
            <w:r>
              <w:rPr>
                <w:rFonts w:ascii="Book Antiqua" w:hAnsi="Book Antiqua" w:cs="Arial"/>
                <w:color w:val="000000"/>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1,2,3,4</w:t>
            </w:r>
            <w:r>
              <w:rPr>
                <w:rFonts w:ascii="Book Antiqua" w:hAnsi="Book Antiqua" w:cs="Arial"/>
                <w:color w:val="000000"/>
                <w:highlight w:val="none"/>
                <w:vertAlign w:val="baseline"/>
              </w:rPr>
              <w:t>/</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color w:val="000000"/>
                <w:highlight w:val="none"/>
              </w:rPr>
            </w:pPr>
            <w:r>
              <w:rPr>
                <w:rFonts w:ascii="Book Antiqua" w:hAnsi="Book Antiqua" w:cs="Arial"/>
                <w:color w:val="000000"/>
                <w:highlight w:val="none"/>
              </w:rPr>
              <w:t>98/78/20</w:t>
            </w:r>
            <w:bookmarkStart w:id="4" w:name="_GoBack"/>
            <w:bookmarkEnd w:id="4"/>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NA/63%/65%</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color w:val="000000"/>
                <w:highlight w:val="none"/>
              </w:rPr>
              <w:t>(7-17) NA/(NA) 11.9</w:t>
            </w:r>
            <w:r>
              <w:rPr>
                <w:rFonts w:ascii="Book Antiqua" w:hAnsi="Book Antiqua" w:cs="Arial"/>
                <w:iCs/>
                <w:highlight w:val="none"/>
              </w:rPr>
              <w:t xml:space="preserve"> ± 3.1</w:t>
            </w:r>
            <w:r>
              <w:rPr>
                <w:rFonts w:ascii="Book Antiqua" w:hAnsi="Book Antiqua" w:cs="Arial"/>
                <w:color w:val="000000"/>
                <w:highlight w:val="none"/>
              </w:rPr>
              <w:t>/(NA) 12.4</w:t>
            </w:r>
            <w:r>
              <w:rPr>
                <w:rFonts w:ascii="Book Antiqua" w:hAnsi="Book Antiqua" w:cs="Arial"/>
                <w:iCs/>
                <w:highlight w:val="none"/>
              </w:rPr>
              <w:t xml:space="preserve"> ± 3.0</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ADIS-C-section</w:t>
            </w:r>
          </w:p>
        </w:tc>
        <w:tc>
          <w:tcPr>
            <w:tcW w:w="1433" w:type="dxa"/>
          </w:tcPr>
          <w:p>
            <w:pPr>
              <w:keepLines/>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ADIS-C/P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color w:val="000000"/>
                <w:highlight w:val="none"/>
              </w:rPr>
            </w:pPr>
            <w:r>
              <w:rPr>
                <w:rFonts w:ascii="Book Antiqua" w:hAnsi="Book Antiqua" w:cs="Arial"/>
                <w:highlight w:val="none"/>
              </w:rPr>
              <w:t xml:space="preserve">Bacow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{"citationItems":[{"id":"ITEM-1","itemData":{"DOI":"10.1016/j.janxdis.2009.02.013","ISBN":"0887-6185","ISSN":"08876185","PMID":"19362445","abstract":"A self-report measure of metacognition for both children and adolescents (ages 7-17) (Metacognitions Questionnaire for Children; MCQ-C) was adapted from a previous measure, the MCQ-A (Metacognitions Questionnaire for Adolescents) and was administered to a sample of 78 children and adolescents with clinical anxiety disorders and 20 non-clinical youth. The metacognitive processes included were (1) positive beliefs about worry (positive meta-worry); (2) negative beliefs about worry (negative meta-worry); (3) superstitious, punishment and responsibility beliefs (SPR beliefs) and (4) cognitive monitoring (awareness of one's own thoughts). The MCQ-C demonstrated good internal-consistency reliability, as well as concurrent and criterion validity, and four valid factors. In line with predictions, negative meta-worry was significantly associated with self-reports of internalizing symptoms (excessive worry and depression). Age-based differences on the MCQ-C were found for only one subscale, with adolescents reporting greater awareness of their thoughts than children. Adolescent girls scored higher on the total index of metacognitive processes than adolescent boys. Overall, these results provide preliminary support for the use of the MCQ-C with a broader age range as well as an association between metacognitive processes and anxiety symptomatology in both children and adolescents, with implications for cognitive behavioral interventions with anxious youth. © 2009 Elsevier Ltd. All rights reserved.","author":[{"dropping-particle":"","family":"Bacow","given":"Terri Landon","non-dropping-particle":"","parse-names":false,"suffix":""},{"dropping-particle":"","family":"Pincus","given":"Donna B.","non-dropping-particle":"","parse-names":false,"suffix":""},{"dropping-particle":"","family":"Ehrenreich","given":"Jill T.","non-dropping-particle":"","parse-names":false,"suffix":""},{"dropping-particle":"","family":"Brody","given":"Leslie R.","non-dropping-particle":"","parse-names":false,"suffix":""}],"container-title":"Journal of Anxiety Disorders","id":"ITEM-1","issue":"6","issued":{"date-parts":[["2009","8"]]},"page":"727-736","title":"The metacognitions questionnaire for children: Development and validation in a clinical sample of children and adolescents with anxiety disorders","type":"article-journal","volume":"23"},"uris":["http://www.mendeley.com/documents/?uuid=d670b1e0-4b51-4bb3-8c04-a6e3fb63f454"]}],"mendeley":{"formattedCitation":"&lt;sup&gt;[28]&lt;/sup&gt;","plainTextFormattedCitation":"[28]","previouslyFormattedCitation":"&lt;sup&gt;[28]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[28]</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1,2,3,4</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color w:val="000000"/>
                <w:highlight w:val="none"/>
              </w:rPr>
            </w:pPr>
            <w:r>
              <w:rPr>
                <w:rFonts w:ascii="Book Antiqua" w:hAnsi="Book Antiqua" w:cs="Arial"/>
                <w:color w:val="000000"/>
                <w:highlight w:val="none"/>
              </w:rPr>
              <w:t>98/78/20</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NA/63%/65%</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color w:val="000000"/>
                <w:highlight w:val="none"/>
              </w:rPr>
              <w:t>(7-17) NA/(NA) 11.9</w:t>
            </w:r>
            <w:r>
              <w:rPr>
                <w:rFonts w:ascii="Book Antiqua" w:hAnsi="Book Antiqua" w:cs="Arial"/>
                <w:iCs/>
                <w:highlight w:val="none"/>
              </w:rPr>
              <w:t xml:space="preserve"> ± 3.1</w:t>
            </w:r>
            <w:r>
              <w:rPr>
                <w:rFonts w:ascii="Book Antiqua" w:hAnsi="Book Antiqua" w:cs="Arial"/>
                <w:color w:val="000000"/>
                <w:highlight w:val="none"/>
              </w:rPr>
              <w:t>/(NA) 12.4</w:t>
            </w:r>
            <w:r>
              <w:rPr>
                <w:rFonts w:ascii="Book Antiqua" w:hAnsi="Book Antiqua" w:cs="Arial"/>
                <w:iCs/>
                <w:highlight w:val="none"/>
              </w:rPr>
              <w:t xml:space="preserve"> ± 3.0</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PSWQ-C; ADIS-C-section</w:t>
            </w:r>
          </w:p>
        </w:tc>
        <w:tc>
          <w:tcPr>
            <w:tcW w:w="1433" w:type="dxa"/>
          </w:tcPr>
          <w:p>
            <w:pPr>
              <w:keepLines/>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ADIS-C/P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Benedetto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{"citationItems":[{"id":"ITEM-1","itemData":{"DOI":"10.6092/2282-1619/2013.1.932","ISSN":"2282-1619","abstract":"Worry is a cognitive-emotive process characterized by repetitive and relatively uncontrollable thoughts that anticipate negative outcomes and cause distress in the individuals. According to the meta-cognitive model of Wells (1995), positive beliefs about the benefits of worry and negative beliefs on uncontrollability and danger of worry are associated with \"pathological brooding\" as the main feature of anxiety disorders. The phenomenon of worry is already present in preschool children and the ability to mull over is refined with the cognitive development and the progress of meta-cognition. The aim of this study is to explore the relationship between anxiety and worry in 184 preadolescents (aged 11-13 years). The measures employed were: RCMAS-2 to assess the levels of anxiety in children; the Penn State Worry Questionnaire for Children (PSWQ-C) and the Meta-cognition Questionnaire for Children (MCQ-C) to detect, respectively, the frequency and content of the worry. Results indicate that children with higher levels of anxiety reported significantly higher scores on PSWQ-C and in all subscales of the MCQ-C, with the only exception of the positive meta-worry. These results also support the reliability of the two instruments (PSWQ-C and MCQ-C-C) in the Italian version and encourage further applications in developmental or clinical researches. Keywords : worry, anxiety disorders, meta-cognitive beliefs, preadolescents","author":[{"dropping-particle":"","family":"Benedetto","given":"Loredana","non-dropping-particle":"","parse-names":false,"suffix":""},{"dropping-particle":"","family":"Blasi","given":"Daniela","non-dropping-particle":"Di","parse-names":false,"suffix":""},{"dropping-particle":"","family":"Pacicca","given":"Pamela","non-dropping-particle":"","parse-names":false,"suffix":""}],"container-title":"Mediterranean Journal of Clinical Psychology","id":"ITEM-1","issue":"3","issued":{"date-parts":[["2013"]]},"page":"1 - 14","title":"Worry and Meta-Cognitive Beliefs in Childhood Anxiety Disorders","type":"article-journal","volume":"1"},"uris":["http://www.mendeley.com/documents/?uuid=f3c8efdf-fafc-4e3e-9fd4-04754ef7e788"]}],"mendeley":{"formattedCitation":"&lt;sup&gt;[66]&lt;/sup&gt;","plainTextFormattedCitation":"[66]","previouslyFormattedCitation":"&lt;sup&gt;[66]&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[64]</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184</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53%</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(11-13) 12.0</w:t>
            </w:r>
            <w:r>
              <w:rPr>
                <w:rFonts w:ascii="Book Antiqua" w:hAnsi="Book Antiqua" w:cs="Arial"/>
                <w:iCs/>
                <w:highlight w:val="none"/>
              </w:rPr>
              <w:t xml:space="preserve"> ± </w:t>
            </w:r>
            <w:r>
              <w:rPr>
                <w:rFonts w:ascii="Book Antiqua" w:hAnsi="Book Antiqua" w:cs="Arial"/>
                <w:highlight w:val="none"/>
              </w:rPr>
              <w:t>0.9</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RCMAS-2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Benedetto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[49]</w:t>
            </w:r>
            <w:r>
              <w:rPr>
                <w:rFonts w:ascii="Book Antiqua" w:hAnsi="Book Antiqua" w:cs="Arial"/>
                <w:highlight w:val="none"/>
              </w:rPr>
              <w:fldChar w:fldCharType="end"/>
            </w:r>
            <w:r>
              <w:rPr>
                <w:rFonts w:ascii="Book Antiqua" w:hAnsi="Book Antiqua" w:cs="Arial"/>
                <w:highlight w:val="none"/>
              </w:rPr>
              <w:t>, study1</w:t>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191</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49%</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(13-18) </w:t>
            </w:r>
            <w:r>
              <w:rPr>
                <w:rFonts w:ascii="Book Antiqua" w:hAnsi="Book Antiqua" w:cs="Arial"/>
                <w:highlight w:val="none"/>
              </w:rPr>
              <w:t>16.4</w:t>
            </w:r>
            <w:r>
              <w:rPr>
                <w:rFonts w:ascii="Book Antiqua" w:hAnsi="Book Antiqua" w:cs="Arial"/>
                <w:iCs/>
                <w:highlight w:val="none"/>
              </w:rPr>
              <w:t xml:space="preserve"> ± 1.76</w:t>
            </w:r>
            <w:r>
              <w:rPr>
                <w:rFonts w:ascii="Book Antiqua" w:hAnsi="Book Antiqua" w:cs="Arial"/>
                <w:iCs/>
                <w:highlight w:val="none"/>
                <w:vertAlign w:val="superscript"/>
              </w:rPr>
              <w:t>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RCMAS-2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Benedetto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[49]</w:t>
            </w:r>
            <w:r>
              <w:rPr>
                <w:rFonts w:ascii="Book Antiqua" w:hAnsi="Book Antiqua" w:cs="Arial"/>
                <w:highlight w:val="none"/>
              </w:rPr>
              <w:fldChar w:fldCharType="end"/>
            </w:r>
            <w:r>
              <w:rPr>
                <w:rFonts w:ascii="Book Antiqua" w:hAnsi="Book Antiqua" w:cs="Arial"/>
                <w:highlight w:val="none"/>
              </w:rPr>
              <w:t>, study2</w:t>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1,5</w:t>
            </w:r>
            <w:r>
              <w:rPr>
                <w:rFonts w:ascii="Book Antiqua" w:hAnsi="Book Antiqua" w:cs="Arial"/>
                <w:color w:val="000000"/>
                <w:highlight w:val="none"/>
              </w:rPr>
              <w:t>/NC</w:t>
            </w:r>
            <w:r>
              <w:rPr>
                <w:rFonts w:ascii="Book Antiqua" w:hAnsi="Book Antiqua" w:cs="Arial"/>
                <w:color w:val="000000"/>
                <w:highlight w:val="none"/>
                <w:vertAlign w:val="superscript"/>
              </w:rPr>
              <w:t>b</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14/14</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57%/NA</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(12-17) </w:t>
            </w:r>
            <w:r>
              <w:rPr>
                <w:rFonts w:ascii="Book Antiqua" w:hAnsi="Book Antiqua" w:cs="Arial"/>
                <w:highlight w:val="none"/>
              </w:rPr>
              <w:t>14.9</w:t>
            </w:r>
            <w:r>
              <w:rPr>
                <w:rFonts w:ascii="Book Antiqua" w:hAnsi="Book Antiqua" w:cs="Arial"/>
                <w:iCs/>
                <w:highlight w:val="none"/>
              </w:rPr>
              <w:t xml:space="preserve"> ± 1.6</w:t>
            </w:r>
            <w:r>
              <w:rPr>
                <w:rFonts w:ascii="Book Antiqua" w:hAnsi="Book Antiqua" w:cs="Arial"/>
                <w:highlight w:val="none"/>
              </w:rPr>
              <w:t>/NA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RCMAS-2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Boysan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{"citationItems":[{"id":"ITEM-1","itemData":{"DOI":"10.5455/bcp.20151203125902","ISBN":"1017-7833","ISSN":"1017-7833","abstract":"Objective: Juvenile obsessive-compulsive disorder has been increasingly recognized in the literature. However, the developmentally sensitive screening tools for obsessive-compulsive disorder (OCD) in children and adolescents still lag behind psychometric tools developed for adult OCD. The Leyton Obsessional Inventory-Child Version is the most widely utilized screening tool for juvenile OCD assessment. Our aim was to assess psychometric properties of the Leyton Obsessional Inventory-Child Version (LOI-CV) and Obsessive Beliefs Questionnaire-Child Version (OBQ-CV). Method: The sample consisted of 805 children and adolescents, aged from 11 to 17 years. Mean age of the sample was 13.85 (SD±1.40) years. The LOI-CV, OBQ-CV, Obsessive Compulsive Inventory-Revised (OCI-R), State Trait Anxiety Inventory for Children (STAI-C) and Meta-Cognitions Questionnaire for Children (MCQ-C) were completed by respondents. The data were subjected to explanatory and confirmatory factor analyses. Internal consistency and two-week temporal stability of scale scores were computed. Results: Explanatory and confirmatory factor analyses yielded a three-factor solution for the LOI-CV: Compulsions, Obsessions and Mental Neutralizing. Internal reliability was high for the overall scale (α=0.86) and sub-scales (Cronbach alphas= 0.76, 0.75, and 0.70, respectively). Factor analyses suggested a new three factor solution for the OBQ-CV: Responsibility/ Threat Estimation, Certainty/Control of Thoughts and Perfectionism. Internal consistency was excellent for the total measure (α=0.90) and the subscales (α=0.84, 0.82 ve 0.71, respectively). Retest reliability was high for the both LOI-CV (r=0.83) and OBQ-CV (r=0.78). Both of the measures revealed good convergent validity with the OCI-R, STAI-C, and MCQ-C. Conclusion: The LOI-CV and OBQ-CV had promising psychometric properties in a community sample of Turkish children and adolescents.","author":[{"dropping-particle":"","family":"Boysan","given":"Murat","non-dropping-particle":"","parse-names":false,"suffix":""},{"dropping-particle":"","family":"Kadak","given":"Muhammed Tayyib","non-dropping-particle":"","parse-names":false,"suffix":""},{"dropping-particle":"","family":"Tarakcioglu","given":"Mahmut Cem","non-dropping-particle":"","parse-names":false,"suffix":""},{"dropping-particle":"","family":"Sertdurak","given":"Zeynep Seda","non-dropping-particle":"","parse-names":false,"suffix":""},{"dropping-particle":"","family":"Demirel","given":"Omer Faruk","non-dropping-particle":"","parse-names":false,"suffix":""}],"container-title":"Klinik Psikofarmakoloji Bülteni-Bulletin of Clinical Psychopharmacology","id":"ITEM-1","issue":"4","issued":{"date-parts":[["2016","12","25"]]},"page":"382-396","title":"Psychometric Properties of Turkish versions of the Leyton Obsessional Inventory-Child Version (LOI-CV) and Obsessive Beliefs Questionnaire-Child Version (OBQ-CV)","type":"article-journal","volume":"26"},"uris":["http://www.mendeley.com/documents/?uuid=5743af61-0679-4910-9530-83e36a1be19e"]}],"mendeley":{"formattedCitation":"&lt;sup&gt;[95]&lt;/sup&gt;","plainTextFormattedCitation":"[95]","previouslyFormattedCitation":"&lt;sup&gt;[95]&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[92]</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805</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49%</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(11-17) 13.9</w:t>
            </w:r>
            <w:r>
              <w:rPr>
                <w:rFonts w:ascii="Book Antiqua" w:hAnsi="Book Antiqua" w:cs="Arial"/>
                <w:iCs/>
                <w:highlight w:val="none"/>
              </w:rPr>
              <w:t xml:space="preserve"> ± </w:t>
            </w:r>
            <w:r>
              <w:rPr>
                <w:rFonts w:ascii="Book Antiqua" w:hAnsi="Book Antiqua" w:cs="Arial"/>
                <w:highlight w:val="none"/>
              </w:rPr>
              <w:t>1.4</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STAI-C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Carr and Szabó</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{"citationItems":[{"id":"ITEM-1","itemData":{"DOI":"10.1177/0272431614529366","ISSN":"0272-4316","abstract":"Worry in adults has been conceptualized as a thinking process involving problem-solving attempts about anticipated negative outcomes. This process is related to, though distinct from, fear. Previous research suggested that compared to adults, children’s experience of worry is less strongly associated with thinking and more closely related to fear. The present study further explored children’s worrying. Ninety-three 7- to 12-year-olds rated how much they worry, fear and think about the same list of negative outcomes, and reported on their positive beliefs about worrying. Children associated worrying more strongly with fear than with thinking. However, this relationship was moderated by age. Older children reported that worry was more closely related to thinking and less closely related to fear. Furthermore, children who reported more thinking, rather than fear, about negative outcomes were also more likely to report that worrying had beneficial effects. Results suggest important changes in the nature of worrying during late childhood.","author":[{"dropping-particle":"","family":"Carr","given":"Imogen","non-dropping-particle":"","parse-names":false,"suffix":""},{"dropping-particle":"","family":"Szabó","given":"Marianna","non-dropping-particle":"","parse-names":false,"suffix":""}],"container-title":"The Journal of Early Adolescence","id":"ITEM-1","issue":"1","issued":{"date-parts":[["2015","1","7"]]},"page":"120-135","title":"Worry in Children: Changing Associations With Fear, Thinking, and Problem-Solving","type":"article-journal","volume":"35"},"uris":["http://www.mendeley.com/documents/?uuid=d5f4df9b-0875-481b-8cf2-f13b4198df5a"]}],"mendeley":{"formattedCitation":"&lt;sup&gt;[74]&lt;/sup&gt;","plainTextFormattedCitation":"[74]","previouslyFormattedCitation":"&lt;sup&gt;[74]&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[72]</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93</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48%</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(7-12) 10.0</w:t>
            </w:r>
            <w:r>
              <w:rPr>
                <w:rFonts w:ascii="Book Antiqua" w:hAnsi="Book Antiqua" w:cs="Arial"/>
                <w:iCs/>
                <w:highlight w:val="none"/>
              </w:rPr>
              <w:t xml:space="preserve"> ± </w:t>
            </w:r>
            <w:r>
              <w:rPr>
                <w:rFonts w:ascii="Book Antiqua" w:hAnsi="Book Antiqua" w:cs="Arial"/>
                <w:highlight w:val="none"/>
              </w:rPr>
              <w:t>1.2</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(16)</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CAWS</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Cartwright-Hatton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{"citationItems":[{"id":"ITEM-1","itemData":{"DOI":"10.1016/S0887-6185(02)00294-3","ISBN":"0887-6185","ISSN":"08876185","PMID":"15125986","abstract":"This study describes the development of the Meta-cognitions Questionnaire for Adolescents (MCQ-A). The adult version of this questionnaire has been widely used, and the meta-cognitive theory of emotional disorders has become influential in the adult literature. This study sought to examine the prevalence and emotional correlates of meta-cognition in adolescents. The MCQ-A was administered to 177 schoolchildren aged 13 through 17 years, together with measures of emotional well-being. Factor analysis suggested a five-factor solution similar to that reported for the adult version. Internal consistency of the scale was high. Scores ranged from low to high across the age range, suggesting that meta-cognitive beliefs are well-established by adolescence. Scores on the MCQ-A were highly correlated with a number of measures of emotional symptoms. The MCQ-A is a reliable and valid instrument for measuring meta-cognitive beliefs in adolescents. Young people aged between 13 and 17 years report a range of types and levels of meta-cognitive beliefs and these are positively associated with emotional symptoms. © 2002 Elsevier Science Inc. All rights reserved.","author":[{"dropping-particle":"","family":"Cartwright-Hatton","given":"Sam","non-dropping-particle":"","parse-names":false,"suffix":""},{"dropping-particle":"","family":"Mather","given":"Alison","non-dropping-particle":"","parse-names":false,"suffix":""},{"dropping-particle":"","family":"Illingworth","given":"Vicky","non-dropping-particle":"","parse-names":false,"suffix":""},{"dropping-particle":"","family":"Brocki","given":"Jo","non-dropping-particle":"","parse-names":false,"suffix":""},{"dropping-particle":"","family":"Harrington","given":"Richard","non-dropping-particle":"","parse-names":false,"suffix":""},{"dropping-particle":"","family":"Wells","given":"Adrian","non-dropping-particle":"","parse-names":false,"suffix":""}],"container-title":"Journal of Anxiety Disorders","id":"ITEM-1","issue":"3","issued":{"date-parts":[["2004","1"]]},"page":"411-422","title":"Development and preliminary validation of the Meta-cognitions Questionnaire—Adolescent Version","type":"article-journal","volume":"18"},"uris":["http://www.mendeley.com/documents/?uuid=287aea68-6c29-498e-88e2-dae90e779536"]}],"mendeley":{"formattedCitation":"&lt;sup&gt;[54]&lt;/sup&gt;","plainTextFormattedCitation":"[54]","previouslyFormattedCitation":"&lt;sup&gt;[54]&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[53]</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6</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(11)/166</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(64%)/66%</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NA/(13-17) 15.3</w:t>
            </w:r>
            <w:r>
              <w:rPr>
                <w:rFonts w:ascii="Book Antiqua" w:hAnsi="Book Antiqua" w:cs="Arial"/>
                <w:iCs/>
                <w:highlight w:val="none"/>
              </w:rPr>
              <w:t xml:space="preserve"> ± 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RCMAS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Donovan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{"citationItems":[{"id":"ITEM-1","itemData":{"DOI":"10.1016/j.jad.2015.12.003","ISBN":"0165-0327","ISSN":"01650327","PMID":"26702733","abstract":"Background Intolerance of uncertainty (IU), negative beliefs about worry (NBW), positive beliefs about worry (PBW), negative problem orientation (NPO) and cognitive avoidance (CA) have been found to be integral in the conceptualisation of Generalised Anxiety Disorder (GAD) in adults, yet they have rarely been investigated in children with GAD. This study sought to determine (a) whether IU, NBW, PBW, NPO and CA differ between children diagnosed with GAD and non-anxious children and (b) to examine whether IU, NBW, PBW, NPO and CA differ between parents of children diagnosed with GAD and parents of children without an anxiety disorder. Methods Participants were 50 children (aged 7-12 years), plus one of their parents. The 25 GAD children and 25 non-anxious children were matched on age and gender. Parents and children completed clinical diagnostic interviews, as well as a battery of questionnaires measuring worry, IU, NBW, PBW, NPO and CA. Results Children with GAD endorsed significantly higher levels of worry, IU, NBW, NPO and CA, but not PBW compared to non-anxious children. Parents of children with GAD did not differ from parents of non-anxious children on any of the variables. Limitations The study was limited by it's use of modified adult measures for some variables and a lack of heterogeneity in the sample. Conclusions The cognitive variables of IU, NBW, NPO and CA may also be important in the conceptualisation and treatment of GAD in children as they are in adults.","author":[{"dropping-particle":"","family":"Donovan","given":"Caroline L.","non-dropping-particle":"","parse-names":false,"suffix":""},{"dropping-particle":"","family":"Holmes","given":"Monique C.","non-dropping-particle":"","parse-names":false,"suffix":""},{"dropping-particle":"","family":"Farrell","given":"Lara J.","non-dropping-particle":"","parse-names":false,"suffix":""}],"container-title":"Journal of Affective Disorders","id":"ITEM-1","issued":{"date-parts":[["2016","3"]]},"page":"1-7","publisher":"Elsevier","title":"Investigation of the cognitive variables associated with worry in children with Generalised Anxiety Disorder and their parents","type":"article-journal","volume":"192"},"uris":["http://www.mendeley.com/documents/?uuid=05dfaf08-9b20-4202-93c5-0292f073de16"]}],"mendeley":{"formattedCitation":"&lt;sup&gt;[82]&lt;/sup&gt;","plainTextFormattedCitation":"[82]","previouslyFormattedCitation":"&lt;sup&gt;[82]&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[80]</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50/25/25</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60%/NA/NA</w:t>
            </w:r>
          </w:p>
        </w:tc>
        <w:tc>
          <w:tcPr>
            <w:tcW w:w="2291"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highlight w:val="none"/>
              </w:rPr>
              <w:t>(7-12) 9.9</w:t>
            </w:r>
            <w:r>
              <w:rPr>
                <w:rFonts w:ascii="Book Antiqua" w:hAnsi="Book Antiqua" w:cs="Arial"/>
                <w:iCs/>
                <w:highlight w:val="none"/>
              </w:rPr>
              <w:t xml:space="preserve"> ± 1.5</w:t>
            </w:r>
            <w:r>
              <w:rPr>
                <w:rFonts w:ascii="Book Antiqua" w:hAnsi="Book Antiqua" w:cs="Arial"/>
                <w:color w:val="000000"/>
                <w:highlight w:val="none"/>
              </w:rPr>
              <w:t>/NA/NA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Donovan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{"citationItems":[{"id":"ITEM-1","itemData":{"DOI":"10.1016/j.jad.2016.09.061","ISBN":"0165-0327","ISSN":"01650327","abstract":"Background Despite being extensively studied in adults, investigation of worry and it's associated cognitive variables remains in its infancy in paediatric samples. Aims This study aimed to investigate 1) whether the child cognitive variables of intolerance of uncertainty (IU), positive beliefs about worry (PBW), negative beliefs about worry (NBW), negative problem orientation (NPO) and cognitive avoidance (CA) were associated with child worry, 2) whether parental worry and cognitive variables were associated with child worry, 3) whether the relationship between child and parent worry was mediated by child cognitive variables and 4) whether the relationships between specific parent cognitive factors and child worry were mediated by specific child cognitive factors. Method Participants were 114 children plus one of their parents. Parents and children completed questionnaires assessing each of the five cognitive variables and worry. Results When examined together, child NBW and CA significantly predicted child worry. Parent worry, IU and CA were significantly and positively related to child worry. The relationship between parent worry and child worry was mediated by child NBW and CA. The relationship between parent IU, NPO and CA and child worry was mediated by child IU, NPO and CA respectively. Conclusions Child NBW and CA may be particularly important to child worry and may represent potential treatment targets. Parental worry and cognitive variables may play a role in the development and / or maintenance of child worry.","author":[{"dropping-particle":"","family":"Donovan","given":"Caroline L.","non-dropping-particle":"","parse-names":false,"suffix":""},{"dropping-particle":"","family":"Holmes","given":"Monique C.","non-dropping-particle":"","parse-names":false,"suffix":""},{"dropping-particle":"","family":"Farrell","given":"Lara J.","non-dropping-particle":"","parse-names":false,"suffix":""},{"dropping-particle":"","family":"Hearn","given":"Catherine S.","non-dropping-particle":"","parse-names":false,"suffix":""}],"container-title":"Journal of Affective Disorders","id":"ITEM-1","issue":"September 2016","issued":{"date-parts":[["2017","1"]]},"page":"230-237","publisher":"Elsevier","title":"Thinking about worry: Investigation of the cognitive components of worry in children","type":"article-journal","volume":"208"},"uris":["http://www.mendeley.com/documents/?uuid=3904df03-4f0a-4dcd-9e2c-a6600b779633"]}],"mendeley":{"formattedCitation":"&lt;sup&gt;[67]&lt;/sup&gt;","plainTextFormattedCitation":"[67]","previouslyFormattedCitation":"&lt;sup&gt;[67]&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[65]</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114</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51%</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(8-12) 9.9</w:t>
            </w:r>
            <w:r>
              <w:rPr>
                <w:rFonts w:ascii="Book Antiqua" w:hAnsi="Book Antiqua" w:cs="Arial"/>
                <w:iCs/>
                <w:highlight w:val="none"/>
              </w:rPr>
              <w:t xml:space="preserve"> ± 1.3</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Ellis and Hudson</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{"citationItems":[{"id":"ITEM-1","itemData":{"DOI":"10.5127/jep.011910","ISBN":"2043-8087","ISSN":"20438087","abstract":"The metacognitive model of generalized anxiety disorder (GAD) suggests that positive and negative beliefs about worry contribute to pathological worry. This study explores the relationship between metacognition and worry in youth aged 12–17 years. The sample consisted of 81 anxiety-disordered youth, with 70 mothers included, and 42 non-clinical controls, with 40 mothers included. Metacognitive beliefs were associated with emotional symptoms. Both GAD and non-GAD youth, and anxious and anxious/depressed youth, reported higher metacognitive beliefs compared to non-clinical controls, but there were no differences in metacognition between emotional disorders. There was no significant association between age and metacognition, and there were no gender differences in metacognition. These results provide partial support for using the metacognitive model of GAD to understand worry in young people. (PsycINFO Database Record (c) 2016 APA, all rights reserved)","author":[{"dropping-particle":"","family":"Ellis","given":"Danielle M.","non-dropping-particle":"","parse-names":false,"suffix":""},{"dropping-particle":"","family":"Hudson","given":"Jennifer","non-dropping-particle":"","parse-names":false,"suffix":""}],"container-title":"Journal of Experimental Psychopathology","id":"ITEM-1","issue":"1","issued":{"date-parts":[["2011"]]},"page":"28-43","title":"Test of the Metacognitive Model of Generalized Anxiety Disorder in Anxiety-Disordered Adolescents","type":"article-journal","volume":"2"},"uris":["http://www.mendeley.com/documents/?uuid=c5e50085-12d7-41b7-be81-c93fc49ea263"]}],"mendeley":{"formattedCitation":"&lt;sup&gt;[24]&lt;/sup&gt;","plainTextFormattedCitation":"[24]","previouslyFormattedCitation":"&lt;sup&gt;[24]&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[24]</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1,5</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123/81/42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NA/57%/52%</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iCs/>
                <w:highlight w:val="none"/>
              </w:rPr>
              <w:t>(12-17) NA</w:t>
            </w:r>
            <w:r>
              <w:rPr>
                <w:rFonts w:ascii="Book Antiqua" w:hAnsi="Book Antiqua" w:cs="Arial"/>
                <w:highlight w:val="none"/>
              </w:rPr>
              <w:t>/(NA) 14.1</w:t>
            </w:r>
            <w:r>
              <w:rPr>
                <w:rFonts w:ascii="Book Antiqua" w:hAnsi="Book Antiqua" w:cs="Arial"/>
                <w:iCs/>
                <w:highlight w:val="none"/>
              </w:rPr>
              <w:t xml:space="preserve"> ± 1.5</w:t>
            </w:r>
            <w:r>
              <w:rPr>
                <w:rFonts w:ascii="Book Antiqua" w:hAnsi="Book Antiqua" w:cs="Arial"/>
                <w:highlight w:val="none"/>
              </w:rPr>
              <w:t>/(NA) 13.7</w:t>
            </w:r>
            <w:r>
              <w:rPr>
                <w:rFonts w:ascii="Book Antiqua" w:hAnsi="Book Antiqua" w:cs="Arial"/>
                <w:iCs/>
                <w:highlight w:val="none"/>
              </w:rPr>
              <w:t xml:space="preserve"> ± 1.4</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ADIS-C/P; SCAS-C/P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Esbjørn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[23]</w:t>
            </w:r>
            <w:r>
              <w:rPr>
                <w:rFonts w:ascii="Book Antiqua" w:hAnsi="Book Antiqua" w:cs="Arial"/>
                <w:highlight w:val="none"/>
              </w:rPr>
              <w:fldChar w:fldCharType="end"/>
            </w:r>
            <w:r>
              <w:rPr>
                <w:rFonts w:ascii="Book Antiqua" w:hAnsi="Book Antiqua" w:cs="Arial"/>
                <w:highlight w:val="none"/>
              </w:rPr>
              <w:t>, study1</w:t>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587</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55%</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(9-17) 12.5</w:t>
            </w:r>
            <w:r>
              <w:rPr>
                <w:rFonts w:ascii="Book Antiqua" w:hAnsi="Book Antiqua" w:cs="Arial"/>
                <w:iCs/>
                <w:highlight w:val="none"/>
              </w:rPr>
              <w:t xml:space="preserve"> ± 0.9</w:t>
            </w:r>
            <w:r>
              <w:rPr>
                <w:rFonts w:ascii="Book Antiqua" w:hAnsi="Book Antiqua" w:cs="Arial"/>
                <w:iCs/>
                <w:highlight w:val="none"/>
                <w:vertAlign w:val="superscript"/>
              </w:rPr>
              <w:t>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SCARED-R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Esbjørn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[23]</w:t>
            </w:r>
            <w:r>
              <w:rPr>
                <w:rFonts w:ascii="Book Antiqua" w:hAnsi="Book Antiqua" w:cs="Arial"/>
                <w:highlight w:val="none"/>
              </w:rPr>
              <w:fldChar w:fldCharType="end"/>
            </w:r>
            <w:r>
              <w:rPr>
                <w:rFonts w:ascii="Book Antiqua" w:hAnsi="Book Antiqua" w:cs="Arial"/>
                <w:highlight w:val="none"/>
              </w:rPr>
              <w:t>, study2</w:t>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1,4,7,3</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93/50/43</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NA/NA/NA</w:t>
            </w:r>
          </w:p>
        </w:tc>
        <w:tc>
          <w:tcPr>
            <w:tcW w:w="2291"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highlight w:val="none"/>
              </w:rPr>
              <w:t>(7-12) 9.8</w:t>
            </w:r>
            <w:r>
              <w:rPr>
                <w:rFonts w:ascii="Book Antiqua" w:hAnsi="Book Antiqua" w:cs="Arial"/>
                <w:iCs/>
                <w:highlight w:val="none"/>
              </w:rPr>
              <w:t xml:space="preserve"> ± </w:t>
            </w:r>
            <w:r>
              <w:rPr>
                <w:rFonts w:ascii="Book Antiqua" w:hAnsi="Book Antiqua" w:cs="Arial"/>
                <w:highlight w:val="none"/>
              </w:rPr>
              <w:t>1.6</w:t>
            </w:r>
            <w:r>
              <w:rPr>
                <w:rFonts w:ascii="Book Antiqua" w:hAnsi="Book Antiqua" w:cs="Arial"/>
                <w:color w:val="000000"/>
                <w:highlight w:val="none"/>
              </w:rPr>
              <w:t>/NA/NA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Esbjørn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{"citationItems":[{"id":"ITEM-1","itemData":{"DOI":"10.1111/sjop.12286","ISSN":"00365564","abstract":"Research has shown that anxiety may be transmitted through verbal information pathways, for example, when parents share their anxious cognitions with their child. Less is known about the influence of parental metacognitions, that is, beliefs regarding thoughts, on child anxiety. We explored the relations between metacognitions in mothers and their children and anxiety in the children. Our study included 111 non</w:instrText>
            </w:r>
            <w:r>
              <w:rPr>
                <w:rFonts w:hint="eastAsia" w:ascii="宋体" w:hAnsi="宋体" w:eastAsia="宋体" w:cs="宋体"/>
                <w:highlight w:val="none"/>
              </w:rPr>
              <w:instrText xml:space="preserve">‐</w:instrText>
            </w:r>
            <w:r>
              <w:rPr>
                <w:rFonts w:ascii="Book Antiqua" w:hAnsi="Book Antiqua" w:cs="Arial"/>
                <w:highlight w:val="none"/>
              </w:rPr>
              <w:instrText xml:space="preserve">clinical children aged 8 to 12 years and their mothers. Children rated their metacognitions, worry and anxiety, and mothers rated their metacognitions. Results indicated agreement between maternal and child metacognitions. Maternal metacognitions were positively associated with children's anxiety symptoms and worry, and this relation was mediated by the children's metacognitions. Our results warrant further examination of the role of parental metacognitions in child anxiety. (PsycINFO Database Record (c) 2016 APA, all rights reserved)","author":[{"dropping-particle":"","family":"Esbjørn","given":"Barbara Hoff","non-dropping-particle":"","parse-names":false,"suffix":""},{"dropping-particle":"","family":"Normann","given":"Nicoline","non-dropping-particle":"","parse-names":false,"suffix":""},{"dropping-particle":"","family":"Lønfeldt","given":"Nicole Nadine","non-dropping-particle":"","parse-names":false,"suffix":""},{"dropping-particle":"","family":"Tolstrup","given":"Marie","non-dropping-particle":"","parse-names":false,"suffix":""},{"dropping-particle":"","family":"Reinholdt-Dunne","given":"Marie Louise","non-dropping-particle":"","parse-names":false,"suffix":""}],"container-title":"Scandinavian Journal of Psychology","id":"ITEM-1","issue":"3","issued":{"date-parts":[["2016","6"]]},"page":"201-206","title":"Exploring the relationships between maternal and child metacognitions and child anxiety","type":"article-journal","volume":"57"},"uris":["http://www.mendeley.com/documents/?uuid=1cc7ae30-1aac-400d-87f5-df1c39fd4ba2"]}],"mendeley":{"formattedCitation":"&lt;sup&gt;[96]&lt;/sup&gt;","plainTextFormattedCitation":"[96]","previouslyFormattedCitation":"&lt;sup&gt;[96]&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[93]</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111</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64%</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(8-12) 10.1</w:t>
            </w:r>
            <w:r>
              <w:rPr>
                <w:rFonts w:ascii="Book Antiqua" w:hAnsi="Book Antiqua" w:cs="Arial"/>
                <w:iCs/>
                <w:highlight w:val="none"/>
              </w:rPr>
              <w:t xml:space="preserve"> ± </w:t>
            </w:r>
            <w:r>
              <w:rPr>
                <w:rFonts w:ascii="Book Antiqua" w:hAnsi="Book Antiqua" w:cs="Arial"/>
                <w:highlight w:val="none"/>
              </w:rPr>
              <w:t>1.4</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ADIS-C/P; RCADS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Esbjørn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[66]</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974</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55%</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(9-17)</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SCARED-R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Esbjørn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{"citationItems":[{"id":"ITEM-1","itemData":{"DOI":"10.1016/j.janxdis.2017.11.002","ISSN":"08876185","author":[{"dropping-particle":"","family":"Esbjørn","given":"Barbara Hoff","non-dropping-particle":"","parse-names":false,"suffix":""},{"dropping-particle":"","family":"Normann","given":"Nicoline","non-dropping-particle":"","parse-names":false,"suffix":""},{"dropping-particle":"","family":"Christiansen","given":"Bianca Munkebo","non-dropping-particle":"","parse-names":false,"suffix":""},{"dropping-particle":"","family":"Reinholdt-Dunne","given":"Marie Louise","non-dropping-particle":"","parse-names":false,"suffix":""}],"container-title":"Journal of Anxiety Disorders","id":"ITEM-1","issued":{"date-parts":[["2018","1"]]},"page":"16-21","title":"The efficacy of group metacognitive therapy for children (MCT-c) with generalized anxiety disorder: An open trial","type":"article-journal","volume":"53"},"uris":["http://www.mendeley.com/documents/?uuid=20c83b49-a0f2-4abf-aa12-5ee3da2b6977"]}],"mendeley":{"formattedCitation":"&lt;sup&gt;[57]&lt;/sup&gt;","plainTextFormattedCitation":"[57]","previouslyFormattedCitation":"&lt;sup&gt;[57]&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[56]</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1</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44</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50%</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color w:val="000000"/>
                <w:highlight w:val="none"/>
              </w:rPr>
              <w:t>(7-13) 9.7</w:t>
            </w:r>
            <w:r>
              <w:rPr>
                <w:rFonts w:ascii="Book Antiqua" w:hAnsi="Book Antiqua" w:cs="Arial"/>
                <w:iCs/>
                <w:highlight w:val="none"/>
              </w:rPr>
              <w:t xml:space="preserve"> ± 1.6</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 RCADS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Fergus and Limbers</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{"citationItems":[{"id":"ITEM-1","itemData":{"DOI":"10.1016/j.beth.2018.12.001","ISSN":"00057894","author":[{"dropping-particle":"","family":"Fergus","given":"Thomas A.","non-dropping-particle":"","parse-names":false,"suffix":""},{"dropping-particle":"","family":"Limbers","given":"Christine A.","non-dropping-particle":"","parse-names":false,"suffix":""}],"container-title":"Behavior Therapy","id":"ITEM-1","issue":"4","issued":{"date-parts":[["2019","7"]]},"page":"803-816","title":"Reducing Test Anxiety in School Settings: A Controlled Pilot Study Examining a Group Format Delivery of the Attention Training Technique Among Adolescent Students","type":"article-journal","volume":"50"},"uris":["http://www.mendeley.com/documents/?uuid=658b14a3-7f29-4b73-a9db-5a8090bddb62"]}],"mendeley":{"formattedCitation":"&lt;sup&gt;[58]&lt;/sup&gt;","plainTextFormattedCitation":"[58]","previouslyFormattedCitation":"&lt;sup&gt;[58]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[57]</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 (TG)/NC (CG)</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39/34</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62%/71%</w:t>
            </w:r>
          </w:p>
        </w:tc>
        <w:tc>
          <w:tcPr>
            <w:tcW w:w="2291"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highlight w:val="none"/>
              </w:rPr>
              <w:t>(NA) 13.8</w:t>
            </w:r>
            <w:r>
              <w:rPr>
                <w:rFonts w:ascii="Book Antiqua" w:hAnsi="Book Antiqua" w:cs="Arial"/>
                <w:iCs/>
                <w:highlight w:val="none"/>
              </w:rPr>
              <w:t xml:space="preserve"> ± 0.5</w:t>
            </w:r>
            <w:r>
              <w:rPr>
                <w:rFonts w:ascii="Book Antiqua" w:hAnsi="Book Antiqua" w:cs="Arial"/>
                <w:highlight w:val="none"/>
              </w:rPr>
              <w:t>/(NA) 13.8</w:t>
            </w:r>
            <w:r>
              <w:rPr>
                <w:rFonts w:ascii="Book Antiqua" w:hAnsi="Book Antiqua" w:cs="Arial"/>
                <w:iCs/>
                <w:highlight w:val="none"/>
              </w:rPr>
              <w:t xml:space="preserve"> ± 0.7</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(17)</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CTAS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Fisak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{"citationItems":[{"id":"ITEM-1","itemData":{"DOI":"10.1017/S1352465813000374","ISSN":"1352-4658","PMID":"23735158","abstract":"Background: Meta-worry is considered a central component of the Metacognitive Model of Generalized Anxiety Disorder. Although initial research provides support for the applicability of this model to adolescent samples, the construct of meta-worry has yet to be examined in adolescents. Aims: The purpose of this study was to examine the psychometric properties of the Meta-Worry Questionnaire (MWQ), a measure designed to assess negative beliefs about worry, in an adolescent sample, and to examine the degree to which meta-worry is associated with pathological worry in adolescents. Method: A non-referred sample of 175 adolescents completed a modified version of the MWQ along with the Meta-Cognitions Questionnaire-Children (MCQ-C) and the Penn State Worry Questionnaire for Children (PSWQ-C). Results: The MWQ was found to exhibit strong psychometric properties. Most noteworthy, the MWQ was found to be a particularly robust predictor of scores on the PSWQ-C, and incremental validity was also demonstrated. Conclusions: Overall, the current findings provide support for the reliability and validity of the MWQ in adolescents and support for meta-worry as a predictor of worry symptoms in adolescents.;","author":[{"dropping-particle":"","family":"Fisak","given":"Brian","non-dropping-particle":"","parse-names":false,"suffix":""},{"dropping-particle":"","family":"Mentuccia","given":"Marco","non-dropping-particle":"","parse-names":false,"suffix":""},{"dropping-particle":"","family":"Przeworski","given":"Amy","non-dropping-particle":"","parse-names":false,"suffix":""}],"container-title":"Behavioural and Cognitive Psychotherapy","id":"ITEM-1","issue":"04","issued":{"date-parts":[["2014","7","5"]]},"page":"491-496","title":"Meta-Worry in Adolescents: Examination of the Psychometric Properties of the Meta-Worry Questionnaire in an Adolescent Sample","type":"article-journal","volume":"42"},"uris":["http://www.mendeley.com/documents/?uuid=2b42a34f-b3b7-4ce7-91d2-f52b618b8080"]}],"mendeley":{"formattedCitation":"&lt;sup&gt;[75]&lt;/sup&gt;","plainTextFormattedCitation":"[75]","previouslyFormattedCitation":"&lt;sup&gt;[75]&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[73]</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175</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66%</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(11-18) 13.9</w:t>
            </w:r>
            <w:r>
              <w:rPr>
                <w:rFonts w:ascii="Book Antiqua" w:hAnsi="Book Antiqua" w:cs="Arial"/>
                <w:iCs/>
                <w:highlight w:val="none"/>
              </w:rPr>
              <w:t xml:space="preserve"> ± 1.5</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p>
            <w:pPr>
              <w:keepLines/>
              <w:adjustRightInd w:val="0"/>
              <w:snapToGrid w:val="0"/>
              <w:spacing w:line="360" w:lineRule="auto"/>
              <w:rPr>
                <w:rFonts w:ascii="Book Antiqua" w:hAnsi="Book Antiqua" w:cs="Arial"/>
                <w:highlight w:val="none"/>
              </w:rPr>
            </w:pPr>
            <w:r>
              <w:rPr>
                <w:rFonts w:ascii="Book Antiqua" w:hAnsi="Book Antiqua" w:cs="Arial"/>
                <w:highlight w:val="none"/>
              </w:rPr>
              <w:t>MWQ</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Francis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{"citationItems":[{"id":"ITEM-1","itemData":{"DOI":"10.1007/s10862-016-9584-4","ISSN":"0882-2689","abstract":"Despite the emphasis on threat appraisal in cognitive models of anxiety, self-report measures of related processes in children and adolescents have been lacking. This paper reports on the development and preliminary psychometric evaluation of a new measure of threat appraisal for children and adolescents – the Threat Appraisal Questionnaire for Children (TAQ-C). Based on current conceptualisations of threat appraisal, the TAQ-C was designed to index the construct across three dimensions: probability, cost, and coping difficulties. Confirmatory Factor Analysis was used to examine this structure in a community sample of n = 312 children (ages 9–15 years, 55% female). Results indicated that the scores on the instrument capture three factors (Probability, Cost and Coping difficulties). Moreover, a model in which the 1st-order factors loaded significantly on a single 2nd order factor of threat in general, was supported. The TAQ-C was found to demonstrate good internal consistency, and acceptable levels of test-retest reliability within a 3–4 week interval, when evaluated with a subsample of n = 51 children. Support for convergent validity was demonstrated, with TAQ-C scores found to correlate strongly with existing measures of child anxiety, and conceptually related cognitive processes. Divergent validity was also evidenced, with low correlations found between TAQ-C scores and the unrelated construct measure of Hyperactivity-Inattention. The TAQ-C, therefore, appears to be a promising measure with a range of potential applications for child and adolescent settings.","author":[{"dropping-particle":"","family":"Francis","given":"Rosanna","non-dropping-particle":"","parse-names":false,"suffix":""},{"dropping-particle":"","family":"Hawes","given":"David J.","non-dropping-particle":"","parse-names":false,"suffix":""},{"dropping-particle":"","family":"Abbott","given":"Maree","non-dropping-particle":"","parse-names":false,"suffix":""},{"dropping-particle":"","family":"Costa","given":"Daniel S. J.","non-dropping-particle":"","parse-names":false,"suffix":""}],"container-title":"Journal of Psychopathology and Behavioral Assessment","id":"ITEM-1","issue":"2","issued":{"date-parts":[["2017","6","12"]]},"page":"322-341","publisher":"Journal of Psychopathology and Behavioral Assessment","title":"Development and Preliminary Validation of the Threat Appraisal Questionnaire for Children (TAQ-C)","type":"article-journal","volume":"39"},"uris":["http://www.mendeley.com/documents/?uuid=fd9619db-6657-49ed-9a6c-e7d4ff1bbd23"]}],"mendeley":{"formattedCitation":"&lt;sup&gt;[51]&lt;/sup&gt;","plainTextFormattedCitation":"[51]","previouslyFormattedCitation":"&lt;sup&gt;[51]&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[50]</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312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55%</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(9-15) 11.9</w:t>
            </w:r>
            <w:r>
              <w:rPr>
                <w:rFonts w:ascii="Book Antiqua" w:hAnsi="Book Antiqua" w:cs="Arial"/>
                <w:iCs/>
                <w:highlight w:val="none"/>
              </w:rPr>
              <w:t xml:space="preserve"> ± 1.2</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SCAS;</w:t>
            </w:r>
          </w:p>
          <w:p>
            <w:pPr>
              <w:keepLines/>
              <w:adjustRightInd w:val="0"/>
              <w:snapToGrid w:val="0"/>
              <w:spacing w:line="360" w:lineRule="auto"/>
              <w:rPr>
                <w:rFonts w:ascii="Book Antiqua" w:hAnsi="Book Antiqua" w:cs="Arial"/>
                <w:highlight w:val="none"/>
              </w:rPr>
            </w:pPr>
            <w:r>
              <w:rPr>
                <w:rFonts w:ascii="Book Antiqua" w:hAnsi="Book Antiqua" w:cs="Arial"/>
                <w:highlight w:val="none"/>
              </w:rPr>
              <w:t>MASC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Francis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paid.2017.08.044","ISSN":"01918869","author":[{"dropping-particle":"","family":"Francis","given":"Rosanna","non-dropping-particle":"","parse-names":false,"suffix":""},{"dropping-particle":"","family":"Hawes","given":"David J.","non-dropping-particle":"","parse-names":false,"suffix":""},{"dropping-particle":"","family":"Abbott","given":"Maree J.","non-dropping-particle":"","parse-names":false,"suffix":""},{"dropping-particle":"","family":"Costa","given":"Daniel S.J.","non-dropping-particle":"","parse-names":false,"suffix":""}],"container-title":"Personality and Individual Differences","id":"ITEM-1","issued":{"date-parts":[["2018","1"]]},"page":"179-184","title":"Cognitive mechanisms for worry in early adolescence: Re-examining the role of high verbal intelligence","type":"article-journal","volume":"120"},"uris":["http://www.mendeley.com/documents/?uuid=6a9132b8-40de-4343-8691-67f42b4812f7"]}],"mendeley":{"formattedCitation":"&lt;sup&gt;[52]&lt;/sup&gt;","plainTextFormattedCitation":"[52]","previouslyFormattedCitation":"&lt;sup&gt;[52]&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[51]</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312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55%</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(9-15) </w:t>
            </w:r>
            <w:r>
              <w:rPr>
                <w:rFonts w:ascii="Book Antiqua" w:hAnsi="Book Antiqua" w:cs="Arial"/>
                <w:highlight w:val="none"/>
              </w:rPr>
              <w:t>11.9</w:t>
            </w:r>
            <w:r>
              <w:rPr>
                <w:rFonts w:ascii="Book Antiqua" w:hAnsi="Book Antiqua" w:cs="Arial"/>
                <w:iCs/>
                <w:highlight w:val="none"/>
              </w:rPr>
              <w:t xml:space="preserve"> ± 1.2</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Gallagher and Cartwright-Hatton</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{"citationItems":[{"id":"ITEM-1","itemData":{"DOI":"10.1016/j.janxdis.2007.07.006","ISBN":"0887-6185","ISSN":"08876185","PMID":"17766082","abstract":"Research examining parenting factors in the development of anxiety has focused largely on the concepts of parental warmth and overcontrolling or intrusive parenting, This study investigated the relationship between these factors, and also parental discipline style and anxiety using self-report methodology with a sample of 16-18 year olds. In order to try to explain the relationship between parenting and anxiety, measures of cognition were also included. A multiple regression was conducted including all parenting factors as predictors of trait anxiety. The regression was a modest fit (R2= 22%) and the model was significant (F(4, 141) = 9.90, p &lt; 0.0001). Only the effect of Over-reactivity was significant, (t = 3.72, p &lt; 0.0001). Furthermore, Over-reactive discipline was significantly associated with increased cognitive distortions (r = 0.361 p &lt; 0.0001) and metacognition (r = 0.396 p &lt; 0.0001). Both cognitive distortions and metacognition were found to partially mediate the relationship between discipline style and trait anxiety. The implications of these findings and areas for future research are discussed. © 2007 Elsevier Ltd. All rights reserved.","author":[{"dropping-particle":"","family":"Gallagher","given":"Bridie","non-dropping-particle":"","parse-names":false,"suffix":""},{"dropping-particle":"","family":"Cartwright-Hatton","given":"Sam","non-dropping-particle":"","parse-names":false,"suffix":""}],"container-title":"Journal of Anxiety Disorders","id":"ITEM-1","issue":"4","issued":{"date-parts":[["2008","5"]]},"page":"722-733","title":"The relationship between parenting factors and trait anxiety: Mediating role of cognitive errors and metacognition","type":"article-journal","volume":"22"},"uris":["http://www.mendeley.com/documents/?uuid=f5203d2d-60ca-48bf-b2d6-aed0417ff681"]}],"mendeley":{"formattedCitation":"&lt;sup&gt;[97]&lt;/sup&gt;","plainTextFormattedCitation":"[97]","previouslyFormattedCitation":"&lt;sup&gt;[97]&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[94]</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168</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85%</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(16-18) 17.2</w:t>
            </w:r>
            <w:r>
              <w:rPr>
                <w:rFonts w:ascii="Book Antiqua" w:hAnsi="Book Antiqua" w:cs="Arial"/>
                <w:iCs/>
                <w:highlight w:val="none"/>
              </w:rPr>
              <w:t xml:space="preserve"> ± 0.9</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(11)</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STAI-T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Gini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{"citationItems":[{"id":"ITEM-1","itemData":{"DOI":"10.1891/0886-6708.VV-D-18-00016","ISSN":"0886-6708","abstract":"Psychological mechanisms that may explain the link between peer victimization and its adverse outcomes are still understudied. The current study aimed to apply the Self-Regulatory Executive Function (S-REF) model of psychopathology (Wells &amp; Matthews, 1994, 1996) to help explain this link in a sample of adolescents. A total of 1,169 Italian adolescents (47.7% females; M age = 15.79, SD = 1.07) completed self-report measures of peer victimization, metacognitions, thinking styles (worry and rumination), and adjustment indices (somatic symptoms, anxiety, depression). The hypothesized model based on the S-REF model was tested through path analysis. Results confirmed that peer victimization was positively associated with both positive and negative metacognitions that, in turn, were linked to worry and rumination, which were associated with higher psychological and somatic problems. The strongest indirect links were found between peer victimization and anxiety via negative metacognitions and worry, and between victimization and depression via negative metacognitions and rumination. Overall, the results support to the application of the S-REF model to peer victimization experiences during adolescence. The clinical implications of these findings are discussed.","author":[{"dropping-particle":"","family":"Gini","given":"Gianluca","non-dropping-particle":"","parse-names":false,"suffix":""},{"dropping-particle":"","family":"Marino","given":"Claudia","non-dropping-particle":"","parse-names":false,"suffix":""},{"dropping-particle":"","family":"Spada","given":"Marcantonio M.","non-dropping-particle":"","parse-names":false,"suffix":""}],"container-title":"Violence and Victims","id":"ITEM-1","issue":"5","issued":{"date-parts":[["2019","10","1"]]},"page":"752-769","title":"The Role of Metacognitions and Thinking Styles in the Negative Outcomes of Adolescents' Peer Victimization","type":"article-journal","volume":"34"},"uris":["http://www.mendeley.com/documents/?uuid=5449216e-844a-4f7e-9c65-648af24a7f7d"]}],"mendeley":{"formattedCitation":"&lt;sup&gt;[69]&lt;/sup&gt;","plainTextFormattedCitation":"[69]","previouslyFormattedCitation":"&lt;sup&gt;[69]&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[67]</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1169</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48%</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(14-17) </w:t>
            </w:r>
            <w:r>
              <w:rPr>
                <w:rFonts w:ascii="Book Antiqua" w:hAnsi="Book Antiqua" w:cs="Arial"/>
                <w:highlight w:val="none"/>
              </w:rPr>
              <w:t>15.8</w:t>
            </w:r>
            <w:r>
              <w:rPr>
                <w:rFonts w:ascii="Book Antiqua" w:hAnsi="Book Antiqua" w:cs="Arial"/>
                <w:iCs/>
                <w:highlight w:val="none"/>
              </w:rPr>
              <w:t xml:space="preserve"> ± 1.1</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(11)</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GAD7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Hearn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{"citationItems":[{"id":"ITEM-1","itemData":{"DOI":"10.1016/j.jad.2016.09.052","ISSN":"01650327","PMID":"27744124","abstract":"Background Comorbidity between Social Anxiety Disorder (SAD) and Generalized Anxiety Disorder (GAD) is extremely common. This study investigated whether factors commonly associated with GAD, including worry, intolerance of uncertainty (IU), positive and negative beliefs about worry (PBW, NBW), negative problem orientation (NPO) and cognitive avoidance (CA) were associated with SAD severity, symptoms and overall functioning. Method Participants included 126 youth aged 8–17 years (M=11.29, SD=2.67, Males n=50) with a primary diagnosis of SAD. Participants and a parent underwent a diagnostic interview and completed questionnaires at pre- and 12-week post assessment, and 6-month follow-up. Correlations and hierarchical multiple regression analyses were conducted. Results Each of the cognitive variables, with the exception of PBW, was found to correlate with SAD symptoms, SAD severity and overall functioning. NPO emerged as an important predictor of SAD severity, self-reported ratings of SAD symptoms, and poorer levels of overall functioning. IU and worry also predicted self-rated SAD symptoms. Limitations Measures were chosen on the basis of their sound psychometrics however some were yet to undergo rigorous testing with youth populations. The study design is cross-sectional, which restricts firm conclusions regarding causal and temporal associations between the variables. Conclusions Findings from this study have implications for the specificity of GAD and SAD in youth. Further research is required to understand whether these cognitive variables play a maintaining role in youth SAD and the extent to which they might influence treatment.","author":[{"dropping-particle":"","family":"Hearn","given":"Cate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Affective Disorders","id":"ITEM-1","issue":"b","issued":{"date-parts":[["2017","1"]]},"page":"33-40","publisher":"Elsevier","title":"A worrying trend in Social Anxiety: To what degree are worry and its cognitive factors associated with youth Social Anxiety Disorder?","type":"article-journal","volume":"208"},"uris":["http://www.mendeley.com/documents/?uuid=3a1eff81-df57-4992-98bf-7f8865b3f243"]}],"mendeley":{"formattedCitation":"&lt;sup&gt;[25]&lt;/sup&gt;","plainTextFormattedCitation":"[25]","previouslyFormattedCitation":"&lt;sup&gt;[25]&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[25]</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3</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126</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60%</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(8-17) 11.3</w:t>
            </w:r>
            <w:r>
              <w:rPr>
                <w:rFonts w:ascii="Book Antiqua" w:hAnsi="Book Antiqua" w:cs="Arial"/>
                <w:iCs/>
                <w:highlight w:val="none"/>
              </w:rPr>
              <w:t xml:space="preserve"> ± 2.7</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PSWQ-C(SF)</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w:t>
            </w:r>
          </w:p>
          <w:p>
            <w:pPr>
              <w:keepLines/>
              <w:adjustRightInd w:val="0"/>
              <w:snapToGrid w:val="0"/>
              <w:spacing w:line="360" w:lineRule="auto"/>
              <w:rPr>
                <w:rFonts w:ascii="Book Antiqua" w:hAnsi="Book Antiqua" w:cs="Arial"/>
                <w:highlight w:val="none"/>
              </w:rPr>
            </w:pPr>
            <w:r>
              <w:rPr>
                <w:rFonts w:ascii="Book Antiqua" w:hAnsi="Book Antiqua" w:cs="Arial"/>
                <w:highlight w:val="none"/>
              </w:rPr>
              <w:t>SPAI-10-C/P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Hearn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{"citationItems":[{"id":"ITEM-1","itemData":{"DOI":"10.1007/s10578-016-0703-y","ISBN":"1057801607","ISSN":"1573-3327","author":[{"dropping-particle":"","family":"Hearn","given":"Cate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H","non-dropping-particle":"","parse-names":false,"suffix":""},{"dropping-particle":"","family":"March","given":"Sonja","non-dropping-particle":"","parse-names":false,"suffix":""},{"dropping-particle":"","family":"Holmes","given":"Monique C","non-dropping-particle":"","parse-names":false,"suffix":""},{"dropping-particle":"","family":"Donovan","given":"Caroline L","non-dropping-particle":"","parse-names":false,"suffix":""},{"dropping-particle":"","family":"Spence","given":"Susan H","non-dropping-particle":"","parse-names":false,"suffix":""},{"dropping-particle":"","family":"Holmes","given":"Monique C","non-dropping-particle":"","parse-names":false,"suffix":""}],"container-title":"Child Psychiatry &amp; Human Development","id":"ITEM-1","issue":"a","issued":{"date-parts":[["2017"]]},"page":"786-795","publisher":"Springer US","title":"What ’ s the Worry with Social Anxiety ? Comparing Cognitive Processes in Children with Generalized Anxiety Disorder and Social Anxiety Disorder","type":"article-journal","volume":"48"},"uris":["http://www.mendeley.com/documents/?uuid=576ae53c-beb3-479c-89b2-007e53d61518"]}],"mendeley":{"formattedCitation":"&lt;sup&gt;[48]&lt;/sup&gt;","plainTextFormattedCitation":"[48]","previouslyFormattedCitation":"&lt;sup&gt;[48]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[74]</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1,3</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60/40/20</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70%/NA/NA</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(8-12) </w:t>
            </w:r>
            <w:r>
              <w:rPr>
                <w:rFonts w:ascii="Book Antiqua" w:hAnsi="Book Antiqua" w:cs="Arial"/>
                <w:highlight w:val="none"/>
              </w:rPr>
              <w:t>9.9</w:t>
            </w:r>
            <w:r>
              <w:rPr>
                <w:rFonts w:ascii="Book Antiqua" w:hAnsi="Book Antiqua" w:cs="Arial"/>
                <w:iCs/>
                <w:highlight w:val="none"/>
              </w:rPr>
              <w:t xml:space="preserve"> ± 1.3</w:t>
            </w:r>
            <w:r>
              <w:rPr>
                <w:rFonts w:ascii="Book Antiqua" w:hAnsi="Book Antiqua" w:cs="Arial"/>
                <w:highlight w:val="none"/>
              </w:rPr>
              <w:t>/NA/NA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PSWQ-C(SF)</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 SCAS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Hearn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{"citationItems":[{"id":"ITEM-1","itemData":{"DOI":"10.1016/j.janxdis.2017.11.005","ISSN":"0887-6185","author":[{"dropping-particle":"","family":"Hearn","given":"Cate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Anxiety Disorders","id":"ITEM-1","issue":"November 2017","issued":{"date-parts":[["2018"]]},"page":"46-57","publisher":"Elsevier","title":"Do worry and its associated cognitive variables alter following CBT treatment in a youth population with Social Anxiety Disorder ? Results from a randomized controlled trial","type":"article-journal","volume":"53"},"uris":["http://www.mendeley.com/documents/?uuid=7b082d05-e8e8-43dd-8be5-cf43ef52e9e9"]}],"mendeley":{"formattedCitation":"&lt;sup&gt;[26]&lt;/sup&gt;","plainTextFormattedCitation":"[26]","previouslyFormattedCitation":"&lt;sup&gt;[26]&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[26]</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3</w:t>
            </w:r>
            <w:r>
              <w:rPr>
                <w:rFonts w:ascii="Book Antiqua" w:hAnsi="Book Antiqua" w:cs="Arial"/>
                <w:color w:val="000000"/>
                <w:highlight w:val="none"/>
              </w:rPr>
              <w:t>(TG)/C</w:t>
            </w:r>
            <w:r>
              <w:rPr>
                <w:rFonts w:ascii="Book Antiqua" w:hAnsi="Book Antiqua" w:cs="Arial"/>
                <w:color w:val="000000"/>
                <w:highlight w:val="none"/>
                <w:vertAlign w:val="superscript"/>
              </w:rPr>
              <w:t>3</w:t>
            </w:r>
            <w:r>
              <w:rPr>
                <w:rFonts w:ascii="Book Antiqua" w:hAnsi="Book Antiqua" w:cs="Arial"/>
                <w:color w:val="000000"/>
                <w:highlight w:val="none"/>
              </w:rPr>
              <w:t>(WL)</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125/95/30</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60%/NA/NA</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iCs/>
                <w:highlight w:val="none"/>
              </w:rPr>
              <w:t xml:space="preserve">(8-17) </w:t>
            </w:r>
            <w:r>
              <w:rPr>
                <w:rFonts w:ascii="Book Antiqua" w:hAnsi="Book Antiqua" w:cs="Arial"/>
                <w:highlight w:val="none"/>
              </w:rPr>
              <w:t>11.3</w:t>
            </w:r>
            <w:r>
              <w:rPr>
                <w:rFonts w:ascii="Book Antiqua" w:hAnsi="Book Antiqua" w:cs="Arial"/>
                <w:iCs/>
                <w:highlight w:val="none"/>
              </w:rPr>
              <w:t xml:space="preserve"> ± 2.7</w:t>
            </w:r>
            <w:r>
              <w:rPr>
                <w:rFonts w:ascii="Book Antiqua" w:hAnsi="Book Antiqua" w:cs="Arial"/>
                <w:highlight w:val="none"/>
              </w:rPr>
              <w:t>/NA/NA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(17)</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PSWQ-C(SF)</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 SPAI-10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Holmes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{"citationItems":[{"id":"ITEM-1","itemData":{"DOI":"10.1891/0889-8391.29.4.275","ISSN":"08898391","author":[{"dropping-particle":"","family":"Holmes","given":"Monique C","non-dropping-particle":"","parse-names":false,"suffix":""},{"dropping-particle":"","family":"Donovan","given":"Caroline L","non-dropping-particle":"","parse-names":false,"suffix":""},{"dropping-particle":"","family":"Farrell","given":"Lara J","non-dropping-particle":"","parse-names":false,"suffix":""}],"container-title":"Journal of Cognitive Psychotherapy","id":"ITEM-1","issue":"4","issued":{"date-parts":[["2015","11","1"]]},"page":"275-301","title":"A Disorder-Specific, Cognitively Focused Group Treatment for Childhood Generalized Anxiety Disorder: Development and Case Illustration of the No Worries! Program","type":"article-journal","volume":"29"},"uris":["http://www.mendeley.com/documents/?uuid=e4161e30-9684-4415-bf2f-3fe654ef1864"]}],"mendeley":{"formattedCitation":"&lt;sup&gt;[61]&lt;/sup&gt;","plainTextFormattedCitation":"[61]","previouslyFormattedCitation":"&lt;sup&gt;[61]&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[59]</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1</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0%</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10</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(16)</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ADIS-C/P;</w:t>
            </w:r>
          </w:p>
          <w:p>
            <w:pPr>
              <w:keepLines/>
              <w:adjustRightInd w:val="0"/>
              <w:snapToGrid w:val="0"/>
              <w:spacing w:line="360" w:lineRule="auto"/>
              <w:rPr>
                <w:rFonts w:ascii="Book Antiqua" w:hAnsi="Book Antiqua" w:cs="Arial"/>
                <w:highlight w:val="none"/>
              </w:rPr>
            </w:pPr>
            <w:r>
              <w:rPr>
                <w:rFonts w:ascii="Book Antiqua" w:hAnsi="Book Antiqua" w:cs="Arial"/>
                <w:highlight w:val="none"/>
              </w:rPr>
              <w:t>SCAS-C/P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Holmes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{"citationItems":[{"id":"ITEM-1","itemData":{"DOI":"10.1016/j.brat.2014.08.002","ISSN":"00057967","author":[{"dropping-particle":"","family":"Holmes","given":"Monique C","non-dropping-particle":"","parse-names":false,"suffix":""},{"dropping-particle":"","family":"Donovan","given":"Caroline L","non-dropping-particle":"","parse-names":false,"suffix":""},{"dropping-particle":"","family":"Farrell","given":"Lara J","non-dropping-particle":"","parse-names":false,"suffix":""},{"dropping-particle":"","family":"March","given":"Sonja","non-dropping-particle":"","parse-names":false,"suffix":""}],"container-title":"Behaviour Research and Therapy","id":"ITEM-1","issued":{"date-parts":[["2014","10"]]},"page":"122-135","publisher":"Elsevier Ltd","title":"The efficacy of a group-based, disorder-specific treatment program for childhood GAD – A randomized controlled trial","type":"article-journal","volume":"61"},"uris":["http://www.mendeley.com/documents/?uuid=89fb9eec-61a7-4115-b95d-f1f375784367"]}],"mendeley":{"formattedCitation":"&lt;sup&gt;[60]&lt;/sup&gt;","plainTextFormattedCitation":"[60]","previouslyFormattedCitation":"&lt;sup&gt;[60]&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[58]</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w:t>
            </w:r>
            <w:r>
              <w:rPr>
                <w:rFonts w:ascii="Book Antiqua" w:hAnsi="Book Antiqua" w:cs="Arial"/>
                <w:color w:val="000000"/>
                <w:highlight w:val="none"/>
              </w:rPr>
              <w:t>(TG)/C</w:t>
            </w:r>
            <w:r>
              <w:rPr>
                <w:rFonts w:ascii="Book Antiqua" w:hAnsi="Book Antiqua" w:cs="Arial"/>
                <w:color w:val="000000"/>
                <w:highlight w:val="none"/>
                <w:vertAlign w:val="superscript"/>
              </w:rPr>
              <w:t>1</w:t>
            </w:r>
            <w:r>
              <w:rPr>
                <w:rFonts w:ascii="Book Antiqua" w:hAnsi="Book Antiqua" w:cs="Arial"/>
                <w:color w:val="000000"/>
                <w:highlight w:val="none"/>
              </w:rPr>
              <w:t>(WL)</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42/20/22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67%/NA/NA</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(7-12) 9.6</w:t>
            </w:r>
            <w:r>
              <w:rPr>
                <w:rFonts w:ascii="Book Antiqua" w:hAnsi="Book Antiqua" w:cs="Arial"/>
                <w:iCs/>
                <w:highlight w:val="none"/>
              </w:rPr>
              <w:t xml:space="preserve"> ± 1.4</w:t>
            </w:r>
            <w:r>
              <w:rPr>
                <w:rFonts w:ascii="Book Antiqua" w:hAnsi="Book Antiqua" w:cs="Arial"/>
                <w:highlight w:val="none"/>
              </w:rPr>
              <w:t>/NA/NA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(17)</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ADIS-C/P;</w:t>
            </w:r>
          </w:p>
          <w:p>
            <w:pPr>
              <w:keepLines/>
              <w:adjustRightInd w:val="0"/>
              <w:snapToGrid w:val="0"/>
              <w:spacing w:line="360" w:lineRule="auto"/>
              <w:rPr>
                <w:rFonts w:ascii="Book Antiqua" w:hAnsi="Book Antiqua" w:cs="Arial"/>
                <w:highlight w:val="none"/>
              </w:rPr>
            </w:pPr>
            <w:r>
              <w:rPr>
                <w:rFonts w:ascii="Book Antiqua" w:hAnsi="Book Antiqua" w:cs="Arial"/>
                <w:highlight w:val="none"/>
              </w:rPr>
              <w:t>SCAS-C/P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Irak</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{"citationItems":[{"id":"ITEM-1","itemData":{"DOI":"10.5080/u6604","ISBN":"1300-2163","ISSN":"1300-2163","PMID":"22374631","abstract":"There were two aims of the present study. The first aim was to evaluate the psychometric properties of the Metacognition Questionnaire for Children and Adolescents (MCQ-C) among Turkish children and adolescents. The second aim was to analyze relationships between metacognitive processes, anxiety, and obsessive-compulsive symptoms among Turkish children and adolescents.","author":[{"dropping-particle":"","family":"Irak","given":"Metehan","non-dropping-particle":"","parse-names":false,"suffix":""}],"container-title":"Turkish Journal of Psychiatry","id":"ITEM-1","issue":"1","issued":{"date-parts":[["2011"]]},"page":"46-52","title":"Standardization of Turkish Form of Metacognition Questionnaire for Children: The Relationships with Anxiety and Obsessive-Compulsive Symptoms","type":"article-journal","volume":"23"},"uris":["http://www.mendeley.com/documents/?uuid=cc4d49e0-e4fc-4719-ac46-355a379a4313"]}],"mendeley":{"formattedCitation":"&lt;sup&gt;[80]&lt;/sup&gt;","plainTextFormattedCitation":"[80]","previouslyFormattedCitation":"&lt;sup&gt;[80]&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[78]</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470</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44%</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(8-17) 12.2</w:t>
            </w:r>
            <w:r>
              <w:rPr>
                <w:rFonts w:ascii="Book Antiqua" w:hAnsi="Book Antiqua" w:cs="Arial"/>
                <w:iCs/>
                <w:highlight w:val="none"/>
              </w:rPr>
              <w:t xml:space="preserve"> ± 2.8</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STAI-C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Kertz and Woodruff-Borden</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{"citationItems":[{"id":"ITEM-1","itemData":{"DOI":"10.1017/S1352465812000641","ISBN":"1469-1833 (Electronic)\\r1352-4658 (Linking)","ISSN":"1352-4658","PMID":"22877861","abstract":"Background: Although worry is common in children, empirical models of worry remain largely untested in youth. A small number of studies have established preliminary links between cognitive variables and worry in children younger than 12 years old. These cognitive variables include positive and negative beliefs about worry, intolerance of uncertainty, and problem orientation. Aims: The current study examined these variables concurrently and their association with worry. We also examined the extent to which intolerance of uncertainty mediated the association between worry and beliefs about worry. Method: Eighty elementary school children aged 8 to 12 years completed a battery of self-report measures. Results: As a group, the cognitive variables significantly predicted worry scores; negative beliefs about worry was the only significant individual predictor. As a group, the four cognitive variables discriminated clinical from nonclinical levels of worry; positive beliefs about worry and intolerance of uncertainty were the only significant individual predictors. Finally, intolerance of uncertainty mediated the association between worry and both positive and negative beliefs about worry. Conclusions: Components of a cognitive model of worry are largely applicable to children. Negative beliefs about worry were associated with worry across the continuum, while intolerance of uncertainty and positive beliefs about worry were more strongly associated with clinical levels of worry. Intolerance of uncertainty accounted for a significant portion of the association between metacognition and worry and may be a particularly effective target for treatment. Further implications for conceptual models and treatment interventions are discussed.","author":[{"dropping-particle":"","family":"Kertz","given":"Sarah","non-dropping-particle":"","parse-names":false,"suffix":""},{"dropping-particle":"","family":"Woodruff-Borden","given":"Janet","non-dropping-particle":"","parse-names":false,"suffix":""}],"container-title":"Behavioural and Cognitive Psychotherapy","id":"ITEM-1","issue":"02","issued":{"date-parts":[["2013","3","9"]]},"page":"243-248","title":"The Role of Metacognition, Intolerance of Uncertainty, and Negative Problem Orientation in Children's Worry","type":"article-journal","volume":"41"},"uris":["http://www.mendeley.com/documents/?uuid=2fdc86cd-f657-41ac-9dc4-56a6fc88d014"]}],"mendeley":{"formattedCitation":"&lt;sup&gt;[77]&lt;/sup&gt;","plainTextFormattedCitation":"[77]","previouslyFormattedCitation":"&lt;sup&gt;[77]&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[75]</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80</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71%</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(8-12) 9.6</w:t>
            </w:r>
            <w:r>
              <w:rPr>
                <w:rFonts w:ascii="Book Antiqua" w:hAnsi="Book Antiqua" w:cs="Arial"/>
                <w:iCs/>
                <w:highlight w:val="none"/>
              </w:rPr>
              <w:t xml:space="preserve"> ± 1.1</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PSWQ-C(SF)</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RCMAS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Laugesen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{"citationItems":[{"id":"ITEM-1","itemData":{"DOI":"10.1023/A:1021721332181","ISSN":"00910627","PMID":"12597699","abstract":"The relationship between worry and 4 cognitive variables, intolerance of uncertainty, positive beliefs about worry, negative problem orientation, and cognitive avoidance, was examined in an adolescent sample of 528 boys and girls aged 14-18. The participants completed questionnaires assessing worry, somatic anxiety symptoms, and the variables mentioned above. The results show that (a) intolerance of uncertainty, positive beliefs about worry, and negative problem orientation each account for a significant amount of variance in adolescent worry scores in the multiple regression, and (b) the discriminant function derived from the 4 variables is effective in classifying moderate and high worriers into their respective groups (72.8% correct classification). Furthermore, analyses demonstrate that intolerance of uncertainty has the strongest association with worry scores and is the most important variable in discriminating between moderate and high adolescent worriers. These results suggest that intolerance of uncertainty plays a key role in our understanding of adolescent worry.","author":[{"dropping-particle":"","family":"Laugesen","given":"Nina","non-dropping-particle":"","parse-names":false,"suffix":""},{"dropping-particle":"","family":"Dugas","given":"Michel J.","non-dropping-particle":"","parse-names":false,"suffix":""},{"dropping-particle":"","family":"Bukowski","given":"William M.","non-dropping-particle":"","parse-names":false,"suffix":""}],"container-title":"Journal of Abnormal Child Psychology","id":"ITEM-1","issue":"1","issued":{"date-parts":[["2003"]]},"page":"55-64","title":"Understanding adolescent worry: The application of a cognitive model","type":"article-journal","volume":"31"},"uris":["http://www.mendeley.com/documents/?uuid=dd7b4ffe-e8f8-494b-8862-de8f9c75fec2"]}],"mendeley":{"formattedCitation":"&lt;sup&gt;[73]&lt;/sup&gt;","plainTextFormattedCitation":"[73]","previouslyFormattedCitation":"&lt;sup&gt;[73]&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[71]</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528</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49%</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(14-18) 15.6</w:t>
            </w:r>
            <w:r>
              <w:rPr>
                <w:rFonts w:ascii="Book Antiqua" w:hAnsi="Book Antiqua" w:cs="Arial"/>
                <w:iCs/>
                <w:highlight w:val="none"/>
              </w:rPr>
              <w:t xml:space="preserve"> ± 0.9</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WW-II</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WAQ</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Lønfeldt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{"citationItems":[{"id":"ITEM-1","itemData":{"DOI":"10.1007/s10566-017-9396-z","ISBN":"1053-1890","ISSN":"1053-1890","abstract":"Background: Recent research suggests that adults and children with anxiety disorders have a particular set of metacognitive beliefs and strategies. Knowing whether parents' metacognitions, beliefs and behaviors are associated with their children's metacognitions is important for understanding how anxiety-related metacognitions and clinical anxiety develop. Objective: We hypothesized that there are positive relationships between mother and corresponding child anxiety-related metacognitions even after controlling for maternal depression, anxiety and stress symptoms. We also hypothesized that maternal beliefs about child anxiety and maternal controlling behavior would be positively related to child metacognitions and would account for any associations between mother and child metacognitions. Methods: The study employed a cross-sectional design in a community sample of 7-12 year old children and their mothers. Mothers and children completed questionnaires to assess anxiety-related metacognitions and an interaction task to assess mothers' overinvolvement. Mothers also completed questionnaires regarding their beliefs about child anxiety and controlling rearing behavior. We examined correlations between variables before investigating which maternal variables made unique contributions to the variation in children's metacognitions in a series of multiple regressions and mediation analyses. Results: Mothers' positive worry beliefs and cognitive confidence contributed a modest amount of unique variance in the corresponding beliefs in children. Mothers' and children's metacognitions were positively associated. Conclusions: The unique contributions of mothers' anxiety-related metacognitions on children's anxiety-related metacognitions found in our study indicate that a metacognitive-parental intervention for preventing and treating child anxiety is worth investigation. Our findings place anxious metacognitions in a developmental context. (PsycINFO Database Record (c) 2017 APA, all rights reserved)","author":[{"dropping-particle":"","family":"Lønfeldt","given":"Nicole N.","non-dropping-particle":"","parse-names":false,"suffix":""},{"dropping-particle":"","family":"Esbjørn","given":"Barbara H.","non-dropping-particle":"","parse-names":false,"suffix":""},{"dropping-particle":"","family":"Normann","given":"Nicoline","non-dropping-particle":"","parse-names":false,"suffix":""},{"dropping-particle":"","family":"Breinholst","given":"Sonja","non-dropping-particle":"","parse-names":false,"suffix":""},{"dropping-particle":"","family":"Francis","given":"Sarah E.","non-dropping-particle":"","parse-names":false,"suffix":""}],"container-title":"Child Youth Care Forum","id":"ITEM-1","issue":"4","issued":{"date-parts":[["2017","8","24"]]},"number-of-pages":"577-599","publisher":"Springer US","title":"Do Mother’s Metacognitions, Beliefs, and Behaviors Predict Child Anxiety-Related Metacognitions?","type":"book","volume":"46"},"uris":["http://www.mendeley.com/documents/?uuid=7893fe21-f209-4cb1-a938-c033f4d1f625"]}],"mendeley":{"formattedCitation":"&lt;sup&gt;[78]&lt;/sup&gt;","plainTextFormattedCitation":"[78]","previouslyFormattedCitation":"&lt;sup&gt;[78]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[76]</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188</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66%</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(7-12) 10.0</w:t>
            </w:r>
            <w:r>
              <w:rPr>
                <w:rFonts w:ascii="Book Antiqua" w:hAnsi="Book Antiqua" w:cs="Arial"/>
                <w:iCs/>
                <w:highlight w:val="none"/>
              </w:rPr>
              <w:t xml:space="preserve"> ± 1.4</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ADIS-P; RCADS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Lønfeldt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{"citationItems":[{"id":"ITEM-1","itemData":{"DOI":"10.1007/s10826-017-0664-1","ISBN":"1062-1024","ISSN":"1062-1024","abstract":"We aimed to bring a developmental perspective to metacognitive theory. The metacognitive model (MCM) was originally developed for adults. However, an increasing number of studies demonstrate the MCM is relevant to child anxiety. Therefore, it is important to understand the origins of anxiety-specific metacognitions. Given the role experiences of controlling parenting play in maintaining and perhaps forming anxious cognitions or a cognitive vulnerability we focused on maternal behavioral and psychological control. Using a cross-sectional design, Danish school children (9-17 years old; N = 1062) rated their levels of anxiety and anxiety-specific metacognitions, and their mothers' controlling behavior. Child-perceived maternal psychological control was positively correlated with each anxiety specific metacognition (positive and negative worry beliefs, cognitive confidence, need to control, and cognitive self-consciousness). Child-perceived autonomy-granting was negatively correlated with all metacognitions except cognitive self-consciousness. Child perceived maternal psychological control was indirectly associated with anxiety via total metacognitions. Child-perceived autonomy-granting, but not psychological control, was directly related to anxiety. Given the differential findings for psychological control and autonomy-granting, we suggest that specific types of parenting behavior may be related to specific elements of (meta-) cognitive vulnerability. Our findings are theoretically important because they propose maternal psychological control is an environmental factor that may play a role in the development of a metacognitive vulnerability related to anxiety. A potential clinical implication of our findings is that metacognitive therapy for children should include a parental component. [ABSTRACT FROM AUTHOR]","author":[{"dropping-particle":"","family":"Lønfeldt","given":"Nicole N.","non-dropping-particle":"","parse-names":false,"suffix":""},{"dropping-particle":"","family":"Marin","given":"Carla E.","non-dropping-particle":"","parse-names":false,"suffix":""},{"dropping-particle":"","family":"Silverman","given":"Wendy K.","non-dropping-particle":"","parse-names":false,"suffix":""},{"dropping-particle":"","family":"Reinholdt-Dunne","given":"Marie Louise","non-dropping-particle":"","parse-names":false,"suffix":""},{"dropping-particle":"","family":"Esbjørn","given":"Barbara Hoff","non-dropping-particle":"","parse-names":false,"suffix":""}],"container-title":"Journal of Child and Family Studies","id":"ITEM-1","issue":"5","issued":{"date-parts":[["2017","5","17"]]},"page":"1398-1408","publisher":"Springer US","title":"The Role of Metacognitions in the Association between Children’s Perceptions of Maternal Control and Anxiety","type":"article-journal","volume":"26"},"uris":["http://www.mendeley.com/documents/?uuid=90ada021-59fe-4290-8e44-bb036534d0e5"]}],"mendeley":{"formattedCitation":"&lt;sup&gt;[79]&lt;/sup&gt;","plainTextFormattedCitation":"[79]","previouslyFormattedCitation":"&lt;sup&gt;[79]&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[77]</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1062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55%</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(9-17) 12.3</w:t>
            </w:r>
            <w:r>
              <w:rPr>
                <w:rFonts w:ascii="Book Antiqua" w:hAnsi="Book Antiqua" w:cs="Arial"/>
                <w:iCs/>
                <w:highlight w:val="none"/>
              </w:rPr>
              <w:t xml:space="preserve"> ± 1.7</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SCARED-R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Mather and Cartwright-Hatton</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10.1207/s15374424jccp3304_9","ISSN":"1537-4416","author":[{"dropping-particle":"","family":"Mather","given":"Alison","non-dropping-particle":"","parse-names":false,"suffix":""},{"dropping-particle":"","family":"Cartwright-Hatton","given":"Sam","non-dropping-particle":"","parse-names":false,"suffix":""}],"container-title":"Journal of Clinical Child &amp; Adolescent Psychology","id":"ITEM-1","issue":"4","issued":{"date-parts":[["2004","11"]]},"page":"743-749","title":"Cognitive Predictors of Obsessive–Compulsive Symptoms in Adolescence: A Preliminary Investigation","type":"article-journal","volume":"33"},"uris":["http://www.mendeley.com/documents/?uuid=7b962b15-fe43-4218-9c81-3db3d0b3c0e3"]}],"mendeley":{"formattedCitation":"&lt;sup&gt;[98]&lt;/sup&gt;","plainTextFormattedCitation":"[98]","previouslyFormattedCitation":"&lt;sup&gt;[98]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[95]</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166</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66%</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(13-17) 15.1</w:t>
            </w:r>
            <w:r>
              <w:rPr>
                <w:rFonts w:ascii="Book Antiqua" w:hAnsi="Book Antiqua" w:cs="Arial"/>
                <w:iCs/>
                <w:highlight w:val="none"/>
              </w:rPr>
              <w:t xml:space="preserve"> ± 1.4</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RCMAS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Matthews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{"citationItems":[{"id":"ITEM-1","itemData":{"DOI":"10.1017/S1352465806003213","ISBN":"1352-4658","ISSN":"1352-4658","abstract":"Abstract. Three influential theoretical models of OCD focus upon the cognitive factors of inflated responsibility (Salkovskis, 1985), thought-action fusion (Rachman, 1993) and meta-cognitive beliefs (Wells and Matthews, 1994).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Psychotherapy","id":"ITEM-1","issue":"02","issued":{"date-parts":[["2006","4","7"]]},"page":"149","title":"Examining Cognitive Models of Obsessive Compulsive Disorder in Adolescents","type":"article-journal","volume":"35"},"uris":["http://www.mendeley.com/documents/?uuid=e9c3438e-acb6-4991-a8dc-fb44842cad41"]}],"mendeley":{"formattedCitation":"&lt;sup&gt;[84]&lt;/sup&gt;","plainTextFormattedCitation":"[84]","previouslyFormattedCitation":"&lt;sup&gt;[84]&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[81]</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223</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56%</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(13-16) 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Naumann</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{"citationItems":[{"id":"ITEM-1","itemData":{"author":[{"dropping-particle":"","family":"Naumann","given":"Lena","non-dropping-particle":"","parse-names":false,"suffix":""}],"id":"ITEM-1","issued":{"date-parts":[["2014"]]},"publisher":"Universität zu Köln","title":"Understanding and assessing worrying - analyzing relevant psychopathological mechanisms relevant for generalized anxiety disorder across the lifespan","type":"thesis"},"uris":["http://www.mendeley.com/documents/?uuid=ae4a13b7-efc6-493d-8449-fded60dcad88"]}],"mendeley":{"formattedCitation":"&lt;sup&gt;[70]&lt;/sup&gt;","plainTextFormattedCitation":"[70]","previouslyFormattedCitation":"&lt;sup&gt;[70]&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[68]</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972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52%</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(7-14) 10.6</w:t>
            </w:r>
            <w:r>
              <w:rPr>
                <w:rFonts w:ascii="Book Antiqua" w:hAnsi="Book Antiqua" w:cs="Arial"/>
                <w:iCs/>
                <w:highlight w:val="none"/>
              </w:rPr>
              <w:t xml:space="preserve"> ± 1.5</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MKF-K</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color w:val="000000"/>
                <w:highlight w:val="none"/>
                <w:vertAlign w:val="superscript"/>
              </w:rPr>
            </w:pPr>
            <w:r>
              <w:rPr>
                <w:rFonts w:ascii="Book Antiqua" w:hAnsi="Book Antiqua" w:cs="Arial"/>
                <w:highlight w:val="none"/>
              </w:rPr>
              <w:t xml:space="preserve">Normann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{"citationItems":[{"id":"ITEM-1","itemData":{"DOI":"10.1007/s10608-015-9740-2","ISBN":"0147-5916","ISSN":"0147-5916","abstract":"The purpose of this study was to evaluate reductions in negative automatic thoughts and metacognitive beliefs as predictors of treatment gains in CBT for childhood anxiety disorders. A sample of 44 clinically anxious children between 7 and 12 years of age, who underwent CBT, completed questionnaires assessing negative thinking, metacognitive beliefs and processes, and anxiety symptoms before, after, and 6 months following treatment. Results indicated that negative thoughts and metacognitions decreased equally during the treatment period. Furthermore, metacognitions continued to decrease during the posttreatment period. Negative thinking and metacognitions were both significant predictors of reductions in child-reported anxiety from pre- to posttreatment. For long-term anxiety changes, only decreases in negative thoughts were related to anxiety reduction. Mediation analysis showed that metacognitions partially mediated the relation between negative thinking and anxiety. The study supports negative automatic thoughts and metacognitive beliefs and processes as putative mediators of CBT.","author":[{"dropping-particle":"","family":"Normann","given":"Nicoline","non-dropping-particle":"","parse-names":false,"suffix":""},{"dropping-particle":"","family":"Lønfeldt","given":"Nicole Nadine","non-dropping-particle":"","parse-names":false,"suffix":""},{"dropping-particle":"","family":"Reinholdt-Dunne","given":"Marie Louise","non-dropping-particle":"","parse-names":false,"suffix":""},{"dropping-particle":"","family":"Esbjørn","given":"Barbara Hoff","non-dropping-particle":"","parse-names":false,"suffix":""}],"container-title":"Cognitive Therapy and Research","id":"ITEM-1","issue":"2","issued":{"date-parts":[["2016","4","11"]]},"page":"188-197","publisher":"Springer US","title":"Negative Thoughts and Metacognitions in Anxious Children Following CBT","type":"article-journal","volume":"40"},"uris":["http://www.mendeley.com/documents/?uuid=203aad22-88c2-456c-bc22-5446e988898d"]}],"mendeley":{"formattedCitation":"&lt;sup&gt;[62]&lt;/sup&gt;","plainTextFormattedCitation":"[62]","previouslyFormattedCitation":"&lt;sup&gt;[62]&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[60]</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1,4,3,7</w:t>
            </w:r>
          </w:p>
        </w:tc>
        <w:tc>
          <w:tcPr>
            <w:tcW w:w="860"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44</w:t>
            </w:r>
          </w:p>
          <w:p>
            <w:pPr>
              <w:keepLines/>
              <w:autoSpaceDE w:val="0"/>
              <w:autoSpaceDN w:val="0"/>
              <w:adjustRightInd w:val="0"/>
              <w:snapToGrid w:val="0"/>
              <w:spacing w:line="360" w:lineRule="auto"/>
              <w:rPr>
                <w:rFonts w:ascii="Book Antiqua" w:hAnsi="Book Antiqua" w:cs="Arial"/>
                <w:i/>
                <w:highlight w:val="none"/>
              </w:rPr>
            </w:pP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50%</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(7-12) 9.9</w:t>
            </w:r>
            <w:r>
              <w:rPr>
                <w:rFonts w:ascii="Book Antiqua" w:hAnsi="Book Antiqua" w:cs="Arial"/>
                <w:iCs/>
                <w:highlight w:val="none"/>
              </w:rPr>
              <w:t xml:space="preserve"> ± 1.6</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ADIS-C/P; SCARED-R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Reinholdt-Dunne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{"citationItems":[{"id":"ITEM-1","itemData":{"DOI":"10.3389/fpsyg.2019.01205","ISSN":"1664-1078","author":[{"dropping-particle":"","family":"Reinholdt-Dunne","given":"Marie Louise","non-dropping-particle":"","parse-names":false,"suffix":""},{"dropping-particle":"","family":"Blicher","given":"Andreas","non-dropping-particle":"","parse-names":false,"suffix":""},{"dropping-particle":"","family":"Nordahl","given":"Henrik","non-dropping-particle":"","parse-names":false,"suffix":""},{"dropping-particle":"","family":"Normann","given":"Nicoline","non-dropping-particle":"","parse-names":false,"suffix":""},{"dropping-particle":"","family":"Esbjørn","given":"Barbara Hoff","non-dropping-particle":"","parse-names":false,"suffix":""},{"dropping-particle":"","family":"Wells","given":"Adrian","non-dropping-particle":"","parse-names":false,"suffix":""}],"container-title":"Frontiers in Psychology","id":"ITEM-1","issued":{"date-parts":[["2019","6","7"]]},"title":"Modeling the Relationships Between Metacognitive Beliefs, Attention Control and Symptoms in Children With and Without Anxiety Disorders: A Test of the S-REF Model","type":"article-journal","volume":"10"},"uris":["http://www.mendeley.com/documents/?uuid=c0de2654-9499-4a46-ab4b-f88d1485bc35"]}],"mendeley":{"formattedCitation":"&lt;sup&gt;[81]&lt;/sup&gt;","plainTextFormattedCitation":"[81]","previouslyFormattedCitation":"&lt;sup&gt;[81]&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[79]</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1,4,3,7</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169/182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53%/55%</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(7-14) </w:t>
            </w:r>
            <w:r>
              <w:rPr>
                <w:rFonts w:ascii="Book Antiqua" w:hAnsi="Book Antiqua" w:cs="Arial"/>
                <w:highlight w:val="none"/>
              </w:rPr>
              <w:t>9.9</w:t>
            </w:r>
            <w:r>
              <w:rPr>
                <w:rFonts w:ascii="Book Antiqua" w:hAnsi="Book Antiqua" w:cs="Arial"/>
                <w:iCs/>
                <w:highlight w:val="none"/>
              </w:rPr>
              <w:t xml:space="preserve"> ± 1.8/(7-12) </w:t>
            </w:r>
            <w:r>
              <w:rPr>
                <w:rFonts w:ascii="Book Antiqua" w:hAnsi="Book Antiqua" w:cs="Arial"/>
                <w:highlight w:val="none"/>
              </w:rPr>
              <w:t>10.0</w:t>
            </w:r>
            <w:r>
              <w:rPr>
                <w:rFonts w:ascii="Book Antiqua" w:hAnsi="Book Antiqua" w:cs="Arial"/>
                <w:iCs/>
                <w:highlight w:val="none"/>
              </w:rPr>
              <w:t xml:space="preserve"> ± 1.4</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(16)</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r>
              <w:rPr>
                <w:rFonts w:ascii="Book Antiqua" w:hAnsi="Book Antiqua" w:cs="Arial"/>
                <w:highlight w:val="none"/>
                <w:vertAlign w:val="subscript"/>
              </w:rPr>
              <w:t>30</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RCADS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Sanger and Dorjee</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{"citationItems":[{"id":"ITEM-1","itemData":{"DOI":"10.1016/j.tine.2016.01.001","ISSN":"22119493","author":[{"dropping-particle":"","family":"Sanger","given":"Kevanne Louise","non-dropping-particle":"","parse-names":false,"suffix":""},{"dropping-particle":"","family":"Dorjee","given":"Dusana","non-dropping-particle":"","parse-names":false,"suffix":""}],"container-title":"Trends in Neuroscience and Education","id":"ITEM-1","issue":"1","issued":{"date-parts":[["2016","3"]]},"page":"1-11","title":"Mindfulness training with adolescents enhances metacognition and the inhibition of irrelevant stimuli: Evidence from event-related brain potentials","type":"article-journal","volume":"5"},"uris":["http://www.mendeley.com/documents/?uuid=098c579d-a2a8-49be-aa51-344034c737f7"]}],"mendeley":{"formattedCitation":"&lt;sup&gt;[63]&lt;/sup&gt;","plainTextFormattedCitation":"[63]","previouslyFormattedCitation":"&lt;sup&gt;[63]&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[61]</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 (TG)/NC (CG)</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20/25</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50%/68%</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color w:val="000000"/>
                <w:highlight w:val="none"/>
              </w:rPr>
              <w:t>(16-18) 16.6</w:t>
            </w:r>
            <w:r>
              <w:rPr>
                <w:rFonts w:ascii="Book Antiqua" w:hAnsi="Book Antiqua" w:cs="Arial"/>
                <w:iCs/>
                <w:highlight w:val="none"/>
              </w:rPr>
              <w:t xml:space="preserve"> ± 0.6</w:t>
            </w:r>
            <w:r>
              <w:rPr>
                <w:rFonts w:ascii="Book Antiqua" w:hAnsi="Book Antiqua" w:cs="Arial"/>
                <w:color w:val="000000"/>
                <w:highlight w:val="none"/>
              </w:rPr>
              <w:t>/(16-18) 17.1</w:t>
            </w:r>
            <w:r>
              <w:rPr>
                <w:rFonts w:ascii="Book Antiqua" w:hAnsi="Book Antiqua" w:cs="Arial"/>
                <w:iCs/>
                <w:highlight w:val="none"/>
              </w:rPr>
              <w:t xml:space="preserve"> ± 0.6</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Simons and Vloet</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{"citationItems":[{"id":"ITEM-1","itemData":{"DOI":"10.1024/1422-4917/a000464","ISSN":"1422-4917","abstract":"Abstract. Objective: Emetophobia is the specific fear of vomiting that usually commences during childhood and adolescence. Cognitive behavioral therapy aims to expose patients to vomiting. In this paper, a newly developed metacognitive concept and treatment approach to this disorder is illustrated within a small case series. Method: Three adolescent girls with emetophobia were treated with metacognitive therapy (MCT). Measures of anxiety, worry, depression, and metacognitions before and after the treatment were documented. Results: All patients recovered during the course of 8 to 11 sessions, and measurements of anxiety, worry, depression, and metacognitions dropped markedly. Conclusions: MCT presents a valuable treatment option for emetophobia in adolescents.","author":[{"dropping-particle":"","family":"Simons","given":"Michael","non-dropping-particle":"","parse-names":false,"suffix":""},{"dropping-particle":"","family":"Vloet","given":"Timo Daniel","non-dropping-particle":"","parse-names":false,"suffix":""}],"container-title":"Zeitschrift für Kinder- und Jugendpsychiatrie und Psychotherapie","id":"ITEM-1","issue":"1","issued":{"date-parts":[["2018","1","1"]]},"page":"57-66","title":"Emetophobia – A Metacognitive Therapeutic Approach for an Overlooked Disorder","type":"article-journal","volume":"46"},"uris":["http://www.mendeley.com/documents/?uuid=c4c8cc83-24c6-46ad-88d8-2fd64ccce1a3"]}],"mendeley":{"formattedCitation":"&lt;sup&gt;[64]&lt;/sup&gt;","plainTextFormattedCitation":"[64]","previouslyFormattedCitation":"&lt;sup&gt;[64]&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[62]</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vertAlign w:val="superscript"/>
              </w:rPr>
            </w:pPr>
            <w:r>
              <w:rPr>
                <w:rFonts w:ascii="Book Antiqua" w:hAnsi="Book Antiqua" w:cs="Arial"/>
                <w:color w:val="000000"/>
                <w:highlight w:val="none"/>
              </w:rPr>
              <w:t>C</w:t>
            </w:r>
            <w:r>
              <w:rPr>
                <w:rFonts w:ascii="Book Antiqua" w:hAnsi="Book Antiqua" w:cs="Arial"/>
                <w:color w:val="000000"/>
                <w:highlight w:val="none"/>
                <w:vertAlign w:val="superscript"/>
              </w:rPr>
              <w:t>7</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3</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100%</w:t>
            </w:r>
          </w:p>
        </w:tc>
        <w:tc>
          <w:tcPr>
            <w:tcW w:w="2291"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iCs/>
                <w:highlight w:val="none"/>
              </w:rPr>
              <w:t xml:space="preserve">(14-17) </w:t>
            </w:r>
            <w:r>
              <w:rPr>
                <w:rFonts w:ascii="Book Antiqua" w:hAnsi="Book Antiqua" w:cs="Arial"/>
                <w:highlight w:val="none"/>
              </w:rPr>
              <w:t>15.3</w:t>
            </w:r>
            <w:r>
              <w:rPr>
                <w:rFonts w:ascii="Book Antiqua" w:hAnsi="Book Antiqua" w:cs="Arial"/>
                <w:iCs/>
                <w:highlight w:val="none"/>
              </w:rPr>
              <w:t xml:space="preserve"> ± 1.5</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SCAS-scale</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Smith and Hudson</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{"citationItems":[{"id":"ITEM-1","itemData":{"DOI":"10.1080/15374416.2012.755925","ISBN":"1537-4424\\n1537-4416","ISSN":"1537-4416","PMID":"23356384","abstract":"Recent research has explored the role of metacognitive beliefs and processes in clinical anxiety in youth. The aim of this study was to examine the relationship between metacognitions and anxiety in 7- to 12-year-old children with and without clinical anxiety disorders. A secondary aim of the study was to investigate the psychometric properties of the recently developed Metacognitions Questionnaire for Children (MCQ-C). The sample consisted of 83 children (60.2% female; Oceanian 71.1%), comprising 49 children with anxiety disorders and 34 nonclinical children. All children completed self-report measures of anxiety, emotional difficulties, and metacognitions. A subsample of 7- to 8-year-old participants was used to explore whether young children could wholly comprehend all items on the MCQ-C. Positive and negative metacognitive beliefs and cognitive monitoring were significantly correlated with anxiety and emotional difficulties. Clinical children endorsed significantly more negative and more positive metacognitive beliefs than nonclinical children. Each subscale of the MCQ-C had poor internal consistency. Support for the criterion and convergent validity of the MCQ-C was found. The results suggest that certain metacognitions play a role in clinical anxiety in children but that psychometrically and developmentally validated measures of these concepts in younger individuals are needed.","author":[{"dropping-particle":"","family":"Smith","given":"Karen E.","non-dropping-particle":"","parse-names":false,"suffix":""},{"dropping-particle":"","family":"Hudson","given":"Jennifer L.","non-dropping-particle":"","parse-names":false,"suffix":""}],"container-title":"Journal of Clinical Child &amp; Adolescent Psychology","id":"ITEM-1","issue":"5","issued":{"date-parts":[["2013","9"]]},"page":"590-602","title":"Metacognitive Beliefs and Processes in Clinical Anxiety in Children","type":"article-journal","volume":"42"},"uris":["http://www.mendeley.com/documents/?uuid=28500dfd-d27a-46ab-ba67-518985894e5b"]}],"mendeley":{"formattedCitation":"&lt;sup&gt;[53]&lt;/sup&gt;","plainTextFormattedCitation":"[53]","previouslyFormattedCitation":"&lt;sup&gt;[53]&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[52]</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Total/C</w:t>
            </w:r>
            <w:r>
              <w:rPr>
                <w:rFonts w:ascii="Book Antiqua" w:hAnsi="Book Antiqua" w:cs="Arial"/>
                <w:color w:val="000000"/>
                <w:highlight w:val="none"/>
                <w:vertAlign w:val="superscript"/>
              </w:rPr>
              <w:t>1,3,2,7,4,8</w:t>
            </w: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83/49/34</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60%/NA/NA</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(7-12) 9.2</w:t>
            </w:r>
            <w:r>
              <w:rPr>
                <w:rFonts w:ascii="Book Antiqua" w:hAnsi="Book Antiqua" w:cs="Arial"/>
                <w:iCs/>
                <w:highlight w:val="none"/>
              </w:rPr>
              <w:t xml:space="preserve"> ± 1.6/NA/NA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ADIS-C/P; SCAS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Thorslund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10.1002/jclp.22914","ISSN":"0021-9762","author":[{"dropping-particle":"","family":"Thorslund","given":"Johanna","non-dropping-particle":"","parse-names":false,"suffix":""},{"dropping-particle":"","family":"McEvoy","given":"Peter M.","non-dropping-particle":"","parse-names":false,"suffix":""},{"dropping-particle":"","family":"Anderson","given":"Rebecca A.","non-dropping-particle":"","parse-names":false,"suffix":""}],"container-title":"Journal of Clinical Psychology","id":"ITEM-1","issue":"4","issued":{"date-parts":[["2020","4","9"]]},"page":"625-645","title":"Group metacognitive therapy for adolescents with anxiety and depressive disorders: A pilot study","type":"article-journal","volume":"76"},"uris":["http://www.mendeley.com/documents/?uuid=1774da06-ff48-4b04-8d8f-cfd0902e6f6b"]}],"mendeley":{"formattedCitation":"&lt;sup&gt;[65]&lt;/sup&gt;","plainTextFormattedCitation":"[65]","previouslyFormattedCitation":"&lt;sup&gt;[65]&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[63]</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C</w:t>
            </w:r>
            <w:r>
              <w:rPr>
                <w:rFonts w:ascii="Book Antiqua" w:hAnsi="Book Antiqua" w:cs="Arial"/>
                <w:color w:val="000000"/>
                <w:highlight w:val="none"/>
                <w:vertAlign w:val="superscript"/>
              </w:rPr>
              <w:t>1,3,9</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10</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70%</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(14-17) </w:t>
            </w:r>
            <w:r>
              <w:rPr>
                <w:rFonts w:ascii="Book Antiqua" w:hAnsi="Book Antiqua" w:cs="Arial"/>
                <w:highlight w:val="none"/>
              </w:rPr>
              <w:t>15.2</w:t>
            </w:r>
            <w:r>
              <w:rPr>
                <w:rFonts w:ascii="Book Antiqua" w:hAnsi="Book Antiqua" w:cs="Arial"/>
                <w:iCs/>
                <w:highlight w:val="none"/>
              </w:rPr>
              <w:t xml:space="preserve"> ± 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(14)</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MINIKid</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White and Hudson</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{"citationItems":[{"id":"ITEM-1","itemData":{"DOI":"10.1007/s10608-015-9725-1","ISBN":"0147-5916","ISSN":"0147-5916","abstract":"Recent research has extended the metacognitive model of adult psychopathology to childhood anxiety, however the results have been confounded by poor comprehension of the Metacognitions Questionnaire for Children (MCQ-C) amongst 7–8 year olds. The aim of this study was to improve comprehension of the MCQ-C, to enable reliable and valid evaluation of the metacognitive model of anxiety in children. Poorly comprehended items of the MCQ-C were revised to the appropriate reading level and pilot tested with 7–8 year olds. One hundred and eighty seven children aged 7–12 years then completed an online version of the revised MCQ-C (MCQ-CR) and self-report measures of anxiety symptoms, excessive worry and externalising thoughts. The MCQ-CR was well understood by children as young as 7 years and exhibited sound psychometric properties. As predicted, children’s negative beliefs about worry, thoughts in general and memories were found to be significantly positively related to symptoms of anxiety disorders. Confirmatory factor analysis supported the construct validity of the scale. Positive beliefs about worry were not associated with children’s worry levels, raising questions about the relevance of this element of the metacognitive model with children. Although further validation is required with a clinical sample, these results provide support for the integral role played by metacognitions in childhood anxiety disorders, and suggest that these mechanisms may be appropriate targets for future early intervention and treatment programs. (PsycINFO Database Record (c) 2016 APA, all rights reserved). (journal abstract)","author":[{"dropping-particle":"","family":"White","given":"Julia A.","non-dropping-particle":"","parse-names":false,"suffix":""},{"dropping-particle":"","family":"Hudson","given":"Jennifer L.","non-dropping-particle":"","parse-names":false,"suffix":""}],"container-title":"Cognitive Therapy and Research","id":"ITEM-1","issue":"1","issued":{"date-parts":[["2016","2","25"]]},"page":"92-106","publisher":"Springer US","title":"The Metacognitive Model of Anxiety in Children: Towards a Reliable and Valid Measure","type":"article-journal","volume":"40"},"uris":["http://www.mendeley.com/documents/?uuid=fcf36f4a-fbd2-4b9c-9fd5-ffe4cda02bf6"]}],"mendeley":{"formattedCitation":"&lt;sup&gt;[30]&lt;/sup&gt;","plainTextFormattedCitation":"[30]","previouslyFormattedCitation":"&lt;sup&gt;[30]&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[30]</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187</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31%</w:t>
            </w:r>
          </w:p>
        </w:tc>
        <w:tc>
          <w:tcPr>
            <w:tcW w:w="2291" w:type="dxa"/>
          </w:tcPr>
          <w:p>
            <w:pPr>
              <w:keepLines/>
              <w:autoSpaceDE w:val="0"/>
              <w:autoSpaceDN w:val="0"/>
              <w:adjustRightInd w:val="0"/>
              <w:snapToGrid w:val="0"/>
              <w:spacing w:line="360" w:lineRule="auto"/>
              <w:rPr>
                <w:rFonts w:ascii="Book Antiqua" w:hAnsi="Book Antiqua" w:cs="Arial"/>
                <w:iCs/>
                <w:highlight w:val="none"/>
              </w:rPr>
            </w:pPr>
            <w:r>
              <w:rPr>
                <w:rFonts w:ascii="Book Antiqua" w:hAnsi="Book Antiqua" w:cs="Arial"/>
                <w:highlight w:val="none"/>
              </w:rPr>
              <w:t>(7-12) 10.6</w:t>
            </w:r>
            <w:r>
              <w:rPr>
                <w:rFonts w:ascii="Book Antiqua" w:hAnsi="Book Antiqua" w:cs="Arial"/>
                <w:iCs/>
                <w:highlight w:val="none"/>
              </w:rPr>
              <w:t xml:space="preserve"> ± 1.7</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Low (15)</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MCQ-CR</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SCAS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Wilson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{"citationItems":[{"id":"ITEM-1","itemData":{"DOI":"10.1016/j.janxdis.2010.08.005","ISBN":"0887-6185","ISSN":"08876185","PMID":"20828983","abstract":"In the meta-cognitive model of worry, positive, and negative beliefs about worry interact to make worry problematic. These beliefs have been found to be associated with anxiety in adolescents, but it is unknown whether they are associated with worry. Furthermore, it may be via cognitive mechanisms such as these, or directly through behavior, that parents influence their child's worry. The current study aimed to explore whether adolescent meta-cognition and parenting behaviors and meta-cognitions were associated with adolescent worry. Results indicated that meta-cognitions were specifically associated with worry in adolescents, but there was little evidence that parenting was. Parental worry on the other hand was associated with both parent and child reported parenting. It is concluded that the meta-cognitive model of worry may be relevant in adolescents, but that further research is required to explore how parents influence adolescent worry. © 2010 Elsevier Ltd.","author":[{"dropping-particle":"","family":"Wilson","given":"Charlotte","non-dropping-particle":"","parse-names":false,"suffix":""},{"dropping-particle":"","family":"Budd","given":"Bob","non-dropping-particle":"","parse-names":false,"suffix":""},{"dropping-particle":"","family":"Chernin","given":"Ross","non-dropping-particle":"","parse-names":false,"suffix":""},{"dropping-particle":"","family":"King","given":"Heidi","non-dropping-particle":"","parse-names":false,"suffix":""},{"dropping-particle":"","family":"Leddy","given":"Adrian","non-dropping-particle":"","parse-names":false,"suffix":""},{"dropping-particle":"","family":"Maclennan","given":"Frances","non-dropping-particle":"","parse-names":false,"suffix":""},{"dropping-particle":"","family":"Mallandain","given":"Ian","non-dropping-particle":"","parse-names":false,"suffix":""}],"container-title":"Journal of Anxiety Disorders","id":"ITEM-1","issue":"1","issued":{"date-parts":[["2011","1"]]},"page":"71-79","publisher":"Elsevier Ltd","title":"The role of meta-cognition and parenting in adolescent worry","type":"article-journal","volume":"25"},"uris":["http://www.mendeley.com/documents/?uuid=fe15a6eb-a230-4b72-be9c-5b43f6d8c7a4"]}],"mendeley":{"formattedCitation":"&lt;sup&gt;[85]&lt;/sup&gt;","plainTextFormattedCitation":"[85]","previouslyFormattedCitation":"&lt;sup&gt;[85]&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[82]</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72</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54%</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(11-16) 13.2</w:t>
            </w:r>
            <w:r>
              <w:rPr>
                <w:rFonts w:ascii="Book Antiqua" w:hAnsi="Book Antiqua" w:cs="Arial"/>
                <w:iCs/>
                <w:highlight w:val="none"/>
              </w:rPr>
              <w:t xml:space="preserve"> ± 1.0</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(13)</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MASC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Wilson and Hall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{"citationItems":[{"id":"ITEM-1","itemData":{"DOI":"10.1017/S135246581200001X","ISBN":"1469-1833","ISSN":"13524658","PMID":"22380705","abstract":"BACKGROUND: The perceived control of intrusive thoughts is important in our understanding of a variety of psychological disorders, but particularly in Obsessive Compulsive Disorder (OCD). Little research has explored thought control strategies in younger populations, despite the frequent onset of OCD in childhood.\\n\\nAIMS: This study examined thought control strategies and meta-cognitive beliefs in relation to Obsessive Compulsive (OC) interference scores in an adolescent sample.\\n\\nMETHOD: A non-referred sample of 151 adolescents aged 13-16 completed the Thought Control Questionnaire, the Meta-Cognitions Questionnaire - Adolescent version, and the Leyton Obsessional Inventory - Child Version.\\n\\nRESULTS: Adolescents reported using distraction and worry as thought control strategies as much as adults, but social control and reappraisal less frequently, with adolescent males also reporting less use of punishment as a strategy. The strategies of worry and punishment, and positive beliefs about worry, uncontrollability and danger beliefs (UCD) and superstition punishment and responsibility beliefs (SPR) predicted OC interference scores. Furthermore, these meta-cognitive beliefs mediated the relationships between punishment and worry and OC interference scores.\\n\\nCONCLUSIONS: Given the similarities between our results and those from research exploring these variables in adults, it is proposed that cognitive behavioural models of OCD that have been developed in adult populations may be relevant to adolescents, but that meta-cognitive beliefs about superstition, punishment and responsibility may be important in adolescence.","author":[{"dropping-particle":"","family":"Wilson","given":"Charlotte","non-dropping-particle":"","parse-names":false,"suffix":""},{"dropping-particle":"","family":"Hall","given":"Martin","non-dropping-particle":"","parse-names":false,"suffix":""}],"container-title":"Behavioural and Cognitive Psychotherapy","id":"ITEM-1","issue":"4","issued":{"date-parts":[["2012","7","2"]]},"page":"438-451","title":"Thought control strategies in adolescents: Links with OCD symptoms and meta-cognitive beliefs","type":"article-journal","volume":"40"},"uris":["http://www.mendeley.com/documents/?uuid=17ff28b8-621b-42ec-bfa5-a0dbcf64fa96"]}],"mendeley":{"formattedCitation":"&lt;sup&gt;[71]&lt;/sup&gt;","plainTextFormattedCitation":"[71]","previouslyFormattedCitation":"&lt;sup&gt;[71]&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[69]</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151</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56%</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(13-16) 15.1</w:t>
            </w:r>
            <w:r>
              <w:rPr>
                <w:rFonts w:ascii="Book Antiqua" w:hAnsi="Book Antiqua" w:cs="Arial"/>
                <w:iCs/>
                <w:highlight w:val="none"/>
              </w:rPr>
              <w:t xml:space="preserve"> ± 1.0</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TCQ-scale</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Wilson and Hughes</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{"citationItems":[{"id":"ITEM-1","itemData":{"DOI":"10.1017/S1352465811000269","ISBN":"1469-1833 (Electronic)\\r1352-4658 (Linking)","ISSN":"1352-4658","PMID":"21878136","abstract":"BACKGROUND: Childhood worry is common, and yet little is known about why some children develop pathological worry and others do not. Two theories of adult worry that are particularly relevant to children are Davey's problem-solving model in which perseverative worry occurs as a result of thwarted problem-solving attempts, and Wells' metacognitive model, in which positive and negative beliefs about worry interact to produce pathological worry. AIMS: The present study aimed to test hypotheses that levels of worry in young children are associated with poor or avoidant solution generation for social problems, and poor problem-solving confidence. It also aimed to explore beliefs about worry in this age group, and to examine their relationships with worry, anxiety and age. METHOD: Fifty-seven young children (6-10 years) responded to open ended questions about social problem-solving situations and beliefs about worry, and completed measures of worry, anxiety and problem-solving confidence. Results: Children with higher levels of worry and anxiety reported using more avoidant solutions in social problem situations and children's low confidence in problem solving was associated with high levels of worry. Children as young as 6 years old reported both positive and negative beliefs about worry, but neither were associated with age, gender, or level of anxiety or worry. CONCLUSIONS: Results indicate similarities between adults and children in the relationships between problem-solving variables and worry, but not in relationships between beliefs about worry and worry. This may be due to developmental factors, or may be the result of measurement issues.","author":[{"dropping-particle":"","family":"Wilson","given":"Charlotte","non-dropping-particle":"","parse-names":false,"suffix":""},{"dropping-particle":"","family":"Hughes","given":"Claire","non-dropping-particle":"","parse-names":false,"suffix":""}],"container-title":"Behavioural and Cognitive Psychotherapy","id":"ITEM-1","issue":"05","issued":{"date-parts":[["2011","10","8"]]},"page":"507-521","title":"Worry, Beliefs about Worry and Problem Solving in Young Children","type":"article-journal","volume":"39"},"uris":["http://www.mendeley.com/documents/?uuid=1e92d911-9bb1-4498-ae49-edebfa27d194"]}],"mendeley":{"formattedCitation":"&lt;sup&gt;[72]&lt;/sup&gt;","plainTextFormattedCitation":"[72]","previouslyFormattedCitation":"&lt;sup&gt;[72]&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[70]</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57</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61%</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highlight w:val="none"/>
              </w:rPr>
              <w:t>(6-10) NA</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Interview</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PSWQ-C</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MASC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Yavuz </w:t>
            </w:r>
            <w:r>
              <w:rPr>
                <w:rFonts w:ascii="Book Antiqua" w:hAnsi="Book Antiqua" w:cs="Arial"/>
                <w:i/>
                <w:highlight w:val="none"/>
              </w:rPr>
              <w:t>et al</w:t>
            </w:r>
            <w:r>
              <w:rPr>
                <w:rFonts w:ascii="Book Antiqua" w:hAnsi="Book Antiqua" w:cs="Arial"/>
                <w:i/>
                <w:highlight w:val="none"/>
              </w:rPr>
              <w:fldChar w:fldCharType="begin" w:fldLock="1"/>
            </w:r>
            <w:r>
              <w:rPr>
                <w:rFonts w:ascii="Book Antiqua" w:hAnsi="Book Antiqua" w:cs="Arial"/>
                <w:i/>
                <w:highlight w:val="none"/>
              </w:rPr>
              <w:instrText xml:space="preserve">ADDIN CSL_CITATION {"citationItems":[{"id":"ITEM-1","itemData":{"DOI":"10.24953/turkjped.2019.03.005","ISSN":"0041-4301","author":[{"dropping-particle":"","family":"Yavuz","given":"Mesut","non-dropping-particle":"","parse-names":false,"suffix":""},{"dropping-particle":"","family":"Altan","given":"Beyza","non-dropping-particle":"","parse-names":false,"suffix":""},{"dropping-particle":"","family":"Bayrak","given":"Büşra","non-dropping-particle":"","parse-names":false,"suffix":""},{"dropping-particle":"","family":"Gündüz","given":"Merve","non-dropping-particle":"","parse-names":false,"suffix":""},{"dropping-particle":"","family":"Bolat","given":"Nurullah","non-dropping-particle":"","parse-names":false,"suffix":""}],"container-title":"The Turkish Journal of Pediatrics","id":"ITEM-1","issue":"3","issued":{"date-parts":[["2019"]]},"page":"345","title":"The relationships between nomophobia, alexithymia and metacognitive problems in an adolescent population","type":"article-journal","volume":"61"},"uris":["http://www.mendeley.com/documents/?uuid=3bdce442-2e93-4bb1-8b00-31987ef3c6ed","http://www.mendeley.com/documents/?uuid=e405eda3-f2f8-4e7a-9128-4ef60713962e"]}],"mendeley":{"formattedCitation":"&lt;sup&gt;[99]&lt;/sup&gt;","plainTextFormattedCitation":"[99]","previouslyFormattedCitation":"&lt;sup&gt;[99]&lt;/sup&gt;"},"properties":{"noteIndex":0},"schema":"https://github.com/citation-style-language/schema/raw/master/csl-citation.json"}</w:instrText>
            </w:r>
            <w:r>
              <w:rPr>
                <w:rFonts w:ascii="Book Antiqua" w:hAnsi="Book Antiqua" w:cs="Arial"/>
                <w:i/>
                <w:highlight w:val="none"/>
              </w:rPr>
              <w:fldChar w:fldCharType="separate"/>
            </w:r>
            <w:r>
              <w:rPr>
                <w:rFonts w:ascii="Book Antiqua" w:hAnsi="Book Antiqua" w:cs="Arial"/>
                <w:highlight w:val="none"/>
                <w:vertAlign w:val="superscript"/>
              </w:rPr>
              <w:t>[96]</w:t>
            </w:r>
            <w:r>
              <w:rPr>
                <w:rFonts w:ascii="Book Antiqua" w:hAnsi="Book Antiqua" w:cs="Arial"/>
                <w:i/>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1817</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54%</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(14-17) </w:t>
            </w:r>
            <w:r>
              <w:rPr>
                <w:rFonts w:ascii="Book Antiqua" w:hAnsi="Book Antiqua" w:cs="Arial"/>
                <w:highlight w:val="none"/>
              </w:rPr>
              <w:t>15.4</w:t>
            </w:r>
            <w:r>
              <w:rPr>
                <w:rFonts w:ascii="Book Antiqua" w:hAnsi="Book Antiqua" w:cs="Arial"/>
                <w:iCs/>
                <w:highlight w:val="none"/>
              </w:rPr>
              <w:t xml:space="preserve"> ± 1.1</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MCQ-C</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NMP-Q</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2577"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 xml:space="preserve">Zimmermann </w:t>
            </w:r>
            <w:r>
              <w:rPr>
                <w:rFonts w:ascii="Book Antiqua" w:hAnsi="Book Antiqua" w:cs="Arial"/>
                <w:i/>
                <w:highlight w:val="none"/>
              </w:rPr>
              <w:t>et al</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10.1026/1616-3443/a000492","author":[{"dropping-particle":"","family":"Zimmermann","given":"Marie","non-dropping-particle":"","parse-names":false,"suffix":""},{"dropping-particle":"","family":"Glemser","given":"Maximilian","non-dropping-particle":"","parse-names":false,"suffix":""},{"dropping-particle":"","family":"Ertle","given":"Andrea","non-dropping-particle":"","parse-names":false,"suffix":""}],"container-title":"Zeitschrift fur Kinder- und Jugendpsychiatrie und Psychotherapie","id":"ITEM-1","issue":"4","issued":{"date-parts":[["2018"]]},"page":"264-273","title":"Dysfunktionale Metakognitionen im Jugendalter: Psychometrische Evaluation einer deutschsprachigen Version des Meta-cognitions Questionaire - Adolescent Version (MCQ-A)","type":"article-journal","volume":"47"},"uris":["http://www.mendeley.com/documents/?uuid=12213f39-d9ca-41ff-aee8-4b080cbe4fa0"]}],"mendeley":{"formattedCitation":"&lt;sup&gt;[55]&lt;/sup&gt;","plainTextFormattedCitation":"[55]","previouslyFormattedCitation":"&lt;sup&gt;[55]&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[54]</w:t>
            </w:r>
            <w:r>
              <w:rPr>
                <w:rFonts w:ascii="Book Antiqua" w:hAnsi="Book Antiqua" w:cs="Arial"/>
                <w:highlight w:val="none"/>
              </w:rPr>
              <w:fldChar w:fldCharType="end"/>
            </w:r>
          </w:p>
        </w:tc>
        <w:tc>
          <w:tcPr>
            <w:tcW w:w="1146"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NC</w:t>
            </w:r>
          </w:p>
        </w:tc>
        <w:tc>
          <w:tcPr>
            <w:tcW w:w="860" w:type="dxa"/>
          </w:tcPr>
          <w:p>
            <w:pPr>
              <w:keepLines/>
              <w:autoSpaceDE w:val="0"/>
              <w:autoSpaceDN w:val="0"/>
              <w:adjustRightInd w:val="0"/>
              <w:snapToGrid w:val="0"/>
              <w:spacing w:line="360" w:lineRule="auto"/>
              <w:rPr>
                <w:rFonts w:ascii="Book Antiqua" w:hAnsi="Book Antiqua" w:cs="Arial"/>
                <w:i/>
                <w:highlight w:val="none"/>
              </w:rPr>
            </w:pPr>
            <w:r>
              <w:rPr>
                <w:rFonts w:ascii="Book Antiqua" w:hAnsi="Book Antiqua" w:cs="Arial"/>
                <w:highlight w:val="none"/>
              </w:rPr>
              <w:t>221</w:t>
            </w:r>
          </w:p>
        </w:tc>
        <w:tc>
          <w:tcPr>
            <w:tcW w:w="1002" w:type="dxa"/>
          </w:tcPr>
          <w:p>
            <w:pPr>
              <w:keepLines/>
              <w:autoSpaceDE w:val="0"/>
              <w:autoSpaceDN w:val="0"/>
              <w:adjustRightInd w:val="0"/>
              <w:snapToGrid w:val="0"/>
              <w:spacing w:line="360" w:lineRule="auto"/>
              <w:rPr>
                <w:rFonts w:ascii="Book Antiqua" w:hAnsi="Book Antiqua" w:cs="Arial"/>
                <w:color w:val="000000"/>
                <w:highlight w:val="none"/>
              </w:rPr>
            </w:pPr>
            <w:r>
              <w:rPr>
                <w:rFonts w:ascii="Book Antiqua" w:hAnsi="Book Antiqua" w:cs="Arial"/>
                <w:color w:val="000000"/>
                <w:highlight w:val="none"/>
              </w:rPr>
              <w:t>55%</w:t>
            </w:r>
          </w:p>
        </w:tc>
        <w:tc>
          <w:tcPr>
            <w:tcW w:w="2291" w:type="dxa"/>
          </w:tcPr>
          <w:p>
            <w:pPr>
              <w:keepLines/>
              <w:autoSpaceDE w:val="0"/>
              <w:autoSpaceDN w:val="0"/>
              <w:adjustRightInd w:val="0"/>
              <w:snapToGrid w:val="0"/>
              <w:spacing w:line="360" w:lineRule="auto"/>
              <w:rPr>
                <w:rFonts w:ascii="Book Antiqua" w:hAnsi="Book Antiqua" w:cs="Arial"/>
                <w:highlight w:val="none"/>
              </w:rPr>
            </w:pPr>
            <w:r>
              <w:rPr>
                <w:rFonts w:ascii="Book Antiqua" w:hAnsi="Book Antiqua" w:cs="Arial"/>
                <w:iCs/>
                <w:highlight w:val="none"/>
              </w:rPr>
              <w:t xml:space="preserve">(13-17) </w:t>
            </w:r>
            <w:r>
              <w:rPr>
                <w:rFonts w:ascii="Book Antiqua" w:hAnsi="Book Antiqua" w:cs="Arial"/>
                <w:highlight w:val="none"/>
              </w:rPr>
              <w:t>14.9</w:t>
            </w:r>
            <w:r>
              <w:rPr>
                <w:rFonts w:ascii="Book Antiqua" w:hAnsi="Book Antiqua" w:cs="Arial"/>
                <w:iCs/>
                <w:highlight w:val="none"/>
              </w:rPr>
              <w:t xml:space="preserve"> ± 1.4</w:t>
            </w:r>
          </w:p>
        </w:tc>
        <w:tc>
          <w:tcPr>
            <w:tcW w:w="1146"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Mod (12)</w:t>
            </w:r>
          </w:p>
        </w:tc>
        <w:tc>
          <w:tcPr>
            <w:tcW w:w="1575"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MCQ-A</w:t>
            </w:r>
          </w:p>
        </w:tc>
        <w:tc>
          <w:tcPr>
            <w:tcW w:w="1862"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w:t>
            </w:r>
          </w:p>
        </w:tc>
        <w:tc>
          <w:tcPr>
            <w:tcW w:w="1433" w:type="dxa"/>
          </w:tcPr>
          <w:p>
            <w:pPr>
              <w:keepLines/>
              <w:adjustRightInd w:val="0"/>
              <w:snapToGrid w:val="0"/>
              <w:spacing w:line="360" w:lineRule="auto"/>
              <w:rPr>
                <w:rFonts w:ascii="Book Antiqua" w:hAnsi="Book Antiqua" w:cs="Arial"/>
                <w:highlight w:val="none"/>
              </w:rPr>
            </w:pPr>
            <w:r>
              <w:rPr>
                <w:rFonts w:ascii="Book Antiqua" w:hAnsi="Book Antiqua" w:cs="Arial"/>
                <w:highlight w:val="none"/>
              </w:rPr>
              <w:t>SBB-ANZ</w:t>
            </w:r>
          </w:p>
        </w:tc>
      </w:tr>
    </w:tbl>
    <w:p>
      <w:pPr>
        <w:adjustRightInd w:val="0"/>
        <w:snapToGrid w:val="0"/>
        <w:spacing w:line="360" w:lineRule="auto"/>
        <w:jc w:val="both"/>
        <w:rPr>
          <w:rFonts w:ascii="Book Antiqua" w:hAnsi="Book Antiqua" w:cs="Arial"/>
          <w:highlight w:val="none"/>
        </w:rPr>
      </w:pPr>
      <w:r>
        <w:rPr>
          <w:rFonts w:ascii="Book Antiqua" w:hAnsi="Book Antiqua" w:cs="Arial"/>
          <w:bCs/>
          <w:color w:val="000000" w:themeColor="text1"/>
          <w:highlight w:val="none"/>
          <w:vertAlign w:val="superscript"/>
          <w14:textFill>
            <w14:solidFill>
              <w14:schemeClr w14:val="tx1"/>
            </w14:solidFill>
          </w14:textFill>
        </w:rPr>
        <w:t>a</w:t>
      </w:r>
      <w:r>
        <w:rPr>
          <w:rFonts w:ascii="Book Antiqua" w:hAnsi="Book Antiqua" w:cs="Arial"/>
          <w:highlight w:val="none"/>
        </w:rPr>
        <w:t xml:space="preserve">Mean was only reported for subsamples and has been weighted on sample size.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b</w:t>
      </w:r>
      <w:r>
        <w:rPr>
          <w:rFonts w:ascii="Book Antiqua" w:hAnsi="Book Antiqua" w:cs="Arial"/>
          <w:highlight w:val="none"/>
        </w:rPr>
        <w:t xml:space="preserve">Subsample from study 1. </w:t>
      </w:r>
    </w:p>
    <w:p>
      <w:pPr>
        <w:adjustRightInd w:val="0"/>
        <w:snapToGrid w:val="0"/>
        <w:spacing w:line="360" w:lineRule="auto"/>
        <w:jc w:val="both"/>
        <w:rPr>
          <w:rFonts w:ascii="Book Antiqua" w:hAnsi="Book Antiqua" w:cs="Arial"/>
          <w:highlight w:val="none"/>
        </w:rPr>
      </w:pPr>
      <w:r>
        <w:rPr>
          <w:rFonts w:ascii="Book Antiqua" w:hAnsi="Book Antiqua" w:cs="Arial"/>
          <w:highlight w:val="none"/>
        </w:rPr>
        <w:t xml:space="preserve">Superscript numbers show diagnosis of clinical groups in descending order: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 xml:space="preserve">1 </w:t>
      </w:r>
      <w:r>
        <w:rPr>
          <w:rFonts w:ascii="Book Antiqua" w:hAnsi="Book Antiqua" w:cs="Arial"/>
          <w:color w:val="000000" w:themeColor="text1"/>
          <w:highlight w:val="none"/>
          <w14:textFill>
            <w14:solidFill>
              <w14:schemeClr w14:val="tx1"/>
            </w14:solidFill>
          </w14:textFill>
        </w:rPr>
        <w:t>Generalized Anxiety disorder</w:t>
      </w:r>
      <w:r>
        <w:rPr>
          <w:rFonts w:ascii="Book Antiqua" w:hAnsi="Book Antiqua" w:cs="Arial"/>
          <w:highlight w:val="none"/>
        </w:rPr>
        <w:t xml:space="preserve">.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2</w:t>
      </w:r>
      <w:r>
        <w:rPr>
          <w:rFonts w:ascii="Book Antiqua" w:hAnsi="Book Antiqua" w:cs="Arial"/>
          <w:color w:val="000000" w:themeColor="text1"/>
          <w:highlight w:val="none"/>
          <w14:textFill>
            <w14:solidFill>
              <w14:schemeClr w14:val="tx1"/>
            </w14:solidFill>
          </w14:textFill>
        </w:rPr>
        <w:t>Obsessive-compulsive-disorder</w:t>
      </w:r>
      <w:r>
        <w:rPr>
          <w:rFonts w:ascii="Book Antiqua" w:hAnsi="Book Antiqua" w:cs="Arial"/>
          <w:highlight w:val="none"/>
        </w:rPr>
        <w:t xml:space="preserve">.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3</w:t>
      </w:r>
      <w:r>
        <w:rPr>
          <w:rFonts w:ascii="Book Antiqua" w:hAnsi="Book Antiqua" w:cs="Arial"/>
          <w:color w:val="000000" w:themeColor="text1"/>
          <w:highlight w:val="none"/>
          <w14:textFill>
            <w14:solidFill>
              <w14:schemeClr w14:val="tx1"/>
            </w14:solidFill>
          </w14:textFill>
        </w:rPr>
        <w:t>Social Anxiety Disorder.</w:t>
      </w:r>
      <w:r>
        <w:rPr>
          <w:rFonts w:ascii="Book Antiqua" w:hAnsi="Book Antiqua" w:cs="Arial"/>
          <w:highlight w:val="none"/>
        </w:rPr>
        <w:t xml:space="preserve">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4</w:t>
      </w:r>
      <w:r>
        <w:rPr>
          <w:rFonts w:ascii="Book Antiqua" w:hAnsi="Book Antiqua" w:cs="Arial"/>
          <w:color w:val="000000" w:themeColor="text1"/>
          <w:highlight w:val="none"/>
          <w14:textFill>
            <w14:solidFill>
              <w14:schemeClr w14:val="tx1"/>
            </w14:solidFill>
          </w14:textFill>
        </w:rPr>
        <w:t>Separation Anxiety disorder</w:t>
      </w:r>
      <w:r>
        <w:rPr>
          <w:rFonts w:ascii="Book Antiqua" w:hAnsi="Book Antiqua" w:cs="Arial"/>
          <w:highlight w:val="none"/>
        </w:rPr>
        <w:t xml:space="preserve">.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 xml:space="preserve">5 </w:t>
      </w:r>
      <w:r>
        <w:rPr>
          <w:rFonts w:ascii="Book Antiqua" w:hAnsi="Book Antiqua" w:cs="Arial"/>
          <w:highlight w:val="none"/>
        </w:rPr>
        <w:t xml:space="preserve">Other Anxiety disorder.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6</w:t>
      </w:r>
      <w:r>
        <w:rPr>
          <w:rFonts w:ascii="Book Antiqua" w:hAnsi="Book Antiqua" w:cs="Arial"/>
          <w:highlight w:val="none"/>
        </w:rPr>
        <w:t xml:space="preserve">Any emotional disorder.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7</w:t>
      </w:r>
      <w:r>
        <w:rPr>
          <w:rFonts w:ascii="Book Antiqua" w:hAnsi="Book Antiqua" w:cs="Arial"/>
          <w:color w:val="000000" w:themeColor="text1"/>
          <w:highlight w:val="none"/>
          <w14:textFill>
            <w14:solidFill>
              <w14:schemeClr w14:val="tx1"/>
            </w14:solidFill>
          </w14:textFill>
        </w:rPr>
        <w:t xml:space="preserve"> Specific Phobia</w:t>
      </w:r>
      <w:r>
        <w:rPr>
          <w:rFonts w:ascii="Book Antiqua" w:hAnsi="Book Antiqua" w:cs="Arial"/>
          <w:highlight w:val="none"/>
        </w:rPr>
        <w:t xml:space="preserve">.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8</w:t>
      </w:r>
      <w:r>
        <w:rPr>
          <w:rFonts w:ascii="Book Antiqua" w:hAnsi="Book Antiqua" w:cs="Arial"/>
          <w:highlight w:val="none"/>
        </w:rPr>
        <w:t xml:space="preserve">Post-traumatic stress disorder. </w:t>
      </w:r>
    </w:p>
    <w:p>
      <w:pPr>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9</w:t>
      </w:r>
      <w:r>
        <w:rPr>
          <w:rFonts w:ascii="Book Antiqua" w:hAnsi="Book Antiqua" w:eastAsia="Book Antiqua" w:cs="Book Antiqua"/>
          <w:color w:val="000000"/>
          <w:highlight w:val="none"/>
        </w:rPr>
        <w:t>Panic disorder</w:t>
      </w:r>
      <w:r>
        <w:rPr>
          <w:rFonts w:ascii="Book Antiqua" w:hAnsi="Book Antiqua" w:cs="Arial"/>
          <w:highlight w:val="none"/>
        </w:rPr>
        <w:t>/</w:t>
      </w:r>
      <w:r>
        <w:rPr>
          <w:rFonts w:ascii="Book Antiqua" w:hAnsi="Book Antiqua" w:eastAsia="Book Antiqua" w:cs="Book Antiqua"/>
          <w:color w:val="000000"/>
          <w:highlight w:val="none"/>
        </w:rPr>
        <w:t>agora phobia</w:t>
      </w:r>
      <w:r>
        <w:rPr>
          <w:rFonts w:ascii="Book Antiqua" w:hAnsi="Book Antiqua" w:cs="Arial"/>
          <w:highlight w:val="none"/>
        </w:rPr>
        <w:t xml:space="preserve">. </w:t>
      </w:r>
    </w:p>
    <w:p>
      <w:pPr>
        <w:adjustRightInd w:val="0"/>
        <w:snapToGrid w:val="0"/>
        <w:spacing w:line="360" w:lineRule="auto"/>
        <w:jc w:val="both"/>
        <w:rPr>
          <w:rFonts w:ascii="Book Antiqua" w:hAnsi="Book Antiqua" w:cs="Arial"/>
          <w:highlight w:val="none"/>
        </w:rPr>
      </w:pPr>
      <w:r>
        <w:rPr>
          <w:rFonts w:ascii="Book Antiqua" w:hAnsi="Book Antiqua" w:cs="Arial"/>
          <w:color w:val="000000" w:themeColor="text1"/>
          <w:highlight w:val="none"/>
          <w14:textFill>
            <w14:solidFill>
              <w14:schemeClr w14:val="tx1"/>
            </w14:solidFill>
          </w14:textFill>
        </w:rPr>
        <w:t xml:space="preserve">NA: Not available; TG: Treatment group; WL: Waiting list; CG: Control group; POS: Positive beliefs about worry; NEG: Negative beliefs about worry; Mod: Moderate; MCQ-30: Metacognitions Questionaire-30-Item Version; MCQ-C: Metacognitions Questionnaire for children; MCQ-A: Metacognitions Questionnaire-Adolescent Version; MKF-K: Metakognitions-Fragebogen für Kinder; MCQ-CR: Revised Metacognitions Questionnaire for Children; </w:t>
      </w:r>
      <w:r>
        <w:rPr>
          <w:rFonts w:ascii="Book Antiqua" w:hAnsi="Book Antiqua" w:cs="Arial"/>
          <w:bCs/>
          <w:color w:val="000000" w:themeColor="text1"/>
          <w:highlight w:val="none"/>
          <w14:textFill>
            <w14:solidFill>
              <w14:schemeClr w14:val="tx1"/>
            </w14:solidFill>
          </w14:textFill>
        </w:rPr>
        <w:t>MCQ-C</w:t>
      </w:r>
      <w:r>
        <w:rPr>
          <w:rFonts w:ascii="Book Antiqua" w:hAnsi="Book Antiqua" w:cs="Arial"/>
          <w:bCs/>
          <w:color w:val="000000" w:themeColor="text1"/>
          <w:highlight w:val="none"/>
          <w:vertAlign w:val="subscript"/>
          <w14:textFill>
            <w14:solidFill>
              <w14:schemeClr w14:val="tx1"/>
            </w14:solidFill>
          </w14:textFill>
        </w:rPr>
        <w:t>30:</w:t>
      </w:r>
      <w:r>
        <w:rPr>
          <w:rFonts w:ascii="Book Antiqua" w:hAnsi="Book Antiqua" w:cs="Arial"/>
          <w:bCs/>
          <w:color w:val="000000" w:themeColor="text1"/>
          <w:highlight w:val="none"/>
          <w14:textFill>
            <w14:solidFill>
              <w14:schemeClr w14:val="tx1"/>
            </w14:solidFill>
          </w14:textFill>
        </w:rPr>
        <w:t xml:space="preserve"> Metacognitions Questionnaire for Children–30Item Version; </w:t>
      </w:r>
      <w:r>
        <w:rPr>
          <w:rFonts w:ascii="Book Antiqua" w:hAnsi="Book Antiqua" w:cs="Arial"/>
          <w:color w:val="000000" w:themeColor="text1"/>
          <w:highlight w:val="none"/>
          <w14:textFill>
            <w14:solidFill>
              <w14:schemeClr w14:val="tx1"/>
            </w14:solidFill>
          </w14:textFill>
        </w:rPr>
        <w:t xml:space="preserve">MWQ: Meta-Worry Questionnaire; ADIS-C/P: </w:t>
      </w:r>
      <w:r>
        <w:rPr>
          <w:rFonts w:ascii="Book Antiqua" w:hAnsi="Book Antiqua" w:cs="Arial"/>
          <w:iCs/>
          <w:color w:val="000000" w:themeColor="text1"/>
          <w:highlight w:val="none"/>
          <w14:textFill>
            <w14:solidFill>
              <w14:schemeClr w14:val="tx1"/>
            </w14:solidFill>
          </w14:textFill>
        </w:rPr>
        <w:t xml:space="preserve">Anxiety Disorders Interview Schedule Child/Parent </w:t>
      </w:r>
      <w:r>
        <w:rPr>
          <w:rFonts w:ascii="Book Antiqua" w:hAnsi="Book Antiqua" w:cs="Arial"/>
          <w:color w:val="000000" w:themeColor="text1"/>
          <w:highlight w:val="none"/>
          <w14:textFill>
            <w14:solidFill>
              <w14:schemeClr w14:val="tx1"/>
            </w14:solidFill>
          </w14:textFill>
        </w:rPr>
        <w:t>Versions</w:t>
      </w:r>
      <w:r>
        <w:rPr>
          <w:rFonts w:ascii="Book Antiqua" w:hAnsi="Book Antiqua" w:cs="Arial"/>
          <w:bCs/>
          <w:color w:val="000000" w:themeColor="text1"/>
          <w:highlight w:val="none"/>
          <w14:textFill>
            <w14:solidFill>
              <w14:schemeClr w14:val="tx1"/>
            </w14:solidFill>
          </w14:textFill>
        </w:rPr>
        <w:t xml:space="preserve">; </w:t>
      </w:r>
      <w:r>
        <w:rPr>
          <w:rFonts w:ascii="Book Antiqua" w:hAnsi="Book Antiqua" w:cs="Arial"/>
          <w:color w:val="000000" w:themeColor="text1"/>
          <w:highlight w:val="none"/>
          <w14:textFill>
            <w14:solidFill>
              <w14:schemeClr w14:val="tx1"/>
            </w14:solidFill>
          </w14:textFill>
        </w:rPr>
        <w:t xml:space="preserve">PSWQ: </w:t>
      </w:r>
      <w:r>
        <w:rPr>
          <w:rFonts w:ascii="Book Antiqua" w:hAnsi="Book Antiqua" w:cs="Arial"/>
          <w:bCs/>
          <w:color w:val="000000" w:themeColor="text1"/>
          <w:highlight w:val="none"/>
          <w14:textFill>
            <w14:solidFill>
              <w14:schemeClr w14:val="tx1"/>
            </w14:solidFill>
          </w14:textFill>
        </w:rPr>
        <w:t xml:space="preserve">Penn State Worry Questionnaire; PSWQ-C: Penn State Worry Questionnaire for Children; WAQ: Worry and Anxiety Questionnaire; RCMAS,RCMAS-2: Revised Children's Manifest Anxiety Scale; STAI-C: State-Trait Anxiety Inventory for Children; CAWS: Child and Adolescent Worry Scale; SCAS: Spence Children's Anxiety Scale; SCARED-R: Revised Version of the Screen for Child Anxiety Related Emotional Disorders; MASC: Multidimensional Anxiety Scale for Children; GHQ: General Health Questionnaire; TCQ: Thought Control Questionnaire; SPAI-10: Social Phobia and Anxiety Inventory for Children; CTAS: Children´s Test Anxiety Scale; MINI Kid: Mini International Neuropsychiatric Interview for Children and Adolescents; GAD7: 7-item Generalized Anxiety Disorder scale; NMP-Q: Nomophobia Questionnaire; SBB-ANZ: Diagnostik-System für Psychische Störungen nach ICD-10 und DSM-IV für Kinder und Jugendliche – Selbstbeurteilungsfragebogen Angst- und Zwangsstörungen; SD: Standard deviation. </w:t>
      </w:r>
    </w:p>
    <w:p>
      <w:pPr>
        <w:adjustRightInd w:val="0"/>
        <w:snapToGrid w:val="0"/>
        <w:spacing w:line="360" w:lineRule="auto"/>
        <w:jc w:val="both"/>
        <w:rPr>
          <w:rFonts w:ascii="Book Antiqua" w:hAnsi="Book Antiqua" w:cs="Arial"/>
          <w:highlight w:val="none"/>
        </w:rPr>
        <w:sectPr>
          <w:pgSz w:w="16840" w:h="11900" w:orient="landscape"/>
          <w:pgMar w:top="1417" w:right="1134" w:bottom="1417" w:left="1417" w:header="708" w:footer="708" w:gutter="0"/>
          <w:cols w:space="708" w:num="1"/>
          <w:titlePg/>
          <w:docGrid w:linePitch="360" w:charSpace="0"/>
        </w:sectPr>
      </w:pPr>
    </w:p>
    <w:p>
      <w:pPr>
        <w:adjustRightInd w:val="0"/>
        <w:snapToGrid w:val="0"/>
        <w:spacing w:line="360" w:lineRule="auto"/>
        <w:rPr>
          <w:rFonts w:ascii="Book Antiqua" w:hAnsi="Book Antiqua" w:cs="Arial"/>
          <w:b/>
          <w:bCs/>
          <w:highlight w:val="none"/>
        </w:rPr>
      </w:pPr>
      <w:r>
        <w:rPr>
          <w:rFonts w:ascii="Book Antiqua" w:hAnsi="Book Antiqua"/>
          <w:b/>
          <w:bCs/>
          <w:highlight w:val="none"/>
        </w:rPr>
        <w:t xml:space="preserve">Table 2 Extracted </w:t>
      </w:r>
      <w:r>
        <w:rPr>
          <w:rFonts w:ascii="Book Antiqua" w:hAnsi="Book Antiqua" w:cs="Arial"/>
          <w:b/>
          <w:bCs/>
          <w:highlight w:val="none"/>
        </w:rPr>
        <w:t>correlational coefficient on measures of positive beliefs about worry/negative beliefs about worry and worry/anxiety</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53"/>
        <w:gridCol w:w="1049"/>
        <w:gridCol w:w="1070"/>
        <w:gridCol w:w="1528"/>
        <w:gridCol w:w="1580"/>
        <w:gridCol w:w="1536"/>
        <w:gridCol w:w="1411"/>
        <w:gridCol w:w="84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auto" w:sz="4" w:space="0"/>
              <w:bottom w:val="nil"/>
            </w:tcBorders>
          </w:tcPr>
          <w:p>
            <w:pPr>
              <w:keepLines/>
              <w:adjustRightInd w:val="0"/>
              <w:snapToGrid w:val="0"/>
              <w:spacing w:before="0" w:line="360" w:lineRule="auto"/>
              <w:rPr>
                <w:rFonts w:ascii="Book Antiqua" w:hAnsi="Book Antiqua" w:cs="Arial"/>
                <w:b/>
                <w:bCs/>
                <w:highlight w:val="none"/>
                <w:lang w:val="de-DE"/>
              </w:rPr>
            </w:pPr>
            <w:r>
              <w:rPr>
                <w:rFonts w:ascii="Book Antiqua" w:hAnsi="Book Antiqua" w:cs="Arial"/>
                <w:b/>
                <w:bCs/>
                <w:highlight w:val="none"/>
                <w:lang w:val="de-DE"/>
              </w:rPr>
              <w:t>R</w:t>
            </w:r>
            <w:r>
              <w:rPr>
                <w:rFonts w:hint="eastAsia" w:ascii="Book Antiqua" w:hAnsi="Book Antiqua" w:cs="Arial"/>
                <w:b/>
                <w:bCs/>
                <w:highlight w:val="none"/>
                <w:lang w:val="de-DE" w:eastAsia="zh-CN"/>
              </w:rPr>
              <w:t>ef.</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Worry</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Anxiety</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POS</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Age</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nil"/>
              <w:bottom w:val="single" w:color="auto" w:sz="4" w:space="0"/>
            </w:tcBorders>
          </w:tcPr>
          <w:p>
            <w:pPr>
              <w:keepLines/>
              <w:adjustRightInd w:val="0"/>
              <w:snapToGrid w:val="0"/>
              <w:spacing w:before="0" w:line="360" w:lineRule="auto"/>
              <w:rPr>
                <w:rFonts w:ascii="Book Antiqua" w:hAnsi="Book Antiqua" w:cs="Arial"/>
                <w:b/>
                <w:bCs/>
                <w:highlight w:val="none"/>
                <w:lang w:val="de-DE"/>
              </w:rPr>
            </w:pP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POS</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NEG</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POS</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NEG</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NEG</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POS</w:t>
            </w:r>
          </w:p>
        </w:tc>
        <w:tc>
          <w:tcPr>
            <w:tcW w:w="0" w:type="auto"/>
            <w:tcBorders>
              <w:top w:val="single" w:color="auto" w:sz="4" w:space="0"/>
              <w:bottom w:val="single" w:color="auto" w:sz="4" w:space="0"/>
            </w:tcBorders>
          </w:tcPr>
          <w:p>
            <w:pPr>
              <w:keepLine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NEG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auto" w:sz="4" w:space="0"/>
            </w:tcBorders>
          </w:tcPr>
          <w:p>
            <w:pPr>
              <w:keepLines/>
              <w:adjustRightInd w:val="0"/>
              <w:snapToGrid w:val="0"/>
              <w:spacing w:before="0" w:line="360" w:lineRule="auto"/>
              <w:rPr>
                <w:rFonts w:ascii="Book Antiqua" w:hAnsi="Book Antiqua" w:cs="Arial"/>
                <w:highlight w:val="none"/>
                <w:lang w:val="de-DE"/>
              </w:rPr>
            </w:pPr>
            <w:r>
              <w:rPr>
                <w:rFonts w:ascii="Book Antiqua" w:hAnsi="Book Antiqua" w:cs="Arial"/>
                <w:color w:val="000000"/>
                <w:highlight w:val="none"/>
                <w:lang w:val="de-DE"/>
              </w:rPr>
              <w:t xml:space="preserve">Babaei </w:t>
            </w:r>
            <w:r>
              <w:rPr>
                <w:rFonts w:ascii="Book Antiqua" w:hAnsi="Book Antiqua" w:cs="Arial"/>
                <w:i/>
                <w:color w:val="000000"/>
                <w:highlight w:val="none"/>
                <w:lang w:val="de-DE"/>
              </w:rPr>
              <w:t>et al</w:t>
            </w:r>
            <w:r>
              <w:rPr>
                <w:rFonts w:ascii="Book Antiqua" w:hAnsi="Book Antiqua" w:cs="Arial"/>
                <w:color w:val="000000"/>
                <w:highlight w:val="none"/>
                <w:lang w:val="de-DE"/>
              </w:rPr>
              <w:fldChar w:fldCharType="begin" w:fldLock="1"/>
            </w:r>
            <w:r>
              <w:rPr>
                <w:rFonts w:ascii="Book Antiqua" w:hAnsi="Book Antiqua" w:cs="Arial"/>
                <w:color w:val="000000"/>
                <w:highlight w:val="none"/>
                <w:lang w:val="de-DE"/>
              </w:rPr>
              <w:instrText xml:space="preserve">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mendeley":{"formattedCitation":"&lt;sup&gt;[56]&lt;/sup&gt;","plainTextFormattedCitation":"[56]","previouslyFormattedCitation":"&lt;sup&gt;[56]&lt;/sup&gt;"},"properties":{"noteIndex":0},"schema":"https://github.com/citation-style-language/schema/raw/master/csl-citation.json"}</w:instrText>
            </w:r>
            <w:r>
              <w:rPr>
                <w:rFonts w:ascii="Book Antiqua" w:hAnsi="Book Antiqua" w:cs="Arial"/>
                <w:color w:val="000000"/>
                <w:highlight w:val="none"/>
                <w:lang w:val="de-DE"/>
              </w:rPr>
              <w:fldChar w:fldCharType="separate"/>
            </w:r>
            <w:r>
              <w:rPr>
                <w:rFonts w:ascii="Book Antiqua" w:hAnsi="Book Antiqua" w:cs="Arial"/>
                <w:color w:val="000000"/>
                <w:highlight w:val="none"/>
                <w:vertAlign w:val="superscript"/>
                <w:lang w:val="de-DE"/>
              </w:rPr>
              <w:t>[55]</w:t>
            </w:r>
            <w:r>
              <w:rPr>
                <w:rFonts w:ascii="Book Antiqua" w:hAnsi="Book Antiqua" w:cs="Arial"/>
                <w:color w:val="000000"/>
                <w:highlight w:val="none"/>
                <w:lang w:val="de-DE"/>
              </w:rPr>
              <w:fldChar w:fldCharType="end"/>
            </w:r>
          </w:p>
        </w:tc>
        <w:tc>
          <w:tcPr>
            <w:tcW w:w="0" w:type="auto"/>
            <w:tcBorders>
              <w:top w:val="single" w:color="auto" w:sz="4" w:space="0"/>
            </w:tcBorders>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Borders>
              <w:top w:val="single" w:color="auto" w:sz="4" w:space="0"/>
            </w:tcBorders>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Borders>
              <w:top w:val="single" w:color="auto" w:sz="4" w:space="0"/>
            </w:tcBorders>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-0.053</w:t>
            </w:r>
          </w:p>
        </w:tc>
        <w:tc>
          <w:tcPr>
            <w:tcW w:w="0" w:type="auto"/>
            <w:tcBorders>
              <w:top w:val="single" w:color="auto" w:sz="4" w:space="0"/>
            </w:tcBorders>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-0.303</w:t>
            </w:r>
            <w:r>
              <w:rPr>
                <w:rFonts w:ascii="Book Antiqua" w:hAnsi="Book Antiqua" w:cs="Arial"/>
                <w:highlight w:val="none"/>
                <w:vertAlign w:val="superscript"/>
                <w:lang w:val="de-DE"/>
              </w:rPr>
              <w:t>b</w:t>
            </w:r>
          </w:p>
        </w:tc>
        <w:tc>
          <w:tcPr>
            <w:tcW w:w="0" w:type="auto"/>
            <w:tcBorders>
              <w:top w:val="single" w:color="auto" w:sz="4" w:space="0"/>
            </w:tcBorders>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0.21</w:t>
            </w:r>
            <w:r>
              <w:rPr>
                <w:rFonts w:ascii="Book Antiqua" w:hAnsi="Book Antiqua" w:cs="Arial"/>
                <w:color w:val="000000"/>
                <w:highlight w:val="none"/>
                <w:vertAlign w:val="superscript"/>
                <w:lang w:val="de-DE"/>
              </w:rPr>
              <w:t>b</w:t>
            </w:r>
          </w:p>
        </w:tc>
        <w:tc>
          <w:tcPr>
            <w:tcW w:w="0" w:type="auto"/>
            <w:tcBorders>
              <w:top w:val="single" w:color="auto" w:sz="4" w:space="0"/>
            </w:tcBorders>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Borders>
              <w:top w:val="single" w:color="auto" w:sz="4" w:space="0"/>
            </w:tcBorders>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 xml:space="preserve">Bacow </w:t>
            </w:r>
            <w:r>
              <w:rPr>
                <w:rFonts w:ascii="Book Antiqua" w:hAnsi="Book Antiqua" w:cs="Arial"/>
                <w:i/>
                <w:color w:val="000000"/>
                <w:highlight w:val="none"/>
                <w:lang w:val="de-DE"/>
              </w:rPr>
              <w:t>et al</w:t>
            </w:r>
            <w:r>
              <w:rPr>
                <w:rFonts w:ascii="Book Antiqua" w:hAnsi="Book Antiqua" w:cs="Arial"/>
                <w:color w:val="000000"/>
                <w:highlight w:val="none"/>
                <w:lang w:val="de-DE"/>
              </w:rPr>
              <w:fldChar w:fldCharType="begin" w:fldLock="1"/>
            </w:r>
            <w:r>
              <w:rPr>
                <w:rFonts w:ascii="Book Antiqua" w:hAnsi="Book Antiqua" w:cs="Arial"/>
                <w:color w:val="000000"/>
                <w:highlight w:val="none"/>
                <w:lang w:val="de-DE"/>
              </w:rPr>
              <w:instrText xml:space="preserve">ADDIN CSL_CITATION {"citationItems":[{"id":"ITEM-1","itemData":{"DOI":"10.2147/PRBM.S11785","ISSN":"1179-1578","PMID":"22110332","abstract":"While Wells' metacognitive model of generalized anxiety disorder (GAD) posits that certain metacognitive processes, such as negative meta-worry (negative beliefs about worry), are more strongly associated with symptoms of GAD than other anxiety disorders in adults, research has yet to determine whether the same pattern is true for younger individuals. We examined the relationship between several metacognitive processes and anxiety disorder diagnostic status in a sample of 98 youth aged 7-17 years. Twenty youth with GAD were compared with similarly sized groups of youth with obsessive-compulsive disorder (OCD, n = 18), social phobia (SOC, n = 20), separation anxiety disorder (SAD, n = 20), and healthy controls who were not patients (NONP, n = 20) using a self-report measure of metacognition adapted for use with young people in this age range (Metacognitions Questionnaire for Children). Contrary to expectations, only one specific metacognitive process was significantly associated with an anxiety disorder diagnosis, in that the controls endorsed a greater degree of cognitive monitoring (self-reported awareness of one's thoughts) than those with SAD. In addition, there was a trend indicating that nonpatients scored higher than youth with GAD on this scale. These surprising results suggest potentially differing patterns in the relationships between symptoms and metacognitive awareness in anxious youth, depending on the type of anxiety disorder presentation.","author":[{"dropping-particle":"","family":"Bacow","given":"Terri Landon","non-dropping-particle":"","parse-names":false,"suffix":""},{"dropping-particle":"","family":"Ehrenreich May","given":"Jill","non-dropping-particle":"","parse-names":false,"suffix":""},{"dropping-particle":"","family":"Brody","given":"Leslie R","non-dropping-particle":"","parse-names":false,"suffix":""},{"dropping-particle":"","family":"Pincus","given":"Donna B","non-dropping-particle":"","parse-names":false,"suffix":""}],"container-title":"Psychology Research and Behavior Management","id":"ITEM-1","issued":{"date-parts":[["2010","9"]]},"page":"81","title":"Are there specific metacognitive processes associated with anxiety disorders in youth?","type":"article-journal","volume":"3"},"uris":["http://www.mendeley.com/documents/?uuid=df4834f6-b667-4675-87d9-2f7d84c7a311"]}],"mendeley":{"formattedCitation":"&lt;sup&gt;[27]&lt;/sup&gt;","plainTextFormattedCitation":"[27]","previouslyFormattedCitation":"&lt;sup&gt;[27]&lt;/sup&gt;"},"properties":{"noteIndex":0},"schema":"https://github.com/citation-style-language/schema/raw/master/csl-citation.json"}</w:instrText>
            </w:r>
            <w:r>
              <w:rPr>
                <w:rFonts w:ascii="Book Antiqua" w:hAnsi="Book Antiqua" w:cs="Arial"/>
                <w:color w:val="000000"/>
                <w:highlight w:val="none"/>
                <w:lang w:val="de-DE"/>
              </w:rPr>
              <w:fldChar w:fldCharType="separate"/>
            </w:r>
            <w:r>
              <w:rPr>
                <w:rFonts w:ascii="Book Antiqua" w:hAnsi="Book Antiqua" w:cs="Arial"/>
                <w:color w:val="000000"/>
                <w:highlight w:val="none"/>
                <w:vertAlign w:val="superscript"/>
                <w:lang w:val="de-DE"/>
              </w:rPr>
              <w:t>[27]</w:t>
            </w:r>
            <w:r>
              <w:rPr>
                <w:rFonts w:ascii="Book Antiqua" w:hAnsi="Book Antiqua" w:cs="Arial"/>
                <w:color w:val="000000"/>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keepLines/>
              <w:autoSpaceDE w:val="0"/>
              <w:autoSpaceDN w:val="0"/>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NA</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NA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color w:val="000000"/>
                <w:highlight w:val="none"/>
                <w:lang w:val="en-US"/>
              </w:rPr>
            </w:pPr>
            <w:r>
              <w:rPr>
                <w:rFonts w:ascii="Book Antiqua" w:hAnsi="Book Antiqua" w:cs="Arial"/>
                <w:highlight w:val="none"/>
                <w:lang w:val="de-DE"/>
              </w:rPr>
              <w:t xml:space="preserve">Bacow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{"citationItems":[{"id":"ITEM-1","itemData":{"DOI":"10.1016/j.janxdis.2009.02.013","ISBN":"0887-6185","ISSN":"08876185","PMID":"19362445","abstract":"A self-report measure of metacognition for both children and adolescents (ages 7-17) (Metacognitions Questionnaire for Children; MCQ-C) was adapted from a previous measure, the MCQ-A (Metacognitions Questionnaire for Adolescents) and was administered to a sample of 78 children and adolescents with clinical anxiety disorders and 20 non-clinical youth. The metacognitive processes included were (1) positive beliefs about worry (positive meta-worry); (2) negative beliefs about worry (negative meta-worry); (3) superstitious, punishment and responsibility beliefs (SPR beliefs) and (4) cognitive monitoring (awareness of one's own thoughts). The MCQ-C demonstrated good internal-consistency reliability, as well as concurrent and criterion validity, and four valid factors. In line with predictions, negative meta-worry was significantly associated with self-reports of internalizing symptoms (excessive worry and depression). Age-based differences on the MCQ-C were found for only one subscale, with adolescents reporting greater awareness of their thoughts than children. Adolescent girls scored higher on the total index of metacognitive processes than adolescent boys. Overall, these results provide preliminary support for the use of the MCQ-C with a broader age range as well as an association between metacognitive processes and anxiety symptomatology in both children and adolescents, with implications for cognitive behavioral interventions with anxious youth. © 2009 Elsevier Ltd. All rights reserved.","author":[{"dropping-particle":"","family":"Bacow","given":"Terri Landon","non-dropping-particle":"","parse-names":false,"suffix":""},{"dropping-particle":"","family":"Pincus","given":"Donna B.","non-dropping-particle":"","parse-names":false,"suffix":""},{"dropping-particle":"","family":"Ehrenreich","given":"Jill T.","non-dropping-particle":"","parse-names":false,"suffix":""},{"dropping-particle":"","family":"Brody","given":"Leslie R.","non-dropping-particle":"","parse-names":false,"suffix":""}],"container-title":"Journal of Anxiety Disorders","id":"ITEM-1","issue":"6","issued":{"date-parts":[["2009","8"]]},"page":"727-736","title":"The metacognitions questionnaire for children: Development and validation in a clinical sample of children and adolescents with anxiety disorders","type":"article-journal","volume":"23"},"uris":["http://www.mendeley.com/documents/?uuid=d670b1e0-4b51-4bb3-8c04-a6e3fb63f454"]}],"mendeley":{"formattedCitation":"&lt;sup&gt;[28]&lt;/sup&gt;","plainTextFormattedCitation":"[28]","previouslyFormattedCitation":"&lt;sup&gt;[28]&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[28]</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color w:val="000000"/>
                <w:highlight w:val="none"/>
                <w:lang w:val="de-DE"/>
              </w:rPr>
            </w:pPr>
            <w:r>
              <w:rPr>
                <w:rFonts w:ascii="Book Antiqua" w:hAnsi="Book Antiqua" w:cs="Arial"/>
                <w:highlight w:val="none"/>
                <w:lang w:val="de-DE"/>
              </w:rPr>
              <w:t>0.21</w:t>
            </w:r>
            <w:r>
              <w:rPr>
                <w:rFonts w:ascii="Book Antiqua" w:hAnsi="Book Antiqua" w:cs="Arial"/>
                <w:highlight w:val="none"/>
                <w:vertAlign w:val="superscript"/>
                <w:lang w:val="de-DE"/>
              </w:rPr>
              <w:t>a</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de-DE"/>
              </w:rPr>
              <w:t>0.55</w:t>
            </w:r>
            <w:r>
              <w:rPr>
                <w:rFonts w:ascii="Book Antiqua" w:hAnsi="Book Antiqua" w:cs="Arial"/>
                <w:highlight w:val="none"/>
                <w:vertAlign w:val="superscript"/>
                <w:lang w:val="de-DE"/>
              </w:rPr>
              <w:t>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keepLines/>
              <w:autoSpaceDE w:val="0"/>
              <w:autoSpaceDN w:val="0"/>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Benedetto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{"citationItems":[{"id":"ITEM-1","itemData":{"DOI":"10.6092/2282-1619/2013.1.932","ISSN":"2282-1619","abstract":"Worry is a cognitive-emotive process characterized by repetitive and relatively uncontrollable thoughts that anticipate negative outcomes and cause distress in the individuals. According to the meta-cognitive model of Wells (1995), positive beliefs about the benefits of worry and negative beliefs on uncontrollability and danger of worry are associated with \"pathological brooding\" as the main feature of anxiety disorders. The phenomenon of worry is already present in preschool children and the ability to mull over is refined with the cognitive development and the progress of meta-cognition. The aim of this study is to explore the relationship between anxiety and worry in 184 preadolescents (aged 11-13 years). The measures employed were: RCMAS-2 to assess the levels of anxiety in children; the Penn State Worry Questionnaire for Children (PSWQ-C) and the Meta-cognition Questionnaire for Children (MCQ-C) to detect, respectively, the frequency and content of the worry. Results indicate that children with higher levels of anxiety reported significantly higher scores on PSWQ-C and in all subscales of the MCQ-C, with the only exception of the positive meta-worry. These results also support the reliability of the two instruments (PSWQ-C and MCQ-C-C) in the Italian version and encourage further applications in developmental or clinical researches. Keywords : worry, anxiety disorders, meta-cognitive beliefs, preadolescents","author":[{"dropping-particle":"","family":"Benedetto","given":"Loredana","non-dropping-particle":"","parse-names":false,"suffix":""},{"dropping-particle":"","family":"Blasi","given":"Daniela","non-dropping-particle":"Di","parse-names":false,"suffix":""},{"dropping-particle":"","family":"Pacicca","given":"Pamela","non-dropping-particle":"","parse-names":false,"suffix":""}],"container-title":"Mediterranean Journal of Clinical Psychology","id":"ITEM-1","issue":"3","issued":{"date-parts":[["2013"]]},"page":"1 - 14","title":"Worry and Meta-Cognitive Beliefs in Childhood Anxiety Disorders","type":"article-journal","volume":"1"},"uris":["http://www.mendeley.com/documents/?uuid=f3c8efdf-fafc-4e3e-9fd4-04754ef7e788"]}],"mendeley":{"formattedCitation":"&lt;sup&gt;[66]&lt;/sup&gt;","plainTextFormattedCitation":"[66]","previouslyFormattedCitation":"&lt;sup&gt;[66]&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[64]</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0.23</w:t>
            </w:r>
            <w:r>
              <w:rPr>
                <w:rFonts w:ascii="Book Antiqua" w:hAnsi="Book Antiqua" w:cs="Arial"/>
                <w:highlight w:val="none"/>
                <w:vertAlign w:val="superscript"/>
                <w:lang w:val="de-DE"/>
              </w:rPr>
              <w:t>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de-DE"/>
              </w:rPr>
              <w:t>0.70</w:t>
            </w:r>
            <w:r>
              <w:rPr>
                <w:rFonts w:ascii="Book Antiqua" w:hAnsi="Book Antiqua" w:cs="Arial"/>
                <w:highlight w:val="none"/>
                <w:vertAlign w:val="superscript"/>
                <w:lang w:val="de-DE"/>
              </w:rPr>
              <w:t>b</w:t>
            </w:r>
          </w:p>
        </w:tc>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0.29</w:t>
            </w:r>
            <w:r>
              <w:rPr>
                <w:rFonts w:ascii="Book Antiqua" w:hAnsi="Book Antiqua" w:cs="Arial"/>
                <w:highlight w:val="none"/>
                <w:vertAlign w:val="superscript"/>
                <w:lang w:val="de-DE"/>
              </w:rPr>
              <w:t>b</w:t>
            </w:r>
          </w:p>
        </w:tc>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0.65</w:t>
            </w:r>
            <w:r>
              <w:rPr>
                <w:rFonts w:ascii="Book Antiqua" w:hAnsi="Book Antiqua" w:cs="Arial"/>
                <w:highlight w:val="none"/>
                <w:vertAlign w:val="superscript"/>
                <w:lang w:val="de-DE"/>
              </w:rPr>
              <w:t>b</w:t>
            </w:r>
          </w:p>
        </w:tc>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0.30</w:t>
            </w:r>
            <w:r>
              <w:rPr>
                <w:rFonts w:ascii="Book Antiqua" w:hAnsi="Book Antiqua" w:cs="Arial"/>
                <w:highlight w:val="none"/>
                <w:vertAlign w:val="superscript"/>
                <w:lang w:val="de-DE"/>
              </w:rPr>
              <w:t>b</w:t>
            </w:r>
          </w:p>
        </w:tc>
        <w:tc>
          <w:tcPr>
            <w:tcW w:w="0" w:type="auto"/>
          </w:tcPr>
          <w:p>
            <w:pPr>
              <w:keepLines/>
              <w:adjustRightInd w:val="0"/>
              <w:snapToGrid w:val="0"/>
              <w:spacing w:before="0" w:line="360" w:lineRule="auto"/>
              <w:rPr>
                <w:rFonts w:ascii="Book Antiqua" w:hAnsi="Book Antiqua" w:cs="Arial"/>
                <w:highlight w:val="none"/>
                <w:lang w:val="de-DE"/>
              </w:rPr>
            </w:pPr>
          </w:p>
        </w:tc>
        <w:tc>
          <w:tcPr>
            <w:tcW w:w="0" w:type="auto"/>
          </w:tcPr>
          <w:p>
            <w:pPr>
              <w:keepLines/>
              <w:adjustRightInd w:val="0"/>
              <w:snapToGrid w:val="0"/>
              <w:spacing w:before="0" w:line="360" w:lineRule="auto"/>
              <w:rPr>
                <w:rFonts w:ascii="Book Antiqua" w:hAnsi="Book Antiqua" w:cs="Arial"/>
                <w:highlight w:val="none"/>
                <w:lang w:val="de-DE"/>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Benedetto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[49]</w:t>
            </w:r>
            <w:r>
              <w:rPr>
                <w:rFonts w:ascii="Book Antiqua" w:hAnsi="Book Antiqua" w:cs="Arial"/>
                <w:highlight w:val="none"/>
                <w:lang w:val="de-DE"/>
              </w:rPr>
              <w:fldChar w:fldCharType="end"/>
            </w:r>
            <w:r>
              <w:rPr>
                <w:rFonts w:ascii="Book Antiqua" w:hAnsi="Book Antiqua" w:cs="Arial"/>
                <w:highlight w:val="none"/>
                <w:lang w:val="en-US"/>
              </w:rPr>
              <w:t>, study1</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0.20</w:t>
            </w:r>
            <w:r>
              <w:rPr>
                <w:rFonts w:ascii="Book Antiqua" w:hAnsi="Book Antiqua" w:cs="Arial"/>
                <w:highlight w:val="none"/>
                <w:vertAlign w:val="superscript"/>
                <w:lang w:val="de-DE"/>
              </w:rPr>
              <w:t>3,a</w:t>
            </w:r>
            <w:r>
              <w:rPr>
                <w:rFonts w:ascii="Book Antiqua" w:hAnsi="Book Antiqua" w:cs="Arial"/>
                <w:highlight w:val="none"/>
                <w:lang w:val="de-DE"/>
              </w:rPr>
              <w:t>; 0.01</w:t>
            </w:r>
            <w:r>
              <w:rPr>
                <w:rFonts w:ascii="Book Antiqua" w:hAnsi="Book Antiqua" w:cs="Arial"/>
                <w:highlight w:val="none"/>
                <w:vertAlign w:val="superscript"/>
                <w:lang w:val="de-DE"/>
              </w:rPr>
              <w:t xml:space="preserve">4 </w:t>
            </w:r>
          </w:p>
        </w:tc>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0.56</w:t>
            </w:r>
            <w:r>
              <w:rPr>
                <w:rFonts w:ascii="Book Antiqua" w:hAnsi="Book Antiqua" w:cs="Arial"/>
                <w:highlight w:val="none"/>
                <w:vertAlign w:val="superscript"/>
                <w:lang w:val="de-DE"/>
              </w:rPr>
              <w:t>3,b</w:t>
            </w:r>
            <w:r>
              <w:rPr>
                <w:rFonts w:ascii="Book Antiqua" w:hAnsi="Book Antiqua" w:cs="Arial"/>
                <w:highlight w:val="none"/>
                <w:lang w:val="de-DE"/>
              </w:rPr>
              <w:t>; 0.48</w:t>
            </w:r>
            <w:r>
              <w:rPr>
                <w:rFonts w:ascii="Book Antiqua" w:hAnsi="Book Antiqua" w:cs="Arial"/>
                <w:highlight w:val="none"/>
                <w:vertAlign w:val="superscript"/>
                <w:lang w:val="de-DE"/>
              </w:rPr>
              <w:t>4,b</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highlight w:val="none"/>
                <w:lang w:val="de-DE"/>
              </w:rPr>
              <w:t>0.17</w:t>
            </w:r>
            <w:r>
              <w:rPr>
                <w:rFonts w:ascii="Book Antiqua" w:hAnsi="Book Antiqua" w:cs="Arial"/>
                <w:highlight w:val="none"/>
                <w:vertAlign w:val="superscript"/>
                <w:lang w:val="de-DE"/>
              </w:rPr>
              <w:t>3</w:t>
            </w:r>
            <w:r>
              <w:rPr>
                <w:rFonts w:ascii="Book Antiqua" w:hAnsi="Book Antiqua" w:cs="Arial"/>
                <w:highlight w:val="none"/>
                <w:lang w:val="de-DE"/>
              </w:rPr>
              <w:t>; 0.31</w:t>
            </w:r>
            <w:r>
              <w:rPr>
                <w:rFonts w:ascii="Book Antiqua" w:hAnsi="Book Antiqua" w:cs="Arial"/>
                <w:highlight w:val="none"/>
                <w:vertAlign w:val="superscript"/>
                <w:lang w:val="de-DE"/>
              </w:rPr>
              <w:t>4,b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Benedetto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author":[{"dropping-particle":"","family":"Benedetto","given":"Loredana","non-dropping-particle":"","parse-names":false,"suffix":""},{"dropping-particle":"","family":"Fauci","given":"Elvira","non-dropping-particle":"La","parse-names":false,"suffix":""},{"dropping-particle":"","family":"Ingrassia","given":"Massimo","non-dropping-particle":"","parse-names":false,"suffix":""}],"container-title":"Life Span and Disability","id":"ITEM-1","issued":{"date-parts":[["2018"]]},"page":"117-141","title":"Exploring meta-worry and perceived parenting behaviors in adolescents' anxiety","type":"article-journal","volume":"2"},"uris":["http://www.mendeley.com/documents/?uuid=c4075d50-a6a3-4bbd-a123-725b457c74ec"]}],"mendeley":{"formattedCitation":"&lt;sup&gt;[50]&lt;/sup&gt;","plainTextFormattedCitation":"[50]","previouslyFormattedCitation":"&lt;sup&gt;[50]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[49]</w:t>
            </w:r>
            <w:r>
              <w:rPr>
                <w:rFonts w:ascii="Book Antiqua" w:hAnsi="Book Antiqua" w:cs="Arial"/>
                <w:highlight w:val="none"/>
                <w:lang w:val="de-DE"/>
              </w:rPr>
              <w:fldChar w:fldCharType="end"/>
            </w:r>
            <w:r>
              <w:rPr>
                <w:rFonts w:ascii="Book Antiqua" w:hAnsi="Book Antiqua" w:cs="Arial"/>
                <w:highlight w:val="none"/>
                <w:lang w:val="en-US"/>
              </w:rPr>
              <w:t>, study2</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-0.68</w:t>
            </w:r>
            <w:r>
              <w:rPr>
                <w:rFonts w:ascii="Book Antiqua" w:hAnsi="Book Antiqua" w:cs="Arial"/>
                <w:highlight w:val="none"/>
                <w:vertAlign w:val="superscript"/>
                <w:lang w:val="de-DE"/>
              </w:rPr>
              <w:t>1,a</w:t>
            </w:r>
            <w:r>
              <w:rPr>
                <w:rFonts w:ascii="Book Antiqua" w:hAnsi="Book Antiqua" w:cs="Arial"/>
                <w:highlight w:val="none"/>
                <w:lang w:val="de-DE"/>
              </w:rPr>
              <w:t>; 0.38</w:t>
            </w:r>
            <w:r>
              <w:rPr>
                <w:rFonts w:ascii="Book Antiqua" w:hAnsi="Book Antiqua" w:cs="Arial"/>
                <w:highlight w:val="none"/>
                <w:vertAlign w:val="superscript"/>
                <w:lang w:val="de-DE"/>
              </w:rPr>
              <w:t>2</w:t>
            </w:r>
            <w:r>
              <w:rPr>
                <w:rFonts w:ascii="Book Antiqua" w:hAnsi="Book Antiqua" w:cs="Arial"/>
                <w:highlight w:val="none"/>
                <w:lang w:val="de-DE"/>
              </w:rPr>
              <w:t xml:space="preserve"> </w:t>
            </w:r>
          </w:p>
        </w:tc>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0.56</w:t>
            </w:r>
            <w:r>
              <w:rPr>
                <w:rFonts w:ascii="Book Antiqua" w:hAnsi="Book Antiqua" w:cs="Arial"/>
                <w:highlight w:val="none"/>
                <w:vertAlign w:val="superscript"/>
                <w:lang w:val="de-DE"/>
              </w:rPr>
              <w:t>1,a</w:t>
            </w:r>
            <w:r>
              <w:rPr>
                <w:rFonts w:ascii="Book Antiqua" w:hAnsi="Book Antiqua" w:cs="Arial"/>
                <w:highlight w:val="none"/>
                <w:lang w:val="de-DE"/>
              </w:rPr>
              <w:t>; 0.42</w:t>
            </w:r>
            <w:r>
              <w:rPr>
                <w:rFonts w:ascii="Book Antiqua" w:hAnsi="Book Antiqua" w:cs="Arial"/>
                <w:highlight w:val="none"/>
                <w:vertAlign w:val="superscript"/>
                <w:lang w:val="de-DE"/>
              </w:rPr>
              <w:t xml:space="preserve">2 </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highlight w:val="none"/>
                <w:lang w:val="de-DE"/>
              </w:rPr>
              <w:t>-0.41</w:t>
            </w:r>
            <w:r>
              <w:rPr>
                <w:rFonts w:ascii="Book Antiqua" w:hAnsi="Book Antiqua" w:cs="Arial"/>
                <w:highlight w:val="none"/>
                <w:vertAlign w:val="superscript"/>
                <w:lang w:val="de-DE"/>
              </w:rPr>
              <w:t>1</w:t>
            </w:r>
            <w:r>
              <w:rPr>
                <w:rFonts w:ascii="Book Antiqua" w:hAnsi="Book Antiqua" w:cs="Arial"/>
                <w:highlight w:val="none"/>
                <w:lang w:val="de-DE"/>
              </w:rPr>
              <w:t>; 0.69</w:t>
            </w:r>
            <w:r>
              <w:rPr>
                <w:rFonts w:ascii="Book Antiqua" w:hAnsi="Book Antiqua" w:cs="Arial"/>
                <w:highlight w:val="none"/>
                <w:vertAlign w:val="superscript"/>
                <w:lang w:val="de-DE"/>
              </w:rPr>
              <w:t xml:space="preserve">2,b </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Boysan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{"citationItems":[{"id":"ITEM-1","itemData":{"DOI":"10.5455/bcp.20151203125902","ISBN":"1017-7833","ISSN":"1017-7833","abstract":"Objective: Juvenile obsessive-compulsive disorder has been increasingly recognized in the literature. However, the developmentally sensitive screening tools for obsessive-compulsive disorder (OCD) in children and adolescents still lag behind psychometric tools developed for adult OCD. The Leyton Obsessional Inventory-Child Version is the most widely utilized screening tool for juvenile OCD assessment. Our aim was to assess psychometric properties of the Leyton Obsessional Inventory-Child Version (LOI-CV) and Obsessive Beliefs Questionnaire-Child Version (OBQ-CV). Method: The sample consisted of 805 children and adolescents, aged from 11 to 17 years. Mean age of the sample was 13.85 (SD±1.40) years. The LOI-CV, OBQ-CV, Obsessive Compulsive Inventory-Revised (OCI-R), State Trait Anxiety Inventory for Children (STAI-C) and Meta-Cognitions Questionnaire for Children (MCQ-C) were completed by respondents. The data were subjected to explanatory and confirmatory factor analyses. Internal consistency and two-week temporal stability of scale scores were computed. Results: Explanatory and confirmatory factor analyses yielded a three-factor solution for the LOI-CV: Compulsions, Obsessions and Mental Neutralizing. Internal reliability was high for the overall scale (α=0.86) and sub-scales (Cronbach alphas= 0.76, 0.75, and 0.70, respectively). Factor analyses suggested a new three factor solution for the OBQ-CV: Responsibility/ Threat Estimation, Certainty/Control of Thoughts and Perfectionism. Internal consistency was excellent for the total measure (α=0.90) and the subscales (α=0.84, 0.82 ve 0.71, respectively). Retest reliability was high for the both LOI-CV (r=0.83) and OBQ-CV (r=0.78). Both of the measures revealed good convergent validity with the OCI-R, STAI-C, and MCQ-C. Conclusion: The LOI-CV and OBQ-CV had promising psychometric properties in a community sample of Turkish children and adolescents.","author":[{"dropping-particle":"","family":"Boysan","given":"Murat","non-dropping-particle":"","parse-names":false,"suffix":""},{"dropping-particle":"","family":"Kadak","given":"Muhammed Tayyib","non-dropping-particle":"","parse-names":false,"suffix":""},{"dropping-particle":"","family":"Tarakcioglu","given":"Mahmut Cem","non-dropping-particle":"","parse-names":false,"suffix":""},{"dropping-particle":"","family":"Sertdurak","given":"Zeynep Seda","non-dropping-particle":"","parse-names":false,"suffix":""},{"dropping-particle":"","family":"Demirel","given":"Omer Faruk","non-dropping-particle":"","parse-names":false,"suffix":""}],"container-title":"Klinik Psikofarmakoloji Bülteni-Bulletin of Clinical Psychopharmacology","id":"ITEM-1","issue":"4","issued":{"date-parts":[["2016","12","25"]]},"page":"382-396","title":"Psychometric Properties of Turkish versions of the Leyton Obsessional Inventory-Child Version (LOI-CV) and Obsessive Beliefs Questionnaire-Child Version (OBQ-CV)","type":"article-journal","volume":"26"},"uris":["http://www.mendeley.com/documents/?uuid=5743af61-0679-4910-9530-83e36a1be19e"]}],"mendeley":{"formattedCitation":"&lt;sup&gt;[95]&lt;/sup&gt;","plainTextFormattedCitation":"[95]","previouslyFormattedCitation":"&lt;sup&gt;[95]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[92]</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Carr and Szabó</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{"citationItems":[{"id":"ITEM-1","itemData":{"DOI":"10.1177/0272431614529366","ISSN":"0272-4316","abstract":"Worry in adults has been conceptualized as a thinking process involving problem-solving attempts about anticipated negative outcomes. This process is related to, though distinct from, fear. Previous research suggested that compared to adults, children’s experience of worry is less strongly associated with thinking and more closely related to fear. The present study further explored children’s worrying. Ninety-three 7- to 12-year-olds rated how much they worry, fear and think about the same list of negative outcomes, and reported on their positive beliefs about worrying. Children associated worrying more strongly with fear than with thinking. However, this relationship was moderated by age. Older children reported that worry was more closely related to thinking and less closely related to fear. Furthermore, children who reported more thinking, rather than fear, about negative outcomes were also more likely to report that worrying had beneficial effects. Results suggest important changes in the nature of worrying during late childhood.","author":[{"dropping-particle":"","family":"Carr","given":"Imogen","non-dropping-particle":"","parse-names":false,"suffix":""},{"dropping-particle":"","family":"Szabó","given":"Marianna","non-dropping-particle":"","parse-names":false,"suffix":""}],"container-title":"The Journal of Early Adolescence","id":"ITEM-1","issue":"1","issued":{"date-parts":[["2015","1","7"]]},"page":"120-135","title":"Worry in Children: Changing Associations With Fear, Thinking, and Problem-Solving","type":"article-journal","volume":"35"},"uris":["http://www.mendeley.com/documents/?uuid=d5f4df9b-0875-481b-8cf2-f13b4198df5a"]}],"mendeley":{"formattedCitation":"&lt;sup&gt;[74]&lt;/sup&gt;","plainTextFormattedCitation":"[74]","previouslyFormattedCitation":"&lt;sup&gt;[74]&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[72]</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0.35</w:t>
            </w:r>
            <w:r>
              <w:rPr>
                <w:rFonts w:ascii="Book Antiqua" w:hAnsi="Book Antiqua" w:cs="Arial"/>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 xml:space="preserve">0.02 </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Cartwright-Hatton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{"citationItems":[{"id":"ITEM-1","itemData":{"DOI":"10.1016/S0887-6185(02)00294-3","ISBN":"0887-6185","ISSN":"08876185","PMID":"15125986","abstract":"This study describes the development of the Meta-cognitions Questionnaire for Adolescents (MCQ-A). The adult version of this questionnaire has been widely used, and the meta-cognitive theory of emotional disorders has become influential in the adult literature. This study sought to examine the prevalence and emotional correlates of meta-cognition in adolescents. The MCQ-A was administered to 177 schoolchildren aged 13 through 17 years, together with measures of emotional well-being. Factor analysis suggested a five-factor solution similar to that reported for the adult version. Internal consistency of the scale was high. Scores ranged from low to high across the age range, suggesting that meta-cognitive beliefs are well-established by adolescence. Scores on the MCQ-A were highly correlated with a number of measures of emotional symptoms. The MCQ-A is a reliable and valid instrument for measuring meta-cognitive beliefs in adolescents. Young people aged between 13 and 17 years report a range of types and levels of meta-cognitive beliefs and these are positively associated with emotional symptoms. © 2002 Elsevier Science Inc. All rights reserved.","author":[{"dropping-particle":"","family":"Cartwright-Hatton","given":"Sam","non-dropping-particle":"","parse-names":false,"suffix":""},{"dropping-particle":"","family":"Mather","given":"Alison","non-dropping-particle":"","parse-names":false,"suffix":""},{"dropping-particle":"","family":"Illingworth","given":"Vicky","non-dropping-particle":"","parse-names":false,"suffix":""},{"dropping-particle":"","family":"Brocki","given":"Jo","non-dropping-particle":"","parse-names":false,"suffix":""},{"dropping-particle":"","family":"Harrington","given":"Richard","non-dropping-particle":"","parse-names":false,"suffix":""},{"dropping-particle":"","family":"Wells","given":"Adrian","non-dropping-particle":"","parse-names":false,"suffix":""}],"container-title":"Journal of Anxiety Disorders","id":"ITEM-1","issue":"3","issued":{"date-parts":[["2004","1"]]},"page":"411-422","title":"Development and preliminary validation of the Meta-cognitions Questionnaire—Adolescent Version","type":"article-journal","volume":"18"},"uris":["http://www.mendeley.com/documents/?uuid=287aea68-6c29-498e-88e2-dae90e779536"]}],"mendeley":{"formattedCitation":"&lt;sup&gt;[54]&lt;/sup&gt;","plainTextFormattedCitation":"[54]","previouslyFormattedCitation":"&lt;sup&gt;[54]&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[53]</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0.32</w:t>
            </w:r>
            <w:r>
              <w:rPr>
                <w:rFonts w:ascii="Book Antiqua" w:hAnsi="Book Antiqua" w:cs="Arial"/>
                <w:highlight w:val="none"/>
                <w:vertAlign w:val="superscript"/>
                <w:lang w:val="en-US"/>
              </w:rPr>
              <w:t>c</w:t>
            </w:r>
          </w:p>
        </w:tc>
        <w:tc>
          <w:tcPr>
            <w:tcW w:w="0" w:type="auto"/>
          </w:tcPr>
          <w:p>
            <w:pPr>
              <w:keepLines/>
              <w:autoSpaceDE w:val="0"/>
              <w:autoSpaceDN w:val="0"/>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0.67</w:t>
            </w:r>
            <w:r>
              <w:rPr>
                <w:rFonts w:ascii="Book Antiqua" w:hAnsi="Book Antiqua" w:cs="Arial"/>
                <w:highlight w:val="none"/>
                <w:vertAlign w:val="superscript"/>
                <w:lang w:val="en-US"/>
              </w:rPr>
              <w:t>c</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Donovan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{"citationItems":[{"id":"ITEM-1","itemData":{"DOI":"10.1016/j.jad.2015.12.003","ISBN":"0165-0327","ISSN":"01650327","PMID":"26702733","abstract":"Background Intolerance of uncertainty (IU), negative beliefs about worry (NBW), positive beliefs about worry (PBW), negative problem orientation (NPO) and cognitive avoidance (CA) have been found to be integral in the conceptualisation of Generalised Anxiety Disorder (GAD) in adults, yet they have rarely been investigated in children with GAD. This study sought to determine (a) whether IU, NBW, PBW, NPO and CA differ between children diagnosed with GAD and non-anxious children and (b) to examine whether IU, NBW, PBW, NPO and CA differ between parents of children diagnosed with GAD and parents of children without an anxiety disorder. Methods Participants were 50 children (aged 7-12 years), plus one of their parents. The 25 GAD children and 25 non-anxious children were matched on age and gender. Parents and children completed clinical diagnostic interviews, as well as a battery of questionnaires measuring worry, IU, NBW, PBW, NPO and CA. Results Children with GAD endorsed significantly higher levels of worry, IU, NBW, NPO and CA, but not PBW compared to non-anxious children. Parents of children with GAD did not differ from parents of non-anxious children on any of the variables. Limitations The study was limited by it's use of modified adult measures for some variables and a lack of heterogeneity in the sample. Conclusions The cognitive variables of IU, NBW, NPO and CA may also be important in the conceptualisation and treatment of GAD in children as they are in adults.","author":[{"dropping-particle":"","family":"Donovan","given":"Caroline L.","non-dropping-particle":"","parse-names":false,"suffix":""},{"dropping-particle":"","family":"Holmes","given":"Monique C.","non-dropping-particle":"","parse-names":false,"suffix":""},{"dropping-particle":"","family":"Farrell","given":"Lara J.","non-dropping-particle":"","parse-names":false,"suffix":""}],"container-title":"Journal of Affective Disorders","id":"ITEM-1","issued":{"date-parts":[["2016","3"]]},"page":"1-7","publisher":"Elsevier","title":"Investigation of the cognitive variables associated with worry in children with Generalised Anxiety Disorder and their parents","type":"article-journal","volume":"192"},"uris":["http://www.mendeley.com/documents/?uuid=05dfaf08-9b20-4202-93c5-0292f073de16"]}],"mendeley":{"formattedCitation":"&lt;sup&gt;[82]&lt;/sup&gt;","plainTextFormattedCitation":"[82]","previouslyFormattedCitation":"&lt;sup&gt;[82]&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[80]</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Donovan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{"citationItems":[{"id":"ITEM-1","itemData":{"DOI":"10.1016/j.jad.2016.09.061","ISBN":"0165-0327","ISSN":"01650327","abstract":"Background Despite being extensively studied in adults, investigation of worry and it's associated cognitive variables remains in its infancy in paediatric samples. Aims This study aimed to investigate 1) whether the child cognitive variables of intolerance of uncertainty (IU), positive beliefs about worry (PBW), negative beliefs about worry (NBW), negative problem orientation (NPO) and cognitive avoidance (CA) were associated with child worry, 2) whether parental worry and cognitive variables were associated with child worry, 3) whether the relationship between child and parent worry was mediated by child cognitive variables and 4) whether the relationships between specific parent cognitive factors and child worry were mediated by specific child cognitive factors. Method Participants were 114 children plus one of their parents. Parents and children completed questionnaires assessing each of the five cognitive variables and worry. Results When examined together, child NBW and CA significantly predicted child worry. Parent worry, IU and CA were significantly and positively related to child worry. The relationship between parent worry and child worry was mediated by child NBW and CA. The relationship between parent IU, NPO and CA and child worry was mediated by child IU, NPO and CA respectively. Conclusions Child NBW and CA may be particularly important to child worry and may represent potential treatment targets. Parental worry and cognitive variables may play a role in the development and / or maintenance of child worry.","author":[{"dropping-particle":"","family":"Donovan","given":"Caroline L.","non-dropping-particle":"","parse-names":false,"suffix":""},{"dropping-particle":"","family":"Holmes","given":"Monique C.","non-dropping-particle":"","parse-names":false,"suffix":""},{"dropping-particle":"","family":"Farrell","given":"Lara J.","non-dropping-particle":"","parse-names":false,"suffix":""},{"dropping-particle":"","family":"Hearn","given":"Catherine S.","non-dropping-particle":"","parse-names":false,"suffix":""}],"container-title":"Journal of Affective Disorders","id":"ITEM-1","issue":"September 2016","issued":{"date-parts":[["2017","1"]]},"page":"230-237","publisher":"Elsevier","title":"Thinking about worry: Investigation of the cognitive components of worry in children","type":"article-journal","volume":"208"},"uris":["http://www.mendeley.com/documents/?uuid=3904df03-4f0a-4dcd-9e2c-a6600b779633"]}],"mendeley":{"formattedCitation":"&lt;sup&gt;[67]&lt;/sup&gt;","plainTextFormattedCitation":"[67]","previouslyFormattedCitation":"&lt;sup&gt;[67]&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[65]</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0.22</w:t>
            </w:r>
            <w:r>
              <w:rPr>
                <w:rFonts w:ascii="Book Antiqua" w:hAnsi="Book Antiqua" w:cs="Arial"/>
                <w:highlight w:val="none"/>
                <w:vertAlign w:val="superscript"/>
                <w:lang w:val="de-DE"/>
              </w:rPr>
              <w:t>a</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0.72</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0.20</w:t>
            </w:r>
            <w:r>
              <w:rPr>
                <w:rFonts w:ascii="Book Antiqua" w:hAnsi="Book Antiqua" w:cs="Arial"/>
                <w:color w:val="000000"/>
                <w:highlight w:val="none"/>
                <w:vertAlign w:val="superscript"/>
                <w:lang w:val="de-DE"/>
              </w:rPr>
              <w:t>a</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Ellis and Hudson</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{"citationItems":[{"id":"ITEM-1","itemData":{"DOI":"10.5127/jep.011910","ISBN":"2043-8087","ISSN":"20438087","abstract":"The metacognitive model of generalized anxiety disorder (GAD) suggests that positive and negative beliefs about worry contribute to pathological worry. This study explores the relationship between metacognition and worry in youth aged 12–17 years. The sample consisted of 81 anxiety-disordered youth, with 70 mothers included, and 42 non-clinical controls, with 40 mothers included. Metacognitive beliefs were associated with emotional symptoms. Both GAD and non-GAD youth, and anxious and anxious/depressed youth, reported higher metacognitive beliefs compared to non-clinical controls, but there were no differences in metacognition between emotional disorders. There was no significant association between age and metacognition, and there were no gender differences in metacognition. These results provide partial support for using the metacognitive model of GAD to understand worry in young people. (PsycINFO Database Record (c) 2016 APA, all rights reserved)","author":[{"dropping-particle":"","family":"Ellis","given":"Danielle M.","non-dropping-particle":"","parse-names":false,"suffix":""},{"dropping-particle":"","family":"Hudson","given":"Jennifer","non-dropping-particle":"","parse-names":false,"suffix":""}],"container-title":"Journal of Experimental Psychopathology","id":"ITEM-1","issue":"1","issued":{"date-parts":[["2011"]]},"page":"28-43","title":"Test of the Metacognitive Model of Generalized Anxiety Disorder in Anxiety-Disordered Adolescents","type":"article-journal","volume":"2"},"uris":["http://www.mendeley.com/documents/?uuid=c5e50085-12d7-41b7-be81-c93fc49ea263"]}],"mendeley":{"formattedCitation":"&lt;sup&gt;[24]&lt;/sup&gt;","plainTextFormattedCitation":"[24]","previouslyFormattedCitation":"&lt;sup&gt;[24]&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[24]</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0.49</w:t>
            </w:r>
            <w:r>
              <w:rPr>
                <w:rFonts w:ascii="Book Antiqua" w:hAnsi="Book Antiqua" w:cs="Arial"/>
                <w:iCs/>
                <w:highlight w:val="none"/>
                <w:vertAlign w:val="superscript"/>
                <w:lang w:val="en-US"/>
              </w:rPr>
              <w:t>b</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highlight w:val="none"/>
                <w:lang w:val="de-DE"/>
              </w:rPr>
              <w:t>0.84</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0.46</w:t>
            </w:r>
            <w:r>
              <w:rPr>
                <w:rFonts w:ascii="Book Antiqua" w:hAnsi="Book Antiqua" w:cs="Arial"/>
                <w:iCs/>
                <w:highlight w:val="none"/>
                <w:vertAlign w:val="superscript"/>
                <w:lang w:val="en-US"/>
              </w:rPr>
              <w:t>b</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0.72</w:t>
            </w:r>
            <w:r>
              <w:rPr>
                <w:rFonts w:ascii="Book Antiqua" w:hAnsi="Book Antiqua" w:cs="Arial"/>
                <w:iCs/>
                <w:highlight w:val="none"/>
                <w:vertAlign w:val="superscript"/>
                <w:lang w:val="en-US"/>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0.16 </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0.16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Esbjørn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[23]</w:t>
            </w:r>
            <w:r>
              <w:rPr>
                <w:rFonts w:ascii="Book Antiqua" w:hAnsi="Book Antiqua" w:cs="Arial"/>
                <w:highlight w:val="none"/>
                <w:lang w:val="de-DE"/>
              </w:rPr>
              <w:fldChar w:fldCharType="end"/>
            </w:r>
            <w:r>
              <w:rPr>
                <w:rFonts w:ascii="Book Antiqua" w:hAnsi="Book Antiqua" w:cs="Arial"/>
                <w:highlight w:val="none"/>
                <w:lang w:val="en-US"/>
              </w:rPr>
              <w:t>, study1</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Esbjørn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mendeley":{"formattedCitation":"&lt;sup&gt;[23]&lt;/sup&gt;","plainTextFormattedCitation":"[23]","previouslyFormattedCitation":"&lt;sup&gt;[23]&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[23]</w:t>
            </w:r>
            <w:r>
              <w:rPr>
                <w:rFonts w:ascii="Book Antiqua" w:hAnsi="Book Antiqua" w:cs="Arial"/>
                <w:highlight w:val="none"/>
                <w:lang w:val="de-DE"/>
              </w:rPr>
              <w:fldChar w:fldCharType="end"/>
            </w:r>
            <w:r>
              <w:rPr>
                <w:rFonts w:ascii="Book Antiqua" w:hAnsi="Book Antiqua" w:cs="Arial"/>
                <w:highlight w:val="none"/>
                <w:lang w:val="en-US"/>
              </w:rPr>
              <w:t>, study2</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 xml:space="preserve">Esbjørn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{"citationItems":[{"id":"ITEM-1","itemData":{"DOI":"10.1111/sjop.12286","ISSN":"00365564","abstract":"Research has shown that anxiety may be transmitted through verbal information pathways, for example, when parents share their anxious cognitions with their child. Less is known about the influence of parental metacognitions, that is, beliefs regarding thoughts, on child anxiety. We explored the relations between metacognitions in mothers and their children and anxiety in the children. Our study included 111 non</w:instrText>
            </w:r>
            <w:r>
              <w:rPr>
                <w:rFonts w:hint="eastAsia" w:ascii="宋体" w:hAnsi="宋体" w:eastAsia="宋体" w:cs="宋体"/>
                <w:highlight w:val="none"/>
                <w:lang w:val="de-DE"/>
              </w:rPr>
              <w:instrText xml:space="preserve">‐</w:instrText>
            </w:r>
            <w:r>
              <w:rPr>
                <w:rFonts w:ascii="Book Antiqua" w:hAnsi="Book Antiqua" w:cs="Arial"/>
                <w:highlight w:val="none"/>
                <w:lang w:val="de-DE"/>
              </w:rPr>
              <w:instrText xml:space="preserve">clinical children aged 8 to 12 years and their mothers. Children rated their metacognitions, worry and anxiety, and mothers rated their metacognitions. Results indicated agreement between maternal and child metacognitions. Maternal metacognitions were positively associated with children's anxiety symptoms and worry, and this relation was mediated by the children's metacognitions. Our results warrant further examination of the role of parental metacognitions in child anxiety. (PsycINFO Database Record (c) 2016 APA, all rights reserved)","author":[{"dropping-particle":"","family":"Esbjørn","given":"Barbara Hoff","non-dropping-particle":"","parse-names":false,"suffix":""},{"dropping-particle":"","family":"Normann","given":"Nicoline","non-dropping-particle":"","parse-names":false,"suffix":""},{"dropping-particle":"","family":"Lønfeldt","given":"Nicole Nadine","non-dropping-particle":"","parse-names":false,"suffix":""},{"dropping-particle":"","family":"Tolstrup","given":"Marie","non-dropping-particle":"","parse-names":false,"suffix":""},{"dropping-particle":"","family":"Reinholdt-Dunne","given":"Marie Louise","non-dropping-particle":"","parse-names":false,"suffix":""}],"container-title":"Scandinavian Journal of Psychology","id":"ITEM-1","issue":"3","issued":{"date-parts":[["2016","6"]]},"page":"201-206","title":"Exploring the relationships between maternal and child metacognitions and child anxiety","type":"article-journal","volume":"57"},"uris":["http://www.mendeley.com/documents/?uuid=1cc7ae30-1aac-400d-87f5-df1c39fd4ba2"]}],"mendeley":{"formattedCitation":"&lt;sup&gt;[96]&lt;/sup&gt;","plainTextFormattedCitation":"[96]","previouslyFormattedCitation":"&lt;sup&gt;[96]&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[93]</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Esbjørn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[66]</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0.25</w:t>
            </w:r>
            <w:r>
              <w:rPr>
                <w:rFonts w:ascii="Book Antiqua" w:hAnsi="Book Antiqua" w:cs="Arial"/>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0.31</w:t>
            </w:r>
            <w:r>
              <w:rPr>
                <w:rFonts w:ascii="Book Antiqua" w:hAnsi="Book Antiqua" w:cs="Arial"/>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0.17</w:t>
            </w:r>
            <w:r>
              <w:rPr>
                <w:rFonts w:ascii="Book Antiqua" w:hAnsi="Book Antiqua" w:cs="Arial"/>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0.55</w:t>
            </w:r>
            <w:r>
              <w:rPr>
                <w:rFonts w:ascii="Book Antiqua" w:hAnsi="Book Antiqua" w:cs="Arial"/>
                <w:highlight w:val="none"/>
                <w:vertAlign w:val="superscript"/>
                <w:lang w:val="de-DE"/>
              </w:rPr>
              <w:t>c</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0.25</w:t>
            </w:r>
            <w:r>
              <w:rPr>
                <w:rFonts w:ascii="Book Antiqua" w:hAnsi="Book Antiqua" w:cs="Arial"/>
                <w:color w:val="000000"/>
                <w:highlight w:val="none"/>
                <w:vertAlign w:val="superscript"/>
                <w:lang w:val="de-DE"/>
              </w:rPr>
              <w:t>c</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Esbjørn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{"citationItems":[{"id":"ITEM-1","itemData":{"DOI":"10.1016/j.janxdis.2017.11.002","ISSN":"08876185","author":[{"dropping-particle":"","family":"Esbjørn","given":"Barbara Hoff","non-dropping-particle":"","parse-names":false,"suffix":""},{"dropping-particle":"","family":"Normann","given":"Nicoline","non-dropping-particle":"","parse-names":false,"suffix":""},{"dropping-particle":"","family":"Christiansen","given":"Bianca Munkebo","non-dropping-particle":"","parse-names":false,"suffix":""},{"dropping-particle":"","family":"Reinholdt-Dunne","given":"Marie Louise","non-dropping-particle":"","parse-names":false,"suffix":""}],"container-title":"Journal of Anxiety Disorders","id":"ITEM-1","issued":{"date-parts":[["2018","1"]]},"page":"16-21","title":"The efficacy of group metacognitive therapy for children (MCT-c) with generalized anxiety disorder: An open trial","type":"article-journal","volume":"53"},"uris":["http://www.mendeley.com/documents/?uuid=20c83b49-a0f2-4abf-aa12-5ee3da2b6977"]}],"mendeley":{"formattedCitation":"&lt;sup&gt;[57]&lt;/sup&gt;","plainTextFormattedCitation":"[57]","previouslyFormattedCitation":"&lt;sup&gt;[57]&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[56]</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Fergus and Limbers</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{"citationItems":[{"id":"ITEM-1","itemData":{"DOI":"10.1016/j.beth.2018.12.001","ISSN":"00057894","author":[{"dropping-particle":"","family":"Fergus","given":"Thomas A.","non-dropping-particle":"","parse-names":false,"suffix":""},{"dropping-particle":"","family":"Limbers","given":"Christine A.","non-dropping-particle":"","parse-names":false,"suffix":""}],"container-title":"Behavior Therapy","id":"ITEM-1","issue":"4","issued":{"date-parts":[["2019","7"]]},"page":"803-816","title":"Reducing Test Anxiety in School Settings: A Controlled Pilot Study Examining a Group Format Delivery of the Attention Training Technique Among Adolescent Students","type":"article-journal","volume":"50"},"uris":["http://www.mendeley.com/documents/?uuid=658b14a3-7f29-4b73-a9db-5a8090bddb62"]}],"mendeley":{"formattedCitation":"&lt;sup&gt;[58]&lt;/sup&gt;","plainTextFormattedCitation":"[58]","previouslyFormattedCitation":"&lt;sup&gt;[58]&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[57]</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Fisak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{"citationItems":[{"id":"ITEM-1","itemData":{"DOI":"10.1017/S1352465813000374","ISSN":"1352-4658","PMID":"23735158","abstract":"Background: Meta-worry is considered a central component of the Metacognitive Model of Generalized Anxiety Disorder. Although initial research provides support for the applicability of this model to adolescent samples, the construct of meta-worry has yet to be examined in adolescents. Aims: The purpose of this study was to examine the psychometric properties of the Meta-Worry Questionnaire (MWQ), a measure designed to assess negative beliefs about worry, in an adolescent sample, and to examine the degree to which meta-worry is associated with pathological worry in adolescents. Method: A non-referred sample of 175 adolescents completed a modified version of the MWQ along with the Meta-Cognitions Questionnaire-Children (MCQ-C) and the Penn State Worry Questionnaire for Children (PSWQ-C). Results: The MWQ was found to exhibit strong psychometric properties. Most noteworthy, the MWQ was found to be a particularly robust predictor of scores on the PSWQ-C, and incremental validity was also demonstrated. Conclusions: Overall, the current findings provide support for the reliability and validity of the MWQ in adolescents and support for meta-worry as a predictor of worry symptoms in adolescents.;","author":[{"dropping-particle":"","family":"Fisak","given":"Brian","non-dropping-particle":"","parse-names":false,"suffix":""},{"dropping-particle":"","family":"Mentuccia","given":"Marco","non-dropping-particle":"","parse-names":false,"suffix":""},{"dropping-particle":"","family":"Przeworski","given":"Amy","non-dropping-particle":"","parse-names":false,"suffix":""}],"container-title":"Behavioural and Cognitive Psychotherapy","id":"ITEM-1","issue":"04","issued":{"date-parts":[["2014","7","5"]]},"page":"491-496","title":"Meta-Worry in Adolescents: Examination of the Psychometric Properties of the Meta-Worry Questionnaire in an Adolescent Sample","type":"article-journal","volume":"42"},"uris":["http://www.mendeley.com/documents/?uuid=2b42a34f-b3b7-4ce7-91d2-f52b618b8080"]}],"mendeley":{"formattedCitation":"&lt;sup&gt;[75]&lt;/sup&gt;","plainTextFormattedCitation":"[75]","previouslyFormattedCitation":"&lt;sup&gt;[75]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[73]</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Francis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{"citationItems":[{"id":"ITEM-1","itemData":{"DOI":"10.1007/s10862-016-9584-4","ISSN":"0882-2689","abstract":"Despite the emphasis on threat appraisal in cognitive models of anxiety, self-report measures of related processes in children and adolescents have been lacking. This paper reports on the development and preliminary psychometric evaluation of a new measure of threat appraisal for children and adolescents – the Threat Appraisal Questionnaire for Children (TAQ-C). Based on current conceptualisations of threat appraisal, the TAQ-C was designed to index the construct across three dimensions: probability, cost, and coping difficulties. Confirmatory Factor Analysis was used to examine this structure in a community sample of n = 312 children (ages 9–15 years, 55% female). Results indicated that the scores on the instrument capture three factors (Probability, Cost and Coping difficulties). Moreover, a model in which the 1st-order factors loaded significantly on a single 2nd order factor of threat in general, was supported. The TAQ-C was found to demonstrate good internal consistency, and acceptable levels of test-retest reliability within a 3–4 week interval, when evaluated with a subsample of n = 51 children. Support for convergent validity was demonstrated, with TAQ-C scores found to correlate strongly with existing measures of child anxiety, and conceptually related cognitive processes. Divergent validity was also evidenced, with low correlations found between TAQ-C scores and the unrelated construct measure of Hyperactivity-Inattention. The TAQ-C, therefore, appears to be a promising measure with a range of potential applications for child and adolescent settings.","author":[{"dropping-particle":"","family":"Francis","given":"Rosanna","non-dropping-particle":"","parse-names":false,"suffix":""},{"dropping-particle":"","family":"Hawes","given":"David J.","non-dropping-particle":"","parse-names":false,"suffix":""},{"dropping-particle":"","family":"Abbott","given":"Maree","non-dropping-particle":"","parse-names":false,"suffix":""},{"dropping-particle":"","family":"Costa","given":"Daniel S. J.","non-dropping-particle":"","parse-names":false,"suffix":""}],"container-title":"Journal of Psychopathology and Behavioral Assessment","id":"ITEM-1","issue":"2","issued":{"date-parts":[["2017","6","12"]]},"page":"322-341","publisher":"Journal of Psychopathology and Behavioral Assessment","title":"Development and Preliminary Validation of the Threat Appraisal Questionnaire for Children (TAQ-C)","type":"article-journal","volume":"39"},"uris":["http://www.mendeley.com/documents/?uuid=fd9619db-6657-49ed-9a6c-e7d4ff1bbd23"]}],"mendeley":{"formattedCitation":"&lt;sup&gt;[51]&lt;/sup&gt;","plainTextFormattedCitation":"[51]","previouslyFormattedCitation":"&lt;sup&gt;[51]&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[50]</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Francis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paid.2017.08.044","ISSN":"01918869","author":[{"dropping-particle":"","family":"Francis","given":"Rosanna","non-dropping-particle":"","parse-names":false,"suffix":""},{"dropping-particle":"","family":"Hawes","given":"David J.","non-dropping-particle":"","parse-names":false,"suffix":""},{"dropping-particle":"","family":"Abbott","given":"Maree J.","non-dropping-particle":"","parse-names":false,"suffix":""},{"dropping-particle":"","family":"Costa","given":"Daniel S.J.","non-dropping-particle":"","parse-names":false,"suffix":""}],"container-title":"Personality and Individual Differences","id":"ITEM-1","issued":{"date-parts":[["2018","1"]]},"page":"179-184","title":"Cognitive mechanisms for worry in early adolescence: Re-examining the role of high verbal intelligence","type":"article-journal","volume":"120"},"uris":["http://www.mendeley.com/documents/?uuid=6a9132b8-40de-4343-8691-67f42b4812f7"]}],"mendeley":{"formattedCitation":"&lt;sup&gt;[52]&lt;/sup&gt;","plainTextFormattedCitation":"[52]","previouslyFormattedCitation":"&lt;sup&gt;[52]&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[51]</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0.39</w:t>
            </w:r>
            <w:r>
              <w:rPr>
                <w:rFonts w:ascii="Book Antiqua" w:hAnsi="Book Antiqua" w:cs="Arial"/>
                <w:iCs/>
                <w:highlight w:val="none"/>
                <w:vertAlign w:val="superscript"/>
                <w:lang w:val="en-US"/>
              </w:rPr>
              <w:t>b</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0.69</w:t>
            </w:r>
            <w:r>
              <w:rPr>
                <w:rFonts w:ascii="Book Antiqua" w:hAnsi="Book Antiqua" w:cs="Arial"/>
                <w:iCs/>
                <w:highlight w:val="none"/>
                <w:vertAlign w:val="superscript"/>
                <w:lang w:val="en-US"/>
              </w:rPr>
              <w:t>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0.31</w:t>
            </w:r>
            <w:r>
              <w:rPr>
                <w:rFonts w:ascii="Book Antiqua" w:hAnsi="Book Antiqua" w:cs="Arial"/>
                <w:color w:val="000000"/>
                <w:highlight w:val="none"/>
                <w:vertAlign w:val="superscript"/>
                <w:lang w:val="de-DE"/>
              </w:rPr>
              <w:t>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en-US"/>
              </w:rPr>
              <w:t>Gallagher and Cartwright-Hatton</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{"citationItems":[{"id":"ITEM-1","itemData":{"DOI":"10.1016/j.janxdis.2007.07.006","ISBN":"0887-6185","ISSN":"08876185","PMID":"17766082","abstract":"Research examining parenting factors in the development of anxiety has focused largely on the concepts of parental warmth and overcontrolling or intrusive parenting, This study investigated the relationship between these factors, and also parental discipline style and anxiety using self-report methodology with a sample of 16-18 year olds. In order to try to explain the relationship between parenting and anxiety, measures of cognition were also included. A multiple regression was conducted including all parenting factors as predictors of trait anxiety. The regression was a modest fit (R2= 22%) and the model was significant (F(4, 141) = 9.90, p &lt; 0.0001). Only the effect of Over-reactivity was significant, (t = 3.72, p &lt; 0.0001). Furthermore, Over-reactive discipline was significantly associated with increased cognitive distortions (r = 0.361 p &lt; 0.0001) and metacognition (r = 0.396 p &lt; 0.0001). Both cognitive distortions and metacognition were found to partially mediate the relationship between discipline style and trait anxiety. The implications of these findings and areas for future research are discussed. © 2007 Elsevier Ltd. All rights reserved.","author":[{"dropping-particle":"","family":"Gallagher","given":"Bridie","non-dropping-particle":"","parse-names":false,"suffix":""},{"dropping-particle":"","family":"Cartwright-Hatton","given":"Sam","non-dropping-particle":"","parse-names":false,"suffix":""}],"container-title":"Journal of Anxiety Disorders","id":"ITEM-1","issue":"4","issued":{"date-parts":[["2008","5"]]},"page":"722-733","title":"The relationship between parenting factors and trait anxiety: Mediating role of cognitive errors and metacognition","type":"article-journal","volume":"22"},"uris":["http://www.mendeley.com/documents/?uuid=f5203d2d-60ca-48bf-b2d6-aed0417ff681"]}],"mendeley":{"formattedCitation":"&lt;sup&gt;[97]&lt;/sup&gt;","plainTextFormattedCitation":"[97]","previouslyFormattedCitation":"&lt;sup&gt;[97]&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[94]</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Gini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{"citationItems":[{"id":"ITEM-1","itemData":{"DOI":"10.1891/0886-6708.VV-D-18-00016","ISSN":"0886-6708","abstract":"Psychological mechanisms that may explain the link between peer victimization and its adverse outcomes are still understudied. The current study aimed to apply the Self-Regulatory Executive Function (S-REF) model of psychopathology (Wells &amp; Matthews, 1994, 1996) to help explain this link in a sample of adolescents. A total of 1,169 Italian adolescents (47.7% females; M age = 15.79, SD = 1.07) completed self-report measures of peer victimization, metacognitions, thinking styles (worry and rumination), and adjustment indices (somatic symptoms, anxiety, depression). The hypothesized model based on the S-REF model was tested through path analysis. Results confirmed that peer victimization was positively associated with both positive and negative metacognitions that, in turn, were linked to worry and rumination, which were associated with higher psychological and somatic problems. The strongest indirect links were found between peer victimization and anxiety via negative metacognitions and worry, and between victimization and depression via negative metacognitions and rumination. Overall, the results support to the application of the S-REF model to peer victimization experiences during adolescence. The clinical implications of these findings are discussed.","author":[{"dropping-particle":"","family":"Gini","given":"Gianluca","non-dropping-particle":"","parse-names":false,"suffix":""},{"dropping-particle":"","family":"Marino","given":"Claudia","non-dropping-particle":"","parse-names":false,"suffix":""},{"dropping-particle":"","family":"Spada","given":"Marcantonio M.","non-dropping-particle":"","parse-names":false,"suffix":""}],"container-title":"Violence and Victims","id":"ITEM-1","issue":"5","issued":{"date-parts":[["2019","10","1"]]},"page":"752-769","title":"The Role of Metacognitions and Thinking Styles in the Negative Outcomes of Adolescents' Peer Victimization","type":"article-journal","volume":"34"},"uris":["http://www.mendeley.com/documents/?uuid=5449216e-844a-4f7e-9c65-648af24a7f7d"]}],"mendeley":{"formattedCitation":"&lt;sup&gt;[69]&lt;/sup&gt;","plainTextFormattedCitation":"[69]","previouslyFormattedCitation":"&lt;sup&gt;[69]&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[67]</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iCs/>
                <w:highlight w:val="none"/>
                <w:lang w:val="de-DE"/>
              </w:rPr>
            </w:pPr>
            <w:r>
              <w:rPr>
                <w:rFonts w:ascii="Book Antiqua" w:hAnsi="Book Antiqua" w:cs="Arial"/>
                <w:iCs/>
                <w:highlight w:val="none"/>
                <w:lang w:val="de-DE"/>
              </w:rPr>
              <w:t>0.32</w:t>
            </w:r>
            <w:r>
              <w:rPr>
                <w:rFonts w:ascii="Book Antiqua" w:hAnsi="Book Antiqua" w:cs="Arial"/>
                <w:iCs/>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de-DE"/>
              </w:rPr>
            </w:pPr>
            <w:r>
              <w:rPr>
                <w:rFonts w:ascii="Book Antiqua" w:hAnsi="Book Antiqua" w:cs="Arial"/>
                <w:iCs/>
                <w:highlight w:val="none"/>
                <w:lang w:val="de-DE"/>
              </w:rPr>
              <w:t>0.65</w:t>
            </w:r>
            <w:r>
              <w:rPr>
                <w:rFonts w:ascii="Book Antiqua" w:hAnsi="Book Antiqua" w:cs="Arial"/>
                <w:iCs/>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de-DE"/>
              </w:rPr>
            </w:pPr>
            <w:r>
              <w:rPr>
                <w:rFonts w:ascii="Book Antiqua" w:hAnsi="Book Antiqua" w:cs="Arial"/>
                <w:iCs/>
                <w:highlight w:val="none"/>
                <w:lang w:val="de-DE"/>
              </w:rPr>
              <w:t>0.22</w:t>
            </w:r>
            <w:r>
              <w:rPr>
                <w:rFonts w:ascii="Book Antiqua" w:hAnsi="Book Antiqua" w:cs="Arial"/>
                <w:iCs/>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de-DE"/>
              </w:rPr>
            </w:pPr>
            <w:r>
              <w:rPr>
                <w:rFonts w:ascii="Book Antiqua" w:hAnsi="Book Antiqua" w:cs="Arial"/>
                <w:iCs/>
                <w:highlight w:val="none"/>
                <w:lang w:val="de-DE"/>
              </w:rPr>
              <w:t>0.60</w:t>
            </w:r>
            <w:r>
              <w:rPr>
                <w:rFonts w:ascii="Book Antiqua" w:hAnsi="Book Antiqua" w:cs="Arial"/>
                <w:iCs/>
                <w:highlight w:val="none"/>
                <w:vertAlign w:val="superscript"/>
                <w:lang w:val="de-DE"/>
              </w:rPr>
              <w:t>c</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0.16</w:t>
            </w:r>
            <w:r>
              <w:rPr>
                <w:rFonts w:ascii="Book Antiqua" w:hAnsi="Book Antiqua" w:cs="Arial"/>
                <w:color w:val="000000"/>
                <w:highlight w:val="none"/>
                <w:vertAlign w:val="superscript"/>
                <w:lang w:val="de-DE"/>
              </w:rPr>
              <w:t>c</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Hearn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{"citationItems":[{"id":"ITEM-1","itemData":{"DOI":"10.1016/j.jad.2016.09.052","ISSN":"01650327","PMID":"27744124","abstract":"Background Comorbidity between Social Anxiety Disorder (SAD) and Generalized Anxiety Disorder (GAD) is extremely common. This study investigated whether factors commonly associated with GAD, including worry, intolerance of uncertainty (IU), positive and negative beliefs about worry (PBW, NBW), negative problem orientation (NPO) and cognitive avoidance (CA) were associated with SAD severity, symptoms and overall functioning. Method Participants included 126 youth aged 8–17 years (M=11.29, SD=2.67, Males n=50) with a primary diagnosis of SAD. Participants and a parent underwent a diagnostic interview and completed questionnaires at pre- and 12-week post assessment, and 6-month follow-up. Correlations and hierarchical multiple regression analyses were conducted. Results Each of the cognitive variables, with the exception of PBW, was found to correlate with SAD symptoms, SAD severity and overall functioning. NPO emerged as an important predictor of SAD severity, self-reported ratings of SAD symptoms, and poorer levels of overall functioning. IU and worry also predicted self-rated SAD symptoms. Limitations Measures were chosen on the basis of their sound psychometrics however some were yet to undergo rigorous testing with youth populations. The study design is cross-sectional, which restricts firm conclusions regarding causal and temporal associations between the variables. Conclusions Findings from this study have implications for the specificity of GAD and SAD in youth. Further research is required to understand whether these cognitive variables play a maintaining role in youth SAD and the extent to which they might influence treatment.","author":[{"dropping-particle":"","family":"Hearn","given":"Cate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Affective Disorders","id":"ITEM-1","issue":"b","issued":{"date-parts":[["2017","1"]]},"page":"33-40","publisher":"Elsevier","title":"A worrying trend in Social Anxiety: To what degree are worry and its cognitive factors associated with youth Social Anxiety Disorder?","type":"article-journal","volume":"208"},"uris":["http://www.mendeley.com/documents/?uuid=3a1eff81-df57-4992-98bf-7f8865b3f243"]}],"mendeley":{"formattedCitation":"&lt;sup&gt;[25]&lt;/sup&gt;","plainTextFormattedCitation":"[25]","previouslyFormattedCitation":"&lt;sup&gt;[25]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[25]</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0.16 </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0.50</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0.02 </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0.39</w:t>
            </w:r>
            <w:r>
              <w:rPr>
                <w:rFonts w:ascii="Book Antiqua" w:hAnsi="Book Antiqua" w:cs="Arial"/>
                <w:highlight w:val="none"/>
                <w:vertAlign w:val="superscript"/>
                <w:lang w:val="de-DE"/>
              </w:rPr>
              <w:t>b</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0.08</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Hearn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{"citationItems":[{"id":"ITEM-1","itemData":{"DOI":"10.1007/s10578-016-0703-y","ISBN":"1057801607","ISSN":"1573-3327","author":[{"dropping-particle":"","family":"Hearn","given":"Cate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H","non-dropping-particle":"","parse-names":false,"suffix":""},{"dropping-particle":"","family":"March","given":"Sonja","non-dropping-particle":"","parse-names":false,"suffix":""},{"dropping-particle":"","family":"Holmes","given":"Monique C","non-dropping-particle":"","parse-names":false,"suffix":""},{"dropping-particle":"","family":"Donovan","given":"Caroline L","non-dropping-particle":"","parse-names":false,"suffix":""},{"dropping-particle":"","family":"Spence","given":"Susan H","non-dropping-particle":"","parse-names":false,"suffix":""},{"dropping-particle":"","family":"Holmes","given":"Monique C","non-dropping-particle":"","parse-names":false,"suffix":""}],"container-title":"Child Psychiatry &amp; Human Development","id":"ITEM-1","issue":"a","issued":{"date-parts":[["2017"]]},"page":"786-795","publisher":"Springer US","title":"What ’ s the Worry with Social Anxiety ? Comparing Cognitive Processes in Children with Generalized Anxiety Disorder and Social Anxiety Disorder","type":"article-journal","volume":"48"},"uris":["http://www.mendeley.com/documents/?uuid=576ae53c-beb3-479c-89b2-007e53d61518"]}],"mendeley":{"formattedCitation":"&lt;sup&gt;[48]&lt;/sup&gt;","plainTextFormattedCitation":"[48]","previouslyFormattedCitation":"&lt;sup&gt;[48]&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[74]</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highlight w:val="none"/>
                <w:lang w:val="en-US"/>
              </w:rPr>
              <w:t>-</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Hearn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{"citationItems":[{"id":"ITEM-1","itemData":{"DOI":"10.1016/j.janxdis.2017.11.005","ISSN":"0887-6185","author":[{"dropping-particle":"","family":"Hearn","given":"Cate S","non-dropping-particle":"","parse-names":false,"suffix":""},{"dropping-particle":"","family":"Donovan","given":"Caroline L","non-dropping-particle":"","parse-names":false,"suffix":""},{"dropping-particle":"","family":"Spence","given":"Susan H","non-dropping-particle":"","parse-names":false,"suffix":""},{"dropping-particle":"","family":"March","given":"Sonja","non-dropping-particle":"","parse-names":false,"suffix":""}],"container-title":"Journal of Anxiety Disorders","id":"ITEM-1","issue":"November 2017","issued":{"date-parts":[["2018"]]},"page":"46-57","publisher":"Elsevier","title":"Do worry and its associated cognitive variables alter following CBT treatment in a youth population with Social Anxiety Disorder ? Results from a randomized controlled trial","type":"article-journal","volume":"53"},"uris":["http://www.mendeley.com/documents/?uuid=7b082d05-e8e8-43dd-8be5-cf43ef52e9e9"]}],"mendeley":{"formattedCitation":"&lt;sup&gt;[26]&lt;/sup&gt;","plainTextFormattedCitation":"[26]","previouslyFormattedCitation":"&lt;sup&gt;[26]&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[26]</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 xml:space="preserve">0.02 </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0.48</w:t>
            </w:r>
            <w:r>
              <w:rPr>
                <w:rFonts w:ascii="Book Antiqua" w:hAnsi="Book Antiqua" w:cs="Arial"/>
                <w:iCs/>
                <w:highlight w:val="none"/>
                <w:vertAlign w:val="superscript"/>
                <w:lang w:val="en-US"/>
              </w:rPr>
              <w:t>b</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 xml:space="preserve">0.01 </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0.36</w:t>
            </w:r>
            <w:r>
              <w:rPr>
                <w:rFonts w:ascii="Book Antiqua" w:hAnsi="Book Antiqua" w:cs="Arial"/>
                <w:iCs/>
                <w:highlight w:val="none"/>
                <w:vertAlign w:val="superscript"/>
                <w:lang w:val="en-US"/>
              </w:rPr>
              <w:t>b</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 xml:space="preserve">Holmes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{"citationItems":[{"id":"ITEM-1","itemData":{"DOI":"10.1891/0889-8391.29.4.275","ISSN":"08898391","author":[{"dropping-particle":"","family":"Holmes","given":"Monique C","non-dropping-particle":"","parse-names":false,"suffix":""},{"dropping-particle":"","family":"Donovan","given":"Caroline L","non-dropping-particle":"","parse-names":false,"suffix":""},{"dropping-particle":"","family":"Farrell","given":"Lara J","non-dropping-particle":"","parse-names":false,"suffix":""}],"container-title":"Journal of Cognitive Psychotherapy","id":"ITEM-1","issue":"4","issued":{"date-parts":[["2015","11","1"]]},"page":"275-301","title":"A Disorder-Specific, Cognitively Focused Group Treatment for Childhood Generalized Anxiety Disorder: Development and Case Illustration of the No Worries! Program","type":"article-journal","volume":"29"},"uris":["http://www.mendeley.com/documents/?uuid=e4161e30-9684-4415-bf2f-3fe654ef1864"]}],"mendeley":{"formattedCitation":"&lt;sup&gt;[61]&lt;/sup&gt;","plainTextFormattedCitation":"[61]","previouslyFormattedCitation":"&lt;sup&gt;[61]&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[59]</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Holmes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{"citationItems":[{"id":"ITEM-1","itemData":{"DOI":"10.1016/j.brat.2014.08.002","ISSN":"00057967","author":[{"dropping-particle":"","family":"Holmes","given":"Monique C","non-dropping-particle":"","parse-names":false,"suffix":""},{"dropping-particle":"","family":"Donovan","given":"Caroline L","non-dropping-particle":"","parse-names":false,"suffix":""},{"dropping-particle":"","family":"Farrell","given":"Lara J","non-dropping-particle":"","parse-names":false,"suffix":""},{"dropping-particle":"","family":"March","given":"Sonja","non-dropping-particle":"","parse-names":false,"suffix":""}],"container-title":"Behaviour Research and Therapy","id":"ITEM-1","issued":{"date-parts":[["2014","10"]]},"page":"122-135","publisher":"Elsevier Ltd","title":"The efficacy of a group-based, disorder-specific treatment program for childhood GAD – A randomized controlled trial","type":"article-journal","volume":"61"},"uris":["http://www.mendeley.com/documents/?uuid=89fb9eec-61a7-4115-b95d-f1f375784367"]}],"mendeley":{"formattedCitation":"&lt;sup&gt;[60]&lt;/sup&gt;","plainTextFormattedCitation":"[60]","previouslyFormattedCitation":"&lt;sup&gt;[60]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[58]</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Irak</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{"citationItems":[{"id":"ITEM-1","itemData":{"DOI":"10.5080/u6604","ISBN":"1300-2163","ISSN":"1300-2163","PMID":"22374631","abstract":"There were two aims of the present study. The first aim was to evaluate the psychometric properties of the Metacognition Questionnaire for Children and Adolescents (MCQ-C) among Turkish children and adolescents. The second aim was to analyze relationships between metacognitive processes, anxiety, and obsessive-compulsive symptoms among Turkish children and adolescents.","author":[{"dropping-particle":"","family":"Irak","given":"Metehan","non-dropping-particle":"","parse-names":false,"suffix":""}],"container-title":"Turkish Journal of Psychiatry","id":"ITEM-1","issue":"1","issued":{"date-parts":[["2011"]]},"page":"46-52","title":"Standardization of Turkish Form of Metacognition Questionnaire for Children: The Relationships with Anxiety and Obsessive-Compulsive Symptoms","type":"article-journal","volume":"23"},"uris":["http://www.mendeley.com/documents/?uuid=cc4d49e0-e4fc-4719-ac46-355a379a4313"]}],"mendeley":{"formattedCitation":"&lt;sup&gt;[80]&lt;/sup&gt;","plainTextFormattedCitation":"[80]","previouslyFormattedCitation":"&lt;sup&gt;[80]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[78]</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0.194</w:t>
            </w:r>
            <w:r>
              <w:rPr>
                <w:rFonts w:ascii="Book Antiqua" w:hAnsi="Book Antiqua" w:cs="Arial"/>
                <w:highlight w:val="none"/>
                <w:vertAlign w:val="superscript"/>
                <w:lang w:val="de-DE"/>
              </w:rPr>
              <w:t>c</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0.412</w:t>
            </w:r>
            <w:r>
              <w:rPr>
                <w:rFonts w:ascii="Book Antiqua" w:hAnsi="Book Antiqua" w:cs="Arial"/>
                <w:highlight w:val="none"/>
                <w:vertAlign w:val="superscript"/>
                <w:lang w:val="de-DE"/>
              </w:rPr>
              <w:t>c</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Kertz and Woodruff-Borden</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{"citationItems":[{"id":"ITEM-1","itemData":{"DOI":"10.1017/S1352465812000641","ISBN":"1469-1833 (Electronic)\\r1352-4658 (Linking)","ISSN":"1352-4658","PMID":"22877861","abstract":"Background: Although worry is common in children, empirical models of worry remain largely untested in youth. A small number of studies have established preliminary links between cognitive variables and worry in children younger than 12 years old. These cognitive variables include positive and negative beliefs about worry, intolerance of uncertainty, and problem orientation. Aims: The current study examined these variables concurrently and their association with worry. We also examined the extent to which intolerance of uncertainty mediated the association between worry and beliefs about worry. Method: Eighty elementary school children aged 8 to 12 years completed a battery of self-report measures. Results: As a group, the cognitive variables significantly predicted worry scores; negative beliefs about worry was the only significant individual predictor. As a group, the four cognitive variables discriminated clinical from nonclinical levels of worry; positive beliefs about worry and intolerance of uncertainty were the only significant individual predictors. Finally, intolerance of uncertainty mediated the association between worry and both positive and negative beliefs about worry. Conclusions: Components of a cognitive model of worry are largely applicable to children. Negative beliefs about worry were associated with worry across the continuum, while intolerance of uncertainty and positive beliefs about worry were more strongly associated with clinical levels of worry. Intolerance of uncertainty accounted for a significant portion of the association between metacognition and worry and may be a particularly effective target for treatment. Further implications for conceptual models and treatment interventions are discussed.","author":[{"dropping-particle":"","family":"Kertz","given":"Sarah","non-dropping-particle":"","parse-names":false,"suffix":""},{"dropping-particle":"","family":"Woodruff-Borden","given":"Janet","non-dropping-particle":"","parse-names":false,"suffix":""}],"container-title":"Behavioural and Cognitive Psychotherapy","id":"ITEM-1","issue":"02","issued":{"date-parts":[["2013","3","9"]]},"page":"243-248","title":"The Role of Metacognition, Intolerance of Uncertainty, and Negative Problem Orientation in Children's Worry","type":"article-journal","volume":"41"},"uris":["http://www.mendeley.com/documents/?uuid=2fdc86cd-f657-41ac-9dc4-56a6fc88d014"]}],"mendeley":{"formattedCitation":"&lt;sup&gt;[77]&lt;/sup&gt;","plainTextFormattedCitation":"[77]","previouslyFormattedCitation":"&lt;sup&gt;[77]&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[75]</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0.14 (P) </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0.53</w:t>
            </w:r>
            <w:r>
              <w:rPr>
                <w:rFonts w:ascii="Book Antiqua" w:hAnsi="Book Antiqua" w:cs="Arial"/>
                <w:highlight w:val="none"/>
                <w:vertAlign w:val="superscript"/>
                <w:lang w:val="de-DE"/>
              </w:rPr>
              <w:t>c</w:t>
            </w:r>
            <w:r>
              <w:rPr>
                <w:rFonts w:ascii="Book Antiqua" w:hAnsi="Book Antiqua" w:cs="Arial"/>
                <w:highlight w:val="none"/>
                <w:lang w:val="de-DE"/>
              </w:rPr>
              <w:t xml:space="preserve"> (P)</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Laugesen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{"citationItems":[{"id":"ITEM-1","itemData":{"DOI":"10.1023/A:1021721332181","ISSN":"00910627","PMID":"12597699","abstract":"The relationship between worry and 4 cognitive variables, intolerance of uncertainty, positive beliefs about worry, negative problem orientation, and cognitive avoidance, was examined in an adolescent sample of 528 boys and girls aged 14-18. The participants completed questionnaires assessing worry, somatic anxiety symptoms, and the variables mentioned above. The results show that (a) intolerance of uncertainty, positive beliefs about worry, and negative problem orientation each account for a significant amount of variance in adolescent worry scores in the multiple regression, and (b) the discriminant function derived from the 4 variables is effective in classifying moderate and high worriers into their respective groups (72.8% correct classification). Furthermore, analyses demonstrate that intolerance of uncertainty has the strongest association with worry scores and is the most important variable in discriminating between moderate and high adolescent worriers. These results suggest that intolerance of uncertainty plays a key role in our understanding of adolescent worry.","author":[{"dropping-particle":"","family":"Laugesen","given":"Nina","non-dropping-particle":"","parse-names":false,"suffix":""},{"dropping-particle":"","family":"Dugas","given":"Michel J.","non-dropping-particle":"","parse-names":false,"suffix":""},{"dropping-particle":"","family":"Bukowski","given":"William M.","non-dropping-particle":"","parse-names":false,"suffix":""}],"container-title":"Journal of Abnormal Child Psychology","id":"ITEM-1","issue":"1","issued":{"date-parts":[["2003"]]},"page":"55-64","title":"Understanding adolescent worry: The application of a cognitive model","type":"article-journal","volume":"31"},"uris":["http://www.mendeley.com/documents/?uuid=dd7b4ffe-e8f8-494b-8862-de8f9c75fec2"]}],"mendeley":{"formattedCitation":"&lt;sup&gt;[73]&lt;/sup&gt;","plainTextFormattedCitation":"[73]","previouslyFormattedCitation":"&lt;sup&gt;[73]&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[71]</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0.37</w:t>
            </w:r>
            <w:r>
              <w:rPr>
                <w:rFonts w:ascii="Book Antiqua" w:hAnsi="Book Antiqua" w:cs="Arial"/>
                <w:highlight w:val="none"/>
                <w:vertAlign w:val="superscript"/>
                <w:lang w:val="de-DE"/>
              </w:rPr>
              <w:t xml:space="preserve">c </w:t>
            </w:r>
            <w:r>
              <w:rPr>
                <w:rFonts w:ascii="Book Antiqua" w:hAnsi="Book Antiqua" w:cs="Arial"/>
                <w:highlight w:val="none"/>
                <w:lang w:val="de-DE"/>
              </w:rPr>
              <w:t>(P)</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Lønfeldt </w:t>
            </w:r>
            <w:r>
              <w:rPr>
                <w:rFonts w:ascii="Book Antiqua" w:hAnsi="Book Antiqua" w:cs="Arial"/>
                <w:i/>
                <w:highlight w:val="none"/>
                <w:lang w:val="en-US"/>
              </w:rPr>
              <w:t>et al</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{"citationItems":[{"id":"ITEM-1","itemData":{"DOI":"10.1007/s10566-017-9396-z","ISBN":"1053-1890","ISSN":"1053-1890","abstract":"Background: Recent research suggests that adults and children with anxiety disorders have a particular set of metacognitive beliefs and strategies. Knowing whether parents' metacognitions, beliefs and behaviors are associated with their children's metacognitions is important for understanding how anxiety-related metacognitions and clinical anxiety develop. Objective: We hypothesized that there are positive relationships between mother and corresponding child anxiety-related metacognitions even after controlling for maternal depression, anxiety and stress symptoms. We also hypothesized that maternal beliefs about child anxiety and maternal controlling behavior would be positively related to child metacognitions and would account for any associations between mother and child metacognitions. Methods: The study employed a cross-sectional design in a community sample of 7-12 year old children and their mothers. Mothers and children completed questionnaires to assess anxiety-related metacognitions and an interaction task to assess mothers' overinvolvement. Mothers also completed questionnaires regarding their beliefs about child anxiety and controlling rearing behavior. We examined correlations between variables before investigating which maternal variables made unique contributions to the variation in children's metacognitions in a series of multiple regressions and mediation analyses. Results: Mothers' positive worry beliefs and cognitive confidence contributed a modest amount of unique variance in the corresponding beliefs in children. Mothers' and children's metacognitions were positively associated. Conclusions: The unique contributions of mothers' anxiety-related metacognitions on children's anxiety-related metacognitions found in our study indicate that a metacognitive-parental intervention for preventing and treating child anxiety is worth investigation. Our findings place anxious metacognitions in a developmental context. (PsycINFO Database Record (c) 2017 APA, all rights reserved)","author":[{"dropping-particle":"","family":"Lønfeldt","given":"Nicole N.","non-dropping-particle":"","parse-names":false,"suffix":""},{"dropping-particle":"","family":"Esbjørn","given":"Barbara H.","non-dropping-particle":"","parse-names":false,"suffix":""},{"dropping-particle":"","family":"Normann","given":"Nicoline","non-dropping-particle":"","parse-names":false,"suffix":""},{"dropping-particle":"","family":"Breinholst","given":"Sonja","non-dropping-particle":"","parse-names":false,"suffix":""},{"dropping-particle":"","family":"Francis","given":"Sarah E.","non-dropping-particle":"","parse-names":false,"suffix":""}],"container-title":"Child Youth Care Forum","id":"ITEM-1","issue":"4","issued":{"date-parts":[["2017","8","24"]]},"number-of-pages":"577-599","publisher":"Springer US","title":"Do Mother’s Metacognitions, Beliefs, and Behaviors Predict Child Anxiety-Related Metacognitions?","type":"book","volume":"46"},"uris":["http://www.mendeley.com/documents/?uuid=7893fe21-f209-4cb1-a938-c033f4d1f625"]}],"mendeley":{"formattedCitation":"&lt;sup&gt;[78]&lt;/sup&gt;","plainTextFormattedCitation":"[78]","previouslyFormattedCitation":"&lt;sup&gt;[78]&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[76]</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theme="minorBidi"/>
                <w:highlight w:val="none"/>
                <w:lang w:val="de-DE"/>
              </w:rPr>
              <w:t>0.31</w:t>
            </w:r>
            <w:r>
              <w:rPr>
                <w:rFonts w:ascii="Book Antiqua" w:hAnsi="Book Antiqua" w:cstheme="minorBidi"/>
                <w:highlight w:val="none"/>
                <w:vertAlign w:val="superscript"/>
                <w:lang w:val="de-DE"/>
              </w:rPr>
              <w:t>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theme="minorBidi"/>
                <w:highlight w:val="none"/>
                <w:lang w:val="de-DE"/>
              </w:rPr>
              <w:t>0.57</w:t>
            </w:r>
            <w:r>
              <w:rPr>
                <w:rFonts w:ascii="Book Antiqua" w:hAnsi="Book Antiqua" w:cstheme="minorBidi"/>
                <w:highlight w:val="none"/>
                <w:vertAlign w:val="superscript"/>
                <w:lang w:val="de-DE"/>
              </w:rPr>
              <w:t>b</w:t>
            </w:r>
          </w:p>
        </w:tc>
        <w:tc>
          <w:tcPr>
            <w:tcW w:w="0" w:type="auto"/>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0.30</w:t>
            </w:r>
            <w:r>
              <w:rPr>
                <w:rFonts w:ascii="Book Antiqua" w:hAnsi="Book Antiqua" w:cs="Arial"/>
                <w:highlight w:val="none"/>
                <w:vertAlign w:val="superscript"/>
                <w:lang w:val="de-DE"/>
              </w:rPr>
              <w:t>b</w:t>
            </w:r>
          </w:p>
        </w:tc>
        <w:tc>
          <w:tcPr>
            <w:tcW w:w="0" w:type="auto"/>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0.10 </w:t>
            </w:r>
          </w:p>
        </w:tc>
        <w:tc>
          <w:tcPr>
            <w:tcW w:w="0" w:type="auto"/>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0.06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Lønfeldt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{"citationItems":[{"id":"ITEM-1","itemData":{"DOI":"10.1007/s10826-017-0664-1","ISBN":"1062-1024","ISSN":"1062-1024","abstract":"We aimed to bring a developmental perspective to metacognitive theory. The metacognitive model (MCM) was originally developed for adults. However, an increasing number of studies demonstrate the MCM is relevant to child anxiety. Therefore, it is important to understand the origins of anxiety-specific metacognitions. Given the role experiences of controlling parenting play in maintaining and perhaps forming anxious cognitions or a cognitive vulnerability we focused on maternal behavioral and psychological control. Using a cross-sectional design, Danish school children (9-17 years old; N = 1062) rated their levels of anxiety and anxiety-specific metacognitions, and their mothers' controlling behavior. Child-perceived maternal psychological control was positively correlated with each anxiety specific metacognition (positive and negative worry beliefs, cognitive confidence, need to control, and cognitive self-consciousness). Child-perceived autonomy-granting was negatively correlated with all metacognitions except cognitive self-consciousness. Child perceived maternal psychological control was indirectly associated with anxiety via total metacognitions. Child-perceived autonomy-granting, but not psychological control, was directly related to anxiety. Given the differential findings for psychological control and autonomy-granting, we suggest that specific types of parenting behavior may be related to specific elements of (meta-) cognitive vulnerability. Our findings are theoretically important because they propose maternal psychological control is an environmental factor that may play a role in the development of a metacognitive vulnerability related to anxiety. A potential clinical implication of our findings is that metacognitive therapy for children should include a parental component. [ABSTRACT FROM AUTHOR]","author":[{"dropping-particle":"","family":"Lønfeldt","given":"Nicole N.","non-dropping-particle":"","parse-names":false,"suffix":""},{"dropping-particle":"","family":"Marin","given":"Carla E.","non-dropping-particle":"","parse-names":false,"suffix":""},{"dropping-particle":"","family":"Silverman","given":"Wendy K.","non-dropping-particle":"","parse-names":false,"suffix":""},{"dropping-particle":"","family":"Reinholdt-Dunne","given":"Marie Louise","non-dropping-particle":"","parse-names":false,"suffix":""},{"dropping-particle":"","family":"Esbjørn","given":"Barbara Hoff","non-dropping-particle":"","parse-names":false,"suffix":""}],"container-title":"Journal of Child and Family Studies","id":"ITEM-1","issue":"5","issued":{"date-parts":[["2017","5","17"]]},"page":"1398-1408","publisher":"Springer US","title":"The Role of Metacognitions in the Association between Children’s Perceptions of Maternal Control and Anxiety","type":"article-journal","volume":"26"},"uris":["http://www.mendeley.com/documents/?uuid=90ada021-59fe-4290-8e44-bb036534d0e5"]}],"mendeley":{"formattedCitation":"&lt;sup&gt;[79]&lt;/sup&gt;","plainTextFormattedCitation":"[79]","previouslyFormattedCitation":"&lt;sup&gt;[79]&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[77]</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theme="minorBidi"/>
                <w:highlight w:val="none"/>
                <w:lang w:val="de-DE"/>
              </w:rPr>
              <w:t>0.19</w:t>
            </w:r>
            <w:r>
              <w:rPr>
                <w:rFonts w:ascii="Book Antiqua" w:hAnsi="Book Antiqua" w:cstheme="minorBidi"/>
                <w:highlight w:val="none"/>
                <w:vertAlign w:val="superscript"/>
                <w:lang w:val="de-DE"/>
              </w:rPr>
              <w:t>a</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theme="minorBidi"/>
                <w:highlight w:val="none"/>
                <w:lang w:val="de-DE"/>
              </w:rPr>
              <w:t>0.58</w:t>
            </w:r>
            <w:r>
              <w:rPr>
                <w:rFonts w:ascii="Book Antiqua" w:hAnsi="Book Antiqua" w:cstheme="minorBidi"/>
                <w:highlight w:val="none"/>
                <w:vertAlign w:val="superscript"/>
                <w:lang w:val="de-DE"/>
              </w:rPr>
              <w:t>a</w:t>
            </w:r>
          </w:p>
        </w:tc>
        <w:tc>
          <w:tcPr>
            <w:tcW w:w="0" w:type="auto"/>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0.23</w:t>
            </w:r>
            <w:r>
              <w:rPr>
                <w:rFonts w:ascii="Book Antiqua" w:hAnsi="Book Antiqua" w:cs="Arial"/>
                <w:highlight w:val="none"/>
                <w:vertAlign w:val="superscript"/>
                <w:lang w:val="de-DE"/>
              </w:rPr>
              <w:t>c</w:t>
            </w:r>
          </w:p>
        </w:tc>
        <w:tc>
          <w:tcPr>
            <w:tcW w:w="0" w:type="auto"/>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-0.01 </w:t>
            </w:r>
          </w:p>
        </w:tc>
        <w:tc>
          <w:tcPr>
            <w:tcW w:w="0" w:type="auto"/>
          </w:tcPr>
          <w:p>
            <w:pPr>
              <w:adjustRightInd w:val="0"/>
              <w:snapToGrid w:val="0"/>
              <w:spacing w:before="0" w:line="360" w:lineRule="auto"/>
              <w:rPr>
                <w:rFonts w:ascii="Book Antiqua" w:hAnsi="Book Antiqua" w:cs="Arial"/>
                <w:highlight w:val="none"/>
                <w:lang w:val="de-DE"/>
              </w:rPr>
            </w:pPr>
            <w:r>
              <w:rPr>
                <w:rFonts w:ascii="Book Antiqua" w:hAnsi="Book Antiqua" w:cs="Arial"/>
                <w:color w:val="000000"/>
                <w:highlight w:val="none"/>
                <w:lang w:val="de-DE"/>
              </w:rPr>
              <w:t>-0.08</w:t>
            </w:r>
            <w:r>
              <w:rPr>
                <w:rFonts w:ascii="Book Antiqua" w:hAnsi="Book Antiqua" w:cs="Arial"/>
                <w:color w:val="000000"/>
                <w:highlight w:val="none"/>
                <w:vertAlign w:val="superscript"/>
                <w:lang w:val="de-DE"/>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Mather and Cartwright-Hatton</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10.1207/s15374424jccp3304_9","ISSN":"1537-4416","author":[{"dropping-particle":"","family":"Mather","given":"Alison","non-dropping-particle":"","parse-names":false,"suffix":""},{"dropping-particle":"","family":"Cartwright-Hatton","given":"Sam","non-dropping-particle":"","parse-names":false,"suffix":""}],"container-title":"Journal of Clinical Child &amp; Adolescent Psychology","id":"ITEM-1","issue":"4","issued":{"date-parts":[["2004","11"]]},"page":"743-749","title":"Cognitive Predictors of Obsessive–Compulsive Symptoms in Adolescence: A Preliminary Investigation","type":"article-journal","volume":"33"},"uris":["http://www.mendeley.com/documents/?uuid=7b962b15-fe43-4218-9c81-3db3d0b3c0e3"]}],"mendeley":{"formattedCitation":"&lt;sup&gt;[98]&lt;/sup&gt;","plainTextFormattedCitation":"[98]","previouslyFormattedCitation":"&lt;sup&gt;[98]&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[95]</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Matthews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{"citationItems":[{"id":"ITEM-1","itemData":{"DOI":"10.1017/S1352465806003213","ISBN":"1352-4658","ISSN":"1352-4658","abstract":"Abstract. Three influential theoretical models of OCD focus upon the cognitive factors of inflated responsibility (Salkovskis, 1985), thought-action fusion (Rachman, 1993) and meta-cognitive beliefs (Wells and Matthews, 1994).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Psychotherapy","id":"ITEM-1","issue":"02","issued":{"date-parts":[["2006","4","7"]]},"page":"149","title":"Examining Cognitive Models of Obsessive Compulsive Disorder in Adolescents","type":"article-journal","volume":"35"},"uris":["http://www.mendeley.com/documents/?uuid=e9c3438e-acb6-4991-a8dc-fb44842cad41"]}],"mendeley":{"formattedCitation":"&lt;sup&gt;[84]&lt;/sup&gt;","plainTextFormattedCitation":"[84]","previouslyFormattedCitation":"&lt;sup&gt;[84]&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[81]</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0.47</w:t>
            </w:r>
            <w:r>
              <w:rPr>
                <w:rFonts w:ascii="Book Antiqua" w:hAnsi="Book Antiqua" w:cs="Arial"/>
                <w:color w:val="000000"/>
                <w:highlight w:val="none"/>
                <w:vertAlign w:val="superscript"/>
                <w:lang w:val="de-DE"/>
              </w:rPr>
              <w:t>a</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 xml:space="preserve">-0.05 </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-0.18</w:t>
            </w:r>
            <w:r>
              <w:rPr>
                <w:rFonts w:ascii="Book Antiqua" w:hAnsi="Book Antiqua" w:cs="Arial"/>
                <w:color w:val="000000"/>
                <w:highlight w:val="none"/>
                <w:vertAlign w:val="superscript"/>
                <w:lang w:val="de-DE"/>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Naumann</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{"citationItems":[{"id":"ITEM-1","itemData":{"author":[{"dropping-particle":"","family":"Naumann","given":"Lena","non-dropping-particle":"","parse-names":false,"suffix":""}],"id":"ITEM-1","issued":{"date-parts":[["2014"]]},"publisher":"Universität zu Köln","title":"Understanding and assessing worrying - analyzing relevant psychopathological mechanisms relevant for generalized anxiety disorder across the lifespan","type":"thesis"},"uris":["http://www.mendeley.com/documents/?uuid=ae4a13b7-efc6-493d-8449-fded60dcad88"]}],"mendeley":{"formattedCitation":"&lt;sup&gt;[70]&lt;/sup&gt;","plainTextFormattedCitation":"[70]","previouslyFormattedCitation":"&lt;sup&gt;[70]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[68]</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0.20</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0.63</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0.20</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0.55</w:t>
            </w:r>
            <w:r>
              <w:rPr>
                <w:rFonts w:ascii="Book Antiqua" w:hAnsi="Book Antiqua" w:cs="Arial"/>
                <w:highlight w:val="none"/>
                <w:vertAlign w:val="superscript"/>
                <w:lang w:val="de-DE"/>
              </w:rPr>
              <w:t>b</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0.07</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color w:val="000000"/>
                <w:highlight w:val="none"/>
                <w:vertAlign w:val="superscript"/>
                <w:lang w:val="de-DE"/>
              </w:rPr>
            </w:pPr>
            <w:r>
              <w:rPr>
                <w:rFonts w:ascii="Book Antiqua" w:hAnsi="Book Antiqua" w:cs="Arial"/>
                <w:highlight w:val="none"/>
                <w:lang w:val="de-DE"/>
              </w:rPr>
              <w:t xml:space="preserve">Normann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{"citationItems":[{"id":"ITEM-1","itemData":{"DOI":"10.1007/s10608-015-9740-2","ISBN":"0147-5916","ISSN":"0147-5916","abstract":"The purpose of this study was to evaluate reductions in negative automatic thoughts and metacognitive beliefs as predictors of treatment gains in CBT for childhood anxiety disorders. A sample of 44 clinically anxious children between 7 and 12 years of age, who underwent CBT, completed questionnaires assessing negative thinking, metacognitive beliefs and processes, and anxiety symptoms before, after, and 6 months following treatment. Results indicated that negative thoughts and metacognitions decreased equally during the treatment period. Furthermore, metacognitions continued to decrease during the posttreatment period. Negative thinking and metacognitions were both significant predictors of reductions in child-reported anxiety from pre- to posttreatment. For long-term anxiety changes, only decreases in negative thoughts were related to anxiety reduction. Mediation analysis showed that metacognitions partially mediated the relation between negative thinking and anxiety. The study supports negative automatic thoughts and metacognitive beliefs and processes as putative mediators of CBT.","author":[{"dropping-particle":"","family":"Normann","given":"Nicoline","non-dropping-particle":"","parse-names":false,"suffix":""},{"dropping-particle":"","family":"Lønfeldt","given":"Nicole Nadine","non-dropping-particle":"","parse-names":false,"suffix":""},{"dropping-particle":"","family":"Reinholdt-Dunne","given":"Marie Louise","non-dropping-particle":"","parse-names":false,"suffix":""},{"dropping-particle":"","family":"Esbjørn","given":"Barbara Hoff","non-dropping-particle":"","parse-names":false,"suffix":""}],"container-title":"Cognitive Therapy and Research","id":"ITEM-1","issue":"2","issued":{"date-parts":[["2016","4","11"]]},"page":"188-197","publisher":"Springer US","title":"Negative Thoughts and Metacognitions in Anxious Children Following CBT","type":"article-journal","volume":"40"},"uris":["http://www.mendeley.com/documents/?uuid=203aad22-88c2-456c-bc22-5446e988898d"]}],"mendeley":{"formattedCitation":"&lt;sup&gt;[62]&lt;/sup&gt;","plainTextFormattedCitation":"[62]","previouslyFormattedCitation":"&lt;sup&gt;[62]&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[60]</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en-US"/>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Reinholdt-Dunne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{"citationItems":[{"id":"ITEM-1","itemData":{"DOI":"10.3389/fpsyg.2019.01205","ISSN":"1664-1078","author":[{"dropping-particle":"","family":"Reinholdt-Dunne","given":"Marie Louise","non-dropping-particle":"","parse-names":false,"suffix":""},{"dropping-particle":"","family":"Blicher","given":"Andreas","non-dropping-particle":"","parse-names":false,"suffix":""},{"dropping-particle":"","family":"Nordahl","given":"Henrik","non-dropping-particle":"","parse-names":false,"suffix":""},{"dropping-particle":"","family":"Normann","given":"Nicoline","non-dropping-particle":"","parse-names":false,"suffix":""},{"dropping-particle":"","family":"Esbjørn","given":"Barbara Hoff","non-dropping-particle":"","parse-names":false,"suffix":""},{"dropping-particle":"","family":"Wells","given":"Adrian","non-dropping-particle":"","parse-names":false,"suffix":""}],"container-title":"Frontiers in Psychology","id":"ITEM-1","issued":{"date-parts":[["2019","6","7"]]},"title":"Modeling the Relationships Between Metacognitive Beliefs, Attention Control and Symptoms in Children With and Without Anxiety Disorders: A Test of the S-REF Model","type":"article-journal","volume":"10"},"uris":["http://www.mendeley.com/documents/?uuid=c0de2654-9499-4a46-ab4b-f88d1485bc35"]}],"mendeley":{"formattedCitation":"&lt;sup&gt;[81]&lt;/sup&gt;","plainTextFormattedCitation":"[81]","previouslyFormattedCitation":"&lt;sup&gt;[81]&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[79]</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de-DE"/>
              </w:rPr>
            </w:pPr>
            <w:r>
              <w:rPr>
                <w:rFonts w:ascii="Book Antiqua" w:hAnsi="Book Antiqua" w:cs="Arial"/>
                <w:highlight w:val="none"/>
                <w:lang w:val="en-US"/>
              </w:rPr>
              <w:t>0.09</w:t>
            </w:r>
            <w:r>
              <w:rPr>
                <w:rFonts w:ascii="Book Antiqua" w:hAnsi="Book Antiqua" w:cs="Arial"/>
                <w:highlight w:val="none"/>
                <w:vertAlign w:val="superscript"/>
                <w:lang w:val="en-US"/>
              </w:rPr>
              <w:t>1</w:t>
            </w:r>
            <w:r>
              <w:rPr>
                <w:rFonts w:ascii="Book Antiqua" w:hAnsi="Book Antiqua" w:cs="Arial"/>
                <w:highlight w:val="none"/>
                <w:lang w:val="en-US"/>
              </w:rPr>
              <w:t>; 0.36</w:t>
            </w:r>
            <w:r>
              <w:rPr>
                <w:rFonts w:ascii="Book Antiqua" w:hAnsi="Book Antiqua" w:cs="Arial"/>
                <w:highlight w:val="none"/>
                <w:vertAlign w:val="superscript"/>
                <w:lang w:val="en-US"/>
              </w:rPr>
              <w:t>2,b</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de-DE"/>
              </w:rPr>
            </w:pPr>
            <w:r>
              <w:rPr>
                <w:rFonts w:ascii="Book Antiqua" w:hAnsi="Book Antiqua" w:cs="Arial"/>
                <w:highlight w:val="none"/>
                <w:lang w:val="en-US"/>
              </w:rPr>
              <w:t>0.62</w:t>
            </w:r>
            <w:r>
              <w:rPr>
                <w:rFonts w:ascii="Book Antiqua" w:hAnsi="Book Antiqua" w:cs="Arial"/>
                <w:highlight w:val="none"/>
                <w:vertAlign w:val="superscript"/>
                <w:lang w:val="en-US"/>
              </w:rPr>
              <w:t>1,b</w:t>
            </w:r>
            <w:r>
              <w:rPr>
                <w:rFonts w:ascii="Book Antiqua" w:hAnsi="Book Antiqua" w:cs="Arial"/>
                <w:highlight w:val="none"/>
                <w:lang w:val="en-US"/>
              </w:rPr>
              <w:t>; 0.68</w:t>
            </w:r>
            <w:r>
              <w:rPr>
                <w:rFonts w:ascii="Book Antiqua" w:hAnsi="Book Antiqua" w:cs="Arial"/>
                <w:highlight w:val="none"/>
                <w:vertAlign w:val="superscript"/>
                <w:lang w:val="en-US"/>
              </w:rPr>
              <w:t>2,b</w:t>
            </w:r>
          </w:p>
        </w:tc>
        <w:tc>
          <w:tcPr>
            <w:tcW w:w="0" w:type="auto"/>
          </w:tcPr>
          <w:p>
            <w:pPr>
              <w:keepLines/>
              <w:autoSpaceDE w:val="0"/>
              <w:autoSpaceDN w:val="0"/>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0.05</w:t>
            </w:r>
            <w:r>
              <w:rPr>
                <w:rFonts w:ascii="Book Antiqua" w:hAnsi="Book Antiqua" w:cs="Arial"/>
                <w:highlight w:val="none"/>
                <w:vertAlign w:val="superscript"/>
                <w:lang w:val="en-US"/>
              </w:rPr>
              <w:t>1</w:t>
            </w:r>
            <w:r>
              <w:rPr>
                <w:rFonts w:ascii="Book Antiqua" w:hAnsi="Book Antiqua" w:cs="Arial"/>
                <w:highlight w:val="none"/>
                <w:lang w:val="en-US"/>
              </w:rPr>
              <w:t>; 0.29</w:t>
            </w:r>
            <w:r>
              <w:rPr>
                <w:rFonts w:ascii="Book Antiqua" w:hAnsi="Book Antiqua" w:cs="Arial"/>
                <w:highlight w:val="none"/>
                <w:vertAlign w:val="superscript"/>
                <w:lang w:val="en-US"/>
              </w:rPr>
              <w:t>2,b</w:t>
            </w:r>
          </w:p>
        </w:tc>
        <w:tc>
          <w:tcPr>
            <w:tcW w:w="0" w:type="auto"/>
          </w:tcPr>
          <w:p>
            <w:pPr>
              <w:keepLines/>
              <w:autoSpaceDE w:val="0"/>
              <w:autoSpaceDN w:val="0"/>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0.10</w:t>
            </w:r>
            <w:r>
              <w:rPr>
                <w:rFonts w:ascii="Book Antiqua" w:hAnsi="Book Antiqua" w:cs="Arial"/>
                <w:highlight w:val="none"/>
                <w:vertAlign w:val="superscript"/>
                <w:lang w:val="en-US"/>
              </w:rPr>
              <w:t>1</w:t>
            </w:r>
            <w:r>
              <w:rPr>
                <w:rFonts w:ascii="Book Antiqua" w:hAnsi="Book Antiqua" w:cs="Arial"/>
                <w:highlight w:val="none"/>
                <w:lang w:val="en-US"/>
              </w:rPr>
              <w:t>; -0.10</w:t>
            </w:r>
            <w:r>
              <w:rPr>
                <w:rFonts w:ascii="Book Antiqua" w:hAnsi="Book Antiqua" w:cs="Arial"/>
                <w:highlight w:val="none"/>
                <w:vertAlign w:val="superscript"/>
                <w:lang w:val="en-US"/>
              </w:rPr>
              <w:t>2</w:t>
            </w:r>
          </w:p>
        </w:tc>
        <w:tc>
          <w:tcPr>
            <w:tcW w:w="0" w:type="auto"/>
          </w:tcPr>
          <w:p>
            <w:pPr>
              <w:keepLines/>
              <w:autoSpaceDE w:val="0"/>
              <w:autoSpaceDN w:val="0"/>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w:t>
            </w:r>
            <w:r>
              <w:rPr>
                <w:rFonts w:ascii="Book Antiqua" w:hAnsi="Book Antiqua" w:cs="Arial"/>
                <w:highlight w:val="none"/>
                <w:vertAlign w:val="superscript"/>
                <w:lang w:val="en-US"/>
              </w:rPr>
              <w:t>1</w:t>
            </w:r>
            <w:r>
              <w:rPr>
                <w:rFonts w:ascii="Book Antiqua" w:hAnsi="Book Antiqua" w:cs="Arial"/>
                <w:highlight w:val="none"/>
                <w:lang w:val="en-US"/>
              </w:rPr>
              <w:t>; 0</w:t>
            </w:r>
            <w:r>
              <w:rPr>
                <w:rFonts w:ascii="Book Antiqua" w:hAnsi="Book Antiqua" w:cs="Arial"/>
                <w:highlight w:val="none"/>
                <w:vertAlign w:val="superscript"/>
                <w:lang w:val="en-US"/>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Sanger and Dorjee</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{"citationItems":[{"id":"ITEM-1","itemData":{"DOI":"10.1016/j.tine.2016.01.001","ISSN":"22119493","author":[{"dropping-particle":"","family":"Sanger","given":"Kevanne Louise","non-dropping-particle":"","parse-names":false,"suffix":""},{"dropping-particle":"","family":"Dorjee","given":"Dusana","non-dropping-particle":"","parse-names":false,"suffix":""}],"container-title":"Trends in Neuroscience and Education","id":"ITEM-1","issue":"1","issued":{"date-parts":[["2016","3"]]},"page":"1-11","title":"Mindfulness training with adolescents enhances metacognition and the inhibition of irrelevant stimuli: Evidence from event-related brain potentials","type":"article-journal","volume":"5"},"uris":["http://www.mendeley.com/documents/?uuid=098c579d-a2a8-49be-aa51-344034c737f7"]}],"mendeley":{"formattedCitation":"&lt;sup&gt;[63]&lt;/sup&gt;","plainTextFormattedCitation":"[63]","previouslyFormattedCitation":"&lt;sup&gt;[63]&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[61]</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Simons and Vloet</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{"citationItems":[{"id":"ITEM-1","itemData":{"DOI":"10.1024/1422-4917/a000464","ISSN":"1422-4917","abstract":"Abstract. Objective: Emetophobia is the specific fear of vomiting that usually commences during childhood and adolescence. Cognitive behavioral therapy aims to expose patients to vomiting. In this paper, a newly developed metacognitive concept and treatment approach to this disorder is illustrated within a small case series. Method: Three adolescent girls with emetophobia were treated with metacognitive therapy (MCT). Measures of anxiety, worry, depression, and metacognitions before and after the treatment were documented. Results: All patients recovered during the course of 8 to 11 sessions, and measurements of anxiety, worry, depression, and metacognitions dropped markedly. Conclusions: MCT presents a valuable treatment option for emetophobia in adolescents.","author":[{"dropping-particle":"","family":"Simons","given":"Michael","non-dropping-particle":"","parse-names":false,"suffix":""},{"dropping-particle":"","family":"Vloet","given":"Timo Daniel","non-dropping-particle":"","parse-names":false,"suffix":""}],"container-title":"Zeitschrift für Kinder- und Jugendpsychiatrie und Psychotherapie","id":"ITEM-1","issue":"1","issued":{"date-parts":[["2018","1","1"]]},"page":"57-66","title":"Emetophobia – A Metacognitive Therapeutic Approach for an Overlooked Disorder","type":"article-journal","volume":"46"},"uris":["http://www.mendeley.com/documents/?uuid=c4c8cc83-24c6-46ad-88d8-2fd64ccce1a3"]}],"mendeley":{"formattedCitation":"&lt;sup&gt;[64]&lt;/sup&gt;","plainTextFormattedCitation":"[64]","previouslyFormattedCitation":"&lt;sup&gt;[64]&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[62]</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Smith and Hudson</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{"citationItems":[{"id":"ITEM-1","itemData":{"DOI":"10.1080/15374416.2012.755925","ISBN":"1537-4424\\n1537-4416","ISSN":"1537-4416","PMID":"23356384","abstract":"Recent research has explored the role of metacognitive beliefs and processes in clinical anxiety in youth. The aim of this study was to examine the relationship between metacognitions and anxiety in 7- to 12-year-old children with and without clinical anxiety disorders. A secondary aim of the study was to investigate the psychometric properties of the recently developed Metacognitions Questionnaire for Children (MCQ-C). The sample consisted of 83 children (60.2% female; Oceanian 71.1%), comprising 49 children with anxiety disorders and 34 nonclinical children. All children completed self-report measures of anxiety, emotional difficulties, and metacognitions. A subsample of 7- to 8-year-old participants was used to explore whether young children could wholly comprehend all items on the MCQ-C. Positive and negative metacognitive beliefs and cognitive monitoring were significantly correlated with anxiety and emotional difficulties. Clinical children endorsed significantly more negative and more positive metacognitive beliefs than nonclinical children. Each subscale of the MCQ-C had poor internal consistency. Support for the criterion and convergent validity of the MCQ-C was found. The results suggest that certain metacognitions play a role in clinical anxiety in children but that psychometrically and developmentally validated measures of these concepts in younger individuals are needed.","author":[{"dropping-particle":"","family":"Smith","given":"Karen E.","non-dropping-particle":"","parse-names":false,"suffix":""},{"dropping-particle":"","family":"Hudson","given":"Jennifer L.","non-dropping-particle":"","parse-names":false,"suffix":""}],"container-title":"Journal of Clinical Child &amp; Adolescent Psychology","id":"ITEM-1","issue":"5","issued":{"date-parts":[["2013","9"]]},"page":"590-602","title":"Metacognitive Beliefs and Processes in Clinical Anxiety in Children","type":"article-journal","volume":"42"},"uris":["http://www.mendeley.com/documents/?uuid=28500dfd-d27a-46ab-ba67-518985894e5b"]}],"mendeley":{"formattedCitation":"&lt;sup&gt;[53]&lt;/sup&gt;","plainTextFormattedCitation":"[53]","previouslyFormattedCitation":"&lt;sup&gt;[53]&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[52]</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0.30</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0.47</w:t>
            </w:r>
            <w:r>
              <w:rPr>
                <w:rFonts w:ascii="Book Antiqua" w:hAnsi="Book Antiqua" w:cs="Arial"/>
                <w:highlight w:val="none"/>
                <w:vertAlign w:val="superscript"/>
                <w:lang w:val="de-DE"/>
              </w:rPr>
              <w:t>b</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0.36</w:t>
            </w:r>
            <w:r>
              <w:rPr>
                <w:rFonts w:ascii="Book Antiqua" w:hAnsi="Book Antiqua" w:cs="Arial"/>
                <w:color w:val="000000"/>
                <w:highlight w:val="none"/>
                <w:vertAlign w:val="superscript"/>
                <w:lang w:val="de-DE"/>
              </w:rPr>
              <w:t>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Thorslund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10.1002/jclp.22914","ISSN":"0021-9762","author":[{"dropping-particle":"","family":"Thorslund","given":"Johanna","non-dropping-particle":"","parse-names":false,"suffix":""},{"dropping-particle":"","family":"McEvoy","given":"Peter M.","non-dropping-particle":"","parse-names":false,"suffix":""},{"dropping-particle":"","family":"Anderson","given":"Rebecca A.","non-dropping-particle":"","parse-names":false,"suffix":""}],"container-title":"Journal of Clinical Psychology","id":"ITEM-1","issue":"4","issued":{"date-parts":[["2020","4","9"]]},"page":"625-645","title":"Group metacognitive therapy for adolescents with anxiety and depressive disorders: A pilot study","type":"article-journal","volume":"76"},"uris":["http://www.mendeley.com/documents/?uuid=1774da06-ff48-4b04-8d8f-cfd0902e6f6b"]}],"mendeley":{"formattedCitation":"&lt;sup&gt;[65]&lt;/sup&gt;","plainTextFormattedCitation":"[65]","previouslyFormattedCitation":"&lt;sup&gt;[65]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[63]</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highlight w:val="none"/>
                <w:lang w:val="en-US"/>
              </w:rPr>
              <w:t>-</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White and Hudson</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{"citationItems":[{"id":"ITEM-1","itemData":{"DOI":"10.1007/s10608-015-9725-1","ISBN":"0147-5916","ISSN":"0147-5916","abstract":"Recent research has extended the metacognitive model of adult psychopathology to childhood anxiety, however the results have been confounded by poor comprehension of the Metacognitions Questionnaire for Children (MCQ-C) amongst 7–8 year olds. The aim of this study was to improve comprehension of the MCQ-C, to enable reliable and valid evaluation of the metacognitive model of anxiety in children. Poorly comprehended items of the MCQ-C were revised to the appropriate reading level and pilot tested with 7–8 year olds. One hundred and eighty seven children aged 7–12 years then completed an online version of the revised MCQ-C (MCQ-CR) and self-report measures of anxiety symptoms, excessive worry and externalising thoughts. The MCQ-CR was well understood by children as young as 7 years and exhibited sound psychometric properties. As predicted, children’s negative beliefs about worry, thoughts in general and memories were found to be significantly positively related to symptoms of anxiety disorders. Confirmatory factor analysis supported the construct validity of the scale. Positive beliefs about worry were not associated with children’s worry levels, raising questions about the relevance of this element of the metacognitive model with children. Although further validation is required with a clinical sample, these results provide support for the integral role played by metacognitions in childhood anxiety disorders, and suggest that these mechanisms may be appropriate targets for future early intervention and treatment programs. (PsycINFO Database Record (c) 2016 APA, all rights reserved). (journal abstract)","author":[{"dropping-particle":"","family":"White","given":"Julia A.","non-dropping-particle":"","parse-names":false,"suffix":""},{"dropping-particle":"","family":"Hudson","given":"Jennifer L.","non-dropping-particle":"","parse-names":false,"suffix":""}],"container-title":"Cognitive Therapy and Research","id":"ITEM-1","issue":"1","issued":{"date-parts":[["2016","2","25"]]},"page":"92-106","publisher":"Springer US","title":"The Metacognitive Model of Anxiety in Children: Towards a Reliable and Valid Measure","type":"article-journal","volume":"40"},"uris":["http://www.mendeley.com/documents/?uuid=fcf36f4a-fbd2-4b9c-9fd5-ffe4cda02bf6"]}],"mendeley":{"formattedCitation":"&lt;sup&gt;[30]&lt;/sup&gt;","plainTextFormattedCitation":"[30]","previouslyFormattedCitation":"&lt;sup&gt;[30]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[30]</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0.08 </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theme="minorBidi"/>
                <w:highlight w:val="none"/>
                <w:lang w:val="de-DE"/>
              </w:rPr>
              <w:t>0.65</w:t>
            </w:r>
            <w:r>
              <w:rPr>
                <w:rFonts w:ascii="Book Antiqua" w:hAnsi="Book Antiqua" w:cstheme="minorBidi"/>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0.20</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0.56</w:t>
            </w:r>
            <w:r>
              <w:rPr>
                <w:rFonts w:ascii="Book Antiqua" w:hAnsi="Book Antiqua" w:cs="Arial"/>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0.27</w:t>
            </w:r>
            <w:r>
              <w:rPr>
                <w:rFonts w:ascii="Book Antiqua" w:hAnsi="Book Antiqua" w:cs="Arial"/>
                <w:highlight w:val="none"/>
                <w:vertAlign w:val="superscript"/>
                <w:lang w:val="de-DE"/>
              </w:rPr>
              <w:t>a</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0.06 </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0.07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Wilson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{"citationItems":[{"id":"ITEM-1","itemData":{"DOI":"10.1016/j.janxdis.2010.08.005","ISBN":"0887-6185","ISSN":"08876185","PMID":"20828983","abstract":"In the meta-cognitive model of worry, positive, and negative beliefs about worry interact to make worry problematic. These beliefs have been found to be associated with anxiety in adolescents, but it is unknown whether they are associated with worry. Furthermore, it may be via cognitive mechanisms such as these, or directly through behavior, that parents influence their child's worry. The current study aimed to explore whether adolescent meta-cognition and parenting behaviors and meta-cognitions were associated with adolescent worry. Results indicated that meta-cognitions were specifically associated with worry in adolescents, but there was little evidence that parenting was. Parental worry on the other hand was associated with both parent and child reported parenting. It is concluded that the meta-cognitive model of worry may be relevant in adolescents, but that further research is required to explore how parents influence adolescent worry. © 2010 Elsevier Ltd.","author":[{"dropping-particle":"","family":"Wilson","given":"Charlotte","non-dropping-particle":"","parse-names":false,"suffix":""},{"dropping-particle":"","family":"Budd","given":"Bob","non-dropping-particle":"","parse-names":false,"suffix":""},{"dropping-particle":"","family":"Chernin","given":"Ross","non-dropping-particle":"","parse-names":false,"suffix":""},{"dropping-particle":"","family":"King","given":"Heidi","non-dropping-particle":"","parse-names":false,"suffix":""},{"dropping-particle":"","family":"Leddy","given":"Adrian","non-dropping-particle":"","parse-names":false,"suffix":""},{"dropping-particle":"","family":"Maclennan","given":"Frances","non-dropping-particle":"","parse-names":false,"suffix":""},{"dropping-particle":"","family":"Mallandain","given":"Ian","non-dropping-particle":"","parse-names":false,"suffix":""}],"container-title":"Journal of Anxiety Disorders","id":"ITEM-1","issue":"1","issued":{"date-parts":[["2011","1"]]},"page":"71-79","publisher":"Elsevier Ltd","title":"The role of meta-cognition and parenting in adolescent worry","type":"article-journal","volume":"25"},"uris":["http://www.mendeley.com/documents/?uuid=fe15a6eb-a230-4b72-be9c-5b43f6d8c7a4"]}],"mendeley":{"formattedCitation":"&lt;sup&gt;[85]&lt;/sup&gt;","plainTextFormattedCitation":"[85]","previouslyFormattedCitation":"&lt;sup&gt;[85]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[82]</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0.35</w:t>
            </w:r>
            <w:r>
              <w:rPr>
                <w:rFonts w:ascii="Book Antiqua" w:hAnsi="Book Antiqua" w:cs="Arial"/>
                <w:highlight w:val="none"/>
                <w:vertAlign w:val="superscript"/>
                <w:lang w:val="de-DE"/>
              </w:rPr>
              <w:t>b</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theme="minorBidi"/>
                <w:highlight w:val="none"/>
                <w:lang w:val="de-DE"/>
              </w:rPr>
              <w:t>0.74</w:t>
            </w:r>
            <w:r>
              <w:rPr>
                <w:rFonts w:ascii="Book Antiqua" w:hAnsi="Book Antiqua" w:cstheme="minorBidi"/>
                <w:highlight w:val="none"/>
                <w:vertAlign w:val="superscript"/>
                <w:lang w:val="de-DE"/>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0.19 </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0.51</w:t>
            </w:r>
            <w:r>
              <w:rPr>
                <w:rFonts w:ascii="Book Antiqua" w:hAnsi="Book Antiqua" w:cs="Arial"/>
                <w:highlight w:val="none"/>
                <w:vertAlign w:val="superscript"/>
                <w:lang w:val="de-DE"/>
              </w:rPr>
              <w:t>a</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NA</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&lt; 0.16 </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&lt; 0.16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Wilson and Hall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{"citationItems":[{"id":"ITEM-1","itemData":{"DOI":"10.1017/S135246581200001X","ISBN":"1469-1833","ISSN":"13524658","PMID":"22380705","abstract":"BACKGROUND: The perceived control of intrusive thoughts is important in our understanding of a variety of psychological disorders, but particularly in Obsessive Compulsive Disorder (OCD). Little research has explored thought control strategies in younger populations, despite the frequent onset of OCD in childhood.\\n\\nAIMS: This study examined thought control strategies and meta-cognitive beliefs in relation to Obsessive Compulsive (OC) interference scores in an adolescent sample.\\n\\nMETHOD: A non-referred sample of 151 adolescents aged 13-16 completed the Thought Control Questionnaire, the Meta-Cognitions Questionnaire - Adolescent version, and the Leyton Obsessional Inventory - Child Version.\\n\\nRESULTS: Adolescents reported using distraction and worry as thought control strategies as much as adults, but social control and reappraisal less frequently, with adolescent males also reporting less use of punishment as a strategy. The strategies of worry and punishment, and positive beliefs about worry, uncontrollability and danger beliefs (UCD) and superstition punishment and responsibility beliefs (SPR) predicted OC interference scores. Furthermore, these meta-cognitive beliefs mediated the relationships between punishment and worry and OC interference scores.\\n\\nCONCLUSIONS: Given the similarities between our results and those from research exploring these variables in adults, it is proposed that cognitive behavioural models of OCD that have been developed in adult populations may be relevant to adolescents, but that meta-cognitive beliefs about superstition, punishment and responsibility may be important in adolescence.","author":[{"dropping-particle":"","family":"Wilson","given":"Charlotte","non-dropping-particle":"","parse-names":false,"suffix":""},{"dropping-particle":"","family":"Hall","given":"Martin","non-dropping-particle":"","parse-names":false,"suffix":""}],"container-title":"Behavioural and Cognitive Psychotherapy","id":"ITEM-1","issue":"4","issued":{"date-parts":[["2012","7","2"]]},"page":"438-451","title":"Thought control strategies in adolescents: Links with OCD symptoms and meta-cognitive beliefs","type":"article-journal","volume":"40"},"uris":["http://www.mendeley.com/documents/?uuid=17ff28b8-621b-42ec-bfa5-a0dbcf64fa96"]}],"mendeley":{"formattedCitation":"&lt;sup&gt;[71]&lt;/sup&gt;","plainTextFormattedCitation":"[71]","previouslyFormattedCitation":"&lt;sup&gt;[71]&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[69]</w:t>
            </w:r>
            <w:r>
              <w:rPr>
                <w:rFonts w:ascii="Book Antiqua" w:hAnsi="Book Antiqua" w:cs="Arial"/>
                <w:highlight w:val="none"/>
                <w:lang w:val="de-DE"/>
              </w:rPr>
              <w:fldChar w:fldCharType="end"/>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0.33</w:t>
            </w:r>
            <w:r>
              <w:rPr>
                <w:rFonts w:ascii="Book Antiqua" w:hAnsi="Book Antiqua" w:cs="Arial"/>
                <w:highlight w:val="none"/>
                <w:vertAlign w:val="superscript"/>
                <w:lang w:val="de-DE"/>
              </w:rPr>
              <w:t>c</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theme="minorBidi"/>
                <w:highlight w:val="none"/>
                <w:lang w:val="de-DE"/>
              </w:rPr>
              <w:t>0.51</w:t>
            </w:r>
            <w:r>
              <w:rPr>
                <w:rFonts w:ascii="Book Antiqua" w:hAnsi="Book Antiqua" w:cstheme="minorBidi"/>
                <w:highlight w:val="none"/>
                <w:vertAlign w:val="superscript"/>
                <w:lang w:val="de-DE"/>
              </w:rPr>
              <w:t>c</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0.29</w:t>
            </w:r>
            <w:r>
              <w:rPr>
                <w:rFonts w:ascii="Book Antiqua" w:hAnsi="Book Antiqua" w:cs="Arial"/>
                <w:color w:val="000000"/>
                <w:highlight w:val="none"/>
                <w:vertAlign w:val="superscript"/>
                <w:lang w:val="de-DE"/>
              </w:rPr>
              <w:t>c</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Wilson and Hughes</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{"citationItems":[{"id":"ITEM-1","itemData":{"DOI":"10.1017/S1352465811000269","ISBN":"1469-1833 (Electronic)\\r1352-4658 (Linking)","ISSN":"1352-4658","PMID":"21878136","abstract":"BACKGROUND: Childhood worry is common, and yet little is known about why some children develop pathological worry and others do not. Two theories of adult worry that are particularly relevant to children are Davey's problem-solving model in which perseverative worry occurs as a result of thwarted problem-solving attempts, and Wells' metacognitive model, in which positive and negative beliefs about worry interact to produce pathological worry. AIMS: The present study aimed to test hypotheses that levels of worry in young children are associated with poor or avoidant solution generation for social problems, and poor problem-solving confidence. It also aimed to explore beliefs about worry in this age group, and to examine their relationships with worry, anxiety and age. METHOD: Fifty-seven young children (6-10 years) responded to open ended questions about social problem-solving situations and beliefs about worry, and completed measures of worry, anxiety and problem-solving confidence. Results: Children with higher levels of worry and anxiety reported using more avoidant solutions in social problem situations and children's low confidence in problem solving was associated with high levels of worry. Children as young as 6 years old reported both positive and negative beliefs about worry, but neither were associated with age, gender, or level of anxiety or worry. CONCLUSIONS: Results indicate similarities between adults and children in the relationships between problem-solving variables and worry, but not in relationships between beliefs about worry and worry. This may be due to developmental factors, or may be the result of measurement issues.","author":[{"dropping-particle":"","family":"Wilson","given":"Charlotte","non-dropping-particle":"","parse-names":false,"suffix":""},{"dropping-particle":"","family":"Hughes","given":"Claire","non-dropping-particle":"","parse-names":false,"suffix":""}],"container-title":"Behavioural and Cognitive Psychotherapy","id":"ITEM-1","issue":"05","issued":{"date-parts":[["2011","10","8"]]},"page":"507-521","title":"Worry, Beliefs about Worry and Problem Solving in Young Children","type":"article-journal","volume":"39"},"uris":["http://www.mendeley.com/documents/?uuid=1e92d911-9bb1-4498-ae49-edebfa27d194"]}],"mendeley":{"formattedCitation":"&lt;sup&gt;[72]&lt;/sup&gt;","plainTextFormattedCitation":"[72]","previouslyFormattedCitation":"&lt;sup&gt;[72]&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[70]</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tabs>
                <w:tab w:val="left" w:pos="741"/>
              </w:tabs>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Yavuz </w:t>
            </w:r>
            <w:r>
              <w:rPr>
                <w:rFonts w:ascii="Book Antiqua" w:hAnsi="Book Antiqua" w:cs="Arial"/>
                <w:i/>
                <w:highlight w:val="none"/>
                <w:lang w:val="de-DE"/>
              </w:rPr>
              <w:t>et al</w:t>
            </w:r>
            <w:r>
              <w:rPr>
                <w:rFonts w:ascii="Book Antiqua" w:hAnsi="Book Antiqua" w:cs="Arial"/>
                <w:i/>
                <w:highlight w:val="none"/>
                <w:lang w:val="de-DE"/>
              </w:rPr>
              <w:fldChar w:fldCharType="begin" w:fldLock="1"/>
            </w:r>
            <w:r>
              <w:rPr>
                <w:rFonts w:ascii="Book Antiqua" w:hAnsi="Book Antiqua" w:cs="Arial"/>
                <w:i/>
                <w:highlight w:val="none"/>
                <w:lang w:val="de-DE"/>
              </w:rPr>
              <w:instrText xml:space="preserve">ADDIN CSL_CITATION {"citationItems":[{"id":"ITEM-1","itemData":{"DOI":"10.24953/turkjped.2019.03.005","ISSN":"0041-4301","author":[{"dropping-particle":"","family":"Yavuz","given":"Mesut","non-dropping-particle":"","parse-names":false,"suffix":""},{"dropping-particle":"","family":"Altan","given":"Beyza","non-dropping-particle":"","parse-names":false,"suffix":""},{"dropping-particle":"","family":"Bayrak","given":"Büşra","non-dropping-particle":"","parse-names":false,"suffix":""},{"dropping-particle":"","family":"Gündüz","given":"Merve","non-dropping-particle":"","parse-names":false,"suffix":""},{"dropping-particle":"","family":"Bolat","given":"Nurullah","non-dropping-particle":"","parse-names":false,"suffix":""}],"container-title":"The Turkish Journal of Pediatrics","id":"ITEM-1","issue":"3","issued":{"date-parts":[["2019"]]},"page":"345","title":"The relationships between nomophobia, alexithymia and metacognitive problems in an adolescent population","type":"article-journal","volume":"61"},"uris":["http://www.mendeley.com/documents/?uuid=e405eda3-f2f8-4e7a-9128-4ef60713962e","http://www.mendeley.com/documents/?uuid=3bdce442-2e93-4bb1-8b00-31987ef3c6ed"]}],"mendeley":{"formattedCitation":"&lt;sup&gt;[99]&lt;/sup&gt;","plainTextFormattedCitation":"[99]","previouslyFormattedCitation":"&lt;sup&gt;[99]&lt;/sup&gt;"},"properties":{"noteIndex":0},"schema":"https://github.com/citation-style-language/schema/raw/master/csl-citation.json"}</w:instrText>
            </w:r>
            <w:r>
              <w:rPr>
                <w:rFonts w:ascii="Book Antiqua" w:hAnsi="Book Antiqua" w:cs="Arial"/>
                <w:i/>
                <w:highlight w:val="none"/>
                <w:lang w:val="de-DE"/>
              </w:rPr>
              <w:fldChar w:fldCharType="separate"/>
            </w:r>
            <w:r>
              <w:rPr>
                <w:rFonts w:ascii="Book Antiqua" w:hAnsi="Book Antiqua" w:cs="Arial"/>
                <w:highlight w:val="none"/>
                <w:vertAlign w:val="superscript"/>
                <w:lang w:val="de-DE"/>
              </w:rPr>
              <w:t>[96]</w:t>
            </w:r>
            <w:r>
              <w:rPr>
                <w:rFonts w:ascii="Book Antiqua" w:hAnsi="Book Antiqua" w:cs="Arial"/>
                <w:i/>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highlight w:val="none"/>
                <w:lang w:val="en-US"/>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Arial"/>
                <w:color w:val="000000"/>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9" w:hRule="atLeast"/>
          <w:jc w:val="center"/>
        </w:trPr>
        <w:tc>
          <w:tcPr>
            <w:tcW w:w="0" w:type="auto"/>
          </w:tcPr>
          <w:p>
            <w:pPr>
              <w:keepLines/>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Zimmermann </w:t>
            </w:r>
            <w:r>
              <w:rPr>
                <w:rFonts w:ascii="Book Antiqua" w:hAnsi="Book Antiqua" w:cs="Arial"/>
                <w:i/>
                <w:highlight w:val="none"/>
                <w:lang w:val="de-DE"/>
              </w:rPr>
              <w:t>et al</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10.1026/1616-3443/a000492","author":[{"dropping-particle":"","family":"Zimmermann","given":"Marie","non-dropping-particle":"","parse-names":false,"suffix":""},{"dropping-particle":"","family":"Glemser","given":"Maximilian","non-dropping-particle":"","parse-names":false,"suffix":""},{"dropping-particle":"","family":"Ertle","given":"Andrea","non-dropping-particle":"","parse-names":false,"suffix":""}],"container-title":"Zeitschrift fur Kinder- und Jugendpsychiatrie und Psychotherapie","id":"ITEM-1","issue":"4","issued":{"date-parts":[["2018"]]},"page":"264-273","title":"Dysfunktionale Metakognitionen im Jugendalter: Psychometrische Evaluation einer deutschsprachigen Version des Meta-cognitions Questionaire - Adolescent Version (MCQ-A)","type":"article-journal","volume":"47"},"uris":["http://www.mendeley.com/documents/?uuid=12213f39-d9ca-41ff-aee8-4b080cbe4fa0"]}],"mendeley":{"formattedCitation":"&lt;sup&gt;[55]&lt;/sup&gt;","plainTextFormattedCitation":"[55]","previouslyFormattedCitation":"&lt;sup&gt;[55]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[54]</w:t>
            </w:r>
            <w:r>
              <w:rPr>
                <w:rFonts w:ascii="Book Antiqua" w:hAnsi="Book Antiqua" w:cs="Arial"/>
                <w:highlight w:val="none"/>
                <w:lang w:val="de-DE"/>
              </w:rPr>
              <w:fldChar w:fldCharType="end"/>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adjustRightInd w:val="0"/>
              <w:snapToGrid w:val="0"/>
              <w:spacing w:before="0" w:line="360" w:lineRule="auto"/>
              <w:rPr>
                <w:rFonts w:ascii="Book Antiqua" w:hAnsi="Book Antiqua" w:cstheme="minorBidi"/>
                <w:highlight w:val="none"/>
                <w:lang w:val="de-DE"/>
              </w:rPr>
            </w:pPr>
            <w:r>
              <w:rPr>
                <w:rFonts w:ascii="Book Antiqua" w:hAnsi="Book Antiqua" w:cs="Arial"/>
                <w:color w:val="000000"/>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0.22</w:t>
            </w:r>
            <w:r>
              <w:rPr>
                <w:rFonts w:ascii="Book Antiqua" w:hAnsi="Book Antiqua" w:cs="Arial"/>
                <w:iCs/>
                <w:highlight w:val="none"/>
                <w:vertAlign w:val="superscript"/>
                <w:lang w:val="en-US"/>
              </w:rPr>
              <w:t>b</w:t>
            </w:r>
          </w:p>
        </w:tc>
        <w:tc>
          <w:tcPr>
            <w:tcW w:w="0" w:type="auto"/>
          </w:tcPr>
          <w:p>
            <w:pPr>
              <w:keepLines/>
              <w:autoSpaceDE w:val="0"/>
              <w:autoSpaceDN w:val="0"/>
              <w:adjustRightInd w:val="0"/>
              <w:snapToGrid w:val="0"/>
              <w:spacing w:before="0" w:line="360" w:lineRule="auto"/>
              <w:rPr>
                <w:rFonts w:ascii="Book Antiqua" w:hAnsi="Book Antiqua" w:cs="Arial"/>
                <w:iCs/>
                <w:highlight w:val="none"/>
                <w:lang w:val="en-US"/>
              </w:rPr>
            </w:pPr>
            <w:r>
              <w:rPr>
                <w:rFonts w:ascii="Book Antiqua" w:hAnsi="Book Antiqua" w:cs="Arial"/>
                <w:iCs/>
                <w:highlight w:val="none"/>
                <w:lang w:val="en-US"/>
              </w:rPr>
              <w:t>0.57</w:t>
            </w:r>
            <w:r>
              <w:rPr>
                <w:rFonts w:ascii="Book Antiqua" w:hAnsi="Book Antiqua" w:cs="Arial"/>
                <w:iCs/>
                <w:highlight w:val="none"/>
                <w:vertAlign w:val="superscript"/>
                <w:lang w:val="en-US"/>
              </w:rPr>
              <w:t>b</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0.16</w:t>
            </w:r>
            <w:r>
              <w:rPr>
                <w:rFonts w:ascii="Book Antiqua" w:hAnsi="Book Antiqua" w:cs="Arial"/>
                <w:highlight w:val="none"/>
                <w:vertAlign w:val="superscript"/>
                <w:lang w:val="de-DE"/>
              </w:rPr>
              <w:t>a</w:t>
            </w:r>
          </w:p>
        </w:tc>
        <w:tc>
          <w:tcPr>
            <w:tcW w:w="0" w:type="auto"/>
          </w:tcPr>
          <w:p>
            <w:pPr>
              <w:keepLines/>
              <w:autoSpaceDE w:val="0"/>
              <w:autoSpaceDN w:val="0"/>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0.12 </w:t>
            </w:r>
          </w:p>
        </w:tc>
      </w:tr>
    </w:tbl>
    <w:p>
      <w:pPr>
        <w:adjustRightInd w:val="0"/>
        <w:snapToGrid w:val="0"/>
        <w:spacing w:line="360" w:lineRule="auto"/>
        <w:rPr>
          <w:rFonts w:ascii="Book Antiqua" w:hAnsi="Book Antiqua" w:cs="Arial"/>
          <w:highlight w:val="none"/>
        </w:rPr>
      </w:pPr>
      <w:r>
        <w:rPr>
          <w:rFonts w:ascii="Book Antiqua" w:hAnsi="Book Antiqua" w:cs="Arial"/>
          <w:highlight w:val="none"/>
          <w:vertAlign w:val="superscript"/>
        </w:rPr>
        <w:t>1</w:t>
      </w:r>
      <w:r>
        <w:rPr>
          <w:rFonts w:ascii="Book Antiqua" w:hAnsi="Book Antiqua" w:cs="Arial"/>
          <w:highlight w:val="none"/>
        </w:rPr>
        <w:t xml:space="preserve">Clinical group. </w:t>
      </w:r>
    </w:p>
    <w:p>
      <w:pPr>
        <w:adjustRightInd w:val="0"/>
        <w:snapToGrid w:val="0"/>
        <w:spacing w:line="360" w:lineRule="auto"/>
        <w:rPr>
          <w:rFonts w:ascii="Book Antiqua" w:hAnsi="Book Antiqua" w:cs="Arial"/>
          <w:highlight w:val="none"/>
        </w:rPr>
      </w:pPr>
      <w:r>
        <w:rPr>
          <w:rFonts w:ascii="Book Antiqua" w:hAnsi="Book Antiqua" w:cs="Arial"/>
          <w:highlight w:val="none"/>
          <w:vertAlign w:val="superscript"/>
        </w:rPr>
        <w:t>2</w:t>
      </w:r>
      <w:r>
        <w:rPr>
          <w:rFonts w:ascii="Book Antiqua" w:hAnsi="Book Antiqua" w:cs="Arial"/>
          <w:highlight w:val="none"/>
        </w:rPr>
        <w:t xml:space="preserve">Non-clinical group. </w:t>
      </w:r>
    </w:p>
    <w:p>
      <w:pPr>
        <w:adjustRightInd w:val="0"/>
        <w:snapToGrid w:val="0"/>
        <w:spacing w:line="360" w:lineRule="auto"/>
        <w:rPr>
          <w:rFonts w:ascii="Book Antiqua" w:hAnsi="Book Antiqua" w:cs="Arial"/>
          <w:highlight w:val="none"/>
        </w:rPr>
      </w:pPr>
      <w:r>
        <w:rPr>
          <w:rFonts w:ascii="Book Antiqua" w:hAnsi="Book Antiqua" w:cs="Arial"/>
          <w:highlight w:val="none"/>
          <w:vertAlign w:val="superscript"/>
        </w:rPr>
        <w:t>3</w:t>
      </w:r>
      <w:r>
        <w:rPr>
          <w:rFonts w:ascii="Book Antiqua" w:hAnsi="Book Antiqua" w:cs="Arial"/>
          <w:highlight w:val="none"/>
        </w:rPr>
        <w:t xml:space="preserve">Female subsample. </w:t>
      </w:r>
    </w:p>
    <w:p>
      <w:pPr>
        <w:adjustRightInd w:val="0"/>
        <w:snapToGrid w:val="0"/>
        <w:spacing w:line="360" w:lineRule="auto"/>
        <w:rPr>
          <w:rFonts w:ascii="Book Antiqua" w:hAnsi="Book Antiqua" w:cs="Arial"/>
          <w:highlight w:val="none"/>
        </w:rPr>
      </w:pPr>
      <w:r>
        <w:rPr>
          <w:rFonts w:ascii="Book Antiqua" w:hAnsi="Book Antiqua" w:cs="Arial"/>
          <w:highlight w:val="none"/>
          <w:vertAlign w:val="superscript"/>
        </w:rPr>
        <w:t>4</w:t>
      </w:r>
      <w:r>
        <w:rPr>
          <w:rFonts w:ascii="Book Antiqua" w:hAnsi="Book Antiqua" w:cs="Arial"/>
          <w:highlight w:val="none"/>
        </w:rPr>
        <w:t xml:space="preserve">Male subsample. </w:t>
      </w:r>
    </w:p>
    <w:p>
      <w:pPr>
        <w:adjustRightInd w:val="0"/>
        <w:snapToGrid w:val="0"/>
        <w:spacing w:line="360" w:lineRule="auto"/>
        <w:rPr>
          <w:rFonts w:ascii="Book Antiqua" w:hAnsi="Book Antiqua" w:cs="Arial"/>
          <w:highlight w:val="none"/>
        </w:rPr>
      </w:pPr>
      <w:r>
        <w:rPr>
          <w:rFonts w:ascii="Book Antiqua" w:hAnsi="Book Antiqua" w:cs="Arial"/>
          <w:highlight w:val="none"/>
          <w:vertAlign w:val="superscript"/>
        </w:rPr>
        <w:t>a</w:t>
      </w:r>
      <w:r>
        <w:rPr>
          <w:rFonts w:ascii="Book Antiqua" w:hAnsi="Book Antiqua" w:cs="Arial"/>
          <w:i/>
          <w:highlight w:val="none"/>
        </w:rPr>
        <w:t>P</w:t>
      </w:r>
      <w:r>
        <w:rPr>
          <w:rFonts w:ascii="Book Antiqua" w:hAnsi="Book Antiqua" w:cs="Arial"/>
          <w:highlight w:val="none"/>
        </w:rPr>
        <w:t xml:space="preserve"> &lt; 0.05. </w:t>
      </w:r>
    </w:p>
    <w:p>
      <w:pPr>
        <w:adjustRightInd w:val="0"/>
        <w:snapToGrid w:val="0"/>
        <w:spacing w:line="360" w:lineRule="auto"/>
        <w:rPr>
          <w:rFonts w:ascii="Book Antiqua" w:hAnsi="Book Antiqua" w:cs="Arial"/>
          <w:highlight w:val="none"/>
        </w:rPr>
      </w:pPr>
      <w:r>
        <w:rPr>
          <w:rFonts w:ascii="Book Antiqua" w:hAnsi="Book Antiqua" w:cs="Arial"/>
          <w:highlight w:val="none"/>
          <w:vertAlign w:val="superscript"/>
        </w:rPr>
        <w:t>b</w:t>
      </w:r>
      <w:r>
        <w:rPr>
          <w:rFonts w:ascii="Book Antiqua" w:hAnsi="Book Antiqua" w:cs="Arial"/>
          <w:i/>
          <w:highlight w:val="none"/>
        </w:rPr>
        <w:t xml:space="preserve">P </w:t>
      </w:r>
      <w:r>
        <w:rPr>
          <w:rFonts w:ascii="Book Antiqua" w:hAnsi="Book Antiqua" w:cs="Arial"/>
          <w:highlight w:val="none"/>
        </w:rPr>
        <w:t xml:space="preserve">&lt; 0.01. </w:t>
      </w:r>
    </w:p>
    <w:p>
      <w:pPr>
        <w:adjustRightInd w:val="0"/>
        <w:snapToGrid w:val="0"/>
        <w:spacing w:line="360" w:lineRule="auto"/>
        <w:rPr>
          <w:rFonts w:ascii="Book Antiqua" w:hAnsi="Book Antiqua" w:cs="Arial"/>
          <w:highlight w:val="none"/>
        </w:rPr>
      </w:pPr>
      <w:r>
        <w:rPr>
          <w:rFonts w:ascii="Book Antiqua" w:hAnsi="Book Antiqua" w:cs="Arial"/>
          <w:highlight w:val="none"/>
          <w:vertAlign w:val="superscript"/>
        </w:rPr>
        <w:t>c</w:t>
      </w:r>
      <w:r>
        <w:rPr>
          <w:rFonts w:ascii="Book Antiqua" w:hAnsi="Book Antiqua" w:cs="Arial"/>
          <w:i/>
          <w:highlight w:val="none"/>
        </w:rPr>
        <w:t xml:space="preserve">P </w:t>
      </w:r>
      <w:r>
        <w:rPr>
          <w:rFonts w:ascii="Book Antiqua" w:hAnsi="Book Antiqua" w:cs="Arial"/>
          <w:highlight w:val="none"/>
        </w:rPr>
        <w:t xml:space="preserve">&lt; 0.001. </w:t>
      </w:r>
    </w:p>
    <w:p>
      <w:pPr>
        <w:adjustRightInd w:val="0"/>
        <w:snapToGrid w:val="0"/>
        <w:spacing w:line="360" w:lineRule="auto"/>
        <w:rPr>
          <w:rFonts w:ascii="Book Antiqua" w:hAnsi="Book Antiqua" w:cs="Arial"/>
          <w:highlight w:val="none"/>
        </w:rPr>
        <w:sectPr>
          <w:pgSz w:w="16840" w:h="11900" w:orient="landscape"/>
          <w:pgMar w:top="1417" w:right="1417" w:bottom="1417" w:left="1134" w:header="708" w:footer="708" w:gutter="0"/>
          <w:cols w:space="708" w:num="1"/>
          <w:titlePg/>
          <w:docGrid w:linePitch="360" w:charSpace="0"/>
        </w:sectPr>
      </w:pPr>
      <w:r>
        <w:rPr>
          <w:rFonts w:ascii="Book Antiqua" w:hAnsi="Book Antiqua" w:cs="Arial"/>
          <w:color w:val="000000" w:themeColor="text1"/>
          <w:highlight w:val="none"/>
          <w14:textFill>
            <w14:solidFill>
              <w14:schemeClr w14:val="tx1"/>
            </w14:solidFill>
          </w14:textFill>
        </w:rPr>
        <w:t>NA: Not available</w:t>
      </w:r>
      <w:r>
        <w:rPr>
          <w:rFonts w:ascii="Book Antiqua" w:hAnsi="Book Antiqua" w:cs="Arial"/>
          <w:highlight w:val="none"/>
        </w:rPr>
        <w:t>; POS: Positive beliefs about worry; NEG: Negative beliefs about worry; (P): Partial correlation.</w:t>
      </w:r>
    </w:p>
    <w:p>
      <w:pPr>
        <w:adjustRightInd w:val="0"/>
        <w:snapToGrid w:val="0"/>
        <w:spacing w:line="360" w:lineRule="auto"/>
        <w:rPr>
          <w:rFonts w:ascii="Book Antiqua" w:hAnsi="Book Antiqua" w:cs="Arial"/>
          <w:b/>
          <w:bCs/>
          <w:highlight w:val="none"/>
        </w:rPr>
      </w:pPr>
      <w:r>
        <w:rPr>
          <w:rFonts w:ascii="Book Antiqua" w:hAnsi="Book Antiqua" w:cs="Arial"/>
          <w:b/>
          <w:bCs/>
          <w:highlight w:val="none"/>
        </w:rPr>
        <w:t>Table 3 Summary of results for random effect models for meta-analysis on correlational coefficient on measures of positive beliefs about worry/negative beliefs about worry and worry/anxiety</w:t>
      </w:r>
    </w:p>
    <w:tbl>
      <w:tblPr>
        <w:tblStyle w:val="20"/>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57"/>
        <w:gridCol w:w="563"/>
        <w:gridCol w:w="689"/>
        <w:gridCol w:w="13"/>
        <w:gridCol w:w="1219"/>
        <w:gridCol w:w="167"/>
        <w:gridCol w:w="1064"/>
        <w:gridCol w:w="337"/>
        <w:gridCol w:w="903"/>
        <w:gridCol w:w="359"/>
        <w:gridCol w:w="872"/>
        <w:gridCol w:w="651"/>
        <w:gridCol w:w="568"/>
        <w:gridCol w:w="1209"/>
        <w:gridCol w:w="1657"/>
        <w:gridCol w:w="697"/>
        <w:gridCol w:w="377"/>
        <w:gridCol w:w="466"/>
        <w:gridCol w:w="63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3" w:type="dxa"/>
            <w:tcBorders>
              <w:top w:val="single" w:color="auto" w:sz="4" w:space="0"/>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256" w:type="dxa"/>
            <w:gridSpan w:val="2"/>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r>
              <w:rPr>
                <w:rFonts w:ascii="Book Antiqua" w:hAnsi="Book Antiqua" w:cs="Arial"/>
                <w:b/>
                <w:bCs/>
                <w:highlight w:val="none"/>
                <w:lang w:val="de-DE"/>
              </w:rPr>
              <w:t>Overall effect</w:t>
            </w:r>
          </w:p>
        </w:tc>
        <w:tc>
          <w:tcPr>
            <w:tcW w:w="1256" w:type="dxa"/>
            <w:gridSpan w:val="2"/>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256" w:type="dxa"/>
            <w:gridSpan w:val="2"/>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256" w:type="dxa"/>
            <w:gridSpan w:val="2"/>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256" w:type="dxa"/>
            <w:gridSpan w:val="2"/>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256" w:type="dxa"/>
            <w:gridSpan w:val="2"/>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257" w:type="dxa"/>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109" w:type="dxa"/>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r>
              <w:rPr>
                <w:rFonts w:ascii="Book Antiqua" w:hAnsi="Book Antiqua" w:cs="Arial"/>
                <w:b/>
                <w:bCs/>
                <w:highlight w:val="none"/>
                <w:lang w:val="de-DE"/>
              </w:rPr>
              <w:t>Heterogenity test</w:t>
            </w:r>
          </w:p>
        </w:tc>
        <w:tc>
          <w:tcPr>
            <w:tcW w:w="1110" w:type="dxa"/>
            <w:gridSpan w:val="2"/>
            <w:tcBorders>
              <w:top w:val="single" w:color="auto" w:sz="4" w:space="0"/>
              <w:left w:val="nil"/>
              <w:bottom w:val="nil"/>
              <w:right w:val="nil"/>
            </w:tcBorders>
          </w:tcPr>
          <w:p>
            <w:pPr>
              <w:adjustRightInd w:val="0"/>
              <w:snapToGrid w:val="0"/>
              <w:spacing w:before="0" w:line="360" w:lineRule="auto"/>
              <w:rPr>
                <w:rFonts w:ascii="Book Antiqua" w:hAnsi="Book Antiqua" w:cstheme="minorBidi"/>
                <w:b/>
                <w:bCs/>
                <w:highlight w:val="none"/>
                <w:lang w:val="en-US"/>
              </w:rPr>
            </w:pPr>
          </w:p>
        </w:tc>
        <w:tc>
          <w:tcPr>
            <w:tcW w:w="1110" w:type="dxa"/>
            <w:gridSpan w:val="2"/>
            <w:tcBorders>
              <w:top w:val="single" w:color="auto" w:sz="4" w:space="0"/>
              <w:left w:val="nil"/>
              <w:bottom w:val="nil"/>
            </w:tcBorders>
          </w:tcPr>
          <w:p>
            <w:pPr>
              <w:adjustRightInd w:val="0"/>
              <w:snapToGrid w:val="0"/>
              <w:spacing w:before="0" w:line="360" w:lineRule="auto"/>
              <w:rPr>
                <w:rFonts w:ascii="Book Antiqua" w:hAnsi="Book Antiqua" w:cstheme="minorBidi"/>
                <w:b/>
                <w:bCs/>
                <w:highlight w:val="none"/>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3" w:type="dxa"/>
            <w:tcBorders>
              <w:top w:val="nil"/>
              <w:bottom w:val="single" w:color="auto" w:sz="4" w:space="0"/>
              <w:right w:val="nil"/>
            </w:tcBorders>
          </w:tcPr>
          <w:p>
            <w:pPr>
              <w:adjustRightInd w:val="0"/>
              <w:snapToGrid w:val="0"/>
              <w:spacing w:before="0" w:line="360" w:lineRule="auto"/>
              <w:rPr>
                <w:rFonts w:ascii="Book Antiqua" w:hAnsi="Book Antiqua" w:cs="Arial"/>
                <w:b/>
                <w:bCs/>
                <w:highlight w:val="none"/>
                <w:lang w:val="de-DE"/>
              </w:rPr>
            </w:pPr>
            <w:r>
              <w:rPr>
                <w:rFonts w:ascii="Book Antiqua" w:hAnsi="Book Antiqua" w:cs="Arial"/>
                <w:b/>
                <w:bCs/>
                <w:highlight w:val="none"/>
                <w:lang w:val="de-DE"/>
              </w:rPr>
              <w:t>Meta-analysis</w:t>
            </w:r>
          </w:p>
        </w:tc>
        <w:tc>
          <w:tcPr>
            <w:tcW w:w="563" w:type="dxa"/>
            <w:tcBorders>
              <w:top w:val="nil"/>
              <w:left w:val="nil"/>
              <w:bottom w:val="single" w:color="auto" w:sz="4" w:space="0"/>
              <w:right w:val="nil"/>
            </w:tcBorders>
          </w:tcPr>
          <w:p>
            <w:pPr>
              <w:adjustRightInd w:val="0"/>
              <w:snapToGrid w:val="0"/>
              <w:spacing w:before="0" w:line="360" w:lineRule="auto"/>
              <w:rPr>
                <w:rFonts w:ascii="Book Antiqua" w:hAnsi="Book Antiqua" w:cs="Arial"/>
                <w:b/>
                <w:bCs/>
                <w:i/>
                <w:iCs/>
                <w:highlight w:val="none"/>
                <w:lang w:val="de-DE"/>
              </w:rPr>
            </w:pPr>
            <w:r>
              <w:rPr>
                <w:rFonts w:ascii="Book Antiqua" w:hAnsi="Book Antiqua" w:cs="Arial"/>
                <w:b/>
                <w:bCs/>
                <w:i/>
                <w:iCs/>
                <w:highlight w:val="none"/>
                <w:lang w:val="de-DE"/>
              </w:rPr>
              <w:t>k</w:t>
            </w:r>
          </w:p>
        </w:tc>
        <w:tc>
          <w:tcPr>
            <w:tcW w:w="707"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i/>
                <w:highlight w:val="none"/>
                <w:lang w:val="de-DE"/>
              </w:rPr>
            </w:pPr>
            <w:r>
              <w:rPr>
                <w:rFonts w:ascii="Book Antiqua" w:hAnsi="Book Antiqua" w:cs="Arial"/>
                <w:b/>
                <w:bCs/>
                <w:i/>
                <w:highlight w:val="none"/>
                <w:lang w:val="de-DE"/>
              </w:rPr>
              <w:t>r</w:t>
            </w:r>
          </w:p>
        </w:tc>
        <w:tc>
          <w:tcPr>
            <w:tcW w:w="1413"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i/>
                <w:highlight w:val="none"/>
                <w:lang w:val="de-DE"/>
              </w:rPr>
            </w:pPr>
            <w:r>
              <w:rPr>
                <w:rFonts w:ascii="Book Antiqua" w:hAnsi="Book Antiqua" w:cs="Arial"/>
                <w:b/>
                <w:bCs/>
                <w:highlight w:val="none"/>
                <w:lang w:val="de-DE"/>
              </w:rPr>
              <w:t xml:space="preserve">95%CI, </w:t>
            </w:r>
            <w:r>
              <w:rPr>
                <w:rFonts w:ascii="Book Antiqua" w:hAnsi="Book Antiqua" w:cs="Arial"/>
                <w:b/>
                <w:bCs/>
                <w:i/>
                <w:highlight w:val="none"/>
                <w:lang w:val="de-DE"/>
              </w:rPr>
              <w:t>r</w:t>
            </w:r>
          </w:p>
        </w:tc>
        <w:tc>
          <w:tcPr>
            <w:tcW w:w="1431"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highlight w:val="none"/>
                <w:lang w:val="de-DE"/>
              </w:rPr>
            </w:pPr>
            <w:r>
              <w:rPr>
                <w:rFonts w:ascii="Book Antiqua" w:hAnsi="Book Antiqua" w:cs="Arial"/>
                <w:b/>
                <w:bCs/>
                <w:highlight w:val="none"/>
                <w:lang w:val="de-DE"/>
              </w:rPr>
              <w:t>95%</w:t>
            </w:r>
            <w:r>
              <w:rPr>
                <w:rFonts w:ascii="Book Antiqua" w:hAnsi="Book Antiqua" w:cs="Arial"/>
                <w:b/>
                <w:bCs/>
                <w:highlight w:val="none"/>
                <w:lang w:val="en-US"/>
              </w:rPr>
              <w:t xml:space="preserve">PI, </w:t>
            </w:r>
            <w:r>
              <w:rPr>
                <w:rFonts w:ascii="Book Antiqua" w:hAnsi="Book Antiqua" w:cs="Arial"/>
                <w:b/>
                <w:bCs/>
                <w:i/>
                <w:highlight w:val="none"/>
                <w:lang w:val="en-US"/>
              </w:rPr>
              <w:t>r</w:t>
            </w:r>
          </w:p>
        </w:tc>
        <w:tc>
          <w:tcPr>
            <w:tcW w:w="1276"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highlight w:val="none"/>
                <w:lang w:val="de-DE"/>
              </w:rPr>
            </w:pPr>
            <w:r>
              <w:rPr>
                <w:rFonts w:ascii="Book Antiqua" w:hAnsi="Book Antiqua" w:cs="Arial"/>
                <w:b/>
                <w:bCs/>
                <w:highlight w:val="none"/>
                <w:lang w:val="en-US"/>
              </w:rPr>
              <w:t>Fisher‘s z</w:t>
            </w:r>
            <w:r>
              <w:rPr>
                <w:rFonts w:ascii="Book Antiqua" w:hAnsi="Book Antiqua" w:cs="Arial"/>
                <w:b/>
                <w:bCs/>
                <w:highlight w:val="none"/>
                <w:lang w:val="de-DE"/>
              </w:rPr>
              <w:t xml:space="preserve"> </w:t>
            </w:r>
          </w:p>
        </w:tc>
        <w:tc>
          <w:tcPr>
            <w:tcW w:w="1560"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de-DE"/>
              </w:rPr>
              <w:t>95%CI, z</w:t>
            </w:r>
          </w:p>
        </w:tc>
        <w:tc>
          <w:tcPr>
            <w:tcW w:w="1843"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highlight w:val="none"/>
                <w:lang w:val="de-DE"/>
              </w:rPr>
            </w:pPr>
            <w:r>
              <w:rPr>
                <w:rFonts w:ascii="Book Antiqua" w:hAnsi="Book Antiqua" w:cs="Arial"/>
                <w:b/>
                <w:bCs/>
                <w:highlight w:val="none"/>
                <w:lang w:val="de-DE"/>
              </w:rPr>
              <w:t>Z</w:t>
            </w:r>
          </w:p>
        </w:tc>
        <w:tc>
          <w:tcPr>
            <w:tcW w:w="1842"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highlight w:val="none"/>
                <w:lang w:val="de-DE"/>
              </w:rPr>
            </w:pPr>
            <w:r>
              <w:rPr>
                <w:rFonts w:ascii="Book Antiqua" w:hAnsi="Book Antiqua" w:cs="Arial"/>
                <w:b/>
                <w:bCs/>
                <w:highlight w:val="none"/>
                <w:lang w:val="de-DE"/>
              </w:rPr>
              <w:t>Q</w:t>
            </w:r>
          </w:p>
        </w:tc>
        <w:tc>
          <w:tcPr>
            <w:tcW w:w="851" w:type="dxa"/>
            <w:gridSpan w:val="2"/>
            <w:tcBorders>
              <w:top w:val="nil"/>
              <w:left w:val="nil"/>
              <w:bottom w:val="single" w:color="auto" w:sz="4" w:space="0"/>
              <w:right w:val="nil"/>
            </w:tcBorders>
          </w:tcPr>
          <w:p>
            <w:pPr>
              <w:adjustRightInd w:val="0"/>
              <w:snapToGrid w:val="0"/>
              <w:spacing w:before="0" w:line="360" w:lineRule="auto"/>
              <w:rPr>
                <w:rFonts w:ascii="Book Antiqua" w:hAnsi="Book Antiqua" w:cs="Arial"/>
                <w:b/>
                <w:bCs/>
                <w:i/>
                <w:iCs/>
                <w:highlight w:val="none"/>
                <w:lang w:val="de-DE"/>
              </w:rPr>
            </w:pPr>
            <w:r>
              <w:rPr>
                <w:rFonts w:ascii="Book Antiqua" w:hAnsi="Book Antiqua" w:cs="Arial"/>
                <w:b/>
                <w:bCs/>
                <w:i/>
                <w:iCs/>
                <w:highlight w:val="none"/>
                <w:lang w:val="de-DE"/>
              </w:rPr>
              <w:t>I</w:t>
            </w:r>
            <w:r>
              <w:rPr>
                <w:rFonts w:ascii="Book Antiqua" w:hAnsi="Book Antiqua" w:cs="Arial"/>
                <w:b/>
                <w:bCs/>
                <w:i/>
                <w:iCs/>
                <w:highlight w:val="none"/>
                <w:vertAlign w:val="superscript"/>
                <w:lang w:val="de-DE"/>
              </w:rPr>
              <w:t>2</w:t>
            </w:r>
          </w:p>
        </w:tc>
        <w:tc>
          <w:tcPr>
            <w:tcW w:w="636" w:type="dxa"/>
            <w:tcBorders>
              <w:top w:val="nil"/>
              <w:left w:val="nil"/>
              <w:bottom w:val="single" w:color="auto" w:sz="4" w:space="0"/>
            </w:tcBorders>
          </w:tcPr>
          <w:p>
            <w:pPr>
              <w:adjustRightInd w:val="0"/>
              <w:snapToGrid w:val="0"/>
              <w:spacing w:before="0" w:line="360" w:lineRule="auto"/>
              <w:rPr>
                <w:rFonts w:ascii="Book Antiqua" w:hAnsi="Book Antiqua" w:cs="Arial"/>
                <w:b/>
                <w:bCs/>
                <w:i/>
                <w:iCs/>
                <w:highlight w:val="none"/>
                <w:lang w:val="de-DE"/>
              </w:rPr>
            </w:pPr>
            <w:r>
              <w:rPr>
                <w:rFonts w:ascii="Book Antiqua" w:hAnsi="Book Antiqua" w:cs="Arial"/>
                <w:b/>
                <w:bCs/>
                <w:i/>
                <w:iCs/>
                <w:highlight w:val="none"/>
                <w:lang w:val="de-DE"/>
              </w:rPr>
              <w:t>T</w:t>
            </w:r>
            <w:r>
              <w:rPr>
                <w:rFonts w:ascii="Book Antiqua" w:hAnsi="Book Antiqua" w:cs="Arial"/>
                <w:b/>
                <w:bCs/>
                <w:i/>
                <w:iCs/>
                <w:highlight w:val="none"/>
                <w:vertAlign w:val="superscript"/>
                <w:lang w:val="de-DE"/>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3" w:type="dxa"/>
            <w:tcBorders>
              <w:top w:val="single" w:color="auto" w:sz="4" w:space="0"/>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POS and worry</w:t>
            </w:r>
          </w:p>
        </w:tc>
        <w:tc>
          <w:tcPr>
            <w:tcW w:w="563" w:type="dxa"/>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13</w:t>
            </w:r>
          </w:p>
        </w:tc>
        <w:tc>
          <w:tcPr>
            <w:tcW w:w="707"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0.27</w:t>
            </w:r>
          </w:p>
        </w:tc>
        <w:tc>
          <w:tcPr>
            <w:tcW w:w="1413"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(0.22, 0.33)</w:t>
            </w:r>
          </w:p>
        </w:tc>
        <w:tc>
          <w:tcPr>
            <w:tcW w:w="1431"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(0.08, 0.45)</w:t>
            </w:r>
          </w:p>
        </w:tc>
        <w:tc>
          <w:tcPr>
            <w:tcW w:w="1276"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0.28 </w:t>
            </w:r>
          </w:p>
        </w:tc>
        <w:tc>
          <w:tcPr>
            <w:tcW w:w="1560"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(0.22, 0.34)</w:t>
            </w:r>
          </w:p>
        </w:tc>
        <w:tc>
          <w:tcPr>
            <w:tcW w:w="1843"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 9.56,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1842"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36.14,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851" w:type="dxa"/>
            <w:gridSpan w:val="2"/>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67 %</w:t>
            </w:r>
          </w:p>
        </w:tc>
        <w:tc>
          <w:tcPr>
            <w:tcW w:w="636" w:type="dxa"/>
            <w:tcBorders>
              <w:top w:val="single" w:color="auto" w:sz="4" w:space="0"/>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3" w:type="dxa"/>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NEG and worry</w:t>
            </w:r>
          </w:p>
        </w:tc>
        <w:tc>
          <w:tcPr>
            <w:tcW w:w="563"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12</w:t>
            </w:r>
          </w:p>
        </w:tc>
        <w:tc>
          <w:tcPr>
            <w:tcW w:w="707"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0.64</w:t>
            </w:r>
          </w:p>
        </w:tc>
        <w:tc>
          <w:tcPr>
            <w:tcW w:w="141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(0.55, 0.72)</w:t>
            </w:r>
          </w:p>
        </w:tc>
        <w:tc>
          <w:tcPr>
            <w:tcW w:w="143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(0.27, 1.25)</w:t>
            </w:r>
          </w:p>
        </w:tc>
        <w:tc>
          <w:tcPr>
            <w:tcW w:w="1276"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0.76 </w:t>
            </w:r>
          </w:p>
        </w:tc>
        <w:tc>
          <w:tcPr>
            <w:tcW w:w="1560"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(0.62, 0.90)</w:t>
            </w:r>
          </w:p>
        </w:tc>
        <w:tc>
          <w:tcPr>
            <w:tcW w:w="184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10.49,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1842"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233.90,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85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95 %</w:t>
            </w:r>
          </w:p>
        </w:tc>
        <w:tc>
          <w:tcPr>
            <w:tcW w:w="636"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3" w:type="dxa"/>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POS and anxiety</w:t>
            </w:r>
          </w:p>
        </w:tc>
        <w:tc>
          <w:tcPr>
            <w:tcW w:w="563"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18</w:t>
            </w:r>
          </w:p>
        </w:tc>
        <w:tc>
          <w:tcPr>
            <w:tcW w:w="707"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0.20</w:t>
            </w:r>
          </w:p>
        </w:tc>
        <w:tc>
          <w:tcPr>
            <w:tcW w:w="141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(0.16, 0.25)</w:t>
            </w:r>
          </w:p>
        </w:tc>
        <w:tc>
          <w:tcPr>
            <w:tcW w:w="143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(0.00, 0.38)</w:t>
            </w:r>
          </w:p>
        </w:tc>
        <w:tc>
          <w:tcPr>
            <w:tcW w:w="1276"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0.20 </w:t>
            </w:r>
          </w:p>
        </w:tc>
        <w:tc>
          <w:tcPr>
            <w:tcW w:w="1560"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(0.16, 0.25)</w:t>
            </w:r>
          </w:p>
        </w:tc>
        <w:tc>
          <w:tcPr>
            <w:tcW w:w="184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 8.54,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1842"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52.11,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85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67 %</w:t>
            </w:r>
          </w:p>
        </w:tc>
        <w:tc>
          <w:tcPr>
            <w:tcW w:w="636"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3" w:type="dxa"/>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NEG and anxiety</w:t>
            </w:r>
          </w:p>
        </w:tc>
        <w:tc>
          <w:tcPr>
            <w:tcW w:w="563"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18</w:t>
            </w:r>
          </w:p>
        </w:tc>
        <w:tc>
          <w:tcPr>
            <w:tcW w:w="707"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0.53</w:t>
            </w:r>
          </w:p>
        </w:tc>
        <w:tc>
          <w:tcPr>
            <w:tcW w:w="141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(0.46, 0.60)</w:t>
            </w:r>
          </w:p>
        </w:tc>
        <w:tc>
          <w:tcPr>
            <w:tcW w:w="143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(0.19, 0.76)</w:t>
            </w:r>
          </w:p>
        </w:tc>
        <w:tc>
          <w:tcPr>
            <w:tcW w:w="1276"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0.59 </w:t>
            </w:r>
          </w:p>
        </w:tc>
        <w:tc>
          <w:tcPr>
            <w:tcW w:w="1560"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(0.50, 0.69)</w:t>
            </w:r>
          </w:p>
        </w:tc>
        <w:tc>
          <w:tcPr>
            <w:tcW w:w="184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 12.32,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1842"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234.07,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85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93 %</w:t>
            </w:r>
          </w:p>
        </w:tc>
        <w:tc>
          <w:tcPr>
            <w:tcW w:w="636"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123" w:type="dxa"/>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POS and NEG</w:t>
            </w:r>
          </w:p>
        </w:tc>
        <w:tc>
          <w:tcPr>
            <w:tcW w:w="563"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17</w:t>
            </w:r>
          </w:p>
        </w:tc>
        <w:tc>
          <w:tcPr>
            <w:tcW w:w="707"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0.24</w:t>
            </w:r>
          </w:p>
        </w:tc>
        <w:tc>
          <w:tcPr>
            <w:tcW w:w="141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(0.18, 0.28)</w:t>
            </w:r>
          </w:p>
        </w:tc>
        <w:tc>
          <w:tcPr>
            <w:tcW w:w="143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(0.04, 0.41)</w:t>
            </w:r>
          </w:p>
        </w:tc>
        <w:tc>
          <w:tcPr>
            <w:tcW w:w="1276"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0.24</w:t>
            </w:r>
          </w:p>
        </w:tc>
        <w:tc>
          <w:tcPr>
            <w:tcW w:w="1560"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(0.18, 0.29)</w:t>
            </w:r>
          </w:p>
        </w:tc>
        <w:tc>
          <w:tcPr>
            <w:tcW w:w="1843"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8.49,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1842"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66.44, </w:t>
            </w:r>
            <w:r>
              <w:rPr>
                <w:rFonts w:ascii="Book Antiqua" w:hAnsi="Book Antiqua" w:cs="Arial"/>
                <w:i/>
                <w:highlight w:val="none"/>
                <w:lang w:val="de-DE"/>
              </w:rPr>
              <w:t>P</w:t>
            </w:r>
            <w:r>
              <w:rPr>
                <w:rFonts w:ascii="Book Antiqua" w:hAnsi="Book Antiqua" w:cs="Arial"/>
                <w:highlight w:val="none"/>
                <w:lang w:val="de-DE"/>
              </w:rPr>
              <w:t xml:space="preserve"> &lt; 0.001</w:t>
            </w:r>
          </w:p>
        </w:tc>
        <w:tc>
          <w:tcPr>
            <w:tcW w:w="851" w:type="dxa"/>
            <w:gridSpan w:val="2"/>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76 %</w:t>
            </w:r>
          </w:p>
        </w:tc>
        <w:tc>
          <w:tcPr>
            <w:tcW w:w="636"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0.01</w:t>
            </w:r>
          </w:p>
        </w:tc>
      </w:tr>
    </w:tbl>
    <w:p>
      <w:pPr>
        <w:adjustRightInd w:val="0"/>
        <w:snapToGrid w:val="0"/>
        <w:spacing w:line="360" w:lineRule="auto"/>
        <w:jc w:val="both"/>
        <w:rPr>
          <w:rFonts w:ascii="Book Antiqua" w:hAnsi="Book Antiqua" w:cs="Arial"/>
          <w:highlight w:val="none"/>
        </w:rPr>
      </w:pPr>
      <w:r>
        <w:rPr>
          <w:rFonts w:ascii="Book Antiqua" w:hAnsi="Book Antiqua" w:cs="Arial"/>
          <w:i/>
          <w:iCs/>
          <w:highlight w:val="none"/>
        </w:rPr>
        <w:t>k</w:t>
      </w:r>
      <w:r>
        <w:rPr>
          <w:rFonts w:ascii="Book Antiqua" w:hAnsi="Book Antiqua" w:cs="Arial"/>
          <w:highlight w:val="none"/>
        </w:rPr>
        <w:t xml:space="preserve">: Number of studies included in meta-analysis; </w:t>
      </w:r>
      <w:r>
        <w:rPr>
          <w:rFonts w:ascii="Book Antiqua" w:hAnsi="Book Antiqua" w:cs="Arial"/>
          <w:i/>
          <w:highlight w:val="none"/>
        </w:rPr>
        <w:t>r:</w:t>
      </w:r>
      <w:r>
        <w:rPr>
          <w:rFonts w:ascii="Book Antiqua" w:hAnsi="Book Antiqua" w:cs="Arial"/>
          <w:highlight w:val="none"/>
        </w:rPr>
        <w:t xml:space="preserve"> Pearson’s product-moment correlation; CI: Confidence interval; PI: Prediction interval; SE: Standard error; POS: Positive beliefs about worry; NEG: Negative beliefs about worry. </w:t>
      </w:r>
    </w:p>
    <w:p>
      <w:pPr>
        <w:adjustRightInd w:val="0"/>
        <w:snapToGrid w:val="0"/>
        <w:spacing w:line="360" w:lineRule="auto"/>
        <w:jc w:val="both"/>
        <w:rPr>
          <w:rFonts w:ascii="Book Antiqua" w:hAnsi="Book Antiqua" w:cs="Arial"/>
          <w:highlight w:val="none"/>
        </w:rPr>
      </w:pPr>
    </w:p>
    <w:p>
      <w:pPr>
        <w:adjustRightInd w:val="0"/>
        <w:snapToGrid w:val="0"/>
        <w:spacing w:line="360" w:lineRule="auto"/>
        <w:rPr>
          <w:rFonts w:ascii="Book Antiqua" w:hAnsi="Book Antiqua" w:cs="Arial"/>
          <w:highlight w:val="none"/>
        </w:rPr>
        <w:sectPr>
          <w:pgSz w:w="16840" w:h="11900" w:orient="landscape"/>
          <w:pgMar w:top="1417" w:right="1134" w:bottom="1417" w:left="1417" w:header="708" w:footer="708" w:gutter="0"/>
          <w:cols w:space="708" w:num="1"/>
          <w:titlePg/>
          <w:docGrid w:linePitch="360" w:charSpace="0"/>
        </w:sectPr>
      </w:pPr>
    </w:p>
    <w:p>
      <w:pPr>
        <w:adjustRightInd w:val="0"/>
        <w:snapToGrid w:val="0"/>
        <w:spacing w:line="360" w:lineRule="auto"/>
        <w:rPr>
          <w:rFonts w:ascii="Book Antiqua" w:hAnsi="Book Antiqua" w:cs="Arial"/>
          <w:b/>
          <w:bCs/>
          <w:highlight w:val="none"/>
        </w:rPr>
      </w:pPr>
      <w:r>
        <w:rPr>
          <w:rFonts w:ascii="Book Antiqua" w:hAnsi="Book Antiqua" w:cs="Arial"/>
          <w:b/>
          <w:bCs/>
          <w:highlight w:val="none"/>
        </w:rPr>
        <w:t>Table 4</w:t>
      </w:r>
      <w:r>
        <w:rPr>
          <w:rFonts w:ascii="Book Antiqua" w:hAnsi="Book Antiqua" w:cs="Arial"/>
          <w:b/>
          <w:bCs/>
          <w:i/>
          <w:highlight w:val="none"/>
        </w:rPr>
        <w:t xml:space="preserve"> </w:t>
      </w:r>
      <w:r>
        <w:rPr>
          <w:rFonts w:ascii="Book Antiqua" w:hAnsi="Book Antiqua" w:cs="Arial"/>
          <w:b/>
          <w:bCs/>
          <w:highlight w:val="none"/>
        </w:rPr>
        <w:t>Results of meta-regressions on correlational coefficient on measures of positive beliefs about worry/negative beliefs about worry and worry/anxiety with mean age as covariate</w:t>
      </w:r>
    </w:p>
    <w:tbl>
      <w:tblPr>
        <w:tblStyle w:val="20"/>
        <w:tblW w:w="9021"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86"/>
        <w:gridCol w:w="88"/>
        <w:gridCol w:w="1398"/>
        <w:gridCol w:w="1134"/>
        <w:gridCol w:w="992"/>
        <w:gridCol w:w="993"/>
        <w:gridCol w:w="992"/>
        <w:gridCol w:w="957"/>
        <w:gridCol w:w="98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86" w:type="dxa"/>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 xml:space="preserve">Meta-regression </w:t>
            </w:r>
          </w:p>
        </w:tc>
        <w:tc>
          <w:tcPr>
            <w:tcW w:w="1486" w:type="dxa"/>
            <w:gridSpan w:val="2"/>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highlight w:val="none"/>
                <w:lang w:val="en-US"/>
              </w:rPr>
            </w:pPr>
          </w:p>
        </w:tc>
        <w:tc>
          <w:tcPr>
            <w:tcW w:w="1134" w:type="dxa"/>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i/>
                <w:highlight w:val="none"/>
                <w:lang w:val="en-US"/>
              </w:rPr>
            </w:pPr>
            <w:r>
              <w:rPr>
                <w:rFonts w:ascii="Book Antiqua" w:hAnsi="Book Antiqua" w:cs="Arial"/>
                <w:b/>
                <w:bCs/>
                <w:i/>
                <w:highlight w:val="none"/>
                <w:lang w:val="en-US"/>
              </w:rPr>
              <w:t>B</w:t>
            </w:r>
          </w:p>
        </w:tc>
        <w:tc>
          <w:tcPr>
            <w:tcW w:w="992" w:type="dxa"/>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i/>
                <w:highlight w:val="none"/>
                <w:lang w:val="en-US"/>
              </w:rPr>
            </w:pPr>
            <w:r>
              <w:rPr>
                <w:rFonts w:ascii="Book Antiqua" w:hAnsi="Book Antiqua" w:cs="Arial"/>
                <w:b/>
                <w:bCs/>
                <w:i/>
                <w:highlight w:val="none"/>
                <w:lang w:val="en-US"/>
              </w:rPr>
              <w:t>SE</w:t>
            </w:r>
            <w:r>
              <w:rPr>
                <w:rFonts w:ascii="Book Antiqua" w:hAnsi="Book Antiqua" w:cs="Arial"/>
                <w:b/>
                <w:bCs/>
                <w:i/>
                <w:highlight w:val="none"/>
                <w:vertAlign w:val="subscript"/>
                <w:lang w:val="en-US"/>
              </w:rPr>
              <w:t>B</w:t>
            </w:r>
          </w:p>
        </w:tc>
        <w:tc>
          <w:tcPr>
            <w:tcW w:w="993" w:type="dxa"/>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95%</w:t>
            </w:r>
          </w:p>
          <w:p>
            <w:pPr>
              <w:tabs>
                <w:tab w:val="left" w:pos="2620"/>
              </w:tab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lower</w:t>
            </w:r>
          </w:p>
        </w:tc>
        <w:tc>
          <w:tcPr>
            <w:tcW w:w="992" w:type="dxa"/>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 xml:space="preserve">95% </w:t>
            </w:r>
          </w:p>
          <w:p>
            <w:pPr>
              <w:tabs>
                <w:tab w:val="left" w:pos="2620"/>
              </w:tabs>
              <w:adjustRightInd w:val="0"/>
              <w:snapToGrid w:val="0"/>
              <w:spacing w:before="0" w:line="360" w:lineRule="auto"/>
              <w:rPr>
                <w:rFonts w:ascii="Book Antiqua" w:hAnsi="Book Antiqua" w:cs="Arial"/>
                <w:b/>
                <w:bCs/>
                <w:highlight w:val="none"/>
                <w:lang w:val="en-US"/>
              </w:rPr>
            </w:pPr>
            <w:r>
              <w:rPr>
                <w:rFonts w:ascii="Book Antiqua" w:hAnsi="Book Antiqua" w:cs="Arial"/>
                <w:b/>
                <w:bCs/>
                <w:highlight w:val="none"/>
                <w:lang w:val="en-US"/>
              </w:rPr>
              <w:t>upper</w:t>
            </w:r>
          </w:p>
        </w:tc>
        <w:tc>
          <w:tcPr>
            <w:tcW w:w="957" w:type="dxa"/>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highlight w:val="none"/>
                <w:lang w:val="en-US"/>
              </w:rPr>
            </w:pPr>
            <w:r>
              <w:rPr>
                <w:rFonts w:ascii="Book Antiqua" w:hAnsi="Book Antiqua" w:cs="Arial"/>
                <w:b/>
                <w:bCs/>
                <w:i/>
                <w:highlight w:val="none"/>
                <w:lang w:val="en-US"/>
              </w:rPr>
              <w:t>Z</w:t>
            </w:r>
          </w:p>
        </w:tc>
        <w:tc>
          <w:tcPr>
            <w:tcW w:w="981" w:type="dxa"/>
            <w:tcBorders>
              <w:top w:val="single" w:color="auto" w:sz="4" w:space="0"/>
              <w:bottom w:val="single" w:color="auto" w:sz="4" w:space="0"/>
            </w:tcBorders>
          </w:tcPr>
          <w:p>
            <w:pPr>
              <w:tabs>
                <w:tab w:val="left" w:pos="2620"/>
              </w:tabs>
              <w:adjustRightInd w:val="0"/>
              <w:snapToGrid w:val="0"/>
              <w:spacing w:before="0" w:line="360" w:lineRule="auto"/>
              <w:rPr>
                <w:rFonts w:ascii="Book Antiqua" w:hAnsi="Book Antiqua" w:cs="Arial"/>
                <w:b/>
                <w:bCs/>
                <w:highlight w:val="none"/>
                <w:lang w:val="en-US"/>
              </w:rPr>
            </w:pPr>
            <w:r>
              <w:rPr>
                <w:rFonts w:ascii="Book Antiqua" w:hAnsi="Book Antiqua" w:cs="Arial"/>
                <w:b/>
                <w:bCs/>
                <w:i/>
                <w:highlight w:val="none"/>
                <w:lang w:val="en-US"/>
              </w:rPr>
              <w:t>P</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POS and </w:t>
            </w:r>
          </w:p>
        </w:tc>
        <w:tc>
          <w:tcPr>
            <w:tcW w:w="1398" w:type="dxa"/>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Intercept</w:t>
            </w:r>
          </w:p>
        </w:tc>
        <w:tc>
          <w:tcPr>
            <w:tcW w:w="1134" w:type="dxa"/>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0.5082</w:t>
            </w:r>
          </w:p>
        </w:tc>
        <w:tc>
          <w:tcPr>
            <w:tcW w:w="992" w:type="dxa"/>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0.356</w:t>
            </w:r>
          </w:p>
        </w:tc>
        <w:tc>
          <w:tcPr>
            <w:tcW w:w="993" w:type="dxa"/>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-0.254</w:t>
            </w:r>
          </w:p>
        </w:tc>
        <w:tc>
          <w:tcPr>
            <w:tcW w:w="992" w:type="dxa"/>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1.271</w:t>
            </w:r>
          </w:p>
        </w:tc>
        <w:tc>
          <w:tcPr>
            <w:tcW w:w="957" w:type="dxa"/>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1.429</w:t>
            </w:r>
          </w:p>
        </w:tc>
        <w:tc>
          <w:tcPr>
            <w:tcW w:w="981" w:type="dxa"/>
            <w:tcBorders>
              <w:top w:val="single" w:color="auto" w:sz="4" w:space="0"/>
            </w:tcBorders>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0.175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Anxiety</w:t>
            </w:r>
            <w:r>
              <w:rPr>
                <w:rFonts w:ascii="Book Antiqua" w:hAnsi="Book Antiqua" w:cs="Arial"/>
                <w:highlight w:val="none"/>
                <w:vertAlign w:val="superscript"/>
                <w:lang w:val="en-US"/>
              </w:rPr>
              <w:t>1</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Latitude</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-0.0265</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0.028</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-0.086</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0.033</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-0.958</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0.354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POS and </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Intercept</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-0.0905</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0.195</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-0.525</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0.344</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-0.464</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0.652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Worry</w:t>
            </w:r>
            <w:r>
              <w:rPr>
                <w:rFonts w:ascii="Book Antiqua" w:hAnsi="Book Antiqua" w:cs="Arial"/>
                <w:highlight w:val="none"/>
                <w:vertAlign w:val="superscript"/>
                <w:lang w:val="en-US"/>
              </w:rPr>
              <w:t>2</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Latitude</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0.0302</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0.016</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-0.005</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0.065</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1.911</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NEG and </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Intercept</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0.4427</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0.128</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0.168</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0.718</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3.450</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0.004</w:t>
            </w:r>
            <w:r>
              <w:rPr>
                <w:rFonts w:ascii="Book Antiqua" w:hAnsi="Book Antiqua" w:cs="Arial"/>
                <w:highlight w:val="none"/>
                <w:vertAlign w:val="superscript"/>
                <w:lang w:val="en-US"/>
              </w:rPr>
              <w:t>b</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Anxiety</w:t>
            </w:r>
            <w:r>
              <w:rPr>
                <w:rFonts w:ascii="Book Antiqua" w:hAnsi="Book Antiqua" w:cs="Arial"/>
                <w:highlight w:val="none"/>
                <w:vertAlign w:val="superscript"/>
                <w:lang w:val="en-US"/>
              </w:rPr>
              <w:t>3</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Latitude</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0.0094</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0.010</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-0.012</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0.031</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0.940</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0.363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NEG and </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Intercept</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0.6482</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0.225</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0.139</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1.157</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2.881</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0.018</w:t>
            </w:r>
            <w:r>
              <w:rPr>
                <w:rFonts w:ascii="Book Antiqua" w:hAnsi="Book Antiqua" w:cs="Arial"/>
                <w:highlight w:val="none"/>
                <w:vertAlign w:val="superscript"/>
                <w:lang w:val="en-US"/>
              </w:rPr>
              <w:t>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Worry</w:t>
            </w:r>
            <w:r>
              <w:rPr>
                <w:rFonts w:ascii="Book Antiqua" w:hAnsi="Book Antiqua" w:cs="Arial"/>
                <w:highlight w:val="none"/>
                <w:vertAlign w:val="superscript"/>
                <w:lang w:val="en-US"/>
              </w:rPr>
              <w:t>4</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Latitude</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0.0004</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0.018</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-0.040</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0.041</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0.021</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0.984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POS and</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Intercept</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0.5256</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0.260</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-0.042</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1.093</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 2.019</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74" w:type="dxa"/>
            <w:gridSpan w:val="2"/>
          </w:tcPr>
          <w:p>
            <w:pPr>
              <w:tabs>
                <w:tab w:val="left" w:pos="2620"/>
              </w:tabs>
              <w:adjustRightInd w:val="0"/>
              <w:snapToGrid w:val="0"/>
              <w:spacing w:before="0" w:line="360" w:lineRule="auto"/>
              <w:rPr>
                <w:rFonts w:ascii="Book Antiqua" w:hAnsi="Book Antiqua" w:cs="Arial"/>
                <w:highlight w:val="none"/>
                <w:vertAlign w:val="superscript"/>
                <w:lang w:val="en-US"/>
              </w:rPr>
            </w:pPr>
            <w:r>
              <w:rPr>
                <w:rFonts w:ascii="Book Antiqua" w:hAnsi="Book Antiqua" w:cs="Arial"/>
                <w:highlight w:val="none"/>
                <w:lang w:val="en-US"/>
              </w:rPr>
              <w:t>NEG</w:t>
            </w:r>
            <w:r>
              <w:rPr>
                <w:rFonts w:ascii="Book Antiqua" w:hAnsi="Book Antiqua" w:cs="Arial"/>
                <w:highlight w:val="none"/>
                <w:vertAlign w:val="superscript"/>
                <w:lang w:val="en-US"/>
              </w:rPr>
              <w:t>5</w:t>
            </w:r>
          </w:p>
        </w:tc>
        <w:tc>
          <w:tcPr>
            <w:tcW w:w="1398"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Latitude</w:t>
            </w:r>
          </w:p>
        </w:tc>
        <w:tc>
          <w:tcPr>
            <w:tcW w:w="1134"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-0.0286</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0.021</w:t>
            </w:r>
          </w:p>
        </w:tc>
        <w:tc>
          <w:tcPr>
            <w:tcW w:w="993"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-0.074</w:t>
            </w:r>
          </w:p>
        </w:tc>
        <w:tc>
          <w:tcPr>
            <w:tcW w:w="992"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0.017</w:t>
            </w:r>
          </w:p>
        </w:tc>
        <w:tc>
          <w:tcPr>
            <w:tcW w:w="957"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-1.357</w:t>
            </w:r>
          </w:p>
        </w:tc>
        <w:tc>
          <w:tcPr>
            <w:tcW w:w="981" w:type="dxa"/>
          </w:tcPr>
          <w:p>
            <w:pPr>
              <w:tabs>
                <w:tab w:val="left" w:pos="2620"/>
              </w:tabs>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0.200</w:t>
            </w:r>
          </w:p>
        </w:tc>
      </w:tr>
    </w:tbl>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1</w:t>
      </w:r>
      <w:r>
        <w:rPr>
          <w:rFonts w:ascii="Book Antiqua" w:hAnsi="Book Antiqua" w:cs="Arial"/>
          <w:highlight w:val="none"/>
        </w:rPr>
        <w:t xml:space="preserve">Based on </w:t>
      </w:r>
      <w:r>
        <w:rPr>
          <w:rFonts w:ascii="Book Antiqua" w:hAnsi="Book Antiqua" w:cs="Arial"/>
          <w:i/>
          <w:highlight w:val="none"/>
        </w:rPr>
        <w:t>k</w:t>
      </w:r>
      <w:r>
        <w:rPr>
          <w:rFonts w:ascii="Book Antiqua" w:hAnsi="Book Antiqua" w:cs="Arial"/>
          <w:highlight w:val="none"/>
        </w:rPr>
        <w:t xml:space="preserve">: 16 studies.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i/>
          <w:highlight w:val="none"/>
        </w:rPr>
        <w:t>k</w:t>
      </w:r>
      <w:r>
        <w:rPr>
          <w:rFonts w:ascii="Book Antiqua" w:hAnsi="Book Antiqua" w:cs="Arial"/>
          <w:highlight w:val="none"/>
        </w:rPr>
        <w:t>: 2 studies</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Students","type":"article-journal","volume":"8"},"uris":["http://www.mendeley.com/documents/?uuid=67368c45-c54d-4d09-a4ae-615f14a61f34"]},{"id":"ITEM-2","itemData":{"DOI":"10.1037/a0033793","ISBN":"1040-3590","ISSN":"10403590","PMID":"23876156","abstract":"Theoretical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Assessment","id":"ITEM-2","issue":"4","issued":{"date-parts":[["2013"]]},"page":"1211-1219","title":"A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[56,68]&lt;/sup&gt;","plainTextFormattedCitation":"[56,68]","previouslyFormattedCitation":"&lt;sup&gt;[56,68]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[55,67]</w:t>
      </w:r>
      <w:r>
        <w:rPr>
          <w:rFonts w:ascii="Book Antiqua" w:hAnsi="Book Antiqua" w:cs="Arial"/>
          <w:highlight w:val="none"/>
        </w:rPr>
        <w:fldChar w:fldCharType="end"/>
      </w:r>
      <w:r>
        <w:rPr>
          <w:rFonts w:ascii="Book Antiqua" w:hAnsi="Book Antiqua" w:cs="Arial"/>
          <w:highlight w:val="none"/>
        </w:rPr>
        <w:t xml:space="preserve"> were excluded as no mean age was reported;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2</w:t>
      </w:r>
      <w:r>
        <w:rPr>
          <w:rFonts w:ascii="Book Antiqua" w:hAnsi="Book Antiqua" w:cs="Arial"/>
          <w:highlight w:val="none"/>
        </w:rPr>
        <w:t xml:space="preserve">Based on </w:t>
      </w:r>
      <w:r>
        <w:rPr>
          <w:rFonts w:ascii="Book Antiqua" w:hAnsi="Book Antiqua" w:cs="Arial"/>
          <w:i/>
          <w:highlight w:val="none"/>
        </w:rPr>
        <w:t>k</w:t>
      </w:r>
      <w:r>
        <w:rPr>
          <w:rFonts w:ascii="Book Antiqua" w:hAnsi="Book Antiqua" w:cs="Arial"/>
          <w:highlight w:val="none"/>
        </w:rPr>
        <w:t xml:space="preserve">: 12 studies.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i/>
          <w:highlight w:val="none"/>
        </w:rPr>
        <w:t>k</w:t>
      </w:r>
      <w:r>
        <w:rPr>
          <w:rFonts w:ascii="Book Antiqua" w:hAnsi="Book Antiqua" w:cs="Arial"/>
          <w:highlight w:val="none"/>
        </w:rPr>
        <w:t>: 1 study</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[67]</w:t>
      </w:r>
      <w:r>
        <w:rPr>
          <w:rFonts w:ascii="Book Antiqua" w:hAnsi="Book Antiqua" w:cs="Arial"/>
          <w:highlight w:val="none"/>
        </w:rPr>
        <w:fldChar w:fldCharType="end"/>
      </w:r>
      <w:r>
        <w:rPr>
          <w:rFonts w:ascii="Book Antiqua" w:hAnsi="Book Antiqua" w:cs="Arial"/>
          <w:highlight w:val="none"/>
        </w:rPr>
        <w:t xml:space="preserve"> was excluded as no mean age was reported;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3</w:t>
      </w:r>
      <w:r>
        <w:rPr>
          <w:rFonts w:ascii="Book Antiqua" w:hAnsi="Book Antiqua" w:cs="Arial"/>
          <w:highlight w:val="none"/>
        </w:rPr>
        <w:t xml:space="preserve">Based on </w:t>
      </w:r>
      <w:r>
        <w:rPr>
          <w:rFonts w:ascii="Book Antiqua" w:hAnsi="Book Antiqua" w:cs="Arial"/>
          <w:i/>
          <w:highlight w:val="none"/>
        </w:rPr>
        <w:t>k:</w:t>
      </w:r>
      <w:r>
        <w:rPr>
          <w:rFonts w:ascii="Book Antiqua" w:hAnsi="Book Antiqua" w:cs="Arial"/>
          <w:highlight w:val="none"/>
        </w:rPr>
        <w:t xml:space="preserve"> 16 studies.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i/>
          <w:highlight w:val="none"/>
        </w:rPr>
        <w:t>k</w:t>
      </w:r>
      <w:r>
        <w:rPr>
          <w:rFonts w:ascii="Book Antiqua" w:hAnsi="Book Antiqua" w:cs="Arial"/>
          <w:highlight w:val="none"/>
        </w:rPr>
        <w:t>: 2 studies</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Students","type":"article-journal","volume":"8"},"uris":["http://www.mendeley.com/documents/?uuid=67368c45-c54d-4d09-a4ae-615f14a61f34"]},{"id":"ITEM-2","itemData":{"DOI":"10.1037/a0033793","ISBN":"1040-3590","ISSN":"10403590","PMID":"23876156","abstract":"Theoretical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Assessment","id":"ITEM-2","issue":"4","issued":{"date-parts":[["2013"]]},"page":"1211-1219","title":"A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[56,68]&lt;/sup&gt;","plainTextFormattedCitation":"[56,68]","previouslyFormattedCitation":"&lt;sup&gt;[56,68]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[55,67]</w:t>
      </w:r>
      <w:r>
        <w:rPr>
          <w:rFonts w:ascii="Book Antiqua" w:hAnsi="Book Antiqua" w:cs="Arial"/>
          <w:highlight w:val="none"/>
        </w:rPr>
        <w:fldChar w:fldCharType="end"/>
      </w:r>
      <w:r>
        <w:rPr>
          <w:rFonts w:ascii="Book Antiqua" w:hAnsi="Book Antiqua" w:cs="Arial"/>
          <w:highlight w:val="none"/>
        </w:rPr>
        <w:t xml:space="preserve"> were excluded as no mean age was reported;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4</w:t>
      </w:r>
      <w:r>
        <w:rPr>
          <w:rFonts w:ascii="Book Antiqua" w:hAnsi="Book Antiqua" w:cs="Arial"/>
          <w:highlight w:val="none"/>
        </w:rPr>
        <w:t xml:space="preserve">Based on </w:t>
      </w:r>
      <w:r>
        <w:rPr>
          <w:rFonts w:ascii="Book Antiqua" w:hAnsi="Book Antiqua" w:cs="Arial"/>
          <w:i/>
          <w:highlight w:val="none"/>
        </w:rPr>
        <w:t>k</w:t>
      </w:r>
      <w:r>
        <w:rPr>
          <w:rFonts w:ascii="Book Antiqua" w:hAnsi="Book Antiqua" w:cs="Arial"/>
          <w:highlight w:val="none"/>
        </w:rPr>
        <w:t xml:space="preserve">: 11 studies.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i/>
          <w:highlight w:val="none"/>
        </w:rPr>
        <w:t>k</w:t>
      </w:r>
      <w:r>
        <w:rPr>
          <w:rFonts w:ascii="Book Antiqua" w:hAnsi="Book Antiqua" w:cs="Arial"/>
          <w:highlight w:val="none"/>
        </w:rPr>
        <w:t>: 1 study</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Assessment","id":"ITEM-1","issue":"4","issued":{"date-parts":[["2013"]]},"page":"1211-1219","title":"A structural assessment of the 30-item metacognitions questionnaire for children and its relations to anxiety symptoms","type":"article-journal","volume":"25"},"uris":["http://www.mendeley.com/documents/?uuid=447db6eb-71b5-4663-bfcb-ca49d7a5f971"]}],"mendeley":{"formattedCitation":"&lt;sup&gt;[68]&lt;/sup&gt;","plainTextFormattedCitation":"[68]","previouslyFormattedCitation":"&lt;sup&gt;[68]&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[67]</w:t>
      </w:r>
      <w:r>
        <w:rPr>
          <w:rFonts w:ascii="Book Antiqua" w:hAnsi="Book Antiqua" w:cs="Arial"/>
          <w:highlight w:val="none"/>
        </w:rPr>
        <w:fldChar w:fldCharType="end"/>
      </w:r>
      <w:r>
        <w:rPr>
          <w:rFonts w:ascii="Book Antiqua" w:hAnsi="Book Antiqua" w:cs="Arial"/>
          <w:highlight w:val="none"/>
        </w:rPr>
        <w:t xml:space="preserve"> was excluded as no mean age was reported;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5</w:t>
      </w:r>
      <w:r>
        <w:rPr>
          <w:rFonts w:ascii="Book Antiqua" w:hAnsi="Book Antiqua" w:cs="Arial"/>
          <w:highlight w:val="none"/>
        </w:rPr>
        <w:t xml:space="preserve">Based on </w:t>
      </w:r>
      <w:r>
        <w:rPr>
          <w:rFonts w:ascii="Book Antiqua" w:hAnsi="Book Antiqua" w:cs="Arial"/>
          <w:i/>
          <w:highlight w:val="none"/>
        </w:rPr>
        <w:t>k</w:t>
      </w:r>
      <w:r>
        <w:rPr>
          <w:rFonts w:ascii="Book Antiqua" w:hAnsi="Book Antiqua" w:cs="Arial"/>
          <w:highlight w:val="none"/>
        </w:rPr>
        <w:t xml:space="preserve">: 14 studies.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i/>
          <w:highlight w:val="none"/>
        </w:rPr>
        <w:t>k</w:t>
      </w:r>
      <w:r>
        <w:rPr>
          <w:rFonts w:ascii="Book Antiqua" w:hAnsi="Book Antiqua" w:cs="Arial"/>
          <w:highlight w:val="none"/>
        </w:rPr>
        <w:t>: 3 studies</w:t>
      </w:r>
      <w:r>
        <w:rPr>
          <w:rFonts w:ascii="Book Antiqua" w:hAnsi="Book Antiqua" w:cs="Arial"/>
          <w:highlight w:val="none"/>
        </w:rPr>
        <w:fldChar w:fldCharType="begin" w:fldLock="1"/>
      </w:r>
      <w:r>
        <w:rPr>
          <w:rFonts w:ascii="Book Antiqua" w:hAnsi="Book Antiqua" w:cs="Arial"/>
          <w:highlight w:val="none"/>
        </w:rPr>
        <w:instrText xml:space="preserve">ADDIN CSL_CITATION {"citationItems":[{"id":"ITEM-1","itemData":{"DOI":"10.5539/gjhs.v8n2p117","ISBN":"1916-9736 (Print) 1916-9736","ISSN":"1916-9744","PMID":"26383206","abstract":"OBJECTIVES The present study was conducted to investigate the role of metacognition beliefs and general health in alexithymia in Iranian students. METHODS This descriptive and correlational study included 200 participants of high schools students, selected randomly from students of two cities (Sari and Dargaz), Iran. Metacognitive Strategies Questionnaire (MCQ-30); the General Health Questionnaire (GHQ) and Farsi Version of the Toronto Alexithymia Scale (TAS-20) were used for gathering the data. Using the Pearson's correlation method and regression, the data were analyzed. RESULTS The findings indicated significant positive relationships between alexithymia and all subscales of general health. The highest correlation was between alexithymia and anxiety subscale (r=0.36, P&lt;0.01). Also, there was a significant negative relationship between alexithymia and some metacognitive strategies. The highest significant negative relationship was seen between alexithymia and the sub-scale of risk uncontrollability (r=-0.359, P &lt; 0.01). Based on the results of multiple regressions, three predictors explained 21% of the variance (R2=0. 21, F=7.238, P&lt;0.01). It was found that anxiety subscale of General Health significantly predicted 13% of the variance of alexithymia (β=0.36, P&lt;0.01) and risk uncontrollability subscale of Metacognition beliefs predicted about 8% of the variance of alexithymia (β=-0.028, P&lt;0.01). CONCLUSIONS The findings demonstrated that metacognition beliefs and general health had important role in predicting of alexithymia in students.","author":[{"dropping-particle":"","family":"Babaei","given":"Samaneh","non-dropping-particle":"","parse-names":false,"suffix":""},{"dropping-particle":"","family":"Ranjbar Varandi","given":"Sharyar","non-dropping-particle":"","parse-names":false,"suffix":""},{"dropping-particle":"","family":"Hatami","given":"Zohre","non-dropping-particle":"","parse-names":false,"suffix":""},{"dropping-particle":"","family":"Gharechahi","given":"Maryam","non-dropping-particle":"","parse-names":false,"suffix":""}],"container-title":"Global Journal of Health Science","id":"ITEM-1","issue":"2","issued":{"date-parts":[["2016","6","12"]]},"page":"117-125","title":"Metacognition Beliefs and General Health in Predicting Alexithymia in Students","type":"article-journal","volume":"8"},"uris":["http://www.mendeley.com/documents/?uuid=67368c45-c54d-4d09-a4ae-615f14a61f34"]},{"id":"ITEM-2","itemData":{"DOI":"10.1037/a0033793","ISBN":"1040-3590","ISSN":"10403590","PMID":"23876156","abstract":"Theoretical models of anxiety have been developed in adult populations. The applicability of these models in child samples has been assessed using downward extensions of the questionnaires developed to assess the proposed theoretical mechanisms. This poses a challenge, as children are still in the process of developing the skills that are being assessed. Psychometrically sound assessment tools are therefore needed for this developing population, in order to ensure the early detection of mechanisms leading to anxiety disorders in children. This study examined if metacognitions, which play a key role in generalized anxiety disorder (GAD) in adults, can also be reliably assessed in childhood. The study investigated the psychometric properties of the 30-item Metacognitions Questionnaire for Children (MCQ-C 30 ; Gerlach, Adam, Marschke, &amp; Melfsen, 2008) in a national sample of 974 children and adolescents (538 girls) ages 9 –17 years. Confirmatory factor analysis supported the 5-factor subscale structure and a 2nd-order total scale factor, which corresponds with previous versions of the scale. MCQ-C 30 expectedly correlated significantly with anxiety symptoms and worry. Structural equation modeling revealed that both obsessive-compulsive disorder and generalized anxiety disorder symptoms regressed significantly onto the MCQ-C 30 . We fitted separate models for children and adolescents, and no noticeable differences are suggested between the models. Female gender was, expectedly, associated with increased levels of general metacognitions. This gender effect was mediated by level of anxiety. Overall, the MCQ-C 30 exhibited acceptable psychometric properties in our community sample of children ages 9 –17 years. Future studies should investigate the psychometric properties of the instrument in clinical samples and samples of younger children.","author":[{"dropping-particle":"","family":"Esbjørn","given":"Barbara Hoff","non-dropping-particle":"","parse-names":false,"suffix":""},{"dropping-particle":"","family":"Sømhovd","given":"Mikael J.","non-dropping-particle":"","parse-names":false,"suffix":""},{"dropping-particle":"","family":"Holm","given":"Jon M.","non-dropping-particle":"","parse-names":false,"suffix":""},{"dropping-particle":"","family":"Lønfeldt","given":"Nicole N.","non-dropping-particle":"","parse-names":false,"suffix":""},{"dropping-particle":"","family":"Bender","given":"Patrick K.","non-dropping-particle":"","parse-names":false,"suffix":""},{"dropping-particle":"","family":"Nielsen","given":"Sara K.","non-dropping-particle":"","parse-names":false,"suffix":""},{"dropping-particle":"","family":"Reinholdt-Dunne","given":"Marie Louise","non-dropping-particle":"","parse-names":false,"suffix":""}],"container-title":"Psychological Assessment","id":"ITEM-2","issue":"4","issued":{"date-parts":[["2013"]]},"page":"1211-1219","title":"A structural assessment of the 30-item metacognitions questionnaire for children and its relations to anxiety symptoms","type":"article-journal","volume":"25"},"uris":["http://www.mendeley.com/documents/?uuid=447db6eb-71b5-4663-bfcb-ca49d7a5f971"]},{"id":"ITEM-3","itemData":{"DOI":"10.1017/S1352465806003213","ISBN":"1352-4658","ISSN":"1352-4658","abstract":"Abstract. Three influential theoretical models of OCD focus upon the cognitive factors of inflated responsibility (Salkovskis, 1985), thought-action fusion (Rachman, 1993) and meta-cognitive beliefs (Wells and Matthews, 1994).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Psychotherapy","id":"ITEM-3","issue":"02","issued":{"date-parts":[["2006","4","7"]]},"page":"149","title":"Examining Cognitive Models of Obsessive Compulsive Disorder in Adolescents","type":"article-journal","volume":"35"},"uris":["http://www.mendeley.com/documents/?uuid=e9c3438e-acb6-4991-a8dc-fb44842cad41"]}],"mendeley":{"formattedCitation":"&lt;sup&gt;[56,68,84]&lt;/sup&gt;","plainTextFormattedCitation":"[56,68,84]","previouslyFormattedCitation":"&lt;sup&gt;[56,68,84]&lt;/sup&gt;"},"properties":{"noteIndex":0},"schema":"https://github.com/citation-style-language/schema/raw/master/csl-citation.json"}</w:instrText>
      </w:r>
      <w:r>
        <w:rPr>
          <w:rFonts w:ascii="Book Antiqua" w:hAnsi="Book Antiqua" w:cs="Arial"/>
          <w:highlight w:val="none"/>
        </w:rPr>
        <w:fldChar w:fldCharType="separate"/>
      </w:r>
      <w:r>
        <w:rPr>
          <w:rFonts w:ascii="Book Antiqua" w:hAnsi="Book Antiqua" w:cs="Arial"/>
          <w:highlight w:val="none"/>
          <w:vertAlign w:val="superscript"/>
        </w:rPr>
        <w:t>[55,67,81]</w:t>
      </w:r>
      <w:r>
        <w:rPr>
          <w:rFonts w:ascii="Book Antiqua" w:hAnsi="Book Antiqua" w:cs="Arial"/>
          <w:highlight w:val="none"/>
        </w:rPr>
        <w:fldChar w:fldCharType="end"/>
      </w:r>
      <w:r>
        <w:rPr>
          <w:rFonts w:ascii="Book Antiqua" w:hAnsi="Book Antiqua" w:cs="Arial"/>
          <w:highlight w:val="none"/>
        </w:rPr>
        <w:t xml:space="preserve"> were excluded as no mean age was reported.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a</w:t>
      </w:r>
      <w:r>
        <w:rPr>
          <w:rFonts w:ascii="Book Antiqua" w:hAnsi="Book Antiqua" w:cs="Arial"/>
          <w:i/>
          <w:highlight w:val="none"/>
        </w:rPr>
        <w:t>P</w:t>
      </w:r>
      <w:r>
        <w:rPr>
          <w:rFonts w:ascii="Book Antiqua" w:hAnsi="Book Antiqua" w:cs="Arial"/>
          <w:highlight w:val="none"/>
        </w:rPr>
        <w:t xml:space="preserve"> &lt; 0.05.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highlight w:val="none"/>
          <w:vertAlign w:val="superscript"/>
        </w:rPr>
        <w:t>b</w:t>
      </w:r>
      <w:r>
        <w:rPr>
          <w:rFonts w:ascii="Book Antiqua" w:hAnsi="Book Antiqua" w:cs="Arial"/>
          <w:highlight w:val="none"/>
        </w:rPr>
        <w:t xml:space="preserve"> </w:t>
      </w:r>
      <w:r>
        <w:rPr>
          <w:rFonts w:ascii="Book Antiqua" w:hAnsi="Book Antiqua" w:cs="Arial"/>
          <w:i/>
          <w:iCs/>
          <w:highlight w:val="none"/>
        </w:rPr>
        <w:t>P</w:t>
      </w:r>
      <w:r>
        <w:rPr>
          <w:rFonts w:ascii="Book Antiqua" w:hAnsi="Book Antiqua" w:cs="Arial"/>
          <w:highlight w:val="none"/>
        </w:rPr>
        <w:t xml:space="preserve"> &lt; 0.01. </w:t>
      </w:r>
    </w:p>
    <w:p>
      <w:pPr>
        <w:tabs>
          <w:tab w:val="left" w:pos="2620"/>
        </w:tabs>
        <w:adjustRightInd w:val="0"/>
        <w:snapToGrid w:val="0"/>
        <w:spacing w:line="360" w:lineRule="auto"/>
        <w:jc w:val="both"/>
        <w:rPr>
          <w:rFonts w:ascii="Book Antiqua" w:hAnsi="Book Antiqua" w:cs="Arial"/>
          <w:highlight w:val="none"/>
        </w:rPr>
      </w:pPr>
      <w:r>
        <w:rPr>
          <w:rFonts w:ascii="Book Antiqua" w:hAnsi="Book Antiqua" w:cs="Arial"/>
          <w:i/>
          <w:highlight w:val="none"/>
        </w:rPr>
        <w:t>B</w:t>
      </w:r>
      <w:r>
        <w:rPr>
          <w:rFonts w:ascii="Book Antiqua" w:hAnsi="Book Antiqua" w:cs="Arial"/>
          <w:highlight w:val="none"/>
        </w:rPr>
        <w:t xml:space="preserve">: Point estimate; </w:t>
      </w:r>
      <w:r>
        <w:rPr>
          <w:rFonts w:ascii="Book Antiqua" w:hAnsi="Book Antiqua" w:cs="Arial"/>
          <w:i/>
          <w:highlight w:val="none"/>
        </w:rPr>
        <w:t>SE</w:t>
      </w:r>
      <w:r>
        <w:rPr>
          <w:rFonts w:ascii="Book Antiqua" w:hAnsi="Book Antiqua" w:cs="Arial"/>
          <w:i/>
          <w:highlight w:val="none"/>
          <w:vertAlign w:val="subscript"/>
        </w:rPr>
        <w:t>B</w:t>
      </w:r>
      <w:r>
        <w:rPr>
          <w:rFonts w:ascii="Book Antiqua" w:hAnsi="Book Antiqua" w:cs="Arial"/>
          <w:highlight w:val="none"/>
        </w:rPr>
        <w:t>: Standard error of point estimate; POS: Positive metacognitive beliefs about worry; NEG: Negative metacognitive beliefs about worry.</w:t>
      </w:r>
    </w:p>
    <w:p>
      <w:pPr>
        <w:tabs>
          <w:tab w:val="left" w:pos="2620"/>
        </w:tabs>
        <w:adjustRightInd w:val="0"/>
        <w:snapToGrid w:val="0"/>
        <w:spacing w:line="360" w:lineRule="auto"/>
        <w:jc w:val="both"/>
        <w:rPr>
          <w:rFonts w:ascii="Book Antiqua" w:hAnsi="Book Antiqua" w:cs="Arial"/>
          <w:highlight w:val="none"/>
        </w:rPr>
        <w:sectPr>
          <w:pgSz w:w="11900" w:h="16840"/>
          <w:pgMar w:top="1417" w:right="1417" w:bottom="1134" w:left="1417" w:header="708" w:footer="708" w:gutter="0"/>
          <w:cols w:space="708" w:num="1"/>
          <w:titlePg/>
          <w:docGrid w:linePitch="360" w:charSpace="0"/>
        </w:sectPr>
      </w:pPr>
    </w:p>
    <w:p>
      <w:pPr>
        <w:pStyle w:val="13"/>
        <w:keepNext/>
        <w:adjustRightInd w:val="0"/>
        <w:snapToGrid w:val="0"/>
        <w:spacing w:line="360" w:lineRule="auto"/>
        <w:jc w:val="both"/>
        <w:rPr>
          <w:rFonts w:ascii="Book Antiqua" w:hAnsi="Book Antiqua" w:cs="Arial"/>
          <w:b/>
          <w:bCs/>
          <w:i/>
          <w:color w:val="000000" w:themeColor="text1"/>
          <w:sz w:val="24"/>
          <w:szCs w:val="24"/>
          <w:highlight w:val="none"/>
          <w14:textFill>
            <w14:solidFill>
              <w14:schemeClr w14:val="tx1"/>
            </w14:solidFill>
          </w14:textFill>
        </w:rPr>
      </w:pPr>
      <w:r>
        <w:rPr>
          <w:rFonts w:ascii="Book Antiqua" w:hAnsi="Book Antiqua" w:cs="Arial"/>
          <w:b/>
          <w:bCs/>
          <w:color w:val="000000" w:themeColor="text1"/>
          <w:sz w:val="24"/>
          <w:szCs w:val="24"/>
          <w:highlight w:val="none"/>
          <w14:textFill>
            <w14:solidFill>
              <w14:schemeClr w14:val="tx1"/>
            </w14:solidFill>
          </w14:textFill>
        </w:rPr>
        <w:t>Table 5 Measurements of metacognitive beliefs about worry and meta-worry</w:t>
      </w:r>
    </w:p>
    <w:tbl>
      <w:tblPr>
        <w:tblStyle w:val="40"/>
        <w:tblW w:w="9776"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0"/>
        <w:gridCol w:w="824"/>
        <w:gridCol w:w="877"/>
        <w:gridCol w:w="2163"/>
        <w:gridCol w:w="3386"/>
        <w:gridCol w:w="794"/>
        <w:gridCol w:w="48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top w:val="single" w:color="auto" w:sz="4" w:space="0"/>
              <w:bottom w:val="single" w:color="auto" w:sz="4" w:space="0"/>
            </w:tcBorders>
          </w:tcPr>
          <w:p>
            <w:pPr>
              <w:adjustRightInd w:val="0"/>
              <w:snapToGrid w:val="0"/>
              <w:spacing w:before="0" w:line="360" w:lineRule="auto"/>
              <w:rPr>
                <w:rFonts w:ascii="Book Antiqua" w:hAnsi="Book Antiqua" w:cs="Arial"/>
                <w:b/>
                <w:bCs w:val="0"/>
                <w:highlight w:val="none"/>
                <w:lang w:val="de-DE"/>
              </w:rPr>
            </w:pPr>
            <w:r>
              <w:rPr>
                <w:rFonts w:ascii="Book Antiqua" w:hAnsi="Book Antiqua" w:cs="Arial"/>
                <w:b/>
                <w:bCs w:val="0"/>
                <w:highlight w:val="none"/>
                <w:lang w:val="de-DE"/>
              </w:rPr>
              <w:t>Measure</w:t>
            </w:r>
          </w:p>
        </w:tc>
        <w:tc>
          <w:tcPr>
            <w:tcW w:w="824" w:type="dxa"/>
            <w:tcBorders>
              <w:top w:val="single" w:color="auto" w:sz="4" w:space="0"/>
              <w:bottom w:val="single" w:color="auto" w:sz="4" w:space="0"/>
            </w:tcBorders>
          </w:tcPr>
          <w:p>
            <w:pPr>
              <w:adjustRightInd w:val="0"/>
              <w:snapToGrid w:val="0"/>
              <w:spacing w:before="0" w:line="360" w:lineRule="auto"/>
              <w:rPr>
                <w:rFonts w:ascii="Book Antiqua" w:hAnsi="Book Antiqua" w:cs="Arial"/>
                <w:b/>
                <w:bCs w:val="0"/>
                <w:highlight w:val="none"/>
                <w:lang w:val="de-DE"/>
              </w:rPr>
            </w:pPr>
            <w:r>
              <w:rPr>
                <w:rFonts w:ascii="Book Antiqua" w:hAnsi="Book Antiqua" w:cs="Arial"/>
                <w:b/>
                <w:bCs w:val="0"/>
                <w:highlight w:val="none"/>
                <w:lang w:val="de-DE"/>
              </w:rPr>
              <w:t>Items</w:t>
            </w:r>
          </w:p>
        </w:tc>
        <w:tc>
          <w:tcPr>
            <w:tcW w:w="877" w:type="dxa"/>
            <w:tcBorders>
              <w:top w:val="single" w:color="auto" w:sz="4" w:space="0"/>
              <w:bottom w:val="single" w:color="auto" w:sz="4" w:space="0"/>
            </w:tcBorders>
          </w:tcPr>
          <w:p>
            <w:pPr>
              <w:adjustRightInd w:val="0"/>
              <w:snapToGrid w:val="0"/>
              <w:spacing w:before="0" w:line="360" w:lineRule="auto"/>
              <w:rPr>
                <w:rFonts w:ascii="Book Antiqua" w:hAnsi="Book Antiqua" w:cs="Arial"/>
                <w:b/>
                <w:bCs w:val="0"/>
                <w:highlight w:val="none"/>
                <w:lang w:val="de-DE"/>
              </w:rPr>
            </w:pPr>
            <w:r>
              <w:rPr>
                <w:rFonts w:ascii="Book Antiqua" w:hAnsi="Book Antiqua" w:cs="Arial"/>
                <w:b/>
                <w:bCs w:val="0"/>
                <w:highlight w:val="none"/>
                <w:lang w:val="de-DE"/>
              </w:rPr>
              <w:t>Scales</w:t>
            </w:r>
          </w:p>
        </w:tc>
        <w:tc>
          <w:tcPr>
            <w:tcW w:w="2163" w:type="dxa"/>
            <w:tcBorders>
              <w:top w:val="single" w:color="auto" w:sz="4" w:space="0"/>
              <w:bottom w:val="single" w:color="auto" w:sz="4" w:space="0"/>
            </w:tcBorders>
          </w:tcPr>
          <w:p>
            <w:pPr>
              <w:adjustRightInd w:val="0"/>
              <w:snapToGrid w:val="0"/>
              <w:spacing w:before="0" w:line="360" w:lineRule="auto"/>
              <w:jc w:val="both"/>
              <w:rPr>
                <w:rFonts w:ascii="Book Antiqua" w:hAnsi="Book Antiqua" w:cs="Arial"/>
                <w:b/>
                <w:bCs w:val="0"/>
                <w:highlight w:val="none"/>
                <w:lang w:val="de-DE"/>
              </w:rPr>
            </w:pPr>
            <w:r>
              <w:rPr>
                <w:rFonts w:ascii="Book Antiqua" w:hAnsi="Book Antiqua" w:cs="Arial"/>
                <w:b/>
                <w:bCs w:val="0"/>
                <w:highlight w:val="none"/>
                <w:lang w:val="de-DE"/>
              </w:rPr>
              <w:t>Answer format</w:t>
            </w:r>
          </w:p>
        </w:tc>
        <w:tc>
          <w:tcPr>
            <w:tcW w:w="3386" w:type="dxa"/>
            <w:tcBorders>
              <w:top w:val="single" w:color="auto" w:sz="4" w:space="0"/>
              <w:bottom w:val="single" w:color="auto" w:sz="4" w:space="0"/>
            </w:tcBorders>
          </w:tcPr>
          <w:p>
            <w:pPr>
              <w:adjustRightInd w:val="0"/>
              <w:snapToGrid w:val="0"/>
              <w:spacing w:before="0" w:line="360" w:lineRule="auto"/>
              <w:rPr>
                <w:rFonts w:ascii="Book Antiqua" w:hAnsi="Book Antiqua" w:cs="Arial"/>
                <w:b/>
                <w:bCs w:val="0"/>
                <w:highlight w:val="none"/>
                <w:lang w:val="de-DE"/>
              </w:rPr>
            </w:pPr>
            <w:r>
              <w:rPr>
                <w:rFonts w:ascii="Book Antiqua" w:hAnsi="Book Antiqua" w:cs="Arial"/>
                <w:b/>
                <w:bCs w:val="0"/>
                <w:highlight w:val="none"/>
                <w:lang w:val="de-DE"/>
              </w:rPr>
              <w:t>Values for reliability</w:t>
            </w:r>
          </w:p>
        </w:tc>
        <w:tc>
          <w:tcPr>
            <w:tcW w:w="794" w:type="dxa"/>
            <w:tcBorders>
              <w:top w:val="single" w:color="auto" w:sz="4" w:space="0"/>
              <w:bottom w:val="single" w:color="auto" w:sz="4" w:space="0"/>
            </w:tcBorders>
          </w:tcPr>
          <w:p>
            <w:pPr>
              <w:adjustRightInd w:val="0"/>
              <w:snapToGrid w:val="0"/>
              <w:spacing w:before="0" w:line="360" w:lineRule="auto"/>
              <w:rPr>
                <w:rFonts w:ascii="Book Antiqua" w:hAnsi="Book Antiqua" w:cs="Arial"/>
                <w:b/>
                <w:bCs w:val="0"/>
                <w:highlight w:val="none"/>
                <w:lang w:val="de-DE"/>
              </w:rPr>
            </w:pPr>
            <w:r>
              <w:rPr>
                <w:rFonts w:ascii="Book Antiqua" w:hAnsi="Book Antiqua" w:cs="Arial"/>
                <w:b/>
                <w:bCs w:val="0"/>
                <w:highlight w:val="none"/>
                <w:lang w:val="de-DE"/>
              </w:rPr>
              <w:t>Age</w:t>
            </w:r>
          </w:p>
        </w:tc>
        <w:tc>
          <w:tcPr>
            <w:tcW w:w="482" w:type="dxa"/>
            <w:tcBorders>
              <w:top w:val="single" w:color="auto" w:sz="4" w:space="0"/>
              <w:bottom w:val="single" w:color="auto" w:sz="4" w:space="0"/>
            </w:tcBorders>
          </w:tcPr>
          <w:p>
            <w:pPr>
              <w:adjustRightInd w:val="0"/>
              <w:snapToGrid w:val="0"/>
              <w:spacing w:before="0" w:line="360" w:lineRule="auto"/>
              <w:rPr>
                <w:rFonts w:ascii="Book Antiqua" w:hAnsi="Book Antiqua" w:cs="Arial"/>
                <w:b/>
                <w:bCs w:val="0"/>
                <w:i/>
                <w:highlight w:val="none"/>
                <w:lang w:val="de-DE"/>
              </w:rPr>
            </w:pPr>
            <w:r>
              <w:rPr>
                <w:rFonts w:ascii="Book Antiqua" w:hAnsi="Book Antiqua" w:cs="Arial"/>
                <w:b/>
                <w:bCs w:val="0"/>
                <w:i/>
                <w:highlight w:val="none"/>
                <w:lang w:val="de-DE"/>
              </w:rPr>
              <w:t>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top w:val="single" w:color="auto" w:sz="4" w:space="0"/>
              <w:bottom w:val="nil"/>
            </w:tcBorders>
          </w:tcPr>
          <w:p>
            <w:pPr>
              <w:adjustRightInd w:val="0"/>
              <w:snapToGrid w:val="0"/>
              <w:spacing w:before="0" w:line="360" w:lineRule="auto"/>
              <w:rPr>
                <w:rFonts w:ascii="Book Antiqua" w:hAnsi="Book Antiqua" w:cs="Arial"/>
                <w:b w:val="0"/>
                <w:bCs/>
                <w:highlight w:val="none"/>
                <w:lang w:val="en-US"/>
              </w:rPr>
            </w:pPr>
            <w:r>
              <w:rPr>
                <w:rFonts w:ascii="Book Antiqua" w:hAnsi="Book Antiqua" w:cs="Arial"/>
                <w:b w:val="0"/>
                <w:bCs/>
                <w:highlight w:val="none"/>
                <w:lang w:val="en-US"/>
              </w:rPr>
              <w:t xml:space="preserve">MCQ-C </w:t>
            </w:r>
          </w:p>
        </w:tc>
        <w:tc>
          <w:tcPr>
            <w:tcW w:w="824" w:type="dxa"/>
            <w:tcBorders>
              <w:top w:val="single" w:color="auto" w:sz="4" w:space="0"/>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 xml:space="preserve">24 </w:t>
            </w:r>
          </w:p>
        </w:tc>
        <w:tc>
          <w:tcPr>
            <w:tcW w:w="877" w:type="dxa"/>
            <w:tcBorders>
              <w:top w:val="single" w:color="auto" w:sz="4" w:space="0"/>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4</w:t>
            </w:r>
          </w:p>
        </w:tc>
        <w:tc>
          <w:tcPr>
            <w:tcW w:w="2163" w:type="dxa"/>
            <w:tcBorders>
              <w:top w:val="single" w:color="auto" w:sz="4" w:space="0"/>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eastAsiaTheme="minorHAnsi"/>
                <w:highlight w:val="none"/>
                <w:lang w:val="en-US"/>
              </w:rPr>
              <w:t>Do not agree (1) to agree very much (4)</w:t>
            </w:r>
          </w:p>
        </w:tc>
        <w:tc>
          <w:tcPr>
            <w:tcW w:w="3386" w:type="dxa"/>
            <w:tcBorders>
              <w:top w:val="single" w:color="auto" w:sz="4" w:space="0"/>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POS: α = 0.46 - 0.89, </w:t>
            </w:r>
            <w:r>
              <w:rPr>
                <w:rFonts w:ascii="Book Antiqua" w:hAnsi="Book Antiqua" w:cs="Arial"/>
                <w:i/>
                <w:highlight w:val="none"/>
                <w:lang w:val="de-DE"/>
              </w:rPr>
              <w:t>rtt</w:t>
            </w:r>
            <w:r>
              <w:rPr>
                <w:rFonts w:ascii="Book Antiqua" w:hAnsi="Book Antiqua" w:cs="Arial"/>
                <w:highlight w:val="none"/>
                <w:lang w:val="de-DE"/>
              </w:rPr>
              <w:t xml:space="preserve"> = 0.82; </w:t>
            </w:r>
          </w:p>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NEG: α = 0.60 - 0.95, </w:t>
            </w:r>
            <w:r>
              <w:rPr>
                <w:rFonts w:ascii="Book Antiqua" w:hAnsi="Book Antiqua" w:cs="Arial"/>
                <w:i/>
                <w:highlight w:val="none"/>
                <w:lang w:val="de-DE"/>
              </w:rPr>
              <w:t>rtt</w:t>
            </w:r>
            <w:r>
              <w:rPr>
                <w:rFonts w:ascii="Book Antiqua" w:hAnsi="Book Antiqua" w:cs="Arial"/>
                <w:highlight w:val="none"/>
                <w:lang w:val="de-DE"/>
              </w:rPr>
              <w:t xml:space="preserve"> = 0.76</w:t>
            </w:r>
            <w:r>
              <w:rPr>
                <w:rFonts w:ascii="Book Antiqua" w:hAnsi="Book Antiqua" w:cs="Arial"/>
                <w:highlight w:val="none"/>
                <w:vertAlign w:val="superscript"/>
                <w:lang w:val="de-DE"/>
              </w:rPr>
              <w:t>[25-28,49,51,52,57,64,65,72,73,74,78]</w:t>
            </w:r>
          </w:p>
        </w:tc>
        <w:tc>
          <w:tcPr>
            <w:tcW w:w="794" w:type="dxa"/>
            <w:tcBorders>
              <w:top w:val="single" w:color="auto" w:sz="4" w:space="0"/>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 xml:space="preserve">7-17 </w:t>
            </w:r>
          </w:p>
        </w:tc>
        <w:tc>
          <w:tcPr>
            <w:tcW w:w="482" w:type="dxa"/>
            <w:tcBorders>
              <w:top w:val="single" w:color="auto" w:sz="4" w:space="0"/>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22</w:t>
            </w:r>
          </w:p>
          <w:p>
            <w:pPr>
              <w:adjustRightInd w:val="0"/>
              <w:snapToGrid w:val="0"/>
              <w:spacing w:before="0" w:line="360" w:lineRule="auto"/>
              <w:rPr>
                <w:rFonts w:ascii="Book Antiqua" w:hAnsi="Book Antiqua" w:cs="Arial"/>
                <w:highlight w:val="none"/>
                <w:vertAlign w:val="superscript"/>
                <w:lang w:val="de-DE"/>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bottom w:val="nil"/>
            </w:tcBorders>
          </w:tcPr>
          <w:p>
            <w:pPr>
              <w:adjustRightInd w:val="0"/>
              <w:snapToGrid w:val="0"/>
              <w:spacing w:before="0" w:line="360" w:lineRule="auto"/>
              <w:rPr>
                <w:rFonts w:ascii="Book Antiqua" w:hAnsi="Book Antiqua" w:cs="Arial"/>
                <w:b/>
                <w:bCs/>
                <w:highlight w:val="none"/>
                <w:lang w:val="en-US"/>
              </w:rPr>
            </w:pPr>
            <w:r>
              <w:rPr>
                <w:rFonts w:ascii="Book Antiqua" w:hAnsi="Book Antiqua" w:cs="Arial"/>
                <w:b w:val="0"/>
                <w:bCs w:val="0"/>
                <w:color w:val="000000"/>
                <w:highlight w:val="none"/>
                <w:lang w:val="en-US"/>
              </w:rPr>
              <w:t xml:space="preserve">MCQ-A </w:t>
            </w:r>
          </w:p>
        </w:tc>
        <w:tc>
          <w:tcPr>
            <w:tcW w:w="824" w:type="dxa"/>
            <w:tcBorders>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en-US"/>
              </w:rPr>
              <w:t xml:space="preserve">30 </w:t>
            </w:r>
          </w:p>
        </w:tc>
        <w:tc>
          <w:tcPr>
            <w:tcW w:w="877" w:type="dxa"/>
            <w:tcBorders>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5</w:t>
            </w:r>
          </w:p>
        </w:tc>
        <w:tc>
          <w:tcPr>
            <w:tcW w:w="2163" w:type="dxa"/>
            <w:tcBorders>
              <w:bottom w:val="nil"/>
            </w:tcBorders>
          </w:tcPr>
          <w:p>
            <w:pPr>
              <w:adjustRightInd w:val="0"/>
              <w:snapToGrid w:val="0"/>
              <w:spacing w:before="0" w:line="360" w:lineRule="auto"/>
              <w:rPr>
                <w:rFonts w:ascii="Book Antiqua" w:hAnsi="Book Antiqua" w:cs="Arial" w:eastAsiaTheme="minorHAnsi"/>
                <w:highlight w:val="none"/>
                <w:lang w:val="en-US"/>
              </w:rPr>
            </w:pPr>
            <w:r>
              <w:rPr>
                <w:rFonts w:ascii="Book Antiqua" w:hAnsi="Book Antiqua" w:cs="Arial" w:eastAsiaTheme="minorHAnsi"/>
                <w:highlight w:val="none"/>
                <w:lang w:val="en-US"/>
              </w:rPr>
              <w:t>Do not agree (1) to agree very much (4)</w:t>
            </w:r>
          </w:p>
        </w:tc>
        <w:tc>
          <w:tcPr>
            <w:tcW w:w="3386" w:type="dxa"/>
            <w:tcBorders>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 xml:space="preserve">POS: α = 0.80 - 0.90, </w:t>
            </w:r>
            <w:r>
              <w:rPr>
                <w:rFonts w:ascii="Book Antiqua" w:hAnsi="Book Antiqua" w:cs="Arial"/>
                <w:i/>
                <w:highlight w:val="none"/>
                <w:lang w:val="de-DE"/>
              </w:rPr>
              <w:t xml:space="preserve">rtt = </w:t>
            </w:r>
            <w:r>
              <w:rPr>
                <w:rFonts w:ascii="Book Antiqua" w:hAnsi="Book Antiqua" w:cs="Arial"/>
                <w:highlight w:val="none"/>
                <w:lang w:val="de-DE"/>
              </w:rPr>
              <w:t xml:space="preserve">0.66; NEG: α = 0.80 - 0.87, </w:t>
            </w:r>
            <w:r>
              <w:rPr>
                <w:rFonts w:ascii="Book Antiqua" w:hAnsi="Book Antiqua" w:cs="Arial"/>
                <w:i/>
                <w:highlight w:val="none"/>
                <w:lang w:val="de-DE"/>
              </w:rPr>
              <w:t xml:space="preserve">rtt = </w:t>
            </w:r>
            <w:r>
              <w:rPr>
                <w:rFonts w:ascii="Book Antiqua" w:hAnsi="Book Antiqua" w:cs="Arial"/>
                <w:highlight w:val="none"/>
                <w:lang w:val="de-DE"/>
              </w:rPr>
              <w:t>0.71</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{"citationItems":[{"id":"ITEM-1","itemData":{"DOI":"10.1016/S0887-6185(02)00294-3","ISBN":"0887-6185","ISSN":"08876185","PMID":"15125986","abstract":"This study describes the development of the Meta-cognitions Questionnaire for Adolescents (MCQ-A). The adult version of this questionnaire has been widely used, and the meta-cognitive theory of emotional disorders has become influential in the adult literature. This study sought to examine the prevalence and emotional correlates of meta-cognition in adolescents. The MCQ-A was administered to 177 schoolchildren aged 13 through 17 years, together with measures of emotional well-being. Factor analysis suggested a five-factor solution similar to that reported for the adult version. Internal consistency of the scale was high. Scores ranged from low to high across the age range, suggesting that meta-cognitive beliefs are well-established by adolescence. Scores on the MCQ-A were highly correlated with a number of measures of emotional symptoms. The MCQ-A is a reliable and valid instrument for measuring meta-cognitive beliefs in adolescents. Young people aged between 13 and 17 years report a range of types and levels of meta-cognitive beliefs and these are positively associated with emotional symptoms. © 2002 Elsevier Science Inc. All rights reserved.","author":[{"dropping-particle":"","family":"Cartwright-Hatton","given":"Sam","non-dropping-particle":"","parse-names":false,"suffix":""},{"dropping-particle":"","family":"Mather","given":"Alison","non-dropping-particle":"","parse-names":false,"suffix":""},{"dropping-particle":"","family":"Illingworth","given":"Vicky","non-dropping-particle":"","parse-names":false,"suffix":""},{"dropping-particle":"","family":"Brocki","given":"Jo","non-dropping-particle":"","parse-names":false,"suffix":""},{"dropping-particle":"","family":"Harrington","given":"Richard","non-dropping-particle":"","parse-names":false,"suffix":""},{"dropping-particle":"","family":"Wells","given":"Adrian","non-dropping-particle":"","parse-names":false,"suffix":""}],"container-title":"Journal of Anxiety Disorders","id":"ITEM-1","issue":"3","issued":{"date-parts":[["2004","1"]]},"page":"411-422","title":"Development and preliminary validation of the Meta-cognitions Questionnaire—Adolescent Version","type":"article-journal","volume":"18"},"uris":["http://www.mendeley.com/documents/?uuid=287aea68-6c29-498e-88e2-dae90e779536"]},{"id":"ITEM-2","itemData":{"DOI":"10.5127/jep.011910","ISBN":"2043-8087","ISSN":"20438087","abstract":"The metacognitive model of generalized anxiety disorder (GAD) suggests that positive and negative beliefs about worry contribute to pathological worry. This study explores the relationship between metacognition and worry in youth aged 12–17 years. The sample consisted of 81 anxiety-disordered youth, with 70 mothers included, and 42 non-clinical controls, with 40 mothers included. Metacognitive beliefs were associated with emotional symptoms. Both GAD and non-GAD youth, and anxious and anxious/depressed youth, reported higher metacognitive beliefs compared to non-clinical controls, but there were no differences in metacognition between emotional disorders. There was no significant association between age and metacognition, and there were no gender differences in metacognition. These results provide partial support for using the metacognitive model of GAD to understand worry in young people. (PsycINFO Database Record (c) 2016 APA, all rights reserved)","author":[{"dropping-particle":"","family":"Ellis","given":"Danielle M.","non-dropping-particle":"","parse-names":false,"suffix":""},{"dropping-particle":"","family":"Hudson","given":"Jennifer","non-dropping-particle":"","parse-names":false,"suffix":""}],"container-title":"Journal of Experimental Psychopathology","id":"ITEM-2","issue":"1","issued":{"date-parts":[["2011"]]},"page":"28-43","title":"Test of the Metacognitive Model of Generalized Anxiety Disorder in Anxiety-Disordered Adolescents","type":"article-journal","volume":"2"},"uris":["http://www.mendeley.com/documents/?uuid=c5e50085-12d7-41b7-be81-c93fc49ea263"]},{"id":"ITEM-3","itemData":{"DOI":"10.1017/S1352465806003213","ISBN":"1352-4658","ISSN":"1352-4658","abstract":"Abstract. Three influential theoretical models of OCD focus upon the cognitive factors of inflated responsibility (Salkovskis, 1985), thought-action fusion (Rachman, 1993) and meta-cognitive beliefs (Wells and Matthews, 1994). Little is known about the relevance of these models in adolescents or about the nature of any direct or mediating relationships between these variables and OCD symptoms. This was a cross-sectional correlational design with 223 non-clinical adolescents aged 13 to 16 years. All participants completed questionnaires measuring inflated responsibility, thought-action fusion, meta-cognitive beliefs and obsessive-compulsive symptoms. Inflated responsibility, thought-action fusion and meta- cognitive beliefs were significantly associated with higher levels of obsessive-compulsive symptoms. These variables accounted for 35% of the variance in obsessive-compulsive symptoms,with inflated responsibility andmeta-cognitive beliefs both emerging as significant independent predictors. Inflated responsibility completely mediated the effect of thought- action fusion and partially mediated the effect of meta-cognitive beliefs. Support for the downward extension of cognitive models to understanding OCD in a younger population was shown. Findings suggest that inflated responsibility and meta-cognitive beliefs may be particularly important cognitive concepts in OCD. Methodological limitations must be borne in mind and future research is needed to replicate and extend findings in clinical samples.","author":[{"dropping-particle":"","family":"Matthews","given":"Lucy","non-dropping-particle":"","parse-names":false,"suffix":""},{"dropping-particle":"","family":"Reynolds","given":"Shirley","non-dropping-particle":"","parse-names":false,"suffix":""},{"dropping-particle":"","family":"Derisley","given":"Jo","non-dropping-particle":"","parse-names":false,"suffix":""}],"container-title":"Behavioural and Cognitive Psychotherapy","id":"ITEM-3","issue":"02","issued":{"date-parts":[["2006","4","7"]]},"page":"149","title":"Examining Cognitive Models of Obsessive Compulsive Disorder in Adolescents","type":"article-journal","volume":"35"},"uris":["http://www.mendeley.com/documents/?uuid=e9c3438e-acb6-4991-a8dc-fb44842cad41"]},{"id":"ITEM-4","itemData":{"DOI":"10.1016/j.janxdis.2010.08.005","ISBN":"0887-6185","ISSN":"08876185","PMID":"20828983","abstract":"In the meta-cognitive model of worry, positive, and negative beliefs about worry interact to make worry problematic. These beliefs have been found to be associated with anxiety in adolescents, but it is unknown whether they are associated with worry. Furthermore, it may be via cognitive mechanisms such as these, or directly through behavior, that parents influence their child's worry. The current study aimed to explore whether adolescent meta-cognition and parenting behaviors and meta-cognitions were associated with adolescent worry. Results indicated that meta-cognitions were specifically associated with worry in adolescents, but there was little evidence that parenting was. Parental worry on the other hand was associated with both parent and child reported parenting. It is concluded that the meta-cognitive model of worry may be relevant in adolescents, but that further research is required to explore how parents influence adolescent worry. © 2010 Elsevier Ltd.","author":[{"dropping-particle":"","family":"Wilson","given":"Charlotte","non-dropping-particle":"","parse-names":false,"suffix":""},{"dropping-particle":"","family":"Budd","given":"Bob","non-dropping-particle":"","parse-names":false,"suffix":""},{"dropping-particle":"","family":"Chernin","given":"Ross","non-dropping-particle":"","parse-names":false,"suffix":""},{"dropping-particle":"","family":"King","given":"Heidi","non-dropping-particle":"","parse-names":false,"suffix":""},{"dropping-particle":"","family":"Leddy","given":"Adrian","non-dropping-particle":"","parse-names":false,"suffix":""},{"dropping-particle":"","family":"Maclennan","given":"Frances","non-dropping-particle":"","parse-names":false,"suffix":""},{"dropping-particle":"","family":"Mallandain","given":"Ian","non-dropping-particle":"","parse-names":false,"suffix":""}],"container-title":"Journal of Anxiety Disorders","id":</w:instrText>
            </w:r>
            <w:r>
              <w:rPr>
                <w:rFonts w:ascii="Book Antiqua" w:hAnsi="Book Antiqua" w:cs="Arial"/>
                <w:highlight w:val="none"/>
                <w:lang w:val="en-US"/>
              </w:rPr>
              <w:instrText xml:space="preserve">"ITEM-4","issue":"1","issued":{"date-parts":[["2011","1"]]},"page":"71-79","publisher":"Elsevier Ltd","title":"The role of meta-cognition and parenting in adolescent worry","type":"article-journal","volume":"25"},"uris":["http://www.mendeley.com/documents/?uuid=fe15a6eb-a230-4b72-be9c-5b43f6d8c7a4"]},{"id":"ITEM-5","itemData":{"DOI":"10.1026/1616-3443/a000492","author":[{"dropping-particle":"","family":"Zimmermann","given":"Marie","non-dropping-particle":"","parse-names":false,"suffix":""},{"dropping-particle":"","family":"Glemser","given":"Maximilian","non-dropping-particle":"","parse-names":false,"suffix":""},{"dropping-particle":"","family":"Ertle","given":"Andrea","non-dropping-particle":"","parse-names":false,"suffix":""}],"container-title":"Zeitschrift fur Kinder- und Jugendpsychiatrie und Psychotherapie","id":"ITEM-5","issue":"4","issued":{"date-parts":[["2018"]]},"page":"264-273","title":"Dysfunktionale Metakognitionen im Jugendalter: Psychometrische Evaluation einer deutschsprachigen Version des Meta-cognitions Questionaire - Adolescent Version (MCQ-A)","type":"article-journal","volume":"47"},"uris":["http://www.mendeley.com/documents/?uuid=12213f39-d9ca-41ff-aee8-4b080cbe4fa0"]}],"mendeley":{"formattedCitation":"&lt;sup&gt;[24,54,55,84,85]&lt;/sup&gt;","plainTextFormattedCitation":"[24,54,55,84,85]","previouslyFormattedCitation":"&lt;sup&gt;[24,54,55,84,85]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[24,53,54,81,82]</w:t>
            </w:r>
            <w:r>
              <w:rPr>
                <w:rFonts w:ascii="Book Antiqua" w:hAnsi="Book Antiqua" w:cs="Arial"/>
                <w:highlight w:val="none"/>
                <w:lang w:val="de-DE"/>
              </w:rPr>
              <w:fldChar w:fldCharType="end"/>
            </w:r>
          </w:p>
        </w:tc>
        <w:tc>
          <w:tcPr>
            <w:tcW w:w="794" w:type="dxa"/>
            <w:tcBorders>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bCs/>
                <w:color w:val="000000"/>
                <w:highlight w:val="none"/>
                <w:lang w:val="de-DE"/>
              </w:rPr>
              <w:t xml:space="preserve">11-17 </w:t>
            </w:r>
          </w:p>
        </w:tc>
        <w:tc>
          <w:tcPr>
            <w:tcW w:w="482" w:type="dxa"/>
            <w:tcBorders>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9</w:t>
            </w:r>
          </w:p>
          <w:p>
            <w:pPr>
              <w:adjustRightInd w:val="0"/>
              <w:snapToGrid w:val="0"/>
              <w:spacing w:before="0" w:line="360" w:lineRule="auto"/>
              <w:rPr>
                <w:rFonts w:ascii="Book Antiqua" w:hAnsi="Book Antiqua" w:cs="Arial"/>
                <w:highlight w:val="none"/>
                <w:lang w:val="de-DE"/>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top w:val="nil"/>
              <w:bottom w:val="nil"/>
            </w:tcBorders>
          </w:tcPr>
          <w:p>
            <w:pPr>
              <w:adjustRightInd w:val="0"/>
              <w:snapToGrid w:val="0"/>
              <w:spacing w:before="0" w:line="360" w:lineRule="auto"/>
              <w:rPr>
                <w:rFonts w:ascii="Book Antiqua" w:hAnsi="Book Antiqua" w:cs="Arial"/>
                <w:b/>
                <w:bCs/>
                <w:color w:val="000000"/>
                <w:highlight w:val="none"/>
                <w:lang w:val="en-US"/>
              </w:rPr>
            </w:pPr>
            <w:r>
              <w:rPr>
                <w:rFonts w:ascii="Book Antiqua" w:hAnsi="Book Antiqua" w:cs="Arial"/>
                <w:b w:val="0"/>
                <w:bCs w:val="0"/>
                <w:color w:val="000000"/>
                <w:highlight w:val="none"/>
                <w:lang w:val="en-US"/>
              </w:rPr>
              <w:t>MCQ-C</w:t>
            </w:r>
            <w:r>
              <w:rPr>
                <w:rFonts w:ascii="Book Antiqua" w:hAnsi="Book Antiqua" w:cs="Arial"/>
                <w:b w:val="0"/>
                <w:bCs w:val="0"/>
                <w:color w:val="000000"/>
                <w:highlight w:val="none"/>
                <w:vertAlign w:val="subscript"/>
                <w:lang w:val="en-US"/>
              </w:rPr>
              <w:t>30</w:t>
            </w:r>
          </w:p>
        </w:tc>
        <w:tc>
          <w:tcPr>
            <w:tcW w:w="824"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30</w:t>
            </w:r>
          </w:p>
        </w:tc>
        <w:tc>
          <w:tcPr>
            <w:tcW w:w="877"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5</w:t>
            </w:r>
          </w:p>
        </w:tc>
        <w:tc>
          <w:tcPr>
            <w:tcW w:w="2163" w:type="dxa"/>
            <w:tcBorders>
              <w:top w:val="nil"/>
              <w:bottom w:val="nil"/>
            </w:tcBorders>
          </w:tcPr>
          <w:p>
            <w:pPr>
              <w:adjustRightInd w:val="0"/>
              <w:snapToGrid w:val="0"/>
              <w:spacing w:before="0" w:line="360" w:lineRule="auto"/>
              <w:rPr>
                <w:rFonts w:ascii="Book Antiqua" w:hAnsi="Book Antiqua" w:cs="Arial" w:eastAsiaTheme="minorHAnsi"/>
                <w:highlight w:val="none"/>
                <w:lang w:val="en-US"/>
              </w:rPr>
            </w:pPr>
            <w:r>
              <w:rPr>
                <w:rFonts w:ascii="Book Antiqua" w:hAnsi="Book Antiqua" w:cs="Arial" w:eastAsiaTheme="minorHAnsi"/>
                <w:highlight w:val="none"/>
                <w:lang w:val="en-US"/>
              </w:rPr>
              <w:t>Not at all (1) to completely (4)</w:t>
            </w:r>
          </w:p>
        </w:tc>
        <w:tc>
          <w:tcPr>
            <w:tcW w:w="3386"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POS: </w:t>
            </w:r>
            <w:r>
              <w:rPr>
                <w:rFonts w:ascii="Book Antiqua" w:hAnsi="Book Antiqua" w:cs="Arial"/>
                <w:highlight w:val="none"/>
                <w:lang w:val="de-DE"/>
              </w:rPr>
              <w:t>α</w:t>
            </w:r>
            <w:r>
              <w:rPr>
                <w:rFonts w:ascii="Book Antiqua" w:hAnsi="Book Antiqua" w:cs="Arial"/>
                <w:highlight w:val="none"/>
                <w:lang w:val="en-US"/>
              </w:rPr>
              <w:t xml:space="preserve"> = 0.64 - 0.73; NEG: </w:t>
            </w:r>
            <w:r>
              <w:rPr>
                <w:rFonts w:ascii="Book Antiqua" w:hAnsi="Book Antiqua" w:cs="Arial"/>
                <w:highlight w:val="none"/>
                <w:lang w:val="de-DE"/>
              </w:rPr>
              <w:t>α</w:t>
            </w:r>
            <w:r>
              <w:rPr>
                <w:rFonts w:ascii="Book Antiqua" w:hAnsi="Book Antiqua" w:cs="Arial"/>
                <w:highlight w:val="none"/>
                <w:lang w:val="en-US"/>
              </w:rPr>
              <w:t xml:space="preserve"> = 0.71 - 0.79</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{"citationItems":[{"id":"ITEM-1","itemData":{"DOI":"10.1080/15374416.2013.873980","ISSN":"15374416","PMID":"24555865","abstract":"The metacognitive model has increased our understanding of the development and maintenance of generalized anxiety disorders in adults. It states that the combination of positive and negative beliefs about worry creates and sustains anxiety. A recent review argues that the model can be applied to children, but empirical support is lacking. The aim of the 2 presented studies was to explore the applicability of the model in a childhood sample. The first study employed a Danish community sample of youth (n = 587) ages 7 to 17 and investigated the relationship between metacognitions, worry and anxiety. Two multiple regression analyses were performed using worry and metacognitive processes as outcome variables. The second study sampled Danish children ages 7 to 12, and compared the metacognitions of children with a GAD diagnosis (n = 22) to children with a non-GAD anxiety diagnosis (n = 19) and nonanxious children (n = 14). In Study 1, metacognitive processes accounted for an additional 14% of the variance in worry, beyond age, gender, and anxiety, and an extra 11% of the variance in anxiety beyond age, gender, and worry. The Negative Beliefs about Worry scale emerged as the strongest predictor of worry and a stronger predictor of anxiety than the other metacognitive processes and age. In Study 2, children with GAD have significantly higher levels of deleterious metacognitions than anxious children without GAD and nonanxious children. The results offer partial support for the downward extension of the metacognitive model of generalized anxiety disorders to children. © 2015, Taylor &amp; Francis Group, LLC.","author":[{"dropping-particle":"","family":"Esbjørn","given":"Barbara Hoff","non-dropping-particle":"","parse-names":false,"suffix":""},{"dropping-particle":"","family":"Lønfeldt","given":"N. N.","non-dropping-particle":"","parse-names":false,"suffix":""},{"dropping-particle":"","family":"Nielsen","given":"S. K.","non-dropping-particle":"","parse-names":false,"suffix":""},{"dropping-particle":"","family":"Reinholdt-Dunne","given":"M. L.","non-dropping-particle":"","parse-names":false,"suffix":""},{"dropping-particle":"","family":"Sømhovd","given":"M. J.","non-dropping-particle":"","parse-names":false,"suffix":""},{"dropping-particle":"","family":"Cartwright-Hatton","given":"S.","non-dropping-particle":"","parse-names":false,"suffix":""}],"container-title":"Journal of Clinical Child and Adolescent Psychology","id":"ITEM-1","issue":"1","issued":{"date-parts":[["2015","1","2"]]},"page":"145-156","title":"Meta-Worry, Worry, and Anxiety in Children and Adolescents: Relationships and Interactions","type":"article-journal","volume":"44"},"uris":["http://www.mendeley.com/documents/?uuid=d0bed0fa-c4cf-46f3-b42c-086fe513cad1"]},{"id":"ITEM-2","itemData":{"DOI":"10.1111/sjop.12286","ISSN":"00365564","abstract":"Research has shown that anxiety may be transmitted through verbal information pathways, for example, when parents share their anxious cognitions with their child. Less is known about the influence of parental metacognitions, that is, beliefs regarding thoughts, on child anxiety. We explored the relations between metacognitions in mothers and their children and anxiety in the children. Our study included 111 non</w:instrText>
            </w:r>
            <w:r>
              <w:rPr>
                <w:rFonts w:hint="eastAsia" w:ascii="宋体" w:hAnsi="宋体" w:eastAsia="宋体" w:cs="宋体"/>
                <w:highlight w:val="none"/>
                <w:lang w:val="en-US"/>
              </w:rPr>
              <w:instrText xml:space="preserve">‐</w:instrText>
            </w:r>
            <w:r>
              <w:rPr>
                <w:rFonts w:ascii="Book Antiqua" w:hAnsi="Book Antiqua" w:cs="Arial"/>
                <w:highlight w:val="none"/>
                <w:lang w:val="en-US"/>
              </w:rPr>
              <w:instrText xml:space="preserve">clinical children aged 8 to 12 years and their mothers. Children rated their metacognitions, worry and anxiety, and mothers rated their metacognitions. Results indicated agreement between maternal and child metacognitions. Maternal metacognitions were positively associated with children's anxiety symptoms and worry, and this relation was mediated by the children's metacognitions. Our results warrant further examination of the role of parental metacognitions in child anxiety. (PsycINFO Database Record (c) 2016 APA, all rights reserved)","author":[{"dropping-particle":"","family":"Esbjørn","given":"Barbara Hoff","non-dropping-particle":"","parse-names":false,"suffix":""},{"dropping-particle":"","family":"Normann","given":"Nicoline","non-dropping-particle":"","parse-names":false,"suffix":""},{"dropping-particle":"","family":"Lønfeldt","given":"Nicole Nadine","non-dropping-particle":"","parse-names":false,"suffix":""},{"dropping-particle":"","family":"Tolstrup","given":"Marie","non-dropping-particle":"","parse-names":false,"suffix":""},{"dropping-particle":"","family":"Reinholdt-Dunne","given":"Marie Louise","non-dropping-particle":"","parse-names":false,"suffix":""}],"container-title":"Scandinavian Journal of Psychology","id":"ITEM-2","issue":"3","issued":{"date-parts":[["2016","6"]]},"page":"201-206","title":"Exploring the relationships between maternal and child metacognitions and child anxiety","type":"article-journal","volume":"57"},"uris":["http://www.mendeley.com/documents/?uuid=1cc7ae30-1aac-400d-87f5-df1c39fd4ba2"]},{"id":"ITEM-3","itemData":{"DOI":"10.1007/s10566-017-9396-z","ISBN":"1053-1890","ISSN":"1053-1890","abstract":"Background: Recent research suggests that adults and children with anxiety disorders have a particular set of metacognitive beliefs and strategies. Knowing whether parents' metacognitions, beliefs and behaviors are associated with their children's metacognitions is important for understanding how anxiety-related metacognitions and clinical anxiety develop. Objective: We hypothesized that there are positive relationships between mother and corresponding child anxiety-related metacognitions even after controlling for maternal depression, anxiety and stress symptoms. We also hypothesized that maternal beliefs about child anxiety and maternal controlling behavior would be positively related to child metacognitions and would account for any associations between mother and child metacognitions. Methods: The study employed a cross-sectional design in a community sample of 7-12 year old children and their mothers. Mothers and children completed questionnaires to assess anxiety-related metacognitions and an interaction task to assess mothers' overinvolvement. Mothers also completed questionnaires regarding their beliefs about child anxiety and controlling rearing behavior. We examined correlations between variables before investigating which maternal variables made unique contributions to the variation in children's metacognitions in a series of multiple regressions and mediation analyses. Results: Mothers' positive worry beliefs and cognitive confidence contributed a modest amount of unique variance in the corresponding beliefs in children. Mothers' and children's metacognitions were positively associated. Conclusions: The unique contributions of mothers' anxiety-related metacognitions on children's anxiety-related metacognitions found in our study indicate that a metacognitive-parental intervention for preventing and treating child anxiety is worth investigation. Our findings place anxious metacognitions in a developmental context. (PsycINFO Database Record (c) 2017 APA, all rights reserved)","author":[{"dropping-particle":"","family":"Lønfeldt","given":"Nicole N.","non-dropping-particle":"","parse-names":false,"suffix":""},{"dropping-particle":"","family":"Esbjørn","given":"Barbara H.","non-dropping-particle":"","parse-names":false,"suffix":""},{"dropping-particle":"","family":"Normann","given":"Nicoline","non-dropping-particle":"","parse-names":false,"suffix":""},{"dropping-particle":"","family":"Breinholst","given":"Sonja","non-dropping-particle":"","parse-names":false,"suffix":""},{"dropping-particle":"","family":"Francis","given":"Sarah E.","non-dropping-particle":"","parse-names":false,"suffix":""}],"container-title":"Child Youth Care Forum","id":"ITEM-3","issue":"4","issued":{"date-parts":[["2017","8","24"]]},"number-of-pages":"577-599","publisher":"Springer US","title":"Do Mother’s Metacognitions, Beliefs, and Behaviors Predict Child Anxiety-Related Metacognitions?","type":"book","volume":"46"},"uris":["http://www.mendeley.com/documents/?uuid=7893fe21-f209-4cb1-a938-c033f4d1f625"]}],"mendeley":{"formattedCitation":"&lt;sup&gt;[23,78,96]&lt;/sup&gt;","plainTextFormattedCitation":"[23,78,96]","previouslyFormattedCitation":"&lt;sup&gt;[23,78,96]&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[23,76,93]</w:t>
            </w:r>
            <w:r>
              <w:rPr>
                <w:rFonts w:ascii="Book Antiqua" w:hAnsi="Book Antiqua" w:cs="Arial"/>
                <w:highlight w:val="none"/>
                <w:lang w:val="de-DE"/>
              </w:rPr>
              <w:fldChar w:fldCharType="end"/>
            </w:r>
          </w:p>
        </w:tc>
        <w:tc>
          <w:tcPr>
            <w:tcW w:w="794" w:type="dxa"/>
            <w:tcBorders>
              <w:top w:val="nil"/>
              <w:bottom w:val="nil"/>
            </w:tcBorders>
          </w:tcPr>
          <w:p>
            <w:pPr>
              <w:adjustRightInd w:val="0"/>
              <w:snapToGrid w:val="0"/>
              <w:spacing w:before="0" w:line="360" w:lineRule="auto"/>
              <w:rPr>
                <w:rFonts w:ascii="Book Antiqua" w:hAnsi="Book Antiqua" w:cs="Arial"/>
                <w:bCs/>
                <w:color w:val="000000"/>
                <w:highlight w:val="none"/>
                <w:lang w:val="de-DE"/>
              </w:rPr>
            </w:pPr>
            <w:r>
              <w:rPr>
                <w:rFonts w:ascii="Book Antiqua" w:hAnsi="Book Antiqua" w:cs="Arial"/>
                <w:highlight w:val="none"/>
                <w:lang w:val="de-DE"/>
              </w:rPr>
              <w:t>7-17</w:t>
            </w:r>
          </w:p>
        </w:tc>
        <w:tc>
          <w:tcPr>
            <w:tcW w:w="482"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top w:val="nil"/>
              <w:bottom w:val="nil"/>
            </w:tcBorders>
          </w:tcPr>
          <w:p>
            <w:pPr>
              <w:adjustRightInd w:val="0"/>
              <w:snapToGrid w:val="0"/>
              <w:spacing w:before="0" w:line="360" w:lineRule="auto"/>
              <w:rPr>
                <w:rFonts w:ascii="Book Antiqua" w:hAnsi="Book Antiqua" w:cs="Arial"/>
                <w:b/>
                <w:bCs/>
                <w:color w:val="000000"/>
                <w:highlight w:val="none"/>
                <w:lang w:val="en-US"/>
              </w:rPr>
            </w:pPr>
            <w:r>
              <w:rPr>
                <w:rFonts w:ascii="Book Antiqua" w:hAnsi="Book Antiqua" w:cs="Arial"/>
                <w:b w:val="0"/>
                <w:bCs/>
                <w:color w:val="000000"/>
                <w:highlight w:val="none"/>
                <w:lang w:val="en-US"/>
              </w:rPr>
              <w:t xml:space="preserve">MCQ-30 </w:t>
            </w:r>
          </w:p>
        </w:tc>
        <w:tc>
          <w:tcPr>
            <w:tcW w:w="824"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en-US"/>
              </w:rPr>
              <w:t>30</w:t>
            </w:r>
          </w:p>
        </w:tc>
        <w:tc>
          <w:tcPr>
            <w:tcW w:w="877"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5</w:t>
            </w:r>
          </w:p>
        </w:tc>
        <w:tc>
          <w:tcPr>
            <w:tcW w:w="2163" w:type="dxa"/>
            <w:tcBorders>
              <w:top w:val="nil"/>
              <w:bottom w:val="nil"/>
            </w:tcBorders>
          </w:tcPr>
          <w:p>
            <w:pPr>
              <w:adjustRightInd w:val="0"/>
              <w:snapToGrid w:val="0"/>
              <w:spacing w:before="0" w:line="360" w:lineRule="auto"/>
              <w:rPr>
                <w:rFonts w:ascii="Book Antiqua" w:hAnsi="Book Antiqua" w:cs="Arial" w:eastAsiaTheme="minorHAnsi"/>
                <w:highlight w:val="none"/>
                <w:lang w:val="en-US"/>
              </w:rPr>
            </w:pPr>
            <w:r>
              <w:rPr>
                <w:rFonts w:ascii="Book Antiqua" w:hAnsi="Book Antiqua" w:cs="Arial" w:eastAsiaTheme="minorHAnsi"/>
                <w:highlight w:val="none"/>
                <w:lang w:val="en-US"/>
              </w:rPr>
              <w:t>Do not agree (1) to agree very much (4)</w:t>
            </w:r>
          </w:p>
        </w:tc>
        <w:tc>
          <w:tcPr>
            <w:tcW w:w="3386"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POS: </w:t>
            </w:r>
            <w:r>
              <w:rPr>
                <w:rFonts w:ascii="Book Antiqua" w:hAnsi="Book Antiqua" w:cs="Arial"/>
                <w:highlight w:val="none"/>
                <w:lang w:val="de-DE"/>
              </w:rPr>
              <w:t>α</w:t>
            </w:r>
            <w:r>
              <w:rPr>
                <w:rFonts w:ascii="Book Antiqua" w:hAnsi="Book Antiqua" w:cs="Arial"/>
                <w:highlight w:val="none"/>
                <w:lang w:val="en-US"/>
              </w:rPr>
              <w:t xml:space="preserve"> = 0.88; NEG: </w:t>
            </w:r>
            <w:r>
              <w:rPr>
                <w:rFonts w:ascii="Book Antiqua" w:hAnsi="Book Antiqua" w:cs="Arial"/>
                <w:highlight w:val="none"/>
                <w:lang w:val="de-DE"/>
              </w:rPr>
              <w:t>α</w:t>
            </w:r>
            <w:r>
              <w:rPr>
                <w:rFonts w:ascii="Book Antiqua" w:hAnsi="Book Antiqua" w:cs="Arial"/>
                <w:highlight w:val="none"/>
                <w:lang w:val="en-US"/>
              </w:rPr>
              <w:t xml:space="preserve"> = 0.77</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{"citationItems":[{"id":"ITEM-1","itemData":{"DOI":"10.1891/0886-6708.VV-D-18-00016","ISSN":"0886-6708","abstract":"Psychological mechanisms that may explain the link between peer victimization and its adverse outcomes are still understudied. The current study aimed to apply the Self-Regulatory Executive Function (S-REF) model of psychopathology (Wells &amp; Matthews, 1994, 1996) to help explain this link in a sample of adolescents. A total of 1,169 Italian adolescents (47.7% females; M age = 15.79, SD = 1.07) completed self-report measures of peer victimization, metacognitions, thinking styles (worry and rumination), and adjustment indices (somatic symptoms, anxiety, depression). The hypothesized model based on the S-REF model was tested through path analysis. Results confirmed that peer victimization was positively associated with both positive and negative metacognitions that, in turn, were linked to worry and rumination, which were associated with higher psychological and somatic problems. The strongest indirect links were found between peer victimization and anxiety via negative metacognitions and worry, and between victimization and depression via negative metacognitions and rumination. Overall, the results support to the application of the S-REF model to peer victimization experiences during adolescence. The clinical implications of these findings are discussed.","author":[{"dropping-particle":"","family":"Gini","given":"Gianluca","non-dropping-particle":"","parse-names":false,"suffix":""},{"dropping-particle":"","family":"Marino","given":"Claudia","non-dropping-particle":"","parse-names":false,"suffix":""},{"dropping-particle":"","family":"Spada","given":"Marcantonio M.","non-dropping-particle":"","parse-names":false,"suffix":""}],"container-title":"Violence and Victims","id":"ITEM-1","issue":"5","issued":{"date-parts":[["2019","10","1"]]},"page":"752-769","title":"The Role of Metacognitions and Thinking Styles in the Negative Outcomes of Adolescents' Peer Victimization","type":"article-journal","volume":"34"},"uris":["http://www.mendeley.com/documents/?uuid=5449216e-844a-4f7e-9c65-648af24a7f7d"]}],"mendeley":{"formattedCitation":"&lt;sup&gt;[69]&lt;/sup&gt;","plainTextFormattedCitation":"[69]","previouslyFormattedCitation":"&lt;sup&gt;[69]&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[67]</w:t>
            </w:r>
            <w:r>
              <w:rPr>
                <w:rFonts w:ascii="Book Antiqua" w:hAnsi="Book Antiqua" w:cs="Arial"/>
                <w:highlight w:val="none"/>
                <w:lang w:val="de-DE"/>
              </w:rPr>
              <w:fldChar w:fldCharType="end"/>
            </w:r>
          </w:p>
        </w:tc>
        <w:tc>
          <w:tcPr>
            <w:tcW w:w="794"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 xml:space="preserve">15-18 </w:t>
            </w:r>
          </w:p>
        </w:tc>
        <w:tc>
          <w:tcPr>
            <w:tcW w:w="482"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3</w:t>
            </w:r>
          </w:p>
          <w:p>
            <w:pPr>
              <w:adjustRightInd w:val="0"/>
              <w:snapToGrid w:val="0"/>
              <w:spacing w:before="0" w:line="360" w:lineRule="auto"/>
              <w:rPr>
                <w:rFonts w:ascii="Book Antiqua" w:hAnsi="Book Antiqua" w:cs="Arial"/>
                <w:highlight w:val="none"/>
                <w:lang w:val="de-DE"/>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top w:val="nil"/>
              <w:bottom w:val="nil"/>
            </w:tcBorders>
          </w:tcPr>
          <w:p>
            <w:pPr>
              <w:adjustRightInd w:val="0"/>
              <w:snapToGrid w:val="0"/>
              <w:spacing w:before="0" w:line="360" w:lineRule="auto"/>
              <w:rPr>
                <w:rFonts w:ascii="Book Antiqua" w:hAnsi="Book Antiqua" w:cs="Arial"/>
                <w:b w:val="0"/>
                <w:bCs/>
                <w:highlight w:val="none"/>
                <w:lang w:val="en-US"/>
              </w:rPr>
            </w:pPr>
            <w:r>
              <w:rPr>
                <w:rFonts w:ascii="Book Antiqua" w:hAnsi="Book Antiqua" w:cs="Arial"/>
                <w:b w:val="0"/>
                <w:bCs/>
                <w:highlight w:val="none"/>
                <w:lang w:val="en-US"/>
              </w:rPr>
              <w:t xml:space="preserve">MCQ-CR </w:t>
            </w:r>
          </w:p>
        </w:tc>
        <w:tc>
          <w:tcPr>
            <w:tcW w:w="824"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30</w:t>
            </w:r>
          </w:p>
        </w:tc>
        <w:tc>
          <w:tcPr>
            <w:tcW w:w="877"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5</w:t>
            </w:r>
          </w:p>
        </w:tc>
        <w:tc>
          <w:tcPr>
            <w:tcW w:w="2163" w:type="dxa"/>
            <w:tcBorders>
              <w:top w:val="nil"/>
              <w:bottom w:val="nil"/>
            </w:tcBorders>
          </w:tcPr>
          <w:p>
            <w:pPr>
              <w:adjustRightInd w:val="0"/>
              <w:snapToGrid w:val="0"/>
              <w:spacing w:before="0" w:line="360" w:lineRule="auto"/>
              <w:rPr>
                <w:rFonts w:ascii="Book Antiqua" w:hAnsi="Book Antiqua" w:cs="Arial" w:eastAsiaTheme="minorHAnsi"/>
                <w:highlight w:val="none"/>
                <w:lang w:val="en-US"/>
              </w:rPr>
            </w:pPr>
            <w:r>
              <w:rPr>
                <w:rFonts w:ascii="Book Antiqua" w:hAnsi="Book Antiqua" w:cs="Arial" w:eastAsiaTheme="minorHAnsi"/>
                <w:highlight w:val="none"/>
                <w:lang w:val="en-US"/>
              </w:rPr>
              <w:t>Not true (1) to Very true (4); I do not understand</w:t>
            </w:r>
          </w:p>
        </w:tc>
        <w:tc>
          <w:tcPr>
            <w:tcW w:w="3386"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 xml:space="preserve">POS: </w:t>
            </w:r>
            <w:r>
              <w:rPr>
                <w:rFonts w:ascii="Book Antiqua" w:hAnsi="Book Antiqua" w:cs="Arial"/>
                <w:highlight w:val="none"/>
                <w:lang w:val="de-DE"/>
              </w:rPr>
              <w:t xml:space="preserve">α = </w:t>
            </w:r>
            <w:r>
              <w:rPr>
                <w:rFonts w:ascii="Book Antiqua" w:hAnsi="Book Antiqua" w:cs="Arial"/>
                <w:highlight w:val="none"/>
                <w:lang w:val="en-US"/>
              </w:rPr>
              <w:t xml:space="preserve">0.77; NEG: </w:t>
            </w:r>
            <w:r>
              <w:rPr>
                <w:rFonts w:ascii="Book Antiqua" w:hAnsi="Book Antiqua" w:cs="Arial"/>
                <w:highlight w:val="none"/>
                <w:lang w:val="de-DE"/>
              </w:rPr>
              <w:t xml:space="preserve">α = </w:t>
            </w:r>
            <w:r>
              <w:rPr>
                <w:rFonts w:ascii="Book Antiqua" w:hAnsi="Book Antiqua" w:cs="Arial"/>
                <w:highlight w:val="none"/>
                <w:lang w:val="en-US"/>
              </w:rPr>
              <w:t>0.80</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{"citationItems":[{"id":"ITEM-1","itemData":{"DOI":"10.1007/s10608-015-9725-1","ISBN":"0147-5916","ISSN":"0147-5916","abstract":"Recent research has extended the metacognitive model of adult psychopathology to childhood anxiety, however the results have been confounded by poor comprehension of the Metacognitions Questionnaire for Children (MCQ-C) amongst 7–8 year olds. The aim of this study was to improve comprehension of the MCQ-C, to enable reliable and valid evaluation of the metacognitive model of anxiety in children. Poorly comprehended items of the MCQ-C were revised to the appropriate reading level and pilot tested with 7–8 year olds. One hundred and eighty seven children aged 7–12 years then completed an online version of the revised MCQ-C (MCQ-CR) and self-report measures of anxiety symptoms, excessive worry and externalising thoughts. The MCQ-CR was well understood by children as young as 7 years and exhibited sound psychometric properties. As predicted, children’s negative beliefs about worry, thoughts in general and memories were found to be significantly positively related to symptoms of anxiety disorders. Confirmatory factor analysis supported the construct validity of the scale. Positive beliefs about worry were not associated with children’s worry levels, raising questions about the relevance of this element of the metacognitive model with children. Although further validation is required with a clinical sample, these results provide support for the integral role played by metacognitions in childhood anxiety disorders, and suggest that these mechanisms may be appropriate targets for future early intervention and treatment programs. (PsycINFO Database Record (c) 2016 APA, all rights reserved). (journal abstract)","author":[{"dropping-particle":"","family":"White","given":"Julia A.","non-dropping-particle":"","parse-names":false,"suffix":""},{"dropping-particle":"","family":"Hudson","given":"Jennifer L.","non-dropping-particle":"","parse-names":false,"suffix":""}],"container-title":"Cognitive Therapy and Research","id":"ITEM-1","issue":"1","issued":{"date-parts":[["2016","2","25"]]},"page":"92-106","publisher":"Springer US","title":"The Metacognitive Model of Anxiety in Children: Towards a Reliable and Valid Measure","type":"article-journal","volume":"40"},"uris":["http://www.mendeley.com/documents/?uuid=fcf36f4a-fbd2-4b9c-9fd5-ffe4cda02bf6"]}],"mendeley":{"formattedCitation":"&lt;sup&gt;[30]&lt;/sup&gt;","plainTextFormattedCitation":"[30]","previouslyFormattedCitation":"&lt;sup&gt;[30]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[30]</w:t>
            </w:r>
            <w:r>
              <w:rPr>
                <w:rFonts w:ascii="Book Antiqua" w:hAnsi="Book Antiqua" w:cs="Arial"/>
                <w:highlight w:val="none"/>
                <w:lang w:val="de-DE"/>
              </w:rPr>
              <w:fldChar w:fldCharType="end"/>
            </w:r>
          </w:p>
        </w:tc>
        <w:tc>
          <w:tcPr>
            <w:tcW w:w="794"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7-12</w:t>
            </w:r>
          </w:p>
        </w:tc>
        <w:tc>
          <w:tcPr>
            <w:tcW w:w="482"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en-US"/>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Pr>
          <w:p>
            <w:pPr>
              <w:adjustRightInd w:val="0"/>
              <w:snapToGrid w:val="0"/>
              <w:spacing w:before="0" w:line="360" w:lineRule="auto"/>
              <w:rPr>
                <w:rFonts w:ascii="Book Antiqua" w:hAnsi="Book Antiqua" w:cs="Arial"/>
                <w:b/>
                <w:bCs/>
                <w:color w:val="000000"/>
                <w:highlight w:val="none"/>
                <w:lang w:val="en-US"/>
              </w:rPr>
            </w:pPr>
            <w:r>
              <w:rPr>
                <w:rFonts w:ascii="Book Antiqua" w:hAnsi="Book Antiqua" w:cs="Arial"/>
                <w:b w:val="0"/>
                <w:bCs/>
                <w:highlight w:val="none"/>
                <w:lang w:val="de-DE"/>
              </w:rPr>
              <w:t xml:space="preserve">MKF-K </w:t>
            </w:r>
          </w:p>
        </w:tc>
        <w:tc>
          <w:tcPr>
            <w:tcW w:w="824"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30</w:t>
            </w:r>
          </w:p>
        </w:tc>
        <w:tc>
          <w:tcPr>
            <w:tcW w:w="877"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4</w:t>
            </w:r>
          </w:p>
        </w:tc>
        <w:tc>
          <w:tcPr>
            <w:tcW w:w="2163" w:type="dxa"/>
          </w:tcPr>
          <w:p>
            <w:pPr>
              <w:adjustRightInd w:val="0"/>
              <w:snapToGrid w:val="0"/>
              <w:spacing w:before="0" w:line="360" w:lineRule="auto"/>
              <w:rPr>
                <w:rFonts w:ascii="Book Antiqua" w:hAnsi="Book Antiqua" w:cs="Arial" w:eastAsiaTheme="minorHAnsi"/>
                <w:highlight w:val="none"/>
                <w:lang w:val="en-US"/>
              </w:rPr>
            </w:pPr>
            <w:r>
              <w:rPr>
                <w:rFonts w:ascii="Book Antiqua" w:hAnsi="Book Antiqua" w:cs="Arial" w:eastAsiaTheme="minorHAnsi"/>
                <w:highlight w:val="none"/>
                <w:lang w:val="en-US"/>
              </w:rPr>
              <w:t>Not at all (1) to completely (4)</w:t>
            </w:r>
          </w:p>
        </w:tc>
        <w:tc>
          <w:tcPr>
            <w:tcW w:w="3386"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en-US"/>
              </w:rPr>
              <w:t xml:space="preserve">POS: </w:t>
            </w:r>
            <w:r>
              <w:rPr>
                <w:rFonts w:ascii="Book Antiqua" w:hAnsi="Book Antiqua" w:cs="Arial"/>
                <w:highlight w:val="none"/>
                <w:lang w:val="de-DE"/>
              </w:rPr>
              <w:t>α</w:t>
            </w:r>
            <w:r>
              <w:rPr>
                <w:rFonts w:ascii="Book Antiqua" w:hAnsi="Book Antiqua" w:cs="Arial"/>
                <w:highlight w:val="none"/>
                <w:lang w:val="en-US"/>
              </w:rPr>
              <w:t xml:space="preserve"> = 0.73; NEG: </w:t>
            </w:r>
            <w:r>
              <w:rPr>
                <w:rFonts w:ascii="Book Antiqua" w:hAnsi="Book Antiqua" w:cs="Arial"/>
                <w:highlight w:val="none"/>
                <w:lang w:val="de-DE"/>
              </w:rPr>
              <w:t>α</w:t>
            </w:r>
            <w:r>
              <w:rPr>
                <w:rFonts w:ascii="Book Antiqua" w:hAnsi="Book Antiqua" w:cs="Arial"/>
                <w:highlight w:val="none"/>
                <w:lang w:val="en-US"/>
              </w:rPr>
              <w:t xml:space="preserve"> = 0.70</w:t>
            </w:r>
            <w:r>
              <w:rPr>
                <w:rFonts w:ascii="Book Antiqua" w:hAnsi="Book Antiqua" w:cs="Arial"/>
                <w:highlight w:val="none"/>
                <w:lang w:val="de-DE"/>
              </w:rPr>
              <w:fldChar w:fldCharType="begin" w:fldLock="1"/>
            </w:r>
            <w:r>
              <w:rPr>
                <w:rFonts w:ascii="Book Antiqua" w:hAnsi="Book Antiqua" w:cs="Arial"/>
                <w:highlight w:val="none"/>
                <w:lang w:val="en-US"/>
              </w:rPr>
              <w:instrText xml:space="preserve">ADDIN CSL_CITATION {"citationItems":[{"id":"ITEM-1","itemData":{"author":[{"dropping-particle":"","family":"Naumann","given":"Lena","non-dropping-particle":"","parse-names":false,"suffix":""}],"id":"ITEM-1","issued":{"date-parts":[["2014"]]},"publisher":"Universität zu Köln","title":"Understanding and assessing worrying - analyzing relevant psychopathological mechanisms relevant for generalized anxiety disorder across the lifespan","type":"thesis"},"uris":["http://www.mendeley.com/documents/?uuid=ae4a13b7-efc6-493d-8449-fded60dcad88"]}],"mendeley":{"formattedCitation":"&lt;sup&gt;[70]&lt;/sup&gt;","plainTextFormattedCitation":"[70]","previouslyFormattedCitation":"&lt;sup&gt;[70]&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en-US"/>
              </w:rPr>
              <w:t>[68]</w:t>
            </w:r>
            <w:r>
              <w:rPr>
                <w:rFonts w:ascii="Book Antiqua" w:hAnsi="Book Antiqua" w:cs="Arial"/>
                <w:highlight w:val="none"/>
                <w:lang w:val="de-DE"/>
              </w:rPr>
              <w:fldChar w:fldCharType="end"/>
            </w:r>
          </w:p>
        </w:tc>
        <w:tc>
          <w:tcPr>
            <w:tcW w:w="794"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7-14</w:t>
            </w:r>
          </w:p>
        </w:tc>
        <w:tc>
          <w:tcPr>
            <w:tcW w:w="482" w:type="dxa"/>
          </w:tcPr>
          <w:p>
            <w:pPr>
              <w:adjustRightInd w:val="0"/>
              <w:snapToGrid w:val="0"/>
              <w:spacing w:before="0" w:line="360" w:lineRule="auto"/>
              <w:rPr>
                <w:rFonts w:ascii="Book Antiqua" w:hAnsi="Book Antiqua" w:cs="Arial"/>
                <w:i/>
                <w:highlight w:val="none"/>
                <w:lang w:val="de-DE"/>
              </w:rPr>
            </w:pPr>
            <w:r>
              <w:rPr>
                <w:rFonts w:ascii="Book Antiqua" w:hAnsi="Book Antiqua" w:cs="Arial"/>
                <w:highlight w:val="none"/>
                <w:lang w:val="de-DE"/>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top w:val="nil"/>
              <w:bottom w:val="nil"/>
            </w:tcBorders>
          </w:tcPr>
          <w:p>
            <w:pPr>
              <w:adjustRightInd w:val="0"/>
              <w:snapToGrid w:val="0"/>
              <w:spacing w:before="0" w:line="360" w:lineRule="auto"/>
              <w:rPr>
                <w:rFonts w:ascii="Book Antiqua" w:hAnsi="Book Antiqua" w:cs="Arial"/>
                <w:b/>
                <w:bCs/>
                <w:highlight w:val="none"/>
                <w:lang w:val="de-DE"/>
              </w:rPr>
            </w:pPr>
            <w:r>
              <w:rPr>
                <w:rFonts w:ascii="Book Antiqua" w:hAnsi="Book Antiqua" w:cs="Arial"/>
                <w:b w:val="0"/>
                <w:bCs/>
                <w:highlight w:val="none"/>
                <w:lang w:val="en-US"/>
              </w:rPr>
              <w:t>MWQ</w:t>
            </w:r>
          </w:p>
        </w:tc>
        <w:tc>
          <w:tcPr>
            <w:tcW w:w="824"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7</w:t>
            </w:r>
          </w:p>
        </w:tc>
        <w:tc>
          <w:tcPr>
            <w:tcW w:w="877"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2</w:t>
            </w:r>
          </w:p>
        </w:tc>
        <w:tc>
          <w:tcPr>
            <w:tcW w:w="2163" w:type="dxa"/>
            <w:tcBorders>
              <w:top w:val="nil"/>
              <w:bottom w:val="nil"/>
            </w:tcBorders>
          </w:tcPr>
          <w:p>
            <w:pPr>
              <w:adjustRightInd w:val="0"/>
              <w:snapToGrid w:val="0"/>
              <w:spacing w:before="0" w:line="360" w:lineRule="auto"/>
              <w:rPr>
                <w:rFonts w:ascii="Book Antiqua" w:hAnsi="Book Antiqua" w:cs="Arial" w:eastAsiaTheme="minorHAnsi"/>
                <w:highlight w:val="none"/>
                <w:lang w:val="en-US"/>
              </w:rPr>
            </w:pPr>
            <w:r>
              <w:rPr>
                <w:rFonts w:ascii="Book Antiqua" w:hAnsi="Book Antiqua" w:cs="Arial" w:eastAsiaTheme="minorHAnsi"/>
                <w:highlight w:val="none"/>
                <w:lang w:val="en-US"/>
              </w:rPr>
              <w:t>Never (1) to almost always (4)</w:t>
            </w:r>
          </w:p>
        </w:tc>
        <w:tc>
          <w:tcPr>
            <w:tcW w:w="3386" w:type="dxa"/>
            <w:tcBorders>
              <w:top w:val="nil"/>
              <w:bottom w:val="nil"/>
            </w:tcBorders>
          </w:tcPr>
          <w:p>
            <w:pPr>
              <w:adjustRightInd w:val="0"/>
              <w:snapToGrid w:val="0"/>
              <w:spacing w:before="0" w:line="360" w:lineRule="auto"/>
              <w:rPr>
                <w:rFonts w:ascii="Book Antiqua" w:hAnsi="Book Antiqua" w:cs="Arial"/>
                <w:highlight w:val="none"/>
                <w:lang w:val="en-US"/>
              </w:rPr>
            </w:pPr>
            <w:r>
              <w:rPr>
                <w:rFonts w:ascii="Book Antiqua" w:hAnsi="Book Antiqua" w:cs="Arial"/>
                <w:highlight w:val="none"/>
                <w:lang w:val="de-DE"/>
              </w:rPr>
              <w:t>α = 0.80 - 0.82</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{"citationItems":[{"id":"ITEM-1","itemData":{"DOI":"10.1017/S1352465813000374","ISSN":"1352-4658","PMID":"23735158","abstract":"Background: Meta-worry is considered a central component of the Metacognitive Model of Generalized Anxiety Disorder. Although initial research provides support for the applicability of this model to adolescent samples, the construct of meta-worry has yet to be examined in adolescents. Aims: The purpose of this study was to examine the psychometric properties of the Meta-Worry Questionnaire (MWQ), a measure designed to assess negative beliefs about worry, in an adolescent sample, and to examine the degree to which meta-worry is associated with pathological worry in adolescents. Method: A non-referred sample of 175 adolescents completed a modified version of the MWQ along with the Meta-Cognitions Questionnaire-Children (MCQ-C) and the Penn State Worry Questionnaire for Children (PSWQ-C). Results: The MWQ was found to exhibit strong psychometric properties. Most noteworthy, the MWQ was found to be a particularly robust predictor of scores on the PSWQ-C, and incremental validity was also demonstrated. Conclusions: Overall, the current findings provide support for the reliability and validity of the MWQ in adolescents and support for meta-worry as a predictor of worry symptoms in adolescents.;","author":[{"dropping-particle":"","family":"Fisak","given":"Brian","non-dropping-particle":"","parse-names":false,"suffix":""},{"dropping-particle":"","family":"Mentuccia","given":"Marco","non-dropping-particle":"","parse-names":false,"suffix":""},{"dropping-particle":"","family":"Przeworski","given":"Amy","non-dropping-particle":"","parse-names":false,"suffix":""}],"container-title":"Behavioural and Cognitive Psychotherapy","id":"ITEM-1","issue":"04","issued":{"date-parts":[["2014","7","5"]]},"page":"491-496","title":"Meta-Worry in Adolescents: Examination of the Psychometric Properties of the Meta-Worry Questionnaire in an Adolescent Sample","type":"article-journal","volume":"42"},"uris":["http://www.mendeley.com/documents/?uuid=2b42a34f-b3b7-4ce7-91d2-f52b618b8080"]}],"mendeley":{"formattedCitation":"&lt;sup&gt;[75]&lt;/sup&gt;","plainTextFormattedCitation":"[75]","previouslyFormattedCitation":"&lt;sup&gt;[75]&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[73]</w:t>
            </w:r>
            <w:r>
              <w:rPr>
                <w:rFonts w:ascii="Book Antiqua" w:hAnsi="Book Antiqua" w:cs="Arial"/>
                <w:highlight w:val="none"/>
                <w:lang w:val="de-DE"/>
              </w:rPr>
              <w:fldChar w:fldCharType="end"/>
            </w:r>
          </w:p>
        </w:tc>
        <w:tc>
          <w:tcPr>
            <w:tcW w:w="794"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11-18</w:t>
            </w:r>
          </w:p>
        </w:tc>
        <w:tc>
          <w:tcPr>
            <w:tcW w:w="482"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Pr>
          <w:p>
            <w:pPr>
              <w:adjustRightInd w:val="0"/>
              <w:snapToGrid w:val="0"/>
              <w:spacing w:before="0" w:line="360" w:lineRule="auto"/>
              <w:rPr>
                <w:rFonts w:ascii="Book Antiqua" w:hAnsi="Book Antiqua" w:cs="Arial"/>
                <w:b/>
                <w:bCs/>
                <w:highlight w:val="none"/>
                <w:lang w:val="en-US"/>
              </w:rPr>
            </w:pPr>
            <w:r>
              <w:rPr>
                <w:rFonts w:ascii="Book Antiqua" w:hAnsi="Book Antiqua" w:cs="Arial"/>
                <w:b w:val="0"/>
                <w:bCs/>
                <w:highlight w:val="none"/>
                <w:lang w:val="en-US"/>
              </w:rPr>
              <w:t>WW-II</w:t>
            </w:r>
          </w:p>
        </w:tc>
        <w:tc>
          <w:tcPr>
            <w:tcW w:w="824"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25</w:t>
            </w:r>
          </w:p>
        </w:tc>
        <w:tc>
          <w:tcPr>
            <w:tcW w:w="877"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5</w:t>
            </w:r>
          </w:p>
        </w:tc>
        <w:tc>
          <w:tcPr>
            <w:tcW w:w="2163" w:type="dxa"/>
          </w:tcPr>
          <w:p>
            <w:pPr>
              <w:adjustRightInd w:val="0"/>
              <w:snapToGrid w:val="0"/>
              <w:spacing w:before="0" w:line="360" w:lineRule="auto"/>
              <w:rPr>
                <w:rFonts w:ascii="Book Antiqua" w:hAnsi="Book Antiqua" w:cs="Arial" w:eastAsiaTheme="minorHAnsi"/>
                <w:highlight w:val="none"/>
                <w:lang w:val="en-US"/>
              </w:rPr>
            </w:pPr>
            <w:r>
              <w:rPr>
                <w:rFonts w:ascii="Book Antiqua" w:hAnsi="Book Antiqua" w:cs="Arial" w:eastAsiaTheme="minorHAnsi"/>
                <w:highlight w:val="none"/>
                <w:lang w:val="en-US"/>
              </w:rPr>
              <w:t>Not at all (0) to incapacitating (4)</w:t>
            </w:r>
          </w:p>
        </w:tc>
        <w:tc>
          <w:tcPr>
            <w:tcW w:w="3386"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α = 0.90</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{"citationItems":[{"id":"ITEM-1","itemData":{"DOI":"10.1023/A:1021721332181","ISSN":"00910627","PMID":"12597699","abstract":"The relationship between worry and 4 cognitive variables, intolerance of uncertainty, positive beliefs about worry, negative problem orientation, and cognitive avoidance, was examined in an adolescent sample of 528 boys and girls aged 14-18. The participants completed questionnaires assessing worry, somatic anxiety symptoms, and the variables mentioned above. The results show that (a) intolerance of uncertainty, positive beliefs about worry, and negative problem orientation each account for a significant amount of variance in adolescent worry scores in the multiple regression, and (b) the discriminant function derived from the 4 variables is effective in classifying moderate and high worriers into their respective groups (72.8% correct classification). Furthermore, analyses demonstrate that intolerance of uncertainty has the strongest association with worry scores and is the most important variable in discriminating between moderate and high adolescent worriers. These results suggest that intolerance of uncertainty plays a key role in our understanding of adolescent worry.","author":[{"dropping-particle":"","family":"Laugesen","given":"Nina","non-dropping-particle":"","parse-names":false,"suffix":""},{"dropping-particle":"","family":"Dugas","given":"Michel J.","non-dropping-particle":"","parse-names":false,"suffix":""},{"dropping-particle":"","family":"Bukowski","given":"William M.","non-dropping-particle":"","parse-names":false,"suffix":""}],"container-title":"Journal of Abnormal Child Psychology","id":"ITEM-1","issue":"1","issued":{"date-parts":[["2003"]]},"page":"55-64","title":"Understanding adolescent worry: The application of a cognitive model","type":"article-journal","volume":"31"},"uris":["http://www.mendeley.com/documents/?uuid=dd7b4ffe-e8f8-494b-8862-de8f9c75fec2"]}],"mendeley":{"formattedCitation":"&lt;sup&gt;[73]&lt;/sup&gt;","plainTextFormattedCitation":"[73]","previouslyFormattedCitation":"&lt;sup&gt;[73]&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[71]</w:t>
            </w:r>
            <w:r>
              <w:rPr>
                <w:rFonts w:ascii="Book Antiqua" w:hAnsi="Book Antiqua" w:cs="Arial"/>
                <w:highlight w:val="none"/>
                <w:lang w:val="de-DE"/>
              </w:rPr>
              <w:fldChar w:fldCharType="end"/>
            </w:r>
          </w:p>
        </w:tc>
        <w:tc>
          <w:tcPr>
            <w:tcW w:w="794"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7-18</w:t>
            </w:r>
          </w:p>
        </w:tc>
        <w:tc>
          <w:tcPr>
            <w:tcW w:w="482" w:type="dxa"/>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50" w:type="dxa"/>
            <w:tcBorders>
              <w:top w:val="nil"/>
              <w:bottom w:val="nil"/>
            </w:tcBorders>
          </w:tcPr>
          <w:p>
            <w:pPr>
              <w:adjustRightInd w:val="0"/>
              <w:snapToGrid w:val="0"/>
              <w:spacing w:before="0" w:line="360" w:lineRule="auto"/>
              <w:rPr>
                <w:rFonts w:ascii="Book Antiqua" w:hAnsi="Book Antiqua" w:cs="Arial"/>
                <w:b/>
                <w:bCs/>
                <w:highlight w:val="none"/>
                <w:lang w:val="en-US"/>
              </w:rPr>
            </w:pPr>
            <w:r>
              <w:rPr>
                <w:rFonts w:ascii="Book Antiqua" w:hAnsi="Book Antiqua" w:cs="Arial"/>
                <w:b w:val="0"/>
                <w:bCs/>
                <w:highlight w:val="none"/>
                <w:lang w:val="de-DE"/>
              </w:rPr>
              <w:t>Interview</w:t>
            </w:r>
          </w:p>
        </w:tc>
        <w:tc>
          <w:tcPr>
            <w:tcW w:w="824"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2</w:t>
            </w:r>
          </w:p>
        </w:tc>
        <w:tc>
          <w:tcPr>
            <w:tcW w:w="877"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2</w:t>
            </w:r>
          </w:p>
        </w:tc>
        <w:tc>
          <w:tcPr>
            <w:tcW w:w="2163" w:type="dxa"/>
            <w:tcBorders>
              <w:top w:val="nil"/>
              <w:bottom w:val="nil"/>
            </w:tcBorders>
          </w:tcPr>
          <w:p>
            <w:pPr>
              <w:adjustRightInd w:val="0"/>
              <w:snapToGrid w:val="0"/>
              <w:spacing w:before="0" w:line="360" w:lineRule="auto"/>
              <w:rPr>
                <w:rFonts w:ascii="Book Antiqua" w:hAnsi="Book Antiqua" w:cs="Arial" w:eastAsiaTheme="minorHAnsi"/>
                <w:i/>
                <w:iCs/>
                <w:highlight w:val="none"/>
                <w:lang w:val="en-US"/>
              </w:rPr>
            </w:pPr>
            <w:r>
              <w:rPr>
                <w:rFonts w:ascii="Book Antiqua" w:hAnsi="Book Antiqua" w:cs="Arial"/>
                <w:highlight w:val="none"/>
                <w:lang w:val="de-DE"/>
              </w:rPr>
              <w:t>Open questions</w:t>
            </w:r>
          </w:p>
        </w:tc>
        <w:tc>
          <w:tcPr>
            <w:tcW w:w="3386"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κ = 0.61</w:t>
            </w:r>
            <w:r>
              <w:rPr>
                <w:rFonts w:ascii="Book Antiqua" w:hAnsi="Book Antiqua" w:cs="Arial"/>
                <w:highlight w:val="none"/>
                <w:lang w:val="de-DE"/>
              </w:rPr>
              <w:fldChar w:fldCharType="begin" w:fldLock="1"/>
            </w:r>
            <w:r>
              <w:rPr>
                <w:rFonts w:ascii="Book Antiqua" w:hAnsi="Book Antiqua" w:cs="Arial"/>
                <w:highlight w:val="none"/>
                <w:lang w:val="de-DE"/>
              </w:rPr>
              <w:instrText xml:space="preserve">ADDIN CSL_CITATION {"citationItems":[{"id":"ITEM-1","itemData":{"DOI":"10.1017/S1352465811000269","ISBN":"1469-1833 (Electronic)\\r1352-4658 (Linking)","ISSN":"1352-4658","PMID":"21878136","abstract":"BACKGROUND: Childhood worry is common, and yet little is known about why some children develop pathological worry and others do not. Two theories of adult worry that are particularly relevant to children are Davey's problem-solving model in which perseverative worry occurs as a result of thwarted problem-solving attempts, and Wells' metacognitive model, in which positive and negative beliefs about worry interact to produce pathological worry. AIMS: The present study aimed to test hypotheses that levels of worry in young children are associated with poor or avoidant solution generation for social problems, and poor problem-solving confidence. It also aimed to explore beliefs about worry in this age group, and to examine their relationships with worry, anxiety and age. METHOD: Fifty-seven young children (6-10 years) responded to open ended questions about social problem-solving situations and beliefs about worry, and completed measures of worry, anxiety and problem-solving confidence. Results: Children with higher levels of worry and anxiety reported using more avoidant solutions in social problem situations and children's low confidence in problem solving was associated with high levels of worry. Children as young as 6 years old reported both positive and negative beliefs about worry, but neither were associated with age, gender, or level of anxiety or worry. CONCLUSIONS: Results indicate similarities between adults and children in the relationships between problem-solving variables and worry, but not in relationships between beliefs about worry and worry. This may be due to developmental factors, or may be the result of measurement issues.","author":[{"dropping-particle":"","family":"Wilson","given":"Charlotte","non-dropping-particle":"","parse-names":false,"suffix":""},{"dropping-particle":"","family":"Hughes","given":"Claire","non-dropping-particle":"","parse-names":false,"suffix":""}],"container-title":"Behavioural and Cognitive Psychotherapy","id":"ITEM-1","issue":"05","issued":{"date-parts":[["2011","10","8"]]},"page":"507-521","title":"Worry, Beliefs about Worry and Problem Solving in Young Children","type":"article-journal","volume":"39"},"uris":["http://www.mendeley.com/documents/?uuid=1e92d911-9bb1-4498-ae49-edebfa27d194"]}],"mendeley":{"formattedCitation":"&lt;sup&gt;[72]&lt;/sup&gt;","plainTextFormattedCitation":"[72]","previouslyFormattedCitation":"&lt;sup&gt;[72]&lt;/sup&gt;"},"properties":{"noteIndex":0},"schema":"https://github.com/citation-style-language/schema/raw/master/csl-citation.json"}</w:instrText>
            </w:r>
            <w:r>
              <w:rPr>
                <w:rFonts w:ascii="Book Antiqua" w:hAnsi="Book Antiqua" w:cs="Arial"/>
                <w:highlight w:val="none"/>
                <w:lang w:val="de-DE"/>
              </w:rPr>
              <w:fldChar w:fldCharType="separate"/>
            </w:r>
            <w:r>
              <w:rPr>
                <w:rFonts w:ascii="Book Antiqua" w:hAnsi="Book Antiqua" w:cs="Arial"/>
                <w:highlight w:val="none"/>
                <w:vertAlign w:val="superscript"/>
                <w:lang w:val="de-DE"/>
              </w:rPr>
              <w:t>[70]</w:t>
            </w:r>
            <w:r>
              <w:rPr>
                <w:rFonts w:ascii="Book Antiqua" w:hAnsi="Book Antiqua" w:cs="Arial"/>
                <w:highlight w:val="none"/>
                <w:lang w:val="de-DE"/>
              </w:rPr>
              <w:fldChar w:fldCharType="end"/>
            </w:r>
          </w:p>
        </w:tc>
        <w:tc>
          <w:tcPr>
            <w:tcW w:w="794"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6-10</w:t>
            </w:r>
          </w:p>
        </w:tc>
        <w:tc>
          <w:tcPr>
            <w:tcW w:w="482" w:type="dxa"/>
            <w:tcBorders>
              <w:top w:val="nil"/>
              <w:bottom w:val="nil"/>
            </w:tcBorders>
          </w:tcPr>
          <w:p>
            <w:pPr>
              <w:adjustRightInd w:val="0"/>
              <w:snapToGrid w:val="0"/>
              <w:spacing w:before="0" w:line="360" w:lineRule="auto"/>
              <w:rPr>
                <w:rFonts w:ascii="Book Antiqua" w:hAnsi="Book Antiqua" w:cs="Arial"/>
                <w:highlight w:val="none"/>
                <w:lang w:val="de-DE"/>
              </w:rPr>
            </w:pPr>
            <w:r>
              <w:rPr>
                <w:rFonts w:ascii="Book Antiqua" w:hAnsi="Book Antiqua" w:cs="Arial"/>
                <w:highlight w:val="none"/>
                <w:lang w:val="de-DE"/>
              </w:rPr>
              <w:t>1</w:t>
            </w:r>
          </w:p>
        </w:tc>
      </w:tr>
    </w:tbl>
    <w:p>
      <w:pPr>
        <w:adjustRightInd w:val="0"/>
        <w:snapToGrid w:val="0"/>
        <w:spacing w:line="360" w:lineRule="auto"/>
        <w:jc w:val="both"/>
        <w:rPr>
          <w:rFonts w:ascii="Book Antiqua" w:hAnsi="Book Antiqua" w:cs="Arial"/>
          <w:highlight w:val="none"/>
        </w:rPr>
      </w:pPr>
      <w:r>
        <w:rPr>
          <w:rFonts w:ascii="Book Antiqua" w:hAnsi="Book Antiqua" w:cs="Arial"/>
          <w:highlight w:val="none"/>
        </w:rPr>
        <w:t xml:space="preserve">α: Cronbach’s Alpha; </w:t>
      </w:r>
      <w:r>
        <w:rPr>
          <w:rFonts w:ascii="Book Antiqua" w:hAnsi="Book Antiqua" w:cs="Arial"/>
          <w:i/>
          <w:highlight w:val="none"/>
        </w:rPr>
        <w:t>rtt:</w:t>
      </w:r>
      <w:r>
        <w:rPr>
          <w:rFonts w:ascii="Book Antiqua" w:hAnsi="Book Antiqua" w:cs="Arial"/>
          <w:highlight w:val="none"/>
        </w:rPr>
        <w:t xml:space="preserve"> Test-retest-reliability; κ: Cohen’s kappa; </w:t>
      </w:r>
      <w:r>
        <w:rPr>
          <w:rFonts w:ascii="Book Antiqua" w:hAnsi="Book Antiqua" w:cs="Arial"/>
          <w:i/>
          <w:highlight w:val="none"/>
        </w:rPr>
        <w:t>k</w:t>
      </w:r>
      <w:r>
        <w:rPr>
          <w:rFonts w:ascii="Book Antiqua" w:hAnsi="Book Antiqua" w:cs="Arial"/>
          <w:highlight w:val="none"/>
        </w:rPr>
        <w:t>: Number of included studies which used the measure; MCQ-30: Metacognitions Questionnaire - 30-Item Version; MCQ-A: Metacognitions Questionnaire - Adolescent Version; MCQ-C: Metacognitions Questionnaire for Children; MCQ-CR: Revised Metacognitions Questionnaire for Children; MCQ-C30: Metacognitions Questionnaire for Children - 30 Item version; MKF-K: Metacognition questionnaire for children; MWQ: Meta-Worry Questionnaire; WW-II: Why Worry-II; POS: Positive beliefs about worry; NEG: Negative beliefs about worry.</w:t>
      </w:r>
    </w:p>
    <w:p>
      <w:pPr>
        <w:adjustRightInd w:val="0"/>
        <w:snapToGrid w:val="0"/>
        <w:spacing w:line="360" w:lineRule="auto"/>
        <w:jc w:val="both"/>
        <w:rPr>
          <w:rFonts w:ascii="Book Antiqua" w:hAnsi="Book Antiqua" w:cs="Arial"/>
          <w:highlight w:val="none"/>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highlight w:val="none"/>
          <w:lang w:eastAsia="zh-CN"/>
        </w:rPr>
        <w:drawing>
          <wp:inline distT="0" distB="0" distL="0" distR="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highlight w:val="none"/>
        </w:rPr>
      </w:pPr>
      <w:r>
        <w:rPr>
          <w:rFonts w:ascii="Book Antiqua" w:hAnsi="Book Antiqua" w:eastAsia="TimesNewRomanPSMT" w:cs="TimesNewRomanPSMT"/>
          <w:color w:val="000000"/>
          <w:sz w:val="28"/>
          <w:szCs w:val="28"/>
          <w:highlight w:val="none"/>
        </w:rPr>
        <w:t xml:space="preserve">Published by </w:t>
      </w:r>
      <w:r>
        <w:rPr>
          <w:rFonts w:ascii="Book Antiqua" w:hAnsi="Book Antiqua" w:eastAsia="Garamond-Bold" w:cs="Garamond-Bold"/>
          <w:b/>
          <w:bCs/>
          <w:color w:val="000000"/>
          <w:sz w:val="28"/>
          <w:szCs w:val="28"/>
          <w:highlight w:val="none"/>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highlight w:val="none"/>
        </w:rPr>
      </w:pPr>
      <w:r>
        <w:rPr>
          <w:rFonts w:ascii="Book Antiqua" w:hAnsi="Book Antiqua" w:eastAsia="TimesNewRomanPSMT" w:cs="Garamond"/>
          <w:color w:val="000000"/>
          <w:sz w:val="28"/>
          <w:szCs w:val="28"/>
          <w:highlight w:val="none"/>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highlight w:val="none"/>
        </w:rPr>
      </w:pPr>
      <w:r>
        <w:rPr>
          <w:rFonts w:ascii="Book Antiqua" w:hAnsi="Book Antiqua" w:eastAsia="Garamond-Bold" w:cs="Garamond-Bold"/>
          <w:b/>
          <w:bCs/>
          <w:color w:val="000000"/>
          <w:sz w:val="28"/>
          <w:szCs w:val="28"/>
          <w:highlight w:val="none"/>
        </w:rPr>
        <w:t xml:space="preserve">Telephone: </w:t>
      </w:r>
      <w:r>
        <w:rPr>
          <w:rFonts w:ascii="Book Antiqua" w:hAnsi="Book Antiqua" w:eastAsia="TimesNewRomanPSMT" w:cs="Garamond"/>
          <w:color w:val="000000"/>
          <w:sz w:val="28"/>
          <w:szCs w:val="28"/>
          <w:highlight w:val="none"/>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highlight w:val="none"/>
        </w:rPr>
      </w:pPr>
      <w:r>
        <w:rPr>
          <w:rFonts w:ascii="Book Antiqua" w:hAnsi="Book Antiqua" w:eastAsia="Garamond-Bold" w:cs="Garamond-Bold"/>
          <w:b/>
          <w:bCs/>
          <w:color w:val="000000"/>
          <w:sz w:val="28"/>
          <w:szCs w:val="28"/>
          <w:highlight w:val="none"/>
        </w:rPr>
        <w:t xml:space="preserve">E-mail: </w:t>
      </w:r>
      <w:r>
        <w:rPr>
          <w:rFonts w:ascii="Book Antiqua" w:hAnsi="Book Antiqua" w:eastAsia="TimesNewRomanPSMT" w:cs="Garamond"/>
          <w:color w:val="D56400"/>
          <w:sz w:val="28"/>
          <w:szCs w:val="28"/>
          <w:highlight w:val="none"/>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highlight w:val="none"/>
        </w:rPr>
      </w:pPr>
      <w:r>
        <w:rPr>
          <w:rFonts w:ascii="Book Antiqua" w:hAnsi="Book Antiqua" w:eastAsia="Garamond-Bold" w:cs="Garamond-Bold"/>
          <w:b/>
          <w:bCs/>
          <w:color w:val="000000"/>
          <w:sz w:val="28"/>
          <w:szCs w:val="28"/>
          <w:highlight w:val="none"/>
        </w:rPr>
        <w:t xml:space="preserve">Help Desk: </w:t>
      </w:r>
      <w:r>
        <w:rPr>
          <w:rFonts w:ascii="Book Antiqua" w:hAnsi="Book Antiqua" w:eastAsia="TimesNewRomanPSMT" w:cs="Garamond"/>
          <w:color w:val="D56400"/>
          <w:sz w:val="28"/>
          <w:szCs w:val="28"/>
          <w:highlight w:val="none"/>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eastAsia="TimesNewRomanPSMT" w:cs="Garamond"/>
          <w:color w:val="D56400"/>
          <w:sz w:val="28"/>
          <w:szCs w:val="28"/>
          <w:highlight w:val="none"/>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r>
        <w:rPr>
          <w:rFonts w:ascii="Book Antiqua" w:hAnsi="Book Antiqua"/>
          <w:highlight w:val="none"/>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highlight w:val="none"/>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highlight w:val="none"/>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highlight w:val="none"/>
          <w:shd w:val="clear" w:color="auto" w:fill="FFFFFF"/>
          <w:lang w:eastAsia="zh-CN"/>
        </w:rPr>
      </w:pPr>
      <w:r>
        <w:rPr>
          <w:rFonts w:ascii="Book Antiqua" w:hAnsi="Book Antiqua" w:eastAsia="BookAntiqua-Bold" w:cs="BookAntiqua-Bold"/>
          <w:b/>
          <w:bCs/>
          <w:color w:val="000000" w:themeColor="text1"/>
          <w:highlight w:val="none"/>
          <w14:textFill>
            <w14:solidFill>
              <w14:schemeClr w14:val="tx1"/>
            </w14:solidFill>
          </w14:textFill>
        </w:rPr>
        <w:t>© 2021 Baishideng Publishing Group Inc. All rights reserved.</w:t>
      </w:r>
    </w:p>
    <w:p>
      <w:pPr>
        <w:adjustRightInd w:val="0"/>
        <w:snapToGrid w:val="0"/>
        <w:spacing w:line="360" w:lineRule="auto"/>
        <w:jc w:val="both"/>
        <w:rPr>
          <w:rFonts w:ascii="Book Antiqua" w:hAnsi="Book Antiqua" w:cs="Arial"/>
          <w:highlight w:val="none"/>
        </w:rPr>
      </w:pPr>
    </w:p>
    <w:sectPr>
      <w:pgSz w:w="11906" w:h="16838"/>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Helvetica Neue">
    <w:altName w:val="Times New Roman"/>
    <w:panose1 w:val="00000000000000000000"/>
    <w:charset w:val="00"/>
    <w:family w:val="auto"/>
    <w:pitch w:val="default"/>
    <w:sig w:usb0="00000000" w:usb1="00000000" w:usb2="0000001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04234774"/>
      <w:docPartObj>
        <w:docPartGallery w:val="autotext"/>
      </w:docPartObj>
    </w:sdtPr>
    <w:sdtEndPr>
      <w:rPr>
        <w:rFonts w:ascii="Book Antiqua" w:hAnsi="Book Antiqua"/>
        <w:sz w:val="24"/>
        <w:szCs w:val="24"/>
      </w:rPr>
    </w:sdtEndPr>
    <w:sdtContent>
      <w:p>
        <w:pPr>
          <w:pStyle w:val="14"/>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2</w:t>
        </w:r>
        <w:r>
          <w:rPr>
            <w:rFonts w:ascii="Book Antiqua" w:hAnsi="Book Antiqua"/>
            <w:sz w:val="24"/>
            <w:szCs w:val="24"/>
          </w:rPr>
          <w:fldChar w:fldCharType="end"/>
        </w:r>
        <w:r>
          <w:rPr>
            <w:rFonts w:ascii="Book Antiqua" w:hAnsi="Book Antiqua"/>
            <w:sz w:val="24"/>
            <w:szCs w:val="24"/>
          </w:rPr>
          <w:t xml:space="preserve"> / 58</w:t>
        </w:r>
      </w:p>
    </w:sdtContent>
  </w:sdt>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91177"/>
      <w:docPartObj>
        <w:docPartGallery w:val="autotext"/>
      </w:docPartObj>
    </w:sdtPr>
    <w:sdtContent>
      <w:sdt>
        <w:sdtPr>
          <w:id w:val="-1705238520"/>
          <w:docPartObj>
            <w:docPartGallery w:val="autotext"/>
          </w:docPartObj>
        </w:sdtPr>
        <w:sdtContent>
          <w:p>
            <w:pPr>
              <w:pStyle w:val="14"/>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pPr>
      <w:pStyle w:val="1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44C5"/>
    <w:rsid w:val="0006019B"/>
    <w:rsid w:val="000929D3"/>
    <w:rsid w:val="0009754F"/>
    <w:rsid w:val="000B49D9"/>
    <w:rsid w:val="0011194C"/>
    <w:rsid w:val="00145CDE"/>
    <w:rsid w:val="00166DB6"/>
    <w:rsid w:val="0019182C"/>
    <w:rsid w:val="001A09A9"/>
    <w:rsid w:val="001E61B6"/>
    <w:rsid w:val="001E679A"/>
    <w:rsid w:val="00205F7E"/>
    <w:rsid w:val="00233DDB"/>
    <w:rsid w:val="00246ED8"/>
    <w:rsid w:val="00253619"/>
    <w:rsid w:val="002617F6"/>
    <w:rsid w:val="00275B7E"/>
    <w:rsid w:val="002B2C1B"/>
    <w:rsid w:val="002F1614"/>
    <w:rsid w:val="00324C24"/>
    <w:rsid w:val="00351CC6"/>
    <w:rsid w:val="003609B1"/>
    <w:rsid w:val="00374E7B"/>
    <w:rsid w:val="00375ECA"/>
    <w:rsid w:val="00381981"/>
    <w:rsid w:val="003819BF"/>
    <w:rsid w:val="0038213F"/>
    <w:rsid w:val="00382E10"/>
    <w:rsid w:val="00382EB2"/>
    <w:rsid w:val="00395394"/>
    <w:rsid w:val="003A29B6"/>
    <w:rsid w:val="003D2023"/>
    <w:rsid w:val="003D52AE"/>
    <w:rsid w:val="003E105C"/>
    <w:rsid w:val="004209DA"/>
    <w:rsid w:val="004256FC"/>
    <w:rsid w:val="0045309B"/>
    <w:rsid w:val="00470C48"/>
    <w:rsid w:val="00495205"/>
    <w:rsid w:val="004C345B"/>
    <w:rsid w:val="004D6905"/>
    <w:rsid w:val="00531D07"/>
    <w:rsid w:val="005564F3"/>
    <w:rsid w:val="00560907"/>
    <w:rsid w:val="005668FB"/>
    <w:rsid w:val="00577053"/>
    <w:rsid w:val="005B1A70"/>
    <w:rsid w:val="005B4DBF"/>
    <w:rsid w:val="005C5B4E"/>
    <w:rsid w:val="005F1399"/>
    <w:rsid w:val="005F5D6E"/>
    <w:rsid w:val="006116A7"/>
    <w:rsid w:val="00637EC1"/>
    <w:rsid w:val="00660E66"/>
    <w:rsid w:val="006E6CF4"/>
    <w:rsid w:val="006F1EEC"/>
    <w:rsid w:val="00720EBE"/>
    <w:rsid w:val="00723EAD"/>
    <w:rsid w:val="007267BE"/>
    <w:rsid w:val="00735815"/>
    <w:rsid w:val="00743A94"/>
    <w:rsid w:val="00765F9B"/>
    <w:rsid w:val="007A38CA"/>
    <w:rsid w:val="007C0DF5"/>
    <w:rsid w:val="007C21D7"/>
    <w:rsid w:val="008257BD"/>
    <w:rsid w:val="008478E2"/>
    <w:rsid w:val="00891E4E"/>
    <w:rsid w:val="00896E9D"/>
    <w:rsid w:val="008B1973"/>
    <w:rsid w:val="008B4D10"/>
    <w:rsid w:val="008B5CD7"/>
    <w:rsid w:val="008C150D"/>
    <w:rsid w:val="008E498C"/>
    <w:rsid w:val="009244D7"/>
    <w:rsid w:val="0096003B"/>
    <w:rsid w:val="00960198"/>
    <w:rsid w:val="009741A0"/>
    <w:rsid w:val="009921C1"/>
    <w:rsid w:val="009D249E"/>
    <w:rsid w:val="009F767C"/>
    <w:rsid w:val="00A000CE"/>
    <w:rsid w:val="00A379A9"/>
    <w:rsid w:val="00A46C11"/>
    <w:rsid w:val="00A57648"/>
    <w:rsid w:val="00A740FD"/>
    <w:rsid w:val="00A77B3E"/>
    <w:rsid w:val="00A945DB"/>
    <w:rsid w:val="00AC5F27"/>
    <w:rsid w:val="00B81EC5"/>
    <w:rsid w:val="00BB28F1"/>
    <w:rsid w:val="00BD5D82"/>
    <w:rsid w:val="00BE2959"/>
    <w:rsid w:val="00BE29E5"/>
    <w:rsid w:val="00BE70B6"/>
    <w:rsid w:val="00C2793D"/>
    <w:rsid w:val="00C36BD5"/>
    <w:rsid w:val="00C467EF"/>
    <w:rsid w:val="00C57222"/>
    <w:rsid w:val="00C63202"/>
    <w:rsid w:val="00C77C5A"/>
    <w:rsid w:val="00C82FA5"/>
    <w:rsid w:val="00CA2A55"/>
    <w:rsid w:val="00CD6194"/>
    <w:rsid w:val="00D00C47"/>
    <w:rsid w:val="00D11301"/>
    <w:rsid w:val="00D13F48"/>
    <w:rsid w:val="00D32550"/>
    <w:rsid w:val="00D50B8C"/>
    <w:rsid w:val="00D65F38"/>
    <w:rsid w:val="00D7309D"/>
    <w:rsid w:val="00D75B36"/>
    <w:rsid w:val="00DB3617"/>
    <w:rsid w:val="00DC294F"/>
    <w:rsid w:val="00DD0130"/>
    <w:rsid w:val="00DD0D7A"/>
    <w:rsid w:val="00E025DD"/>
    <w:rsid w:val="00E30415"/>
    <w:rsid w:val="00E86873"/>
    <w:rsid w:val="00E952A5"/>
    <w:rsid w:val="00EC24E0"/>
    <w:rsid w:val="00ED0ED9"/>
    <w:rsid w:val="00EF7490"/>
    <w:rsid w:val="00F26946"/>
    <w:rsid w:val="00F63E12"/>
    <w:rsid w:val="00FB73C1"/>
    <w:rsid w:val="00FC29A0"/>
    <w:rsid w:val="00FD229A"/>
    <w:rsid w:val="00FE049C"/>
    <w:rsid w:val="00FE04B2"/>
    <w:rsid w:val="00FF04CF"/>
    <w:rsid w:val="00FF4B99"/>
    <w:rsid w:val="00FF6968"/>
    <w:rsid w:val="1FFD325F"/>
    <w:rsid w:val="279D58CC"/>
    <w:rsid w:val="31CC7EB9"/>
    <w:rsid w:val="47907A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0" w:name="index heading"/>
    <w:lsdException w:qFormat="1" w:uiPriority="35" w:semiHidden="0" w:name="caption"/>
    <w:lsdException w:uiPriority="0" w:name="table of figures"/>
    <w:lsdException w:uiPriority="0" w:name="envelope address"/>
    <w:lsdException w:uiPriority="0" w:name="envelope return"/>
    <w:lsdException w:uiPriority="99" w:name="footnote reference"/>
    <w:lsdException w:qFormat="1" w:uiPriority="99" w:name="annotation reference"/>
    <w:lsdException w:uiPriority="0" w:name="line number"/>
    <w:lsdException w:uiPriority="99"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link w:val="24"/>
    <w:qFormat/>
    <w:uiPriority w:val="9"/>
    <w:pPr>
      <w:keepNext/>
      <w:keepLines/>
      <w:spacing w:before="240" w:line="312" w:lineRule="auto"/>
      <w:outlineLvl w:val="0"/>
    </w:pPr>
    <w:rPr>
      <w:rFonts w:asciiTheme="majorHAnsi" w:hAnsiTheme="majorHAnsi" w:eastAsiaTheme="majorEastAsia" w:cstheme="majorBidi"/>
      <w:color w:val="376092" w:themeColor="accent1" w:themeShade="BF"/>
      <w:sz w:val="32"/>
      <w:szCs w:val="32"/>
      <w:lang w:val="en-GB"/>
    </w:rPr>
  </w:style>
  <w:style w:type="paragraph" w:styleId="3">
    <w:name w:val="heading 2"/>
    <w:basedOn w:val="1"/>
    <w:next w:val="1"/>
    <w:link w:val="25"/>
    <w:unhideWhenUsed/>
    <w:qFormat/>
    <w:uiPriority w:val="9"/>
    <w:pPr>
      <w:keepNext/>
      <w:keepLines/>
      <w:spacing w:before="40" w:line="312" w:lineRule="auto"/>
      <w:outlineLvl w:val="1"/>
    </w:pPr>
    <w:rPr>
      <w:rFonts w:asciiTheme="majorHAnsi" w:hAnsiTheme="majorHAnsi" w:eastAsiaTheme="majorEastAsia" w:cstheme="majorBidi"/>
      <w:color w:val="376092" w:themeColor="accent1" w:themeShade="BF"/>
      <w:sz w:val="26"/>
      <w:szCs w:val="26"/>
      <w:lang w:val="en-GB"/>
    </w:rPr>
  </w:style>
  <w:style w:type="paragraph" w:styleId="4">
    <w:name w:val="heading 3"/>
    <w:basedOn w:val="1"/>
    <w:next w:val="1"/>
    <w:link w:val="26"/>
    <w:semiHidden/>
    <w:unhideWhenUsed/>
    <w:qFormat/>
    <w:uiPriority w:val="9"/>
    <w:pPr>
      <w:keepNext/>
      <w:keepLines/>
      <w:spacing w:before="40" w:line="312" w:lineRule="auto"/>
      <w:outlineLvl w:val="2"/>
    </w:pPr>
    <w:rPr>
      <w:rFonts w:asciiTheme="majorHAnsi" w:hAnsiTheme="majorHAnsi" w:eastAsiaTheme="majorEastAsia" w:cstheme="majorBidi"/>
      <w:color w:val="254061" w:themeColor="accent1" w:themeShade="80"/>
      <w:lang w:val="en-GB"/>
    </w:rPr>
  </w:style>
  <w:style w:type="paragraph" w:styleId="5">
    <w:name w:val="heading 4"/>
    <w:basedOn w:val="1"/>
    <w:next w:val="1"/>
    <w:link w:val="27"/>
    <w:semiHidden/>
    <w:unhideWhenUsed/>
    <w:qFormat/>
    <w:uiPriority w:val="9"/>
    <w:pPr>
      <w:keepNext/>
      <w:keepLines/>
      <w:spacing w:before="40" w:line="312" w:lineRule="auto"/>
      <w:outlineLvl w:val="3"/>
    </w:pPr>
    <w:rPr>
      <w:rFonts w:asciiTheme="majorHAnsi" w:hAnsiTheme="majorHAnsi" w:eastAsiaTheme="majorEastAsia" w:cstheme="majorBidi"/>
      <w:i/>
      <w:iCs/>
      <w:color w:val="376092" w:themeColor="accent1" w:themeShade="BF"/>
      <w:sz w:val="22"/>
      <w:szCs w:val="20"/>
      <w:lang w:val="en-GB"/>
    </w:rPr>
  </w:style>
  <w:style w:type="paragraph" w:styleId="6">
    <w:name w:val="heading 5"/>
    <w:basedOn w:val="1"/>
    <w:next w:val="1"/>
    <w:link w:val="28"/>
    <w:semiHidden/>
    <w:unhideWhenUsed/>
    <w:qFormat/>
    <w:uiPriority w:val="9"/>
    <w:pPr>
      <w:keepNext/>
      <w:keepLines/>
      <w:spacing w:before="40" w:line="312" w:lineRule="auto"/>
      <w:outlineLvl w:val="4"/>
    </w:pPr>
    <w:rPr>
      <w:rFonts w:asciiTheme="majorHAnsi" w:hAnsiTheme="majorHAnsi" w:eastAsiaTheme="majorEastAsia" w:cstheme="majorBidi"/>
      <w:color w:val="376092" w:themeColor="accent1" w:themeShade="BF"/>
      <w:sz w:val="22"/>
      <w:szCs w:val="20"/>
      <w:lang w:val="en-GB"/>
    </w:rPr>
  </w:style>
  <w:style w:type="paragraph" w:styleId="7">
    <w:name w:val="heading 6"/>
    <w:basedOn w:val="1"/>
    <w:next w:val="1"/>
    <w:link w:val="29"/>
    <w:semiHidden/>
    <w:unhideWhenUsed/>
    <w:qFormat/>
    <w:uiPriority w:val="9"/>
    <w:pPr>
      <w:keepNext/>
      <w:keepLines/>
      <w:spacing w:before="40" w:line="312" w:lineRule="auto"/>
      <w:outlineLvl w:val="5"/>
    </w:pPr>
    <w:rPr>
      <w:rFonts w:asciiTheme="majorHAnsi" w:hAnsiTheme="majorHAnsi" w:eastAsiaTheme="majorEastAsia" w:cstheme="majorBidi"/>
      <w:color w:val="254061" w:themeColor="accent1" w:themeShade="80"/>
      <w:sz w:val="22"/>
      <w:szCs w:val="20"/>
      <w:lang w:val="en-GB"/>
    </w:rPr>
  </w:style>
  <w:style w:type="paragraph" w:styleId="8">
    <w:name w:val="heading 7"/>
    <w:basedOn w:val="1"/>
    <w:next w:val="1"/>
    <w:link w:val="30"/>
    <w:semiHidden/>
    <w:unhideWhenUsed/>
    <w:qFormat/>
    <w:uiPriority w:val="9"/>
    <w:pPr>
      <w:keepNext/>
      <w:keepLines/>
      <w:spacing w:before="40" w:line="312" w:lineRule="auto"/>
      <w:outlineLvl w:val="6"/>
    </w:pPr>
    <w:rPr>
      <w:rFonts w:asciiTheme="majorHAnsi" w:hAnsiTheme="majorHAnsi" w:eastAsiaTheme="majorEastAsia" w:cstheme="majorBidi"/>
      <w:i/>
      <w:iCs/>
      <w:color w:val="254061" w:themeColor="accent1" w:themeShade="80"/>
      <w:sz w:val="22"/>
      <w:szCs w:val="20"/>
      <w:lang w:val="en-GB"/>
    </w:rPr>
  </w:style>
  <w:style w:type="paragraph" w:styleId="9">
    <w:name w:val="heading 8"/>
    <w:basedOn w:val="1"/>
    <w:next w:val="1"/>
    <w:link w:val="31"/>
    <w:semiHidden/>
    <w:unhideWhenUsed/>
    <w:qFormat/>
    <w:uiPriority w:val="9"/>
    <w:pPr>
      <w:keepNext/>
      <w:keepLines/>
      <w:spacing w:before="40" w:line="312" w:lineRule="auto"/>
      <w:outlineLvl w:val="7"/>
    </w:pPr>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paragraph" w:styleId="10">
    <w:name w:val="heading 9"/>
    <w:basedOn w:val="1"/>
    <w:next w:val="1"/>
    <w:link w:val="32"/>
    <w:semiHidden/>
    <w:unhideWhenUsed/>
    <w:qFormat/>
    <w:uiPriority w:val="9"/>
    <w:pPr>
      <w:keepNext/>
      <w:keepLines/>
      <w:spacing w:before="40" w:line="312" w:lineRule="auto"/>
      <w:outlineLvl w:val="8"/>
    </w:pPr>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unhideWhenUsed/>
    <w:qFormat/>
    <w:uiPriority w:val="35"/>
    <w:pPr>
      <w:spacing w:before="240" w:after="200"/>
    </w:pPr>
    <w:rPr>
      <w:rFonts w:ascii="Tahoma" w:hAnsi="Tahoma" w:eastAsia="Times New Roman"/>
      <w:i/>
      <w:iCs/>
      <w:color w:val="1F497D" w:themeColor="text2"/>
      <w:sz w:val="18"/>
      <w:szCs w:val="18"/>
      <w:lang w:val="en-GB"/>
      <w14:textFill>
        <w14:solidFill>
          <w14:schemeClr w14:val="tx2"/>
        </w14:solidFill>
      </w14:textFill>
    </w:rPr>
  </w:style>
  <w:style w:type="paragraph" w:styleId="12">
    <w:name w:val="annotation text"/>
    <w:basedOn w:val="1"/>
    <w:link w:val="35"/>
    <w:semiHidden/>
    <w:unhideWhenUsed/>
    <w:qFormat/>
    <w:uiPriority w:val="99"/>
  </w:style>
  <w:style w:type="paragraph" w:styleId="13">
    <w:name w:val="Balloon Text"/>
    <w:basedOn w:val="1"/>
    <w:link w:val="63"/>
    <w:unhideWhenUsed/>
    <w:qFormat/>
    <w:uiPriority w:val="99"/>
    <w:rPr>
      <w:rFonts w:ascii="Segoe UI" w:hAnsi="Segoe UI" w:eastAsia="Times New Roman" w:cs="Segoe UI"/>
      <w:sz w:val="18"/>
      <w:szCs w:val="18"/>
      <w:lang w:val="en-GB"/>
    </w:rPr>
  </w:style>
  <w:style w:type="paragraph" w:styleId="14">
    <w:name w:val="footer"/>
    <w:basedOn w:val="1"/>
    <w:link w:val="34"/>
    <w:unhideWhenUsed/>
    <w:qFormat/>
    <w:uiPriority w:val="99"/>
    <w:pPr>
      <w:tabs>
        <w:tab w:val="center" w:pos="4153"/>
        <w:tab w:val="right" w:pos="8306"/>
      </w:tabs>
      <w:snapToGrid w:val="0"/>
    </w:pPr>
    <w:rPr>
      <w:sz w:val="18"/>
      <w:szCs w:val="18"/>
    </w:rPr>
  </w:style>
  <w:style w:type="paragraph" w:styleId="15">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footnote text"/>
    <w:basedOn w:val="1"/>
    <w:link w:val="65"/>
    <w:semiHidden/>
    <w:unhideWhenUsed/>
    <w:qFormat/>
    <w:uiPriority w:val="99"/>
    <w:rPr>
      <w:rFonts w:ascii="Tahoma" w:hAnsi="Tahoma" w:eastAsia="Times New Roman"/>
      <w:sz w:val="20"/>
      <w:szCs w:val="20"/>
      <w:lang w:val="en-GB"/>
    </w:rPr>
  </w:style>
  <w:style w:type="paragraph" w:styleId="17">
    <w:name w:val="Normal (Web)"/>
    <w:basedOn w:val="1"/>
    <w:unhideWhenUsed/>
    <w:qFormat/>
    <w:uiPriority w:val="99"/>
    <w:pPr>
      <w:spacing w:before="100" w:beforeAutospacing="1" w:after="100" w:afterAutospacing="1"/>
    </w:pPr>
    <w:rPr>
      <w:lang w:val="de-DE" w:eastAsia="de-DE"/>
    </w:rPr>
  </w:style>
  <w:style w:type="paragraph" w:styleId="18">
    <w:name w:val="annotation subject"/>
    <w:basedOn w:val="12"/>
    <w:next w:val="12"/>
    <w:link w:val="36"/>
    <w:semiHidden/>
    <w:unhideWhenUsed/>
    <w:qFormat/>
    <w:uiPriority w:val="99"/>
    <w:rPr>
      <w:b/>
      <w:bCs/>
    </w:rPr>
  </w:style>
  <w:style w:type="table" w:styleId="20">
    <w:name w:val="Table Grid"/>
    <w:basedOn w:val="19"/>
    <w:qFormat/>
    <w:uiPriority w:val="39"/>
    <w:pPr>
      <w:spacing w:before="240" w:line="312" w:lineRule="auto"/>
    </w:pPr>
    <w:rPr>
      <w:rFonts w:asciiTheme="minorHAnsi" w:hAnsiTheme="minorHAnsi" w:cstheme="minorBidi"/>
      <w:sz w:val="24"/>
      <w:szCs w:val="24"/>
      <w:lang w:val="de-D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basedOn w:val="21"/>
    <w:semiHidden/>
    <w:unhideWhenUsed/>
    <w:qFormat/>
    <w:uiPriority w:val="99"/>
    <w:rPr>
      <w:color w:val="0000FF"/>
      <w:u w:val="single"/>
    </w:rPr>
  </w:style>
  <w:style w:type="character" w:styleId="23">
    <w:name w:val="annotation reference"/>
    <w:basedOn w:val="21"/>
    <w:semiHidden/>
    <w:unhideWhenUsed/>
    <w:qFormat/>
    <w:uiPriority w:val="99"/>
    <w:rPr>
      <w:sz w:val="21"/>
      <w:szCs w:val="21"/>
    </w:rPr>
  </w:style>
  <w:style w:type="character" w:customStyle="1" w:styleId="24">
    <w:name w:val="标题 1 字符"/>
    <w:basedOn w:val="21"/>
    <w:link w:val="2"/>
    <w:qFormat/>
    <w:uiPriority w:val="9"/>
    <w:rPr>
      <w:rFonts w:asciiTheme="majorHAnsi" w:hAnsiTheme="majorHAnsi" w:eastAsiaTheme="majorEastAsia" w:cstheme="majorBidi"/>
      <w:color w:val="376092" w:themeColor="accent1" w:themeShade="BF"/>
      <w:sz w:val="32"/>
      <w:szCs w:val="32"/>
      <w:lang w:val="en-GB"/>
    </w:rPr>
  </w:style>
  <w:style w:type="character" w:customStyle="1" w:styleId="25">
    <w:name w:val="标题 2 字符"/>
    <w:basedOn w:val="21"/>
    <w:link w:val="3"/>
    <w:qFormat/>
    <w:uiPriority w:val="9"/>
    <w:rPr>
      <w:rFonts w:asciiTheme="majorHAnsi" w:hAnsiTheme="majorHAnsi" w:eastAsiaTheme="majorEastAsia" w:cstheme="majorBidi"/>
      <w:color w:val="376092" w:themeColor="accent1" w:themeShade="BF"/>
      <w:sz w:val="26"/>
      <w:szCs w:val="26"/>
      <w:lang w:val="en-GB"/>
    </w:rPr>
  </w:style>
  <w:style w:type="character" w:customStyle="1" w:styleId="26">
    <w:name w:val="标题 3 字符"/>
    <w:basedOn w:val="21"/>
    <w:link w:val="4"/>
    <w:semiHidden/>
    <w:qFormat/>
    <w:uiPriority w:val="9"/>
    <w:rPr>
      <w:rFonts w:asciiTheme="majorHAnsi" w:hAnsiTheme="majorHAnsi" w:eastAsiaTheme="majorEastAsia" w:cstheme="majorBidi"/>
      <w:color w:val="254061" w:themeColor="accent1" w:themeShade="80"/>
      <w:sz w:val="24"/>
      <w:szCs w:val="24"/>
      <w:lang w:val="en-GB"/>
    </w:rPr>
  </w:style>
  <w:style w:type="character" w:customStyle="1" w:styleId="27">
    <w:name w:val="标题 4 字符"/>
    <w:basedOn w:val="21"/>
    <w:link w:val="5"/>
    <w:semiHidden/>
    <w:qFormat/>
    <w:uiPriority w:val="9"/>
    <w:rPr>
      <w:rFonts w:asciiTheme="majorHAnsi" w:hAnsiTheme="majorHAnsi" w:eastAsiaTheme="majorEastAsia" w:cstheme="majorBidi"/>
      <w:i/>
      <w:iCs/>
      <w:color w:val="376092" w:themeColor="accent1" w:themeShade="BF"/>
      <w:sz w:val="22"/>
      <w:lang w:val="en-GB"/>
    </w:rPr>
  </w:style>
  <w:style w:type="character" w:customStyle="1" w:styleId="28">
    <w:name w:val="标题 5 字符"/>
    <w:basedOn w:val="21"/>
    <w:link w:val="6"/>
    <w:semiHidden/>
    <w:qFormat/>
    <w:uiPriority w:val="9"/>
    <w:rPr>
      <w:rFonts w:asciiTheme="majorHAnsi" w:hAnsiTheme="majorHAnsi" w:eastAsiaTheme="majorEastAsia" w:cstheme="majorBidi"/>
      <w:color w:val="376092" w:themeColor="accent1" w:themeShade="BF"/>
      <w:sz w:val="22"/>
      <w:lang w:val="en-GB"/>
    </w:rPr>
  </w:style>
  <w:style w:type="character" w:customStyle="1" w:styleId="29">
    <w:name w:val="标题 6 字符"/>
    <w:basedOn w:val="21"/>
    <w:link w:val="7"/>
    <w:semiHidden/>
    <w:qFormat/>
    <w:uiPriority w:val="9"/>
    <w:rPr>
      <w:rFonts w:asciiTheme="majorHAnsi" w:hAnsiTheme="majorHAnsi" w:eastAsiaTheme="majorEastAsia" w:cstheme="majorBidi"/>
      <w:color w:val="254061" w:themeColor="accent1" w:themeShade="80"/>
      <w:sz w:val="22"/>
      <w:lang w:val="en-GB"/>
    </w:rPr>
  </w:style>
  <w:style w:type="character" w:customStyle="1" w:styleId="30">
    <w:name w:val="标题 7 字符"/>
    <w:basedOn w:val="21"/>
    <w:link w:val="8"/>
    <w:semiHidden/>
    <w:qFormat/>
    <w:uiPriority w:val="9"/>
    <w:rPr>
      <w:rFonts w:asciiTheme="majorHAnsi" w:hAnsiTheme="majorHAnsi" w:eastAsiaTheme="majorEastAsia" w:cstheme="majorBidi"/>
      <w:i/>
      <w:iCs/>
      <w:color w:val="254061" w:themeColor="accent1" w:themeShade="80"/>
      <w:sz w:val="22"/>
      <w:lang w:val="en-GB"/>
    </w:rPr>
  </w:style>
  <w:style w:type="character" w:customStyle="1" w:styleId="31">
    <w:name w:val="标题 8 字符"/>
    <w:basedOn w:val="21"/>
    <w:link w:val="9"/>
    <w:semiHidden/>
    <w:qFormat/>
    <w:uiPriority w:val="9"/>
    <w:rPr>
      <w:rFonts w:asciiTheme="majorHAnsi" w:hAnsiTheme="majorHAnsi" w:eastAsiaTheme="majorEastAsia" w:cstheme="majorBidi"/>
      <w:color w:val="262626" w:themeColor="text1" w:themeTint="D9"/>
      <w:sz w:val="21"/>
      <w:szCs w:val="21"/>
      <w:lang w:val="en-GB"/>
      <w14:textFill>
        <w14:solidFill>
          <w14:schemeClr w14:val="tx1">
            <w14:lumMod w14:val="85000"/>
            <w14:lumOff w14:val="15000"/>
          </w14:schemeClr>
        </w14:solidFill>
      </w14:textFill>
    </w:rPr>
  </w:style>
  <w:style w:type="character" w:customStyle="1" w:styleId="32">
    <w:name w:val="标题 9 字符"/>
    <w:basedOn w:val="21"/>
    <w:link w:val="10"/>
    <w:semiHidden/>
    <w:qFormat/>
    <w:uiPriority w:val="9"/>
    <w:rPr>
      <w:rFonts w:asciiTheme="majorHAnsi" w:hAnsiTheme="majorHAnsi" w:eastAsiaTheme="majorEastAsia" w:cstheme="majorBidi"/>
      <w:i/>
      <w:iCs/>
      <w:color w:val="262626" w:themeColor="text1" w:themeTint="D9"/>
      <w:sz w:val="21"/>
      <w:szCs w:val="21"/>
      <w:lang w:val="en-GB"/>
      <w14:textFill>
        <w14:solidFill>
          <w14:schemeClr w14:val="tx1">
            <w14:lumMod w14:val="85000"/>
            <w14:lumOff w14:val="15000"/>
          </w14:schemeClr>
        </w14:solidFill>
      </w14:textFill>
    </w:rPr>
  </w:style>
  <w:style w:type="character" w:customStyle="1" w:styleId="33">
    <w:name w:val="页眉 字符"/>
    <w:basedOn w:val="21"/>
    <w:link w:val="15"/>
    <w:qFormat/>
    <w:uiPriority w:val="99"/>
    <w:rPr>
      <w:sz w:val="18"/>
      <w:szCs w:val="18"/>
    </w:rPr>
  </w:style>
  <w:style w:type="character" w:customStyle="1" w:styleId="34">
    <w:name w:val="页脚 字符"/>
    <w:basedOn w:val="21"/>
    <w:link w:val="14"/>
    <w:qFormat/>
    <w:uiPriority w:val="99"/>
    <w:rPr>
      <w:sz w:val="18"/>
      <w:szCs w:val="18"/>
    </w:rPr>
  </w:style>
  <w:style w:type="character" w:customStyle="1" w:styleId="35">
    <w:name w:val="批注文字 字符"/>
    <w:basedOn w:val="21"/>
    <w:link w:val="12"/>
    <w:semiHidden/>
    <w:qFormat/>
    <w:uiPriority w:val="99"/>
    <w:rPr>
      <w:sz w:val="24"/>
      <w:szCs w:val="24"/>
    </w:rPr>
  </w:style>
  <w:style w:type="character" w:customStyle="1" w:styleId="36">
    <w:name w:val="批注主题 字符"/>
    <w:basedOn w:val="35"/>
    <w:link w:val="18"/>
    <w:semiHidden/>
    <w:qFormat/>
    <w:uiPriority w:val="99"/>
    <w:rPr>
      <w:b/>
      <w:bCs/>
      <w:sz w:val="24"/>
      <w:szCs w:val="24"/>
    </w:rPr>
  </w:style>
  <w:style w:type="paragraph" w:customStyle="1" w:styleId="37">
    <w:name w:val="Text"/>
    <w:qFormat/>
    <w:uiPriority w:val="0"/>
    <w:pPr>
      <w:pBdr>
        <w:top w:val="none" w:color="auto" w:sz="0" w:space="0"/>
        <w:left w:val="none" w:color="auto" w:sz="0" w:space="0"/>
        <w:bottom w:val="none" w:color="auto" w:sz="0" w:space="0"/>
        <w:right w:val="none" w:color="auto" w:sz="0" w:space="0"/>
        <w:between w:val="none" w:color="auto" w:sz="0" w:space="0"/>
      </w:pBdr>
      <w:spacing w:before="240" w:line="312" w:lineRule="auto"/>
    </w:pPr>
    <w:rPr>
      <w:rFonts w:ascii="Helvetica Neue" w:hAnsi="Helvetica Neue" w:eastAsia="Arial Unicode MS" w:cs="Arial Unicode MS"/>
      <w:color w:val="000000"/>
      <w:sz w:val="22"/>
      <w:szCs w:val="22"/>
      <w:lang w:val="de-DE" w:eastAsia="de-DE" w:bidi="ar-SA"/>
    </w:rPr>
  </w:style>
  <w:style w:type="paragraph" w:styleId="38">
    <w:name w:val="List Paragraph"/>
    <w:basedOn w:val="1"/>
    <w:qFormat/>
    <w:uiPriority w:val="34"/>
    <w:pPr>
      <w:spacing w:before="240" w:line="312" w:lineRule="auto"/>
      <w:ind w:left="720"/>
      <w:contextualSpacing/>
    </w:pPr>
    <w:rPr>
      <w:rFonts w:ascii="Tahoma" w:hAnsi="Tahoma" w:eastAsia="Times New Roman"/>
      <w:sz w:val="22"/>
      <w:szCs w:val="20"/>
      <w:lang w:val="en-GB"/>
    </w:rPr>
  </w:style>
  <w:style w:type="paragraph" w:customStyle="1" w:styleId="39">
    <w:name w:val="Default"/>
    <w:qFormat/>
    <w:uiPriority w:val="0"/>
    <w:pPr>
      <w:autoSpaceDE w:val="0"/>
      <w:autoSpaceDN w:val="0"/>
      <w:adjustRightInd w:val="0"/>
      <w:spacing w:before="240" w:line="312" w:lineRule="auto"/>
    </w:pPr>
    <w:rPr>
      <w:rFonts w:ascii="Times New Roman" w:hAnsi="Times New Roman" w:cs="Times New Roman" w:eastAsiaTheme="minorEastAsia"/>
      <w:color w:val="000000"/>
      <w:sz w:val="24"/>
      <w:szCs w:val="24"/>
      <w:lang w:val="de-DE" w:eastAsia="en-US" w:bidi="ar-SA"/>
    </w:rPr>
  </w:style>
  <w:style w:type="table" w:customStyle="1" w:styleId="40">
    <w:name w:val="Einfache Tabelle 21"/>
    <w:basedOn w:val="19"/>
    <w:qFormat/>
    <w:uiPriority w:val="42"/>
    <w:pPr>
      <w:spacing w:before="240" w:line="312" w:lineRule="auto"/>
    </w:pPr>
    <w:rPr>
      <w:rFonts w:asciiTheme="minorHAnsi" w:hAnsiTheme="minorHAnsi" w:cstheme="minorBidi"/>
      <w:sz w:val="24"/>
      <w:szCs w:val="24"/>
      <w:lang w:val="de-DE"/>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41">
    <w:name w:val="Citavi Bibliography Entry"/>
    <w:basedOn w:val="1"/>
    <w:link w:val="42"/>
    <w:qFormat/>
    <w:uiPriority w:val="99"/>
    <w:pPr>
      <w:tabs>
        <w:tab w:val="left" w:pos="283"/>
      </w:tabs>
      <w:spacing w:before="240" w:after="60" w:line="312" w:lineRule="auto"/>
      <w:ind w:left="283" w:hanging="283"/>
    </w:pPr>
    <w:rPr>
      <w:rFonts w:ascii="Tahoma" w:hAnsi="Tahoma" w:eastAsia="Times New Roman"/>
      <w:sz w:val="22"/>
      <w:szCs w:val="20"/>
      <w:lang w:val="en-GB"/>
    </w:rPr>
  </w:style>
  <w:style w:type="character" w:customStyle="1" w:styleId="42">
    <w:name w:val="Citavi Bibliography Entry Zchn"/>
    <w:basedOn w:val="21"/>
    <w:link w:val="41"/>
    <w:qFormat/>
    <w:uiPriority w:val="99"/>
    <w:rPr>
      <w:rFonts w:ascii="Tahoma" w:hAnsi="Tahoma" w:eastAsia="Times New Roman"/>
      <w:sz w:val="22"/>
      <w:lang w:val="en-GB"/>
    </w:rPr>
  </w:style>
  <w:style w:type="paragraph" w:customStyle="1" w:styleId="43">
    <w:name w:val="Citavi Bibliography Heading"/>
    <w:basedOn w:val="2"/>
    <w:link w:val="44"/>
    <w:qFormat/>
    <w:uiPriority w:val="99"/>
  </w:style>
  <w:style w:type="character" w:customStyle="1" w:styleId="44">
    <w:name w:val="Citavi Bibliography Heading Zchn"/>
    <w:basedOn w:val="21"/>
    <w:link w:val="43"/>
    <w:qFormat/>
    <w:uiPriority w:val="99"/>
    <w:rPr>
      <w:rFonts w:asciiTheme="majorHAnsi" w:hAnsiTheme="majorHAnsi" w:eastAsiaTheme="majorEastAsia" w:cstheme="majorBidi"/>
      <w:color w:val="376092" w:themeColor="accent1" w:themeShade="BF"/>
      <w:sz w:val="32"/>
      <w:szCs w:val="32"/>
      <w:lang w:val="en-GB"/>
    </w:rPr>
  </w:style>
  <w:style w:type="paragraph" w:customStyle="1" w:styleId="45">
    <w:name w:val="Citavi Chapter Bibliography Heading"/>
    <w:basedOn w:val="3"/>
    <w:link w:val="46"/>
    <w:qFormat/>
    <w:uiPriority w:val="99"/>
  </w:style>
  <w:style w:type="character" w:customStyle="1" w:styleId="46">
    <w:name w:val="Citavi Chapter Bibliography Heading Zchn"/>
    <w:basedOn w:val="21"/>
    <w:link w:val="45"/>
    <w:qFormat/>
    <w:uiPriority w:val="99"/>
    <w:rPr>
      <w:rFonts w:asciiTheme="majorHAnsi" w:hAnsiTheme="majorHAnsi" w:eastAsiaTheme="majorEastAsia" w:cstheme="majorBidi"/>
      <w:color w:val="376092" w:themeColor="accent1" w:themeShade="BF"/>
      <w:sz w:val="26"/>
      <w:szCs w:val="26"/>
      <w:lang w:val="en-GB"/>
    </w:rPr>
  </w:style>
  <w:style w:type="paragraph" w:customStyle="1" w:styleId="47">
    <w:name w:val="Citavi Bibliography Subheading 1"/>
    <w:basedOn w:val="3"/>
    <w:link w:val="48"/>
    <w:qFormat/>
    <w:uiPriority w:val="99"/>
    <w:pPr>
      <w:outlineLvl w:val="9"/>
    </w:pPr>
    <w:rPr>
      <w:lang w:val="en-US"/>
    </w:rPr>
  </w:style>
  <w:style w:type="character" w:customStyle="1" w:styleId="48">
    <w:name w:val="Citavi Bibliography Subheading 1 Zchn"/>
    <w:basedOn w:val="21"/>
    <w:link w:val="47"/>
    <w:qFormat/>
    <w:uiPriority w:val="99"/>
    <w:rPr>
      <w:rFonts w:asciiTheme="majorHAnsi" w:hAnsiTheme="majorHAnsi" w:eastAsiaTheme="majorEastAsia" w:cstheme="majorBidi"/>
      <w:color w:val="376092" w:themeColor="accent1" w:themeShade="BF"/>
      <w:sz w:val="26"/>
      <w:szCs w:val="26"/>
    </w:rPr>
  </w:style>
  <w:style w:type="paragraph" w:customStyle="1" w:styleId="49">
    <w:name w:val="Citavi Bibliography Subheading 2"/>
    <w:basedOn w:val="4"/>
    <w:link w:val="50"/>
    <w:qFormat/>
    <w:uiPriority w:val="99"/>
    <w:pPr>
      <w:outlineLvl w:val="9"/>
    </w:pPr>
    <w:rPr>
      <w:lang w:val="en-US"/>
    </w:rPr>
  </w:style>
  <w:style w:type="character" w:customStyle="1" w:styleId="50">
    <w:name w:val="Citavi Bibliography Subheading 2 Zchn"/>
    <w:basedOn w:val="21"/>
    <w:link w:val="49"/>
    <w:qFormat/>
    <w:uiPriority w:val="99"/>
    <w:rPr>
      <w:rFonts w:asciiTheme="majorHAnsi" w:hAnsiTheme="majorHAnsi" w:eastAsiaTheme="majorEastAsia" w:cstheme="majorBidi"/>
      <w:color w:val="254061" w:themeColor="accent1" w:themeShade="80"/>
      <w:sz w:val="24"/>
      <w:szCs w:val="24"/>
    </w:rPr>
  </w:style>
  <w:style w:type="paragraph" w:customStyle="1" w:styleId="51">
    <w:name w:val="Citavi Bibliography Subheading 3"/>
    <w:basedOn w:val="5"/>
    <w:link w:val="52"/>
    <w:qFormat/>
    <w:uiPriority w:val="99"/>
    <w:pPr>
      <w:outlineLvl w:val="9"/>
    </w:pPr>
    <w:rPr>
      <w:lang w:val="en-US"/>
    </w:rPr>
  </w:style>
  <w:style w:type="character" w:customStyle="1" w:styleId="52">
    <w:name w:val="Citavi Bibliography Subheading 3 Zchn"/>
    <w:basedOn w:val="21"/>
    <w:link w:val="51"/>
    <w:qFormat/>
    <w:uiPriority w:val="99"/>
    <w:rPr>
      <w:rFonts w:asciiTheme="majorHAnsi" w:hAnsiTheme="majorHAnsi" w:eastAsiaTheme="majorEastAsia" w:cstheme="majorBidi"/>
      <w:i/>
      <w:iCs/>
      <w:color w:val="376092" w:themeColor="accent1" w:themeShade="BF"/>
      <w:sz w:val="22"/>
    </w:rPr>
  </w:style>
  <w:style w:type="paragraph" w:customStyle="1" w:styleId="53">
    <w:name w:val="Citavi Bibliography Subheading 4"/>
    <w:basedOn w:val="6"/>
    <w:link w:val="54"/>
    <w:qFormat/>
    <w:uiPriority w:val="99"/>
    <w:pPr>
      <w:outlineLvl w:val="9"/>
    </w:pPr>
    <w:rPr>
      <w:lang w:val="en-US"/>
    </w:rPr>
  </w:style>
  <w:style w:type="character" w:customStyle="1" w:styleId="54">
    <w:name w:val="Citavi Bibliography Subheading 4 Zchn"/>
    <w:basedOn w:val="21"/>
    <w:link w:val="53"/>
    <w:qFormat/>
    <w:uiPriority w:val="99"/>
    <w:rPr>
      <w:rFonts w:asciiTheme="majorHAnsi" w:hAnsiTheme="majorHAnsi" w:eastAsiaTheme="majorEastAsia" w:cstheme="majorBidi"/>
      <w:color w:val="376092" w:themeColor="accent1" w:themeShade="BF"/>
      <w:sz w:val="22"/>
    </w:rPr>
  </w:style>
  <w:style w:type="paragraph" w:customStyle="1" w:styleId="55">
    <w:name w:val="Citavi Bibliography Subheading 5"/>
    <w:basedOn w:val="7"/>
    <w:link w:val="56"/>
    <w:qFormat/>
    <w:uiPriority w:val="99"/>
    <w:pPr>
      <w:outlineLvl w:val="9"/>
    </w:pPr>
    <w:rPr>
      <w:lang w:val="en-US"/>
    </w:rPr>
  </w:style>
  <w:style w:type="character" w:customStyle="1" w:styleId="56">
    <w:name w:val="Citavi Bibliography Subheading 5 Zchn"/>
    <w:basedOn w:val="21"/>
    <w:link w:val="55"/>
    <w:qFormat/>
    <w:uiPriority w:val="99"/>
    <w:rPr>
      <w:rFonts w:asciiTheme="majorHAnsi" w:hAnsiTheme="majorHAnsi" w:eastAsiaTheme="majorEastAsia" w:cstheme="majorBidi"/>
      <w:color w:val="254061" w:themeColor="accent1" w:themeShade="80"/>
      <w:sz w:val="22"/>
    </w:rPr>
  </w:style>
  <w:style w:type="paragraph" w:customStyle="1" w:styleId="57">
    <w:name w:val="Citavi Bibliography Subheading 6"/>
    <w:basedOn w:val="8"/>
    <w:link w:val="58"/>
    <w:qFormat/>
    <w:uiPriority w:val="99"/>
    <w:pPr>
      <w:outlineLvl w:val="9"/>
    </w:pPr>
    <w:rPr>
      <w:lang w:val="en-US"/>
    </w:rPr>
  </w:style>
  <w:style w:type="character" w:customStyle="1" w:styleId="58">
    <w:name w:val="Citavi Bibliography Subheading 6 Zchn"/>
    <w:basedOn w:val="21"/>
    <w:link w:val="57"/>
    <w:qFormat/>
    <w:uiPriority w:val="99"/>
    <w:rPr>
      <w:rFonts w:asciiTheme="majorHAnsi" w:hAnsiTheme="majorHAnsi" w:eastAsiaTheme="majorEastAsia" w:cstheme="majorBidi"/>
      <w:i/>
      <w:iCs/>
      <w:color w:val="254061" w:themeColor="accent1" w:themeShade="80"/>
      <w:sz w:val="22"/>
    </w:rPr>
  </w:style>
  <w:style w:type="paragraph" w:customStyle="1" w:styleId="59">
    <w:name w:val="Citavi Bibliography Subheading 7"/>
    <w:basedOn w:val="9"/>
    <w:link w:val="60"/>
    <w:qFormat/>
    <w:uiPriority w:val="99"/>
    <w:pPr>
      <w:outlineLvl w:val="9"/>
    </w:pPr>
    <w:rPr>
      <w:lang w:val="en-US"/>
    </w:rPr>
  </w:style>
  <w:style w:type="character" w:customStyle="1" w:styleId="60">
    <w:name w:val="Citavi Bibliography Subheading 7 Zchn"/>
    <w:basedOn w:val="21"/>
    <w:link w:val="59"/>
    <w:qFormat/>
    <w:uiPriority w:val="9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paragraph" w:customStyle="1" w:styleId="61">
    <w:name w:val="Citavi Bibliography Subheading 8"/>
    <w:basedOn w:val="10"/>
    <w:link w:val="62"/>
    <w:qFormat/>
    <w:uiPriority w:val="99"/>
    <w:pPr>
      <w:outlineLvl w:val="9"/>
    </w:pPr>
    <w:rPr>
      <w:lang w:val="en-US"/>
    </w:rPr>
  </w:style>
  <w:style w:type="character" w:customStyle="1" w:styleId="62">
    <w:name w:val="Citavi Bibliography Subheading 8 Zchn"/>
    <w:basedOn w:val="21"/>
    <w:link w:val="61"/>
    <w:qFormat/>
    <w:uiPriority w:val="9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63">
    <w:name w:val="批注框文本 字符"/>
    <w:basedOn w:val="21"/>
    <w:link w:val="13"/>
    <w:qFormat/>
    <w:uiPriority w:val="99"/>
    <w:rPr>
      <w:rFonts w:ascii="Segoe UI" w:hAnsi="Segoe UI" w:eastAsia="Times New Roman" w:cs="Segoe UI"/>
      <w:sz w:val="18"/>
      <w:szCs w:val="18"/>
      <w:lang w:val="en-GB"/>
    </w:rPr>
  </w:style>
  <w:style w:type="character" w:customStyle="1" w:styleId="64">
    <w:name w:val="apple-converted-space"/>
    <w:basedOn w:val="21"/>
    <w:qFormat/>
    <w:uiPriority w:val="0"/>
  </w:style>
  <w:style w:type="character" w:customStyle="1" w:styleId="65">
    <w:name w:val="脚注文本 字符"/>
    <w:basedOn w:val="21"/>
    <w:link w:val="16"/>
    <w:semiHidden/>
    <w:qFormat/>
    <w:uiPriority w:val="99"/>
    <w:rPr>
      <w:rFonts w:ascii="Tahoma" w:hAnsi="Tahoma" w:eastAsia="Times New Roman"/>
      <w:lang w:val="en-GB"/>
    </w:rPr>
  </w:style>
  <w:style w:type="character" w:customStyle="1" w:styleId="66">
    <w:name w:val="orcid-id-https"/>
    <w:basedOn w:val="21"/>
    <w:qFormat/>
    <w:uiPriority w:val="0"/>
  </w:style>
  <w:style w:type="paragraph" w:customStyle="1" w:styleId="67">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C4E28A-910C-7543-A948-9B18E2E8394B}">
  <ds:schemaRefs/>
</ds:datastoreItem>
</file>

<file path=docProps/app.xml><?xml version="1.0" encoding="utf-8"?>
<Properties xmlns="http://schemas.openxmlformats.org/officeDocument/2006/extended-properties" xmlns:vt="http://schemas.openxmlformats.org/officeDocument/2006/docPropsVTypes">
  <Template>Normal</Template>
  <Pages>59</Pages>
  <Words>53440</Words>
  <Characters>304612</Characters>
  <Lines>2538</Lines>
  <Paragraphs>714</Paragraphs>
  <TotalTime>1</TotalTime>
  <ScaleCrop>false</ScaleCrop>
  <LinksUpToDate>false</LinksUpToDate>
  <CharactersWithSpaces>357338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2021-09-09T09:09:00Z</dcterms:created>
  <dc:creator>Jennifer Benavides</dc:creator>
  <cp:lastModifiedBy>晓晨</cp:lastModifiedBy>
  <cp:lastPrinted>2021-07-23T13:28:00Z</cp:lastPrinted>
  <dcterms:modified xsi:type="dcterms:W3CDTF">2021-09-15T06:43:24Z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7575B03CBE2849F79AB8011E7905E2FE</vt:lpwstr>
  </property>
</Properties>
</file>