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376C" w14:textId="7DAFDDB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F1B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F1B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F1BC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46C20FBA" w14:textId="70EE0DA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64983</w:t>
      </w:r>
    </w:p>
    <w:p w14:paraId="1DE21A81" w14:textId="2700A014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061F88BB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CD1473" w14:textId="36CCC8E9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Advances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cholangiocarcinoma</w:t>
      </w:r>
    </w:p>
    <w:p w14:paraId="10964131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4FBE3B" w14:textId="516A77F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Zori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F1B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</w:p>
    <w:p w14:paraId="6141CE93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EC208" w14:textId="233062EE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Andreas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Zori,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Dennis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Draganov,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Roniel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Cabrera</w:t>
      </w:r>
    </w:p>
    <w:p w14:paraId="49868492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98C2CF" w14:textId="48ACDEA5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Zori,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Dennis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Draganov,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Roniel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Cabrera,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Gainesville,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32608,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7765D03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DAFF74" w14:textId="7BA72920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Draganov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Cabrera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Draganov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Cabrera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2686C3EF" w14:textId="254EFB7D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Zori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Draganov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Cabrera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1B17638C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52B36B" w14:textId="5A4914FB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Zori,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1329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5251,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Gainesville,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32608,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andreas.zori@medicine.ufl.edu</w:t>
      </w:r>
    </w:p>
    <w:p w14:paraId="5EBA0D99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A89EFE" w14:textId="031EAA2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9E84C24" w14:textId="6AF807DE" w:rsidR="00AA4890" w:rsidRPr="006F1BC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 w:rsidR="006F1BC0" w:rsidRPr="006F1BC0">
        <w:rPr>
          <w:rFonts w:ascii="Book Antiqua" w:eastAsia="Book Antiqua" w:hAnsi="Book Antiqua" w:cs="Book Antiqua"/>
          <w:color w:val="000000"/>
        </w:rPr>
        <w:t>June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 w:rsidR="006F1BC0" w:rsidRPr="006F1BC0">
        <w:rPr>
          <w:rFonts w:ascii="Book Antiqua" w:eastAsia="Book Antiqua" w:hAnsi="Book Antiqua" w:cs="Book Antiqua"/>
          <w:color w:val="000000"/>
        </w:rPr>
        <w:t>9,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 w:rsidR="006F1BC0" w:rsidRPr="006F1BC0">
        <w:rPr>
          <w:rFonts w:ascii="Book Antiqua" w:eastAsia="Book Antiqua" w:hAnsi="Book Antiqua" w:cs="Book Antiqua"/>
          <w:color w:val="000000"/>
        </w:rPr>
        <w:t>2021</w:t>
      </w:r>
    </w:p>
    <w:p w14:paraId="1FBDE110" w14:textId="5D62320E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055761">
        <w:rPr>
          <w:rFonts w:ascii="Book Antiqua" w:eastAsia="宋体" w:hAnsi="Book Antiqua" w:hint="eastAsia"/>
          <w:color w:val="000000" w:themeColor="text1"/>
        </w:rPr>
        <w:t>Au</w:t>
      </w:r>
      <w:r w:rsidR="00055761">
        <w:rPr>
          <w:rFonts w:ascii="Book Antiqua" w:eastAsia="宋体" w:hAnsi="Book Antiqua"/>
          <w:color w:val="000000" w:themeColor="text1"/>
        </w:rPr>
        <w:t>gust</w:t>
      </w:r>
      <w:r w:rsidR="00055761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55761">
        <w:rPr>
          <w:rFonts w:ascii="Book Antiqua" w:eastAsia="宋体" w:hAnsi="Book Antiqua"/>
          <w:color w:val="000000" w:themeColor="text1"/>
        </w:rPr>
        <w:t>6</w:t>
      </w:r>
      <w:r w:rsidR="00055761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526FF070" w14:textId="4E9B31EC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B67D96C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A489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CCAD1" w14:textId="7777777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7CD91CF" w14:textId="665D0C48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Cholangiocarcinoma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(CCA)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entities: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(iCCA),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(pCCA),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545FA2E4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F8E5DB" w14:textId="3C7312DE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;</w:t>
      </w:r>
      <w:r w:rsidR="006F1BC0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Liver</w:t>
      </w:r>
      <w:r w:rsidR="006F1BC0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transplantation;</w:t>
      </w:r>
      <w:r w:rsidR="006F1BC0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hemotherapy</w:t>
      </w:r>
    </w:p>
    <w:p w14:paraId="2E970B61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940025" w14:textId="063C3F71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E0DB3">
        <w:rPr>
          <w:rFonts w:ascii="Book Antiqua" w:eastAsia="Book Antiqua" w:hAnsi="Book Antiqua" w:cs="Book Antiqua"/>
          <w:color w:val="000000"/>
        </w:rPr>
        <w:t xml:space="preserve">Zori AG, Yang D, Draganov PV, Cabrera R. Advances in the management of cholangiocarcinoma. </w:t>
      </w:r>
      <w:r w:rsidRPr="003E0DB3">
        <w:rPr>
          <w:rFonts w:ascii="Book Antiqua" w:eastAsia="Book Antiqua" w:hAnsi="Book Antiqua" w:cs="Book Antiqua"/>
          <w:i/>
          <w:iCs/>
          <w:color w:val="000000"/>
        </w:rPr>
        <w:t>World J Hepatol</w:t>
      </w:r>
      <w:r w:rsidRPr="003E0DB3"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505A7D6F" w14:textId="77777777" w:rsidR="003E0DB3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D67CA8" w14:textId="77E8E638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</w:p>
    <w:p w14:paraId="6E79247A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794871" w14:textId="7777777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FDCF517" w14:textId="26C4D9A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Cholangiocarcinoma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(CCA)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>
        <w:rPr>
          <w:rFonts w:ascii="Book Antiqua" w:eastAsia="Book Antiqua" w:hAnsi="Book Antiqua" w:cs="Book Antiqua"/>
          <w:color w:val="00000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(iCCA)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10%-20%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(pCCA)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50%-60%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20%-30%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>
        <w:rPr>
          <w:rFonts w:ascii="Book Antiqua" w:eastAsia="Book Antiqua" w:hAnsi="Book Antiqua" w:cs="Book Antiqua"/>
          <w:color w:val="000000"/>
          <w:vertAlign w:val="superscript"/>
        </w:rPr>
        <w:t>[1,5]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7%-20%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>
        <w:rPr>
          <w:rFonts w:ascii="Book Antiqua" w:eastAsia="Book Antiqua" w:hAnsi="Book Antiqua" w:cs="Book Antiqua"/>
          <w:color w:val="000000"/>
          <w:vertAlign w:val="superscript"/>
        </w:rPr>
        <w:t>[4,6]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7AB32541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A92DC4" w14:textId="092F0754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iCCA</w:t>
      </w:r>
      <w:r w:rsidR="006F1BC0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064D9B7D" w14:textId="6BD2D61F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Cancer/International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A52B15F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6B74BD" w14:textId="088809AD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Surgical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</w:p>
    <w:p w14:paraId="126A275E" w14:textId="2D40FC9C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multicentric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27-38%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74F72D" w14:textId="76A678C4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embolization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20%-30%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>
        <w:rPr>
          <w:rFonts w:ascii="Book Antiqua" w:eastAsia="Book Antiqua" w:hAnsi="Book Antiqua" w:cs="Book Antiqua"/>
          <w:color w:val="000000"/>
          <w:vertAlign w:val="superscript"/>
        </w:rPr>
        <w:t>[1,15,16]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(LRT)</w:t>
      </w:r>
      <w:r>
        <w:rPr>
          <w:rFonts w:ascii="Book Antiqua" w:eastAsia="Book Antiqua" w:hAnsi="Book Antiqua" w:cs="Book Antiqua"/>
          <w:color w:val="00000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5B3B36E6" w14:textId="66B7F6A9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25%-40%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vertAlign w:val="superscript"/>
        </w:rPr>
        <w:t>[19–21]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50%-70%</w:t>
      </w:r>
      <w:r>
        <w:rPr>
          <w:rFonts w:ascii="Book Antiqua" w:eastAsia="Book Antiqua" w:hAnsi="Book Antiqua" w:cs="Book Antiqua"/>
          <w:color w:val="00000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remnant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LRT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09B60AEF" w14:textId="77777777" w:rsidR="00AA4890" w:rsidRDefault="00AA4890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7CE27E0" w14:textId="285658EE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transplantation</w:t>
      </w:r>
    </w:p>
    <w:p w14:paraId="2ADC86EE" w14:textId="2341DBA2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re-examination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69312808" w14:textId="147E9AB9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obstacle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1DD9B75D" w14:textId="6DDD5268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Systemic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445C394F" w14:textId="4ABA6F81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BILCAP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447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(28%),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(dCCA)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(18%)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210F7354" w14:textId="2C8CA0D7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gemcitabine-cisplatin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ABC-02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gemcitabine-cisplatin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(11.7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ABC-06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Style w:val="acopre"/>
          <w:rFonts w:ascii="Book Antiqua" w:eastAsia="Book Antiqua" w:hAnsi="Book Antiqua" w:cs="Book Antiqua"/>
          <w:color w:val="000000"/>
        </w:rPr>
        <w:t>leucovorin,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Fluorouracil,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and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Oxaliplatin)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gemcitabine-cisplatin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68C81902" w14:textId="11334680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development/approval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vascular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(VEGF)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Cediranib,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sunitinib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vandetanib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erlotinib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5F74441B" w14:textId="7447B1A3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Point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isocitrate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(IDH)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oncometabolite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hydroxyglutarate</w:t>
      </w:r>
      <w:r>
        <w:rPr>
          <w:rFonts w:ascii="Book Antiqua" w:eastAsia="Book Antiqua" w:hAnsi="Book Antiqua" w:cs="Book Antiqua"/>
          <w:color w:val="000000"/>
          <w:vertAlign w:val="superscript"/>
        </w:rPr>
        <w:t>[3,34]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Ivosidenib,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IDH-1,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IDH-1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ivosidenib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(2.7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≤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ivosidenib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ivosidenib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(FDA)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IDH-1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0A65AC9C" w14:textId="65FD1F9D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Acquired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(FGFR)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rearrangements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pemigatinib,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FGF/FGFR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infigratinib,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TAS-120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FGFR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799B8641" w14:textId="4433EFD4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Immunotherapy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(ICI)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basket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(MSI)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pembrolizumab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5-10%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PD-1/CTLA-4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Nivolumab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Ipilimumab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44%</w:t>
      </w:r>
      <w:r>
        <w:rPr>
          <w:rFonts w:ascii="Book Antiqua" w:eastAsia="Book Antiqua" w:hAnsi="Book Antiqua" w:cs="Book Antiqua"/>
          <w:color w:val="00000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5E7A648C" w14:textId="30D0CAD4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landscape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18702F4B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D32152" w14:textId="1D98E19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directed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therapies</w:t>
      </w:r>
    </w:p>
    <w:p w14:paraId="18B20ECC" w14:textId="1EECAB40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radioembolization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(TARE),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chemoembolization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(TACE),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yttrium-90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microspheres.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impregnated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microwave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47%,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ineligible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floxuridine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89.5%</w:t>
      </w:r>
      <w:r>
        <w:rPr>
          <w:rFonts w:ascii="Book Antiqua" w:eastAsia="Book Antiqua" w:hAnsi="Book Antiqua" w:cs="Book Antiqua"/>
          <w:color w:val="00000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01EE70F2" w14:textId="13BAF077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non-malignant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hypofractonated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69.7%</w:t>
      </w:r>
      <w:r>
        <w:rPr>
          <w:rFonts w:ascii="Book Antiqua" w:eastAsia="Book Antiqua" w:hAnsi="Book Antiqua" w:cs="Book Antiqua"/>
          <w:color w:val="00000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stereotactic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(NCT02200042)</w:t>
      </w:r>
      <w:r>
        <w:rPr>
          <w:rFonts w:ascii="Book Antiqua" w:eastAsia="Book Antiqua" w:hAnsi="Book Antiqua" w:cs="Book Antiqua"/>
          <w:color w:val="000000"/>
          <w:vertAlign w:val="superscript"/>
        </w:rPr>
        <w:t>[56,57]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336F964F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E6167D" w14:textId="18FE049B" w:rsidR="00AA4890" w:rsidRDefault="0005576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/>
        </w:rPr>
      </w:pPr>
      <w:r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PCCA </w:t>
      </w:r>
    </w:p>
    <w:p w14:paraId="47F99652" w14:textId="5CC402E6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seeding,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(ERCP).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(97%),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hybridization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Style w:val="acopre"/>
          <w:rFonts w:ascii="Book Antiqua" w:eastAsia="Book Antiqua" w:hAnsi="Book Antiqua" w:cs="Book Antiqua"/>
          <w:color w:val="000000"/>
        </w:rPr>
        <w:t>o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conventional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cytology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can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increase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sensitivity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significantly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to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65%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while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maintaining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100%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specificity</w:t>
      </w:r>
      <w:r>
        <w:rPr>
          <w:rStyle w:val="acopre"/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Style w:val="acopre"/>
          <w:rFonts w:ascii="Book Antiqua" w:eastAsia="Book Antiqua" w:hAnsi="Book Antiqua" w:cs="Book Antiqua"/>
          <w:color w:val="000000"/>
        </w:rPr>
        <w:t>.</w:t>
      </w:r>
      <w:r w:rsidR="006F1BC0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>
        <w:rPr>
          <w:rFonts w:ascii="Book Antiqua" w:eastAsia="Book Antiqua" w:hAnsi="Book Antiqua" w:cs="Book Antiqua"/>
          <w:color w:val="000000"/>
          <w:vertAlign w:val="superscript"/>
        </w:rPr>
        <w:t>[61–63]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4D08AA9E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865FA4" w14:textId="123601B8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</w:p>
    <w:p w14:paraId="1E0FF42A" w14:textId="4163A129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laparotomy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>
        <w:rPr>
          <w:rFonts w:ascii="Book Antiqua" w:eastAsia="Book Antiqua" w:hAnsi="Book Antiqua" w:cs="Book Antiqua"/>
          <w:color w:val="00000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(Bismuth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32.8%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necessarily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respectability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>
        <w:rPr>
          <w:rFonts w:ascii="Book Antiqua" w:eastAsia="Book Antiqua" w:hAnsi="Book Antiqua" w:cs="Book Antiqua"/>
          <w:color w:val="00000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bilateral/main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>
        <w:rPr>
          <w:rFonts w:ascii="Book Antiqua" w:eastAsia="Book Antiqua" w:hAnsi="Book Antiqua" w:cs="Book Antiqua"/>
          <w:color w:val="00000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6516C413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6CFE6B" w14:textId="489CF8AA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transplantation</w:t>
      </w:r>
    </w:p>
    <w:p w14:paraId="31692FD4" w14:textId="0CABDC9B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60%-80%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(R0).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20%-40%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>
        <w:rPr>
          <w:rFonts w:ascii="Book Antiqua" w:eastAsia="Book Antiqua" w:hAnsi="Book Antiqua" w:cs="Book Antiqua"/>
          <w:color w:val="000000"/>
          <w:vertAlign w:val="superscript"/>
        </w:rPr>
        <w:t>[70]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[71]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intraperitoneal/lymph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explants,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>
        <w:rPr>
          <w:rFonts w:ascii="Book Antiqua" w:eastAsia="Book Antiqua" w:hAnsi="Book Antiqua" w:cs="Book Antiqua"/>
          <w:color w:val="000000"/>
          <w:vertAlign w:val="superscript"/>
        </w:rPr>
        <w:t>[72]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(R0,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77.4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17%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non-PSC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0.049).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2B5CB381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5F2D63" w14:textId="45F4F222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445CFA6B" w14:textId="453A8042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</w:t>
      </w:r>
      <w:r>
        <w:rPr>
          <w:rFonts w:ascii="Book Antiqua" w:eastAsia="Book Antiqua" w:hAnsi="Book Antiqua" w:cs="Book Antiqua"/>
          <w:color w:val="000000"/>
          <w:vertAlign w:val="superscript"/>
        </w:rPr>
        <w:t>[74]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[75]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BILCAP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pre-transplant</w:t>
      </w:r>
      <w:r>
        <w:rPr>
          <w:rFonts w:ascii="Book Antiqua" w:eastAsia="Book Antiqua" w:hAnsi="Book Antiqua" w:cs="Book Antiqua"/>
          <w:color w:val="000000"/>
          <w:vertAlign w:val="superscript"/>
        </w:rPr>
        <w:t>[76]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gemcitabine/cisplatin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[31,77]</w:t>
      </w:r>
      <w:r w:rsidR="006F1BC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000E7" w:rsidRPr="00F000E7">
        <w:rPr>
          <w:rFonts w:ascii="Book Antiqua" w:eastAsia="Book Antiqua" w:hAnsi="Book Antiqua" w:cs="Book Antiqua"/>
          <w:color w:val="000000"/>
        </w:rPr>
        <w:t>(Table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 w:rsidR="00F000E7" w:rsidRPr="00F000E7">
        <w:rPr>
          <w:rFonts w:ascii="Book Antiqua" w:eastAsia="Book Antiqua" w:hAnsi="Book Antiqua" w:cs="Book Antiqua"/>
          <w:color w:val="000000"/>
        </w:rPr>
        <w:t>2)</w:t>
      </w:r>
      <w:r w:rsidRPr="00F000E7"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3DFFB157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43219D" w14:textId="62C14124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directed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B6D30B1" w14:textId="0F2E3D1C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(overall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F1B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>
        <w:rPr>
          <w:rFonts w:ascii="Book Antiqua" w:eastAsia="Book Antiqua" w:hAnsi="Book Antiqua" w:cs="Book Antiqua"/>
          <w:color w:val="000000"/>
          <w:vertAlign w:val="superscript"/>
        </w:rPr>
        <w:t>[79,80]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intra-arterial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36F1DA08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635AD" w14:textId="715BEA3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obstruction</w:t>
      </w:r>
    </w:p>
    <w:p w14:paraId="5B8626B5" w14:textId="44AD5AA1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(MBO)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roughly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20%-30%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mainstream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>
        <w:rPr>
          <w:rFonts w:ascii="Book Antiqua" w:eastAsia="Book Antiqua" w:hAnsi="Book Antiqua" w:cs="Book Antiqua"/>
          <w:color w:val="000000"/>
          <w:vertAlign w:val="superscript"/>
        </w:rPr>
        <w:t>[81–83]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(QOL)</w:t>
      </w:r>
      <w:r>
        <w:rPr>
          <w:rFonts w:ascii="Book Antiqua" w:eastAsia="Book Antiqua" w:hAnsi="Book Antiqua" w:cs="Book Antiqua"/>
          <w:color w:val="000000"/>
          <w:vertAlign w:val="superscript"/>
        </w:rPr>
        <w:t>[81]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4487C725" w14:textId="242C2D67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(PTHD)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PTHD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27EFA4AB" w14:textId="14567219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(SEMS)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[86–88]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uncovered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(USEMS)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fully-covered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(FCSEMS).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2F8CFFE0" w14:textId="15533061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F1BC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(88.6%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76.9%;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(18.9%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26.9%;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III-V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>
        <w:rPr>
          <w:rFonts w:ascii="Book Antiqua" w:eastAsia="Book Antiqua" w:hAnsi="Book Antiqua" w:cs="Book Antiqua"/>
          <w:color w:val="000000"/>
          <w:vertAlign w:val="superscript"/>
        </w:rPr>
        <w:t>[90,91]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stent-in-stent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(SIS)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stent-by-stent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(SBS)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indwelling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contralateral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cell-sized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>
        <w:rPr>
          <w:rFonts w:ascii="Book Antiqua" w:eastAsia="Book Antiqua" w:hAnsi="Book Antiqua" w:cs="Book Antiqua"/>
          <w:color w:val="000000"/>
          <w:vertAlign w:val="superscript"/>
        </w:rPr>
        <w:t>[92–94]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endoscopist’s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4F41005A" w14:textId="1F76E5EC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>
        <w:rPr>
          <w:rFonts w:ascii="Book Antiqua" w:eastAsia="Book Antiqua" w:hAnsi="Book Antiqua" w:cs="Book Antiqua"/>
          <w:color w:val="000000"/>
        </w:rPr>
        <w:lastRenderedPageBreak/>
        <w:t>procedural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0BB75D95" w14:textId="6B2D20E3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宋体" w:hAnsi="Book Antiqua" w:cs="宋体"/>
          <w:color w:val="000000"/>
          <w:lang w:eastAsia="zh-CN"/>
        </w:rPr>
        <w:t>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cryoablation,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photodynamic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intraluminal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brachytherapy)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vertAlign w:val="superscript"/>
        </w:rPr>
        <w:t>[97,98]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148DCB4A" w14:textId="7330AE50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(EUS-BD)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transpapillary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>
        <w:rPr>
          <w:rFonts w:ascii="Book Antiqua" w:eastAsia="Book Antiqua" w:hAnsi="Book Antiqua" w:cs="Book Antiqua"/>
          <w:color w:val="000000"/>
          <w:vertAlign w:val="superscript"/>
        </w:rPr>
        <w:t>[99–101]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choledochoduodenostomy,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hepaticogastrostomy,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rendezvous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MBO).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PTHD,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PTHD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>
        <w:rPr>
          <w:rFonts w:ascii="Book Antiqua" w:eastAsia="Book Antiqua" w:hAnsi="Book Antiqua" w:cs="Book Antiqua"/>
          <w:color w:val="000000"/>
          <w:vertAlign w:val="superscript"/>
        </w:rPr>
        <w:t>[102]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transpapillary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overgrowth/ingrowth.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Noteworthy,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expertise.</w:t>
      </w:r>
    </w:p>
    <w:p w14:paraId="1EBC852A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4D6756" w14:textId="1C9C714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Distal</w:t>
      </w:r>
      <w:r w:rsidR="006F1B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CCA</w:t>
      </w:r>
      <w:r w:rsidR="006F1BC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182283B" w14:textId="143CF4C1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resectability.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094E3F0C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55A25" w14:textId="56715E7B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8F00C6B" w14:textId="60A8AD0A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pancreaticoduodenectomy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vertAlign w:val="superscript"/>
        </w:rPr>
        <w:t>[103]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1C192995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5D0243" w14:textId="0479BF75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Systemic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672C829A" w14:textId="1431E9E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cisplatin.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>
        <w:rPr>
          <w:rFonts w:ascii="Book Antiqua" w:eastAsia="Book Antiqua" w:hAnsi="Book Antiqua" w:cs="Book Antiqua"/>
          <w:color w:val="00000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gemcitabine/cisplatin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  <w:vertAlign w:val="superscript"/>
        </w:rPr>
        <w:t>[77]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gemcitabine/cisplatin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319B4BFA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BE7D3A" w14:textId="660BB9E2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biliary</w:t>
      </w:r>
      <w:r w:rsidR="006F1BC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obstruction</w:t>
      </w:r>
    </w:p>
    <w:p w14:paraId="7FD6F7E1" w14:textId="0CA4111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ERCP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PTHD,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(8.6%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12.3%),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QOL</w:t>
      </w:r>
      <w:r>
        <w:rPr>
          <w:rFonts w:ascii="Book Antiqua" w:eastAsia="Book Antiqua" w:hAnsi="Book Antiqua" w:cs="Book Antiqua"/>
          <w:color w:val="000000"/>
          <w:vertAlign w:val="superscript"/>
        </w:rPr>
        <w:t>[82,83,104–106]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74F05C76" w14:textId="7A69EC2E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reinterventions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[107,108]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44180018" w14:textId="6F6F63B6" w:rsidR="00AA4890" w:rsidRDefault="003E0DB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uncovered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</w:t>
      </w:r>
      <w:r>
        <w:rPr>
          <w:rFonts w:ascii="Book Antiqua" w:eastAsia="Book Antiqua" w:hAnsi="Book Antiqua" w:cs="Book Antiqua"/>
          <w:color w:val="000000"/>
          <w:vertAlign w:val="superscript"/>
        </w:rPr>
        <w:t>[109–112]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patency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uncovered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12%)</w:t>
      </w:r>
      <w:r>
        <w:rPr>
          <w:rFonts w:ascii="Book Antiqua" w:eastAsia="Book Antiqua" w:hAnsi="Book Antiqua" w:cs="Book Antiqua"/>
          <w:color w:val="00000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re-occlusion,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(3%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0%)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FCSEMS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ingrowth.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67C881D7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2A0F3E" w14:textId="7777777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9773D8" w14:textId="5499B64D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Over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rivaling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pemigatinib.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endobiliary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</w:p>
    <w:p w14:paraId="374419C2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9CFDB8" w14:textId="7777777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3BE584F" w14:textId="183218E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13"/>
      <w:r>
        <w:rPr>
          <w:rFonts w:ascii="Book Antiqua" w:hAnsi="Book Antiqua"/>
          <w:color w:val="201F35"/>
        </w:rPr>
        <w:t>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Bridgewater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Llovet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Guidelines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diagnosis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1268-1289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24681130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10.1016/j.jhep.2014.01.021]</w:t>
      </w:r>
    </w:p>
    <w:p w14:paraId="384E87B8" w14:textId="0EAD152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Khan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Toledano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Taylor-Robinson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SD.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Epidemiology,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risk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factors,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pathogenesis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HPB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(Oxford)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77-82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18773060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10.1080/13651820801992641]</w:t>
      </w:r>
    </w:p>
    <w:p w14:paraId="37B98073" w14:textId="2C693E9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Rizvi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Hallemeier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-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evolving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concepts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therapeutic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strategies.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Rev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95-111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28994423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10.1038/nrclinonc.2017.157]</w:t>
      </w:r>
    </w:p>
    <w:p w14:paraId="6281971D" w14:textId="19D4FF74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Banales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Lamarca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Rodrigues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Roberts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Cardinale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Carpino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Andersen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Braconi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Calvisi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Perugorria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Fabris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Boulter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Macias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Gaudio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Alvaro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Gradilone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Strazzabosco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Marzioni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Coulouarn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Fouassier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Raggi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Invernizzi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Mertens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Moncsek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Rizvi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Heimbach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Koerkamp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Bruix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next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horizon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mechanisms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Rev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557-588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32606456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10.1038/s41575-020-0310-z]</w:t>
      </w:r>
    </w:p>
    <w:p w14:paraId="208F1D7C" w14:textId="014E4D1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Jarnagin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WR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DeMatteo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Gonen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Burke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Bodniewicz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Youssef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Klimstra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Blumgart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Staging,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resectability,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234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507-</w:t>
      </w:r>
      <w:r w:rsidR="006F1BC0">
        <w:rPr>
          <w:rFonts w:ascii="Book Antiqua" w:hAnsi="Book Antiqua"/>
          <w:color w:val="201F35"/>
        </w:rPr>
        <w:t>5</w:t>
      </w:r>
      <w:r>
        <w:rPr>
          <w:rFonts w:ascii="Book Antiqua" w:hAnsi="Book Antiqua"/>
          <w:color w:val="201F35"/>
        </w:rPr>
        <w:t>17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11573044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10.1097/00000658-200110000-00010]</w:t>
      </w:r>
    </w:p>
    <w:p w14:paraId="2D6AF1BE" w14:textId="7FD39F6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Bertuccio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Malvezzi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Carioli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Hashim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Boffetta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El-Serag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Vecchia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Negri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Global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trends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mortality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104-114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30910538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10.1016/j.jhep.2019.03.013]</w:t>
      </w:r>
    </w:p>
    <w:p w14:paraId="7AC8DBBD" w14:textId="0761572F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055761">
        <w:rPr>
          <w:rFonts w:ascii="Book Antiqua" w:hAnsi="Book Antiqua"/>
          <w:color w:val="201F35"/>
          <w:highlight w:val="yellow"/>
        </w:rPr>
        <w:t>7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AJCC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Cancer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Staging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Handbook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-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From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the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AJCC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Cancer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Staging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Manual.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7</w:t>
      </w:r>
      <w:r w:rsidRPr="00055761">
        <w:rPr>
          <w:rFonts w:ascii="Book Antiqua" w:hAnsi="Book Antiqua"/>
          <w:color w:val="201F35"/>
          <w:highlight w:val="yellow"/>
          <w:vertAlign w:val="superscript"/>
        </w:rPr>
        <w:t>th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ed.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New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York: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Springer-Verlag,</w:t>
      </w:r>
      <w:r w:rsidR="006F1BC0" w:rsidRPr="00055761">
        <w:rPr>
          <w:rFonts w:ascii="Book Antiqua" w:hAnsi="Book Antiqua"/>
          <w:color w:val="201F35"/>
          <w:highlight w:val="yellow"/>
        </w:rPr>
        <w:t xml:space="preserve"> </w:t>
      </w:r>
      <w:r w:rsidRPr="00055761">
        <w:rPr>
          <w:rFonts w:ascii="Book Antiqua" w:hAnsi="Book Antiqua"/>
          <w:color w:val="201F35"/>
          <w:highlight w:val="yellow"/>
        </w:rPr>
        <w:t>2010</w:t>
      </w:r>
    </w:p>
    <w:p w14:paraId="06A2DA13" w14:textId="6AE70F44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Weber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Ribero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O'Reilly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Kokudo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Miyazaki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expert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consensus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statement.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HPB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(Oxford)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669-680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26172134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10.1111/hpb.12441]</w:t>
      </w:r>
    </w:p>
    <w:p w14:paraId="3094BA7C" w14:textId="67A50C7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Amini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Ejaz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Spolverato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Herman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Temporal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trends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liver-directed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United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States: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population-based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110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163-170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24676600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10.1002/jso.23605]</w:t>
      </w:r>
    </w:p>
    <w:p w14:paraId="54C2E7A2" w14:textId="1C433CD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DeOliveira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ML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Cunningham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Cameron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Kamangar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Lillemoe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Schulick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RD.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thirty-one-year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experience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564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single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institution.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245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755-762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17457168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10.1097/01.sla.0000251366.62632.d3]</w:t>
      </w:r>
    </w:p>
    <w:p w14:paraId="543D21B8" w14:textId="168B3D4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Si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Impact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Anatomical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Non-anatomical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Short-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Long-Term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1841-1850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30843164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10.1245/s10434-019-07260-8]</w:t>
      </w:r>
    </w:p>
    <w:p w14:paraId="484370F3" w14:textId="697499F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Chapelle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Beeck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Roeyen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Bracke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Hartman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Greef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Huyghe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Zijden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Morrison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Francque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Ysebaert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Measuring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future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remnant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function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hepatectomy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guide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indication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portal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occlusion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avoid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posthepatectomy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failure: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interventional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HPB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(Oxford)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108-117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27956027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10.1016/j.hpb.2016.11.005]</w:t>
      </w:r>
    </w:p>
    <w:p w14:paraId="5E5103B3" w14:textId="1C704BE4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Ebata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Yokoyama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Igami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Sugawara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Takahashi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Nagino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Portal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embolization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before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extended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hepatectomy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current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technique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494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consecutive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embolizations.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23-29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22441616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10.1159/000335718]</w:t>
      </w:r>
    </w:p>
    <w:p w14:paraId="6507D9AB" w14:textId="577C33CA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Liu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Wakabayashi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Yiengpruksawan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Boggi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Troisi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Efanov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Azoulay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Panaro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Pessaux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XP.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International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consensus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statement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robotic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hepatectomy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World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1432-1444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30948907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10.3748/wjg.v25.i12.1432]</w:t>
      </w:r>
    </w:p>
    <w:p w14:paraId="793667AF" w14:textId="1183BA54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Sahara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Tsilimigras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Merath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Bagante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Guglielmi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Aldrighetti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Weiss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Bauer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Alexandrescu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Poultsides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Maithel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Marques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Martel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Pulitano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Soubrane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Koerkamp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Matsuyama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Therapeutic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Index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Associated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Lymphadenectomy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Which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Benefit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Most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Nodal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Evaluation?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2959-2968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31152272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10.1245/s10434-019-07483-9]</w:t>
      </w:r>
    </w:p>
    <w:p w14:paraId="37349A5D" w14:textId="74DDAED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Mazzaferro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Gorgen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Roayaie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Droz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Busset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Sapisochin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364-377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31954498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10.1016/j.jhep.2019.11.020]</w:t>
      </w:r>
    </w:p>
    <w:p w14:paraId="7812A9F0" w14:textId="5D8F12E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Wright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GP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Perkins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Zureikat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Holtzman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Zeh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3rd,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Bartlett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Pingpank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Improve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Multifocal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Comparison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Intra-Arterial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Therapies.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83-90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29063296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10.1245/s10434-017-6110-1]</w:t>
      </w:r>
    </w:p>
    <w:p w14:paraId="7F0E5950" w14:textId="31ECC5A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JC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Coburn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Baxter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cholangiocarcinoma--a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population-based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600-608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17987347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10.1245/s10434-007-9627-x]</w:t>
      </w:r>
    </w:p>
    <w:p w14:paraId="64855F73" w14:textId="294DEF6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19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Chan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Tsai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MF.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Characterization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prognostic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factor,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recurrence.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BMC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30514231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10.1186/s12876-018-0912-x]</w:t>
      </w:r>
    </w:p>
    <w:p w14:paraId="6BABB5B0" w14:textId="661C893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Patel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</w:t>
      </w:r>
      <w:r>
        <w:rPr>
          <w:rFonts w:ascii="Book Antiqua" w:hAnsi="Book Antiqua"/>
          <w:color w:val="201F35"/>
        </w:rPr>
        <w:t>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Increasing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incidence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mortality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primary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United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States.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1353-1357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11391522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10.1053/jhep.2001.25087]</w:t>
      </w:r>
    </w:p>
    <w:p w14:paraId="356604E5" w14:textId="76DDA7C0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Hyder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O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Marques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Pulitano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Alexandrescu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Bauer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Gamblin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Sotiropoulos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Paul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Barroso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Aldrighetti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Ferrone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Popescu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Gigot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Mentha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nomogram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predict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long-term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Eastern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Western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experience.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JAMA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149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432-438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24599477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10.1001/jamasurg.2013.5168]</w:t>
      </w:r>
    </w:p>
    <w:p w14:paraId="25D684A8" w14:textId="6238510A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Mavros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MN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Economopoulos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Alexiou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Prognosis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JAMA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149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565-574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24718873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10.1001/jamasurg.2013.5137]</w:t>
      </w:r>
    </w:p>
    <w:p w14:paraId="31ABF51A" w14:textId="47608C1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Spolverato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Alexandrescu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Marques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Lamelas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Aldrighetti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Gamblin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Maithel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Pulitano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Bauer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Poultsides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Wallis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Recurrent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Following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Previous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Curative-Intent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235-243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26059651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10.1245/s10434-015-4642-9]</w:t>
      </w:r>
    </w:p>
    <w:p w14:paraId="2CE6B8A5" w14:textId="1D24472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Goldstein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Tillery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Senzer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Levy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Husberg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Gonwa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Klintmalm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indicated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cholangiocarcinoma?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1993;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166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768-771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8273866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10.1016/s0002-9610(05)80696-8]</w:t>
      </w:r>
    </w:p>
    <w:p w14:paraId="2A464F62" w14:textId="28CF6FD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Sapisochin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Facciuto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Rubbia-Brandt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Mehta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Vibert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Cherqui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Hernandez-Alejandro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Cucchetti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Pinna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Agopian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Busuttil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Rizvi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Heimbach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Montenovo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Reyes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Cesaretti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Soubrane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Reichman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Klintmalm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Sposito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Mazzaferro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Dutkowski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Clavien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Toso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Majno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Kneteman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Saunders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Bruix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iCCA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International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Consortium.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"very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early"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International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retrospective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supporting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assessment.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64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1178-1188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27481548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10.1002/hep.28744]</w:t>
      </w:r>
    </w:p>
    <w:p w14:paraId="66603A57" w14:textId="778F11E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Martin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Rayar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Golse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Dupeux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Gelli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Gnemmi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Allard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Cherqui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Cunha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Coilly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Antonini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Guettier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Samuel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Boudjema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Boleslawski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Vibert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Small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Combined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Hepatocellular-Cholangiocarcinoma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Setting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Cirrhosis.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Liver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Transpl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785-798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32090444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10.1002/lt.25737]</w:t>
      </w:r>
    </w:p>
    <w:p w14:paraId="14AB1059" w14:textId="156BFD3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Lunsford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KE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Javle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Heyne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Shroff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Abdel-Wahab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Gupta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Mobley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Saharia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Victor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Nguyen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Graviss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Kaseb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McFadden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Aloia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Conrad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Monsour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Gaber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Vauthey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Ghobrial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RM;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Methodist–MD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Anderson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Joint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Collaborative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Committee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(MMAJCCC).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locally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neoadjuvant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therapy: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case-series.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Lancet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337-348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29548617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10.1016/S2468-1253(18)30045-1]</w:t>
      </w:r>
    </w:p>
    <w:p w14:paraId="019ED9A9" w14:textId="0FA69C3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Shroff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RT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Kennedy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Bachini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Bekaii-Saab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Edeline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El-Khoueiry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MHG,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Primrose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Soares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Maithel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ASCO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Practice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Guideline.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1015-1027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30856044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10.1200/JCO.18.02178]</w:t>
      </w:r>
    </w:p>
    <w:p w14:paraId="4610EC21" w14:textId="3C136DE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Primrose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Prasad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Mirza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Anthoney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Corrie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Falk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Wasan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Wadsley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Evans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Stocken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Praseedom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Cunningham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Garden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Stubbs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capecitabine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BILCAP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4006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10.1200/jco.2017.35.15_suppl.4006]</w:t>
      </w:r>
    </w:p>
    <w:p w14:paraId="123F8FA0" w14:textId="4CEA6EC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30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Valle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Wasan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Cunningham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Anthoney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Maraveyas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Madhusudan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Iveson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Hughes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Pereira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Roughton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ABC-02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Investigators.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Cisplatin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gemcitabine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gemcitabine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Engl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362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1273-1281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20375404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10.1056/NEJMoa0908721]</w:t>
      </w:r>
    </w:p>
    <w:p w14:paraId="2B759FB4" w14:textId="7DC998DA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Lamarca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Wasan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Arora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Falk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Gillmore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Wadsley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Anthoney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Maraveyas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Waters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Hobbs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Barber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Ryder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Ramage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Davies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ABC-06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|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randomised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III,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multi-centre,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open-label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symptom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control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(ASC)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oxaliplatin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/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5-FU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(ASC+mFOLFOX)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(pts)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locally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/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metastatic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(ABC)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previously-treated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cisplatin/gemcitabine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(CisGem)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chemotherapy.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4003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10.1200/jco.2019.37.15_suppl.4003]</w:t>
      </w:r>
    </w:p>
    <w:p w14:paraId="5A7C872B" w14:textId="50C8A4DA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Kelley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therapies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353-363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31954497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10.1016/j.jhep.2019.10.009]</w:t>
      </w:r>
    </w:p>
    <w:p w14:paraId="765A6119" w14:textId="2148116A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Lee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Jeung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Gemcitabine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oxaliplatin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without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erlotinib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biliary-tract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multicentre,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open-label,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randomised,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Lancet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181-188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22192731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10.1016/S1470-2045(11)70301-1]</w:t>
      </w:r>
    </w:p>
    <w:p w14:paraId="044BEC2E" w14:textId="7086D7B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Kipp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BR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Voss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Kerr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Fritcher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Graham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Highsmith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Roberts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KC.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Isocitrate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dehydrogenase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mutations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Hum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Pathol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43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1552-1558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22503487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10.1016/j.humpath.2011.12.007]</w:t>
      </w:r>
    </w:p>
    <w:p w14:paraId="6FB049FE" w14:textId="772A7ED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Abou-Alfa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Macarulla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Javle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Lubner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Adeva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Cleary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Catenacci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Harris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Murphy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Whisenant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Lowery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Goyal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Shroff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El-Khoueiry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Chamberlain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Jiang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Gliser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Pandya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Ivosidenib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IDH1-mutant,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chemotherapy-</w:t>
      </w:r>
      <w:r>
        <w:rPr>
          <w:rFonts w:ascii="Book Antiqua" w:hAnsi="Book Antiqua"/>
          <w:color w:val="201F35"/>
        </w:rPr>
        <w:lastRenderedPageBreak/>
        <w:t>refractory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(ClarIDHy):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multicentre,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randomised,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double-blind,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placebo-controlled,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Lancet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796-807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32416072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10.1016/S1470-2045(20)30157-1]</w:t>
      </w:r>
    </w:p>
    <w:p w14:paraId="591398B2" w14:textId="4634FA0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Babina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IS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Turner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NC.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challenges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targeting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signalling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Rev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318-332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28303906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10.1038/nrc.2017.8]</w:t>
      </w:r>
    </w:p>
    <w:p w14:paraId="5FD5D594" w14:textId="40178EDF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Graham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RP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Fritcher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Pestova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Schulz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Sitailo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Vasmatzis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Murphy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McWilliams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Roberts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Couch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Kipp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Fibroblast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growth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receptor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translocations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Hum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Pathol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45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1630-1638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24837095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10.1016/j.humpath.2014.03.014]</w:t>
      </w:r>
    </w:p>
    <w:p w14:paraId="296F84B4" w14:textId="264A7F3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Sia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Losic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Moeini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Cabellos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Miltiadous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Hoshida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Cornella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Castillo-Martin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Pinyol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Kasai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Roayaie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Thung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Fuster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Schwartz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Waxman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Cordon-Cardo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Schadt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Mazzaferro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Llovet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Massive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parallel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sequencing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uncovers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actionable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FGFR2-PPHLN1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fusion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ARAF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mutations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Commun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6087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25608663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10.1038/ncomms7087]</w:t>
      </w:r>
    </w:p>
    <w:p w14:paraId="3642C37C" w14:textId="178C472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39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Abou-Alfa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Sahai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Hollebecque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Vaccaro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Melisi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Al-Rajabi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Paulson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Gallinson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Murphy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Dotan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Catenacci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Cutsem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Lihou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Féliz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Vogel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Pemigatinib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previously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locally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metastatic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multicentre,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open-label,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Lancet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671-684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32203698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10.1016/S1470-2045(20)30109-1]</w:t>
      </w:r>
    </w:p>
    <w:p w14:paraId="3A523A93" w14:textId="47AE6369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Javle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Lowery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Shroff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Weiss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Springfeld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Ramanathan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Goyal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Sadeghi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Macarulla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El-Khoueiry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Borbath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Philip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Reungwetwattana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Cutsem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Ciombor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Finn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Porter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Isaacs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Abou-Alfa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Bekaii-Saab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BGJ398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FGFR-Altered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276-282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29182496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10.1200/JCO.2017.75.5009]</w:t>
      </w:r>
    </w:p>
    <w:p w14:paraId="7F9DDAA9" w14:textId="4234431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Goyal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Cruz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Lennerz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Raghavan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Leschiner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Elagina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Siravegna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RWS,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Uppot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Arellano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Reyes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Sagara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Otsuki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Nadres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Shahzade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Dey-Guha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Fetter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Baiev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Seventer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Murphy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Ferrone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Tanabe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Deshpande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Yaeger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Bardelli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Iafrate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Hahn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Benes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Hirai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Juric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Corcoran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Bardeesy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TAS-120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Overcomes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Resistance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ATP-Competitive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Inhibitors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Fusion-Positive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Cancer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Discov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1064-1079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31109923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10.1158/2159-8290.CD-19-0182]</w:t>
      </w:r>
    </w:p>
    <w:p w14:paraId="65DA8D9D" w14:textId="2E79690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Goyal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Siravegna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Leshchiner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Ahronian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Lennerz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Deshpande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Kambadakone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Mussolin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Reyes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Henderson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Seventer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Gurski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Baltschukat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Schacher-Engstler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Barys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Stamm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Furet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Ryan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Iafrate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Porta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Tiedt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Bardelli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Juric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Corcoran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Bardeesy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Polyclonal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Secondary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FGFR2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Mutations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Acquired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Resistance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Inhibition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FGFR2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Fusion-Positive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Cancer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Discov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252-263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28034880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10.1158/2159-8290.CD-16-1000]</w:t>
      </w:r>
    </w:p>
    <w:p w14:paraId="0C77A292" w14:textId="070CB62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Høgdall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Lewinska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Andersen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JB.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Desmoplastic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Tumor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Microenvironment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Immunotherapy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Trends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4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239-255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29506673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10.1016/j.trecan.2018.01.007]</w:t>
      </w:r>
    </w:p>
    <w:p w14:paraId="64A4690B" w14:textId="3854C3A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DT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Uram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Bartlett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Kemberling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Eyring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Skora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Luber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Azad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Laheru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Biedrzycki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Donehower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Zaheer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Fisher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Crocenzi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Duffy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Goldberg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Chapelle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Koshiji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Bhaijee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Huebner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Hruban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Wood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Cuka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Pardoll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Papadopoulos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Kinzler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Cornish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Taube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Eshleman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Vogelstein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PD-1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Blockade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Tumors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Mismatch-Repair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Deficiency.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Engl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372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2509-2520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26028255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10.1056/NEJMoa1500596]</w:t>
      </w:r>
    </w:p>
    <w:p w14:paraId="125EB912" w14:textId="28518310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Silva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VW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Askan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Daniel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Lowery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Klimstra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Abou-Alfa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carcinomas: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pathology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mismatch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repair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deficiency.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Chin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27829276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10.21037/cco.2016.10.04]</w:t>
      </w:r>
    </w:p>
    <w:p w14:paraId="56EE947F" w14:textId="5A45BAE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46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Kim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Chung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Alese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El-Rayes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Al-Toubah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Schell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Mahipal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DW.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Multi-institutional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Nivolumab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Refractory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JAMA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888-894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32352498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10.1001/jamaoncol.2020.0930]</w:t>
      </w:r>
    </w:p>
    <w:p w14:paraId="19C3A561" w14:textId="7EEADD0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Zehir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Benayed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Shah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Middha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Srinivasan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Chakravarty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Devlin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Hellmann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Barron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Schram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Hameed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Dogan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Hechtman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DeLair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Mandelker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Chandramohan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Mohanty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Ptashkin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Jayakumaran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Prasad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Nafa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Borsu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Sadowska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Casanova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Bacares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Kiecka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Razumova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Stewart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Baldi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Mullaney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Al-Ahmadie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Vakiani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Abeshouse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Penson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Jonsson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Camacho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Kundra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Phillips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Ochoa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Wills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Eubank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Thomas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Gardos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Reales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Durany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Cambria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Abida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Cercek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Feldman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Gounder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Hakimi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Iyer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Janjigian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Jordan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Lowery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Morris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LGT,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Omuro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Raj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Razavi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Shoushtari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Shukla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Soumerai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Varghese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Yaeger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Coleman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Bochner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Riely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Saltz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Sabbatini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Klimstra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Taylor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Baselga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Schultz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Hyman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Arcila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Solit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Ladanyi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Berger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MF.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Mutational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landscape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metastatic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revealed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sequencing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10,000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703-713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28481359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10.1038/nm.4333]</w:t>
      </w:r>
    </w:p>
    <w:p w14:paraId="01AC3A88" w14:textId="40FDCA53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Buettner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Braat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AJAT,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Margonis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Brown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Taylor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Borgmann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Kappadath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Mahvash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IJzermans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JNM,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Weiss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Lamarca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Hagendoorn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Koerkamp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Sze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MGEH.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Yttrium-90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Radioembolization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Retrospective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Vasc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Interv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Radiol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1035-1043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32473757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10.1016/j.jvir.2020.02.008]</w:t>
      </w:r>
    </w:p>
    <w:p w14:paraId="474E210A" w14:textId="475D2ED3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49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Kiefer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MV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Albert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McNally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Robertson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Fraker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Olthoff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Christians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Pappas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Rilling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Soulen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Chemoembolization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cisplatinum,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doxorubicin,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mitomycin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ethiodol,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polyvinyl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alcohol: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2-center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117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1498-1505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21425151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10.1002/cncr.25625]</w:t>
      </w:r>
    </w:p>
    <w:p w14:paraId="1B5647DE" w14:textId="3D8335F3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Radiofrequency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ablation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Vasc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Interv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Radiol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943-948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25899049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10.1016/j.jvir.2015.02.024]</w:t>
      </w:r>
    </w:p>
    <w:p w14:paraId="580FC1D9" w14:textId="5FC03B7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Koay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Odisio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Javle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Vauthey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decide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various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liver-directed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treatments?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Hepatobiliary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Nutr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105-116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28503558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10.21037/hbsn.2017.01.16]</w:t>
      </w:r>
    </w:p>
    <w:p w14:paraId="6F8C967E" w14:textId="20D27BA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Wu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ZF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Postoperative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transcatheter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arterial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chemoembolisation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improves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prognostic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factors: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results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large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monocentric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series.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Eur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602-610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22417704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10.1016/j.ejso.2012.02.185]</w:t>
      </w:r>
    </w:p>
    <w:p w14:paraId="7F7658DB" w14:textId="33F5543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Kim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JH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Radiofrequency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ablation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recurrent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Eur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Radiol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e221-e225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20950977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10.1016/j.ejrad.2010.09.019]</w:t>
      </w:r>
    </w:p>
    <w:p w14:paraId="7A3BB7C6" w14:textId="72A929A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Cercek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Boerner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Gönen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Boucher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Hauser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Lowery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Varghese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Reidy-Lagunes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Saltz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Schultz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Kingham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D'Angelica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DeMatteo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Drebin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Balachandran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Sanchez-Vega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Vachharajani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Majella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Doyle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Fields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Hawkins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Strasberg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Chapman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Kemeny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Jarnagin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Assessment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Arterial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Infusion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Floxuridine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Combination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Gemcitabine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Oxaliplatin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JAMA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60-67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31670750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10.1001/jamaoncol.2019.3718]</w:t>
      </w:r>
    </w:p>
    <w:p w14:paraId="60062EA0" w14:textId="23D1880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Hong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Yeap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Ben-Josef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McDonnell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Blaszkowsky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Kwak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Goyal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Murphy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Javle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Wolfgang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Drapek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Arellano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RS,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Mamon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Tanabe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Ferrone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Ryan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DeLaney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AX.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Multi-Institutional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High-Dose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Hypofractionated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Proton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Localized,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Hepatocellular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34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460-468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26668346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10.1200/JCO.2015.64.2710]</w:t>
      </w:r>
    </w:p>
    <w:p w14:paraId="6837882A" w14:textId="49C94D3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Tse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RV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Hawkins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Lockwood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Cummings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Knox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Sherman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Dawson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individualized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stereotactic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hepatocellular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657-664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18172187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10.1200/JCO.2007.14.3529]</w:t>
      </w:r>
    </w:p>
    <w:p w14:paraId="356F9D82" w14:textId="47BD374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Tao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Krishnan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Bhosale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Javle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Aloia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Shroff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Kaseb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Bishop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Swanick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Koay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Thames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Ablative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Doses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Substantial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Prolongation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Inoperable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Retrospective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Response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34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219-226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26503201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10.1200/JCO.2015.61.3778]</w:t>
      </w:r>
    </w:p>
    <w:p w14:paraId="15FA4D6F" w14:textId="5BE1BF69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Weismüller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Trivedi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Bergquist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Imam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Lenzen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Ponsioen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Holm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Gotthardt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Färkkilä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Marschall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Thorburn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Weersma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Fevery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Mueller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Chazouillères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Schulze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Lazaridis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Pereira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Levy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Naess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Bowlus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Floreani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Halilbasic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Yimam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Milkiewicz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Beuers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Huynh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Manser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Dalekos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Eksteen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Invernizzi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Kirchner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Sarrazin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Zimmer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Fabris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Braun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Marzioni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Juran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Said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Rupp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Jokelainen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Benito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Saffioti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Cheung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Trauner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Schramm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Chapman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Karlsen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Schrumpf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Strassburg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Lindor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Hirschfield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Hansen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KM;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International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Group.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Age,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Inflammatory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Bowel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Disease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Phenotype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Associate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Course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Primary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Sclerosing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Cholangitis.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152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1975-1984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28274849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10.1053/j.gastro.2017.02.038]</w:t>
      </w:r>
    </w:p>
    <w:p w14:paraId="3E79608F" w14:textId="20D666D8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59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Trikudanathan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Navaneethan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Njei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Vargo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Parsi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Diagnostic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yield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brushings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primary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sclerosing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cholangitis: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systematic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783-789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24140129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10.1016/j.gie.2013.09.015]</w:t>
      </w:r>
    </w:p>
    <w:p w14:paraId="517A217E" w14:textId="7D15C0B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Barr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Fritcher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Voss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Brankley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Campion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Jenkins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Keeney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Henry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Kerr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Chaiteerakij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Pestova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Clayton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Roberts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Kipp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Optimized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Fluorescence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Situ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Hybridization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Probes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Detection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Pancreatobiliary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Cytology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Samples.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149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1813-1824.e1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26327129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10.1053/j.gastro.2015.08.046]</w:t>
      </w:r>
    </w:p>
    <w:p w14:paraId="5563CCEB" w14:textId="1FB111E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Rizvi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Eaton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Chandrasekhara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Emerging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Technologies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Diagnosis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Semin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Liver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160-169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29871021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10.1055/s-0038-1655775]</w:t>
      </w:r>
    </w:p>
    <w:p w14:paraId="70B92DA8" w14:textId="0C221F1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Yang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Campion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Chaiteerakij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Giama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Ahmed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Mohammed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Campion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Venkatesh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Kipp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Roberts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Circulating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tumor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cells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associated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overall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148-158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26096702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10.1002/hep.27944]</w:t>
      </w:r>
    </w:p>
    <w:p w14:paraId="0B198184" w14:textId="3BDAD6F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Dudley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JC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Zheng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McDonald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Dias-Santagata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Borger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Batten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Vernovsky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Sweeney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Arpin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Brugge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Forcione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Pitman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Iafrate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Next-Generation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Sequencing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Fluorescence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Situ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Hybridization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Performance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Characteristics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Pancreaticobiliary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Brushings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Malignancy.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Diagn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124-130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26596524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10.1016/j.jmoldx.2015.08.002]</w:t>
      </w:r>
    </w:p>
    <w:p w14:paraId="6C8A659D" w14:textId="6CCA6794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Mertens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diagnosis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Liver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Dis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(Hoboken)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60-64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30992887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10.1002/cld.328]</w:t>
      </w:r>
    </w:p>
    <w:p w14:paraId="14692EE0" w14:textId="0F7F5B6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Bird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Elmasry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Elniel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Fenwick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Poston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staging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laparoscopy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stratification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104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418-425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27861766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10.1002/bjs.10399]</w:t>
      </w:r>
    </w:p>
    <w:p w14:paraId="2237FE26" w14:textId="128413A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66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Groot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Koerkamp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Wiggers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Besselink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Blumgart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Busch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Coelen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D'Angelica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DeMatteo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Gouma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Kingham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Jarnagin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Recurrence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Pattern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Curative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Coll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221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1041-1049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26454735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10.1016/j.jamcollsurg.2015.09.005]</w:t>
      </w:r>
    </w:p>
    <w:p w14:paraId="591DC92D" w14:textId="42CFF3D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Ebata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Mizuno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Yokoyama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Igami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Sugawara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Nagino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Bismuth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type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IV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Br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105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829-838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28488733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10.1002/bjs.10556]</w:t>
      </w:r>
    </w:p>
    <w:p w14:paraId="66BBA73A" w14:textId="1AC5FA0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Neuhaus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Bechstein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Lohmann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Radke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Lobeck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Hintze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Extended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1999;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230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808-818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10615936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10.1097/00000658-199912000-00010]</w:t>
      </w:r>
    </w:p>
    <w:p w14:paraId="480B3AC8" w14:textId="67AEA809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69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Vugt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JLA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Gaspersz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Coelen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Vugts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Labeur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Polak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Busch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Besselink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IJzermans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JNM,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Nio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Willemssen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FEJA,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Groot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Koerkamp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prognostic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value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portal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artery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involvement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HPB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(Oxford)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83-92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28958483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10.1016/j.hpb.2017.08.025]</w:t>
      </w:r>
    </w:p>
    <w:p w14:paraId="71DAD4E8" w14:textId="46419A48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Rosen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CB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Heimbach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Transpl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Int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692-697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20497401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10.1111/j.1432-2277.2010.01108.x]</w:t>
      </w:r>
    </w:p>
    <w:p w14:paraId="7326C8B5" w14:textId="1578A52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Meyer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Penn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results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1633-1637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10836374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10.1097/00007890-200004270-00019]</w:t>
      </w:r>
    </w:p>
    <w:p w14:paraId="31EEAE7B" w14:textId="67936FB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Darwish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Murad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Harnois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Douglas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Burton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Kulik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Botha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Mezrich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Chapman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Schwartz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Emond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Heimbach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Efficacy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neoadjuvant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chemoradiation,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followed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centers.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143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88-98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22504095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10.1053/j.gastro.2012.04.008]</w:t>
      </w:r>
    </w:p>
    <w:p w14:paraId="2CA87FB9" w14:textId="706CEBF3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Ethun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CG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Lopez-Aguiar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Anderson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Adams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Fields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Doyle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Chapman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Krasnick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Weber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Mezrich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Salem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Pawlik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Poultsides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Idrees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RCG,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Scoggins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Mogal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Schmidt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Beal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Hatzaras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Shenoy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Cardona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Maithel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Argument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Shifting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Paradigms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Disease.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267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797-805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29064885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10.1097/SLA.0000000000002574]</w:t>
      </w:r>
    </w:p>
    <w:p w14:paraId="5738AA48" w14:textId="112F0D1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Frosio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F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Mocchegiani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Vecchi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Nicolini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Vivarelli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Neoadjuvant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literature.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World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279-286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31367275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10.4240/wjgs.v11.i6.279]</w:t>
      </w:r>
    </w:p>
    <w:p w14:paraId="33E97056" w14:textId="501884CF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Heimbach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Haddock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Alberts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Pedersen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Kremers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Nyberg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Ishitani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CB.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Predictors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disease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recurrence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following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neoadjuvant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chemoradiotherapy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perihilar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1703-1707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17198263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10.1097/01.tp.0000253551.43583.d1]</w:t>
      </w:r>
    </w:p>
    <w:p w14:paraId="1D876777" w14:textId="7D2183F3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Hong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JC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Duffy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Petrowsky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Farmer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French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Finn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Durazo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Saab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Hiatt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Busuttil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RW.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transplantation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24-year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experience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single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center.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Arch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146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683-689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21690444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10.1001/archsurg.2011.116]</w:t>
      </w:r>
    </w:p>
    <w:p w14:paraId="6E98F9FF" w14:textId="2CA76CA9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Valle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JW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Furuse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Jitlal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Beare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Mizuno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Wasan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Bridgewater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Okusaka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Cisplatin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gemcitabine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two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randomised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2014;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391-398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24351397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10.1093/annonc/mdt540]</w:t>
      </w:r>
    </w:p>
    <w:p w14:paraId="7DBBAD8F" w14:textId="307C6E0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201F35"/>
        </w:rPr>
      </w:pPr>
      <w:r>
        <w:rPr>
          <w:rFonts w:ascii="Book Antiqua" w:hAnsi="Book Antiqua"/>
          <w:color w:val="201F35"/>
        </w:rPr>
        <w:t>78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Vern-Gross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TZ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Shivnani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Tward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MacDonald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Crane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Talamonti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Munoz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Small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effect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adjuvant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surveillance,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epidemiology,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results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Int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Radiat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Biol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Phys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189-198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20971573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10.1016/j.ijrobp.2010.05.001]</w:t>
      </w:r>
    </w:p>
    <w:p w14:paraId="23FE45F4" w14:textId="3FB1B95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79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Kim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YI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concurrent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chemoradiotherapy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chemotherapy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advanced-stage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Radiat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2013;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24359879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10.1186/1748-717X-8-292]</w:t>
      </w:r>
    </w:p>
    <w:p w14:paraId="6CCE76FB" w14:textId="0B06AF6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Gkika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Hallauer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Kirste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Adebahr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Bartl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Neeff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Fritsch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Brass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Nestle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Grosu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Brunner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TB.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Stereotactic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radiotherapy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(SBRT)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locally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BMC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781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29162055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10.1186/s12885-017-3788-1]</w:t>
      </w:r>
    </w:p>
    <w:p w14:paraId="47B7771D" w14:textId="1653D96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der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Gaag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Rauws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Eijck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Harst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Kubben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Gerritsen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Greve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Gerhards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Hingh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Klinkenbijl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Nio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Castro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Busch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Gulik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Bossuyt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Gouma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Preoperative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head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pancreas.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Engl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Med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362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129-137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20071702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10.1056/NEJMoa0903230]</w:t>
      </w:r>
    </w:p>
    <w:p w14:paraId="64617E28" w14:textId="00184DB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Qiu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Effect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preoperative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jaundice: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World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391-396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21253401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10.3748/wjg.v17.i3.391]</w:t>
      </w:r>
    </w:p>
    <w:p w14:paraId="0B31B095" w14:textId="11B8D54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Sewnath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ME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Karsten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Rauws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Obertop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Gouma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efficacy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preoperative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tumors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causing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jaundice.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Ann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236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17-27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12131081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10.1097/00000658-200207000-00005]</w:t>
      </w:r>
    </w:p>
    <w:p w14:paraId="0C4FF4C3" w14:textId="635B81D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Lee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SH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Ryu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Optimal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inoperable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Klatskin's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tumor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based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Bismuth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type.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World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3948-3955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17663508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10.3748/wjg.v13.i29.3948]</w:t>
      </w:r>
    </w:p>
    <w:p w14:paraId="726D8BE4" w14:textId="2509C2DF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Moole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H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Dharmapuri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Duvvuri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Dharmapuri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Boddireddy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Moole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Yedama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Bondalapati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Uppu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Yerasi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Percutaneous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Palliation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Advanced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Can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2016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4726078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27648439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10.1155/2016/4726078]</w:t>
      </w:r>
    </w:p>
    <w:p w14:paraId="6F9CACBA" w14:textId="2FF8A40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Perdue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DG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Freeman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DiSario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Nelson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Fennerty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Overby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Ryan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Bochna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Snady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Moore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JP;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ERCP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Outcome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ERCOST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Group.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metallic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observational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cohort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42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1040-1046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18719507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10.1097/MCG.0b013e31815853e0]</w:t>
      </w:r>
    </w:p>
    <w:p w14:paraId="689B41FF" w14:textId="69542C77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Peters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Williams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Lombard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Karani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Westaby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management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high-grade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strictures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insertion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endoprostheses.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Endoscopy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1997;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10-16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9083730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10.1055/s-2007-1004054]</w:t>
      </w:r>
    </w:p>
    <w:p w14:paraId="273FB92B" w14:textId="40FB1D78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Sangchan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Kongkasame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Pugkhem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Jenwitheesuk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Mairiang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Efficacy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complex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controlled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93-99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22595446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10.1016/j.gie.2012.02.048]</w:t>
      </w:r>
    </w:p>
    <w:p w14:paraId="52AF5ED1" w14:textId="3472BE6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89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Palma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GD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Galloro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Siciliano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Iovino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Catanzano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Unilateral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bilateral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patients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results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controlled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2001;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547-553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11323577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10.1067/mge.2001.113381]</w:t>
      </w:r>
    </w:p>
    <w:p w14:paraId="2CD55A9C" w14:textId="52CB0B8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Lee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TH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Hwangbo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Hyun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Jeong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Bilateral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unilateral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placement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inoperable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high-grade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strictures: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video).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817-827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28479493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10.1016/j.gie.2017.04.037]</w:t>
      </w:r>
    </w:p>
    <w:p w14:paraId="1001CE9E" w14:textId="4952A96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Xia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MX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Optimal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placement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strategy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large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parallel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91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1117-1128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31881205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10.1016/j.gie.2019.12.023]</w:t>
      </w:r>
    </w:p>
    <w:p w14:paraId="306042DD" w14:textId="63E338BD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Naitoh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I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Hayashi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Nakazawa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Okumura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Miyabe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Shimizu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Yoshida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Yamashita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Ohara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Side-by-side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stent-in-stent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deployment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bilateral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Dis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Sci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3279-3285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22732832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10.1007/s10620-012-2270-9]</w:t>
      </w:r>
    </w:p>
    <w:p w14:paraId="77F1EC5A" w14:textId="0941912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Liu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Draganov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PV.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Double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Down,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Out?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Dig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Dis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Sci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2020;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65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3428-3430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32297066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10.1007/s10620-020-06249-8]</w:t>
      </w:r>
    </w:p>
    <w:p w14:paraId="17053142" w14:textId="0C5B726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94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Kim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Chung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SG.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comparison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bilateral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methods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Hepatogastroenterology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341-346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bookmarkStart w:id="4" w:name="OLE_LINK14"/>
      <w:r>
        <w:rPr>
          <w:rFonts w:ascii="Book Antiqua" w:hAnsi="Book Antiqua"/>
          <w:color w:val="201F35"/>
        </w:rPr>
        <w:t>22353496</w:t>
      </w:r>
      <w:bookmarkEnd w:id="4"/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10.5754/hge11533]</w:t>
      </w:r>
    </w:p>
    <w:p w14:paraId="3D3F6E7E" w14:textId="1FCACB4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Vienne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Hobeika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Gouya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Lapidus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Fritsch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Choury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Chryssostalis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Gaudric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Pelletier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Buffet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Chaussade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Prediction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effectiveness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during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hilar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strictures: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role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liver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volume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assessment.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728-735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20883850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10.1016/j.gie.2010.06.040]</w:t>
      </w:r>
    </w:p>
    <w:p w14:paraId="457EB67C" w14:textId="6468FBC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Buerlein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RCD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Retrograde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Cholangiopancreatography-Guided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Ablation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Clin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29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351-367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30846158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10.1016/j.giec.2018.11.006]</w:t>
      </w:r>
    </w:p>
    <w:p w14:paraId="292B7D4D" w14:textId="5DFD42E6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Alvarez-Sánchez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MV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Napoléon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radiofrequency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biliopancreatic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tumours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emphasis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benefits,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controversies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safety.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World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8257-8270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27729733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10.3748/wjg.v22.i37.8257]</w:t>
      </w:r>
    </w:p>
    <w:p w14:paraId="0472CD0A" w14:textId="1D8A0FAE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Yang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Lou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Q,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Zhang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X.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Efficacy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safety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radiofrequency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ablation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unresectable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extrahepatic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Endoscopy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751-760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29342492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10.1055/s-0043-124870]</w:t>
      </w:r>
    </w:p>
    <w:p w14:paraId="4330B8D9" w14:textId="30B0E321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99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Paik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WH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Shim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Song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DW,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Kim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EUS-Guided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ERCP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Primary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Palliation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Clinical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113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987-997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29961772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10.1038/s41395-018-0122-8]</w:t>
      </w:r>
    </w:p>
    <w:p w14:paraId="3F3029DC" w14:textId="69983F6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Bang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JY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Navaneethan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Hasan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Hawes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Varadarajulu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placement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ERCP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primary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decompression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pancreatic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cancer: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(with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videos).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9-17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29574126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10.1016/j.gie.2018.03.012]</w:t>
      </w:r>
    </w:p>
    <w:p w14:paraId="35C2AC46" w14:textId="1937B238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Park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JK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Woo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Noh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JI,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Yun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Efficacy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EUS-guided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ERCP-guided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lastRenderedPageBreak/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controlled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2018;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88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277-282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29605722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10.1016/j.gie.2018.03.015]</w:t>
      </w:r>
    </w:p>
    <w:p w14:paraId="0857BA9F" w14:textId="086B502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Sharaiha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RZ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Kamal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Tyberg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Tombazzi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Tombazzi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Kahaleh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Efficacy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safety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EUS-guided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comparison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with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percutaneous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when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ERCP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fails: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85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904-914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28063840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10.1016/j.gie.2016.12.023]</w:t>
      </w:r>
    </w:p>
    <w:p w14:paraId="289F1A4A" w14:textId="6ADFF845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Zhou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Y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Wu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Survival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surgical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resection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cholangiocarcinoma: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systematic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review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prognostic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factors.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Asian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Surg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40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129-138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26337377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10.1016/j.asjsur.2015.07.002]</w:t>
      </w:r>
    </w:p>
    <w:p w14:paraId="7AC04905" w14:textId="108F6DA4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Velanovich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V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Kheibek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Khan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Relationship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postoperative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complications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preoperative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after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pancreaticoduodenectomy.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new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cohort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modern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studies.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JOP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2009;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24-29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19129611]</w:t>
      </w:r>
    </w:p>
    <w:p w14:paraId="3DBE313D" w14:textId="361A120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105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Abraham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NS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Barkun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Barkun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Palliation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examining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impact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quality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life.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56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835-841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12447294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10.1067/mge.2002.129868]</w:t>
      </w:r>
    </w:p>
    <w:p w14:paraId="4473C4B5" w14:textId="77A952F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106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Inamdar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Slattery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Bhalla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Sejpal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DV,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Trindade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Comparison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Adverse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Events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Endoscopic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Percutaneous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Drainage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Tract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Inpatient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National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Cohort.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JAMA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Oncol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2016;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112-117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26513013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10.1001/jamaoncol.2015.3670]</w:t>
      </w:r>
    </w:p>
    <w:p w14:paraId="284E1B89" w14:textId="1B3A0E13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Sawas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Halabi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Parsi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Vargo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JJ.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meta-analysis.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2015;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82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256-267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25982849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10.1016/j.gie.2015.03.1980]</w:t>
      </w:r>
    </w:p>
    <w:p w14:paraId="5783310F" w14:textId="0E4149C8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108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Almadi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MA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Barkun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Martel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Palliation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Series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Meta-Analyses.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Am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J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Gastroenterol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2017;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112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260-273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27845340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10.1038/ajg.2016.512]</w:t>
      </w:r>
    </w:p>
    <w:p w14:paraId="5EFDE191" w14:textId="779C5432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109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Davids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PH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Groen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Rauws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Tytgat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GN,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Huibregtse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Randomised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polyethylene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Lancet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1992;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340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1488-1492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1281903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10.1016/0140-6736(92)92752-2]</w:t>
      </w:r>
    </w:p>
    <w:p w14:paraId="4CC35EB4" w14:textId="3DF71B8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>110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Kaassis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M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Boyer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Dumas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Ponchon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Coumaros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Delcenserie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Canard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Fritsch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Burtin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Plastic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stricture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common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duct?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Results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prospective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2003;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57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178-182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12556780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10.1067/mge.2003.66]</w:t>
      </w:r>
    </w:p>
    <w:p w14:paraId="7E14EFDC" w14:textId="4BE0C80C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111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Telford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JJ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Carr-Locke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DL,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Baron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Poneros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Bounds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Kelsey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Schapiro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RH,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Huang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Lichtenstein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Jacobson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Saltzman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Thompson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Forcione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Gostout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Brugge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WR.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trial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comparing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uncovered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partially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covered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metal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palliation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907-914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21034891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10.1016/j.gie.2010.08.021]</w:t>
      </w:r>
    </w:p>
    <w:p w14:paraId="0442CE46" w14:textId="1A3D78AB" w:rsidR="00AA4890" w:rsidRDefault="003E0DB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112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Kullman</w:t>
      </w:r>
      <w:r w:rsidR="006F1BC0">
        <w:rPr>
          <w:rFonts w:ascii="Book Antiqua" w:hAnsi="Book Antiqua"/>
          <w:b/>
          <w:bCs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E</w:t>
      </w:r>
      <w:r>
        <w:rPr>
          <w:rFonts w:ascii="Book Antiqua" w:hAnsi="Book Antiqua"/>
          <w:color w:val="201F35"/>
        </w:rPr>
        <w:t>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Frozanpor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Söderlund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Linder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Sandström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Lindhoff-Larsson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Toth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Lindell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Jonas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Freedman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J,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Ljungman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Rudberg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Ohlin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Zacharias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Leijonmarck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CE,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Teder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K,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Ringman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Persson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Gözen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Eriksson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Covered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versus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uncovered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self-expandable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nitinol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stents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in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the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palliative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treatment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of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malignant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distal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biliary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obstruction: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results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from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a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randomized,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multicenter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study.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Gastrointest</w:t>
      </w:r>
      <w:r w:rsidR="006F1BC0">
        <w:rPr>
          <w:rFonts w:ascii="Book Antiqua" w:hAnsi="Book Antiqua"/>
          <w:i/>
          <w:iCs/>
          <w:color w:val="201F35"/>
        </w:rPr>
        <w:t xml:space="preserve"> </w:t>
      </w:r>
      <w:r>
        <w:rPr>
          <w:rFonts w:ascii="Book Antiqua" w:hAnsi="Book Antiqua"/>
          <w:i/>
          <w:iCs/>
          <w:color w:val="201F35"/>
        </w:rPr>
        <w:t>Endosc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2010;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b/>
          <w:bCs/>
          <w:color w:val="201F35"/>
        </w:rPr>
        <w:t>72</w:t>
      </w:r>
      <w:r>
        <w:rPr>
          <w:rFonts w:ascii="Book Antiqua" w:hAnsi="Book Antiqua"/>
          <w:color w:val="201F35"/>
        </w:rPr>
        <w:t>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915-923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[PMID: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21034892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DOI:</w:t>
      </w:r>
      <w:r w:rsidR="006F1BC0"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>10.1016/j.gie.2010.07.036]</w:t>
      </w:r>
    </w:p>
    <w:bookmarkEnd w:id="3"/>
    <w:p w14:paraId="11F016F1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ACE847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A48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7C5A1" w14:textId="77777777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45A987" w14:textId="39A2B91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Zori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Draganov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Cabrera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interest;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Lumendi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Scientific.</w:t>
      </w:r>
    </w:p>
    <w:p w14:paraId="73855337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D66781" w14:textId="49686C6B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F1BC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4DA9E3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7B4421" w14:textId="4727AEF5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</w:t>
      </w:r>
      <w:r w:rsidR="006F1BC0">
        <w:rPr>
          <w:rFonts w:ascii="Book Antiqua" w:eastAsia="Book Antiqua" w:hAnsi="Book Antiqua" w:cs="Book Antiqua"/>
          <w:color w:val="000000"/>
        </w:rPr>
        <w:t>ited manus</w:t>
      </w:r>
      <w:r>
        <w:rPr>
          <w:rFonts w:ascii="Book Antiqua" w:eastAsia="Book Antiqua" w:hAnsi="Book Antiqua" w:cs="Book Antiqua"/>
          <w:color w:val="000000"/>
        </w:rPr>
        <w:t>cript</w:t>
      </w:r>
    </w:p>
    <w:p w14:paraId="01F17797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8587EA" w14:textId="38539A0C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8BBEE5B" w14:textId="3ACE6435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CB3FB70" w14:textId="4499F33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C1E47C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6738FE" w14:textId="5565447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</w:t>
      </w:r>
      <w:r w:rsidR="006F1BC0">
        <w:rPr>
          <w:rFonts w:ascii="Book Antiqua" w:eastAsia="Book Antiqua" w:hAnsi="Book Antiqua" w:cs="Book Antiqua"/>
          <w:color w:val="000000"/>
        </w:rPr>
        <w:t>rology and hepa</w:t>
      </w:r>
      <w:r>
        <w:rPr>
          <w:rFonts w:ascii="Book Antiqua" w:eastAsia="Book Antiqua" w:hAnsi="Book Antiqua" w:cs="Book Antiqua"/>
          <w:color w:val="000000"/>
        </w:rPr>
        <w:t>tology</w:t>
      </w:r>
    </w:p>
    <w:p w14:paraId="7F026134" w14:textId="4D3D483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9580E8A" w14:textId="5D9C82B2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328757" w14:textId="16BEFF7C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77F122F" w14:textId="7538D204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E97F65" w14:textId="13C5280D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8C93C3A" w14:textId="2BF599B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B1864B2" w14:textId="2A689772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DBE286" w14:textId="77777777" w:rsidR="00AA4890" w:rsidRDefault="00AA48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8DEADA" w14:textId="7A691599" w:rsidR="00AA4890" w:rsidRDefault="003E0DB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A48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F1BC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775B33" w14:textId="0AE1884B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Targetable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genomic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alterations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cholagiocarcinoma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under</w:t>
      </w:r>
      <w:r w:rsidR="006F1BC0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investigation</w:t>
      </w:r>
      <w:r w:rsidR="006F1BC0">
        <w:rPr>
          <w:rFonts w:ascii="Book Antiqua" w:hAnsi="Book Antiqua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800"/>
        <w:gridCol w:w="2160"/>
        <w:gridCol w:w="6025"/>
      </w:tblGrid>
      <w:tr w:rsidR="00AA4890" w14:paraId="389DB012" w14:textId="7777777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2A199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Alterations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E3DE7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iCCA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9A028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pCCA/dCCA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2052E" w14:textId="4A39BAA2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Products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under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investigation</w:t>
            </w:r>
          </w:p>
        </w:tc>
      </w:tr>
      <w:tr w:rsidR="00AA4890" w14:paraId="1F7C8B41" w14:textId="77777777"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14786DD8" w14:textId="25458AC5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FGFR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fusion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6B1ABFFF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15%-20%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7C44933E" w14:textId="5005B345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5%</w:t>
            </w:r>
          </w:p>
        </w:tc>
        <w:tc>
          <w:tcPr>
            <w:tcW w:w="6025" w:type="dxa"/>
            <w:tcBorders>
              <w:top w:val="single" w:sz="4" w:space="0" w:color="auto"/>
            </w:tcBorders>
            <w:shd w:val="clear" w:color="auto" w:fill="auto"/>
          </w:tcPr>
          <w:p w14:paraId="6DD1AA3B" w14:textId="39FA67CA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Pemigatinib</w:t>
            </w:r>
            <w:r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</w:rPr>
              <w:t>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Derantinib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(ARQ-087),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Infigrantinib</w:t>
            </w:r>
            <w:r>
              <w:rPr>
                <w:rFonts w:ascii="Book Antiqua" w:hAnsi="Book Antiqua"/>
                <w:vertAlign w:val="superscript"/>
              </w:rPr>
              <w:t>1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(BGJ398),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Erdafitinib,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TAS-120,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ADZ4547</w:t>
            </w:r>
          </w:p>
        </w:tc>
      </w:tr>
      <w:tr w:rsidR="00AA4890" w14:paraId="0E428E3E" w14:textId="77777777">
        <w:tc>
          <w:tcPr>
            <w:tcW w:w="2965" w:type="dxa"/>
            <w:shd w:val="clear" w:color="auto" w:fill="auto"/>
          </w:tcPr>
          <w:p w14:paraId="07F6ECCC" w14:textId="1950A8CD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IDH1/2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mutation</w:t>
            </w:r>
          </w:p>
        </w:tc>
        <w:tc>
          <w:tcPr>
            <w:tcW w:w="1800" w:type="dxa"/>
            <w:shd w:val="clear" w:color="auto" w:fill="auto"/>
          </w:tcPr>
          <w:p w14:paraId="26E6F9B8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20%</w:t>
            </w:r>
          </w:p>
        </w:tc>
        <w:tc>
          <w:tcPr>
            <w:tcW w:w="2160" w:type="dxa"/>
            <w:shd w:val="clear" w:color="auto" w:fill="auto"/>
          </w:tcPr>
          <w:p w14:paraId="0606D6BF" w14:textId="317CB435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5%</w:t>
            </w:r>
          </w:p>
        </w:tc>
        <w:tc>
          <w:tcPr>
            <w:tcW w:w="6025" w:type="dxa"/>
            <w:shd w:val="clear" w:color="auto" w:fill="auto"/>
          </w:tcPr>
          <w:p w14:paraId="4F691B21" w14:textId="6BD3ABB3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Ivosidenib1,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Enasidenib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(AG-221),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BAY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1436032,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IDH305</w:t>
            </w:r>
          </w:p>
        </w:tc>
      </w:tr>
      <w:tr w:rsidR="00AA4890" w14:paraId="07B512FE" w14:textId="77777777">
        <w:tc>
          <w:tcPr>
            <w:tcW w:w="2965" w:type="dxa"/>
            <w:shd w:val="clear" w:color="auto" w:fill="auto"/>
          </w:tcPr>
          <w:p w14:paraId="2A579E6A" w14:textId="27FB6ED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ErbB2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(HER-2)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amplification</w:t>
            </w:r>
          </w:p>
        </w:tc>
        <w:tc>
          <w:tcPr>
            <w:tcW w:w="1800" w:type="dxa"/>
            <w:shd w:val="clear" w:color="auto" w:fill="auto"/>
          </w:tcPr>
          <w:p w14:paraId="7E6523B1" w14:textId="3C4C1EEC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5%</w:t>
            </w:r>
          </w:p>
        </w:tc>
        <w:tc>
          <w:tcPr>
            <w:tcW w:w="2160" w:type="dxa"/>
            <w:shd w:val="clear" w:color="auto" w:fill="auto"/>
          </w:tcPr>
          <w:p w14:paraId="09173FAE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10%-15%</w:t>
            </w:r>
          </w:p>
        </w:tc>
        <w:tc>
          <w:tcPr>
            <w:tcW w:w="6025" w:type="dxa"/>
            <w:shd w:val="clear" w:color="auto" w:fill="auto"/>
          </w:tcPr>
          <w:p w14:paraId="5BF2ABC9" w14:textId="4D2A9E4B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Trastuzumab,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iapatinib,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TAS0728,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A166,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PRS-343,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ZW25</w:t>
            </w:r>
          </w:p>
        </w:tc>
      </w:tr>
      <w:tr w:rsidR="00AA4890" w14:paraId="2F199EC2" w14:textId="77777777">
        <w:tc>
          <w:tcPr>
            <w:tcW w:w="2965" w:type="dxa"/>
            <w:shd w:val="clear" w:color="auto" w:fill="auto"/>
          </w:tcPr>
          <w:p w14:paraId="48A64D00" w14:textId="77A98BE4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BRAF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mutation</w:t>
            </w:r>
          </w:p>
        </w:tc>
        <w:tc>
          <w:tcPr>
            <w:tcW w:w="1800" w:type="dxa"/>
            <w:shd w:val="clear" w:color="auto" w:fill="auto"/>
          </w:tcPr>
          <w:p w14:paraId="2EE4D1B7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5%</w:t>
            </w:r>
          </w:p>
        </w:tc>
        <w:tc>
          <w:tcPr>
            <w:tcW w:w="2160" w:type="dxa"/>
            <w:shd w:val="clear" w:color="auto" w:fill="auto"/>
          </w:tcPr>
          <w:p w14:paraId="1B4E35B8" w14:textId="4EE596F3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5%</w:t>
            </w:r>
          </w:p>
        </w:tc>
        <w:tc>
          <w:tcPr>
            <w:tcW w:w="6025" w:type="dxa"/>
            <w:shd w:val="clear" w:color="auto" w:fill="auto"/>
          </w:tcPr>
          <w:p w14:paraId="226F9E53" w14:textId="7EDB2791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Dabrafenib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+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trametinib</w:t>
            </w:r>
          </w:p>
        </w:tc>
      </w:tr>
      <w:tr w:rsidR="00AA4890" w14:paraId="662C0E69" w14:textId="77777777">
        <w:tc>
          <w:tcPr>
            <w:tcW w:w="2965" w:type="dxa"/>
            <w:shd w:val="clear" w:color="auto" w:fill="auto"/>
          </w:tcPr>
          <w:p w14:paraId="04EC52B2" w14:textId="55739505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DNA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damage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repair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gene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mutation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  <w:i/>
                <w:iCs/>
              </w:rPr>
              <w:t>ARID1A</w:t>
            </w:r>
            <w:r>
              <w:rPr>
                <w:rFonts w:ascii="Book Antiqua" w:hAnsi="Book Antiqua"/>
              </w:rPr>
              <w:t>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</w:t>
            </w:r>
            <w:r>
              <w:rPr>
                <w:rFonts w:ascii="Book Antiqua" w:hAnsi="Book Antiqua"/>
                <w:i/>
                <w:iCs/>
              </w:rPr>
              <w:t>RCA1/2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92D1E73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25%</w:t>
            </w:r>
          </w:p>
        </w:tc>
        <w:tc>
          <w:tcPr>
            <w:tcW w:w="2160" w:type="dxa"/>
            <w:shd w:val="clear" w:color="auto" w:fill="auto"/>
          </w:tcPr>
          <w:p w14:paraId="52F60CED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10%-15%</w:t>
            </w:r>
          </w:p>
        </w:tc>
        <w:tc>
          <w:tcPr>
            <w:tcW w:w="6025" w:type="dxa"/>
            <w:shd w:val="clear" w:color="auto" w:fill="auto"/>
          </w:tcPr>
          <w:p w14:paraId="445AB059" w14:textId="782238DA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PARP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inhibitors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(olaparib,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rucaparib)</w:t>
            </w:r>
          </w:p>
        </w:tc>
      </w:tr>
    </w:tbl>
    <w:p w14:paraId="4331C84E" w14:textId="76D6AD06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FDA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approved</w:t>
      </w:r>
      <w:r w:rsidR="00055761">
        <w:rPr>
          <w:rFonts w:ascii="Book Antiqua" w:hAnsi="Book Antiqua"/>
          <w:lang w:eastAsia="zh-CN"/>
        </w:rPr>
        <w:t>.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iCCA: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Intrahepatic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cholangiocarcinoma;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pCCA: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Perihilar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cholangiocarcinoma;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dCCA:</w:t>
      </w:r>
      <w:r w:rsidR="006F1BC0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F1B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  <w:lang w:eastAsia="zh-CN"/>
        </w:rPr>
        <w:t>cholangiocarcinoma</w:t>
      </w:r>
      <w:r>
        <w:rPr>
          <w:rFonts w:ascii="Book Antiqua" w:eastAsia="Book Antiqua" w:hAnsi="Book Antiqua" w:cs="Book Antiqua"/>
          <w:color w:val="000000"/>
        </w:rPr>
        <w:t>;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FGRR: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Fibrobast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growth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receptor;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IDH: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Isocitrate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dehydrogenase;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ERBB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(HER-2):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subtype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epidermal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growth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factor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receptor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tyrosine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kinase;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BRAF</w:t>
      </w:r>
      <w:r>
        <w:rPr>
          <w:rFonts w:ascii="Book Antiqua" w:hAnsi="Book Antiqua"/>
        </w:rPr>
        <w:t>: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Gene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serine/threonine-protein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kinase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B-Raf;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ARID1A</w:t>
      </w:r>
      <w:r>
        <w:rPr>
          <w:rFonts w:ascii="Book Antiqua" w:hAnsi="Book Antiqua"/>
        </w:rPr>
        <w:t>: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Gene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encoding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sw</w:t>
      </w:r>
      <w:r>
        <w:rPr>
          <w:rFonts w:ascii="Book Antiqua" w:hAnsi="Book Antiqua"/>
          <w:lang w:val="en"/>
        </w:rPr>
        <w:t>Itch/sucrose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non-fermentable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ATP-dependent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chromatin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remodeling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complex;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i/>
          <w:iCs/>
          <w:lang w:val="en"/>
        </w:rPr>
        <w:t>BRCA</w:t>
      </w:r>
      <w:r>
        <w:rPr>
          <w:rFonts w:ascii="Book Antiqua" w:hAnsi="Book Antiqua"/>
          <w:lang w:val="en"/>
        </w:rPr>
        <w:t>: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Breast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cancer</w:t>
      </w:r>
      <w:r w:rsidR="006F1BC0">
        <w:rPr>
          <w:rFonts w:ascii="Book Antiqua" w:hAnsi="Book Antiqua"/>
          <w:lang w:val="en"/>
        </w:rPr>
        <w:t xml:space="preserve"> </w:t>
      </w:r>
      <w:r>
        <w:rPr>
          <w:rFonts w:ascii="Book Antiqua" w:hAnsi="Book Antiqua"/>
          <w:lang w:val="en"/>
        </w:rPr>
        <w:t>gene.</w:t>
      </w:r>
    </w:p>
    <w:p w14:paraId="67DE4355" w14:textId="77777777" w:rsidR="00AA4890" w:rsidRDefault="00AA4890">
      <w:pPr>
        <w:tabs>
          <w:tab w:val="center" w:pos="6480"/>
        </w:tabs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A489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61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641"/>
        <w:gridCol w:w="2051"/>
        <w:gridCol w:w="1724"/>
        <w:gridCol w:w="1303"/>
        <w:gridCol w:w="2864"/>
        <w:gridCol w:w="1429"/>
      </w:tblGrid>
      <w:tr w:rsidR="00AA4890" w14:paraId="63E4E42A" w14:textId="77777777">
        <w:tc>
          <w:tcPr>
            <w:tcW w:w="136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9FC67" w14:textId="66F62734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Table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2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Role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treatment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modalities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in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the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management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cholangiocarcinoma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AA4890" w14:paraId="6AE29A2B" w14:textId="77777777">
        <w:tc>
          <w:tcPr>
            <w:tcW w:w="16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21CE9" w14:textId="321AB08A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Tumor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EC07EF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Surgery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F94E3C" w14:textId="49E70D4B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Liver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transplantation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3B6202" w14:textId="56A0F21E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Systemic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therapy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BDDA3" w14:textId="692C3738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Radiation</w:t>
            </w:r>
            <w:r w:rsidR="006F1BC0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therapy</w:t>
            </w:r>
          </w:p>
        </w:tc>
      </w:tr>
      <w:tr w:rsidR="00AA4890" w14:paraId="6B031C17" w14:textId="77777777">
        <w:tc>
          <w:tcPr>
            <w:tcW w:w="16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1494D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5D52E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0271F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88D5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NeoAdjuvant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33289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Adjuvant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6A5D6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Palliative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4C415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4890" w14:paraId="71FCFB0A" w14:textId="77777777"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97C9D" w14:textId="5ACA4C50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Intrahepatic</w:t>
            </w:r>
            <w:r w:rsidR="006F1B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E805C" w14:textId="076FB653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Liver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resection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first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line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management,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anatomic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resection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preferred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EFD7F" w14:textId="68F816D1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Clinical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trials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select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centers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only</w:t>
            </w:r>
            <w:r w:rsidR="006F1B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2FD430" w14:textId="066E0C91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indicated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C3ABB" w14:textId="53A1BB0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Capecitabine</w:t>
            </w:r>
            <w:r w:rsidR="006F1B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61D88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Gemcitabine/Cisplatin</w:t>
            </w:r>
          </w:p>
          <w:p w14:paraId="0AF7BF27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D6CFF5A" w14:textId="5C10CB5F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FOLFOX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evaluate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for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targetable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mutations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D04C6" w14:textId="290826C2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External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beam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radiation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recurrence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R1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resection</w:t>
            </w:r>
          </w:p>
        </w:tc>
      </w:tr>
      <w:tr w:rsidR="00AA4890" w14:paraId="113C6A6A" w14:textId="77777777"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AA0B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Perihilar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21C5" w14:textId="759F579F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Liver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resection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first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line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management</w:t>
            </w:r>
            <w:r w:rsidR="006F1B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37C5" w14:textId="12AF28F2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Consider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if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resection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candidate,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PSC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32B1" w14:textId="71305B5A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Only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prior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liver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transplant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9DFF" w14:textId="58F82CC0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Capecitabine</w:t>
            </w:r>
            <w:r w:rsidR="006F1B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167A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Gemcitabine/Cisplatin</w:t>
            </w:r>
          </w:p>
          <w:p w14:paraId="78B53429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A9F1409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FOLFOX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082F3" w14:textId="1964FE00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External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beam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radiation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required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liver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transplant</w:t>
            </w:r>
          </w:p>
        </w:tc>
      </w:tr>
      <w:tr w:rsidR="00AA4890" w14:paraId="634DCEAE" w14:textId="77777777"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B1895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Distal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7AEF2F" w14:textId="04415C45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Pancreaticoduodenectomy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is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first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line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management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6BCDB" w14:textId="194AEEE8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indicated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81538" w14:textId="4610237C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Not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indicated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2E242" w14:textId="2AE31675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Capecitabine</w:t>
            </w:r>
            <w:r w:rsidR="006F1B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EBA71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Gemcitabine/Cisplatin</w:t>
            </w:r>
          </w:p>
          <w:p w14:paraId="3203714B" w14:textId="77777777" w:rsidR="00AA4890" w:rsidRDefault="00AA48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491E27D5" w14:textId="77777777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FOLFOX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AEB33" w14:textId="3205C34B" w:rsidR="00AA4890" w:rsidRDefault="003E0DB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defined</w:t>
            </w:r>
            <w:r w:rsidR="006F1BC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role</w:t>
            </w:r>
          </w:p>
        </w:tc>
      </w:tr>
    </w:tbl>
    <w:p w14:paraId="3AFECA2B" w14:textId="2619F4C3" w:rsidR="00AA4890" w:rsidRDefault="003E0DB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_Hlk73647024"/>
      <w:r>
        <w:rPr>
          <w:rFonts w:ascii="Book Antiqua" w:hAnsi="Book Antiqua"/>
        </w:rPr>
        <w:t>PSC: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Primary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Sclerosing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cholangitis;</w:t>
      </w:r>
      <w:r w:rsidR="006F1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FOLFOX:</w:t>
      </w:r>
      <w:r w:rsidR="006F1BC0">
        <w:rPr>
          <w:rFonts w:ascii="Book Antiqua" w:hAnsi="Book Antiqua"/>
        </w:rPr>
        <w:t xml:space="preserve"> </w:t>
      </w:r>
      <w:r>
        <w:rPr>
          <w:rStyle w:val="acopre"/>
          <w:rFonts w:ascii="Book Antiqua" w:hAnsi="Book Antiqua"/>
        </w:rPr>
        <w:t>Leucovorin,</w:t>
      </w:r>
      <w:r w:rsidR="006F1BC0">
        <w:rPr>
          <w:rStyle w:val="acopre"/>
          <w:rFonts w:ascii="Book Antiqua" w:hAnsi="Book Antiqua"/>
        </w:rPr>
        <w:t xml:space="preserve"> </w:t>
      </w:r>
      <w:r>
        <w:rPr>
          <w:rStyle w:val="acopre"/>
          <w:rFonts w:ascii="Book Antiqua" w:hAnsi="Book Antiqua"/>
        </w:rPr>
        <w:t>Fluorouracil,</w:t>
      </w:r>
      <w:r w:rsidR="006F1BC0">
        <w:rPr>
          <w:rStyle w:val="acopre"/>
          <w:rFonts w:ascii="Book Antiqua" w:hAnsi="Book Antiqua"/>
        </w:rPr>
        <w:t xml:space="preserve"> </w:t>
      </w:r>
      <w:r>
        <w:rPr>
          <w:rStyle w:val="acopre"/>
          <w:rFonts w:ascii="Book Antiqua" w:hAnsi="Book Antiqua"/>
        </w:rPr>
        <w:t>and</w:t>
      </w:r>
      <w:r w:rsidR="006F1BC0">
        <w:rPr>
          <w:rStyle w:val="acopre"/>
          <w:rFonts w:ascii="Book Antiqua" w:hAnsi="Book Antiqua"/>
        </w:rPr>
        <w:t xml:space="preserve"> </w:t>
      </w:r>
      <w:r>
        <w:rPr>
          <w:rStyle w:val="acopre"/>
          <w:rFonts w:ascii="Book Antiqua" w:hAnsi="Book Antiqua"/>
        </w:rPr>
        <w:t>Oxaliplatin</w:t>
      </w:r>
      <w:bookmarkEnd w:id="5"/>
      <w:r>
        <w:rPr>
          <w:rStyle w:val="acopre"/>
          <w:rFonts w:ascii="Book Antiqua" w:hAnsi="Book Antiqua"/>
        </w:rPr>
        <w:t>.</w:t>
      </w:r>
    </w:p>
    <w:sectPr w:rsidR="00AA48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3F5F" w14:textId="77777777" w:rsidR="000562A5" w:rsidRDefault="000562A5" w:rsidP="006F1BC0">
      <w:r>
        <w:separator/>
      </w:r>
    </w:p>
  </w:endnote>
  <w:endnote w:type="continuationSeparator" w:id="0">
    <w:p w14:paraId="5B0006C9" w14:textId="77777777" w:rsidR="000562A5" w:rsidRDefault="000562A5" w:rsidP="006F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99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CE2C37" w14:textId="6D3DD7C2" w:rsidR="006F1BC0" w:rsidRDefault="006F1BC0" w:rsidP="006F1BC0">
            <w:pPr>
              <w:pStyle w:val="ac"/>
              <w:jc w:val="right"/>
            </w:pPr>
            <w:r w:rsidRPr="006F1BC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6F1BC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6F1BC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9A02D" w14:textId="77777777" w:rsidR="006F1BC0" w:rsidRDefault="006F1B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1E4E" w14:textId="77777777" w:rsidR="000562A5" w:rsidRDefault="000562A5" w:rsidP="006F1BC0">
      <w:r>
        <w:separator/>
      </w:r>
    </w:p>
  </w:footnote>
  <w:footnote w:type="continuationSeparator" w:id="0">
    <w:p w14:paraId="0AFD37B1" w14:textId="77777777" w:rsidR="000562A5" w:rsidRDefault="000562A5" w:rsidP="006F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5761"/>
    <w:rsid w:val="000562A5"/>
    <w:rsid w:val="000C1016"/>
    <w:rsid w:val="00321DCF"/>
    <w:rsid w:val="003E0DB3"/>
    <w:rsid w:val="006F1BC0"/>
    <w:rsid w:val="007B3BC2"/>
    <w:rsid w:val="00976695"/>
    <w:rsid w:val="00997265"/>
    <w:rsid w:val="009A030A"/>
    <w:rsid w:val="00A77B3E"/>
    <w:rsid w:val="00AA4890"/>
    <w:rsid w:val="00CA2A55"/>
    <w:rsid w:val="00CC343B"/>
    <w:rsid w:val="00CD6536"/>
    <w:rsid w:val="00F000E7"/>
    <w:rsid w:val="00F31B75"/>
    <w:rsid w:val="30B31767"/>
    <w:rsid w:val="3E8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096B1"/>
  <w15:docId w15:val="{7C66BEE3-65A5-4A9B-9E56-BF1381A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annotation subject"/>
    <w:basedOn w:val="a3"/>
    <w:next w:val="a3"/>
    <w:link w:val="a7"/>
    <w:semiHidden/>
    <w:unhideWhenUsed/>
    <w:rPr>
      <w:b/>
      <w:bCs/>
    </w:rPr>
  </w:style>
  <w:style w:type="character" w:styleId="a8">
    <w:name w:val="Hyperlink"/>
    <w:basedOn w:val="a0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character" w:customStyle="1" w:styleId="acopre">
    <w:name w:val="acopre"/>
    <w:basedOn w:val="a0"/>
  </w:style>
  <w:style w:type="character" w:customStyle="1" w:styleId="a4">
    <w:name w:val="批注文字 字符"/>
    <w:basedOn w:val="a0"/>
    <w:link w:val="a3"/>
    <w:semiHidden/>
    <w:rPr>
      <w:sz w:val="24"/>
      <w:szCs w:val="24"/>
    </w:rPr>
  </w:style>
  <w:style w:type="character" w:customStyle="1" w:styleId="a7">
    <w:name w:val="批注主题 字符"/>
    <w:basedOn w:val="a4"/>
    <w:link w:val="a6"/>
    <w:semiHidden/>
    <w:rPr>
      <w:b/>
      <w:bCs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ab"/>
    <w:unhideWhenUsed/>
    <w:rsid w:val="006F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6F1BC0"/>
    <w:rPr>
      <w:sz w:val="18"/>
      <w:szCs w:val="18"/>
      <w:lang w:eastAsia="en-US"/>
    </w:rPr>
  </w:style>
  <w:style w:type="paragraph" w:styleId="ac">
    <w:name w:val="footer"/>
    <w:basedOn w:val="a"/>
    <w:link w:val="ad"/>
    <w:uiPriority w:val="99"/>
    <w:unhideWhenUsed/>
    <w:rsid w:val="006F1B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F1BC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39</Pages>
  <Words>11586</Words>
  <Characters>66043</Characters>
  <Application>Microsoft Office Word</Application>
  <DocSecurity>0</DocSecurity>
  <Lines>550</Lines>
  <Paragraphs>154</Paragraphs>
  <ScaleCrop>false</ScaleCrop>
  <Company/>
  <LinksUpToDate>false</LinksUpToDate>
  <CharactersWithSpaces>77475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jiaping yan</cp:lastModifiedBy>
  <cp:revision>8</cp:revision>
  <dcterms:created xsi:type="dcterms:W3CDTF">2021-07-28T12:30:00Z</dcterms:created>
  <dcterms:modified xsi:type="dcterms:W3CDTF">2021-08-06T07:37:00Z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D1E7B19515CD4699A11E0B159D0A5D72</vt:lpwstr>
  </property>
</Properties>
</file>