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4FB99" w14:textId="77777777" w:rsidR="00A77B3E" w:rsidRDefault="00FC1E70" w:rsidP="00014519">
      <w:pPr>
        <w:adjustRightInd w:val="0"/>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4F352806" w14:textId="77777777" w:rsidR="00A77B3E" w:rsidRDefault="00FC1E70" w:rsidP="00FC1E70">
      <w:pPr>
        <w:adjustRightInd w:val="0"/>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65083</w:t>
      </w:r>
    </w:p>
    <w:p w14:paraId="454D495E" w14:textId="77777777" w:rsidR="00A77B3E" w:rsidRDefault="00FC1E70" w:rsidP="00FC1E70">
      <w:pPr>
        <w:adjustRightInd w:val="0"/>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41047729" w14:textId="77777777" w:rsidR="00A77B3E" w:rsidRDefault="00A77B3E" w:rsidP="00FC1E70">
      <w:pPr>
        <w:adjustRightInd w:val="0"/>
        <w:snapToGrid w:val="0"/>
        <w:spacing w:line="360" w:lineRule="auto"/>
        <w:jc w:val="both"/>
      </w:pPr>
    </w:p>
    <w:p w14:paraId="635C3BD4" w14:textId="77777777" w:rsidR="00A77B3E" w:rsidRDefault="00FC1E70" w:rsidP="00FC1E70">
      <w:pPr>
        <w:adjustRightInd w:val="0"/>
        <w:snapToGrid w:val="0"/>
        <w:spacing w:line="360" w:lineRule="auto"/>
        <w:jc w:val="both"/>
      </w:pPr>
      <w:bookmarkStart w:id="0" w:name="OLE_LINK465"/>
      <w:bookmarkStart w:id="1" w:name="OLE_LINK466"/>
      <w:r>
        <w:rPr>
          <w:rFonts w:ascii="Book Antiqua" w:eastAsia="Book Antiqua" w:hAnsi="Book Antiqua" w:cs="Book Antiqua"/>
          <w:b/>
          <w:bCs/>
          <w:color w:val="000000"/>
        </w:rPr>
        <w:t xml:space="preserve">Chelation therapy in liver diseases of childhood: </w:t>
      </w:r>
      <w:r w:rsidRPr="00014519">
        <w:rPr>
          <w:rFonts w:ascii="Book Antiqua" w:eastAsia="Book Antiqua" w:hAnsi="Book Antiqua" w:cs="Book Antiqua"/>
          <w:b/>
          <w:bCs/>
          <w:caps/>
          <w:color w:val="000000"/>
        </w:rPr>
        <w:t>c</w:t>
      </w:r>
      <w:r>
        <w:rPr>
          <w:rFonts w:ascii="Book Antiqua" w:eastAsia="Book Antiqua" w:hAnsi="Book Antiqua" w:cs="Book Antiqua"/>
          <w:b/>
          <w:bCs/>
          <w:color w:val="000000"/>
        </w:rPr>
        <w:t>urrent status and response</w:t>
      </w:r>
    </w:p>
    <w:bookmarkEnd w:id="0"/>
    <w:bookmarkEnd w:id="1"/>
    <w:p w14:paraId="64702F58" w14:textId="77777777" w:rsidR="00A77B3E" w:rsidRDefault="00A77B3E" w:rsidP="00FC1E70">
      <w:pPr>
        <w:adjustRightInd w:val="0"/>
        <w:snapToGrid w:val="0"/>
        <w:spacing w:line="360" w:lineRule="auto"/>
        <w:jc w:val="both"/>
      </w:pPr>
    </w:p>
    <w:p w14:paraId="3ED5426C" w14:textId="77777777" w:rsidR="00A77B3E" w:rsidRDefault="00207CDC" w:rsidP="00FC1E70">
      <w:pPr>
        <w:adjustRightInd w:val="0"/>
        <w:snapToGrid w:val="0"/>
        <w:spacing w:line="360" w:lineRule="auto"/>
        <w:jc w:val="both"/>
      </w:pPr>
      <w:r>
        <w:rPr>
          <w:rFonts w:ascii="Book Antiqua" w:eastAsia="Book Antiqua" w:hAnsi="Book Antiqua" w:cs="Book Antiqua"/>
          <w:color w:val="000000"/>
        </w:rPr>
        <w:t xml:space="preserve">Seetharaman </w:t>
      </w:r>
      <w:r>
        <w:rPr>
          <w:rFonts w:ascii="Book Antiqua" w:hAnsi="Book Antiqua" w:cs="Book Antiqua" w:hint="eastAsia"/>
          <w:color w:val="000000"/>
          <w:lang w:eastAsia="zh-CN"/>
        </w:rPr>
        <w:t xml:space="preserve">J </w:t>
      </w:r>
      <w:r w:rsidRPr="00207CD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C1E70">
        <w:rPr>
          <w:rFonts w:ascii="Book Antiqua" w:eastAsia="Book Antiqua" w:hAnsi="Book Antiqua" w:cs="Book Antiqua"/>
          <w:color w:val="000000"/>
        </w:rPr>
        <w:t>Chelation in pediatric liver diseases</w:t>
      </w:r>
    </w:p>
    <w:p w14:paraId="166201F4" w14:textId="77777777" w:rsidR="00A77B3E" w:rsidRDefault="00A77B3E" w:rsidP="00FC1E70">
      <w:pPr>
        <w:adjustRightInd w:val="0"/>
        <w:snapToGrid w:val="0"/>
        <w:spacing w:line="360" w:lineRule="auto"/>
        <w:jc w:val="both"/>
      </w:pPr>
    </w:p>
    <w:p w14:paraId="48F1A384" w14:textId="77777777" w:rsidR="00A77B3E" w:rsidRDefault="00FC1E70" w:rsidP="00FC1E70">
      <w:pPr>
        <w:adjustRightInd w:val="0"/>
        <w:snapToGrid w:val="0"/>
        <w:spacing w:line="360" w:lineRule="auto"/>
        <w:jc w:val="both"/>
      </w:pPr>
      <w:proofErr w:type="spellStart"/>
      <w:r>
        <w:rPr>
          <w:rFonts w:ascii="Book Antiqua" w:eastAsia="Book Antiqua" w:hAnsi="Book Antiqua" w:cs="Book Antiqua"/>
          <w:color w:val="000000"/>
        </w:rPr>
        <w:t>Jayendra</w:t>
      </w:r>
      <w:proofErr w:type="spellEnd"/>
      <w:r>
        <w:rPr>
          <w:rFonts w:ascii="Book Antiqua" w:eastAsia="Book Antiqua" w:hAnsi="Book Antiqua" w:cs="Book Antiqua"/>
          <w:color w:val="000000"/>
        </w:rPr>
        <w:t xml:space="preserve"> Seetharaman, </w:t>
      </w:r>
      <w:proofErr w:type="spellStart"/>
      <w:r>
        <w:rPr>
          <w:rFonts w:ascii="Book Antiqua" w:eastAsia="Book Antiqua" w:hAnsi="Book Antiqua" w:cs="Book Antiqua"/>
          <w:color w:val="000000"/>
        </w:rPr>
        <w:t>Moinak</w:t>
      </w:r>
      <w:proofErr w:type="spellEnd"/>
      <w:r>
        <w:rPr>
          <w:rFonts w:ascii="Book Antiqua" w:eastAsia="Book Antiqua" w:hAnsi="Book Antiqua" w:cs="Book Antiqua"/>
          <w:color w:val="000000"/>
        </w:rPr>
        <w:t xml:space="preserve"> Sen </w:t>
      </w:r>
      <w:proofErr w:type="spellStart"/>
      <w:r>
        <w:rPr>
          <w:rFonts w:ascii="Book Antiqua" w:eastAsia="Book Antiqua" w:hAnsi="Book Antiqua" w:cs="Book Antiqua"/>
          <w:color w:val="000000"/>
        </w:rPr>
        <w:t>Sarma</w:t>
      </w:r>
      <w:proofErr w:type="spellEnd"/>
    </w:p>
    <w:p w14:paraId="791AC96E" w14:textId="77777777" w:rsidR="00A77B3E" w:rsidRDefault="00A77B3E" w:rsidP="00FC1E70">
      <w:pPr>
        <w:adjustRightInd w:val="0"/>
        <w:snapToGrid w:val="0"/>
        <w:spacing w:line="360" w:lineRule="auto"/>
        <w:jc w:val="both"/>
      </w:pPr>
    </w:p>
    <w:p w14:paraId="13AE6FEF" w14:textId="77777777" w:rsidR="00A77B3E" w:rsidRDefault="00FC1E70" w:rsidP="00FC1E70">
      <w:pPr>
        <w:adjustRightInd w:val="0"/>
        <w:snapToGrid w:val="0"/>
        <w:spacing w:line="360" w:lineRule="auto"/>
        <w:jc w:val="both"/>
      </w:pPr>
      <w:proofErr w:type="spellStart"/>
      <w:r>
        <w:rPr>
          <w:rFonts w:ascii="Book Antiqua" w:eastAsia="Book Antiqua" w:hAnsi="Book Antiqua" w:cs="Book Antiqua"/>
          <w:b/>
          <w:bCs/>
          <w:color w:val="000000"/>
        </w:rPr>
        <w:t>Jayendra</w:t>
      </w:r>
      <w:proofErr w:type="spellEnd"/>
      <w:r>
        <w:rPr>
          <w:rFonts w:ascii="Book Antiqua" w:eastAsia="Book Antiqua" w:hAnsi="Book Antiqua" w:cs="Book Antiqua"/>
          <w:b/>
          <w:bCs/>
          <w:color w:val="000000"/>
        </w:rPr>
        <w:t xml:space="preserve"> Seetharaman, </w:t>
      </w:r>
      <w:proofErr w:type="spellStart"/>
      <w:r>
        <w:rPr>
          <w:rFonts w:ascii="Book Antiqua" w:eastAsia="Book Antiqua" w:hAnsi="Book Antiqua" w:cs="Book Antiqua"/>
          <w:b/>
          <w:bCs/>
          <w:color w:val="000000"/>
        </w:rPr>
        <w:t>Moinak</w:t>
      </w:r>
      <w:proofErr w:type="spellEnd"/>
      <w:r>
        <w:rPr>
          <w:rFonts w:ascii="Book Antiqua" w:eastAsia="Book Antiqua" w:hAnsi="Book Antiqua" w:cs="Book Antiqua"/>
          <w:b/>
          <w:bCs/>
          <w:color w:val="000000"/>
        </w:rPr>
        <w:t xml:space="preserve"> Sen </w:t>
      </w:r>
      <w:proofErr w:type="spellStart"/>
      <w:r>
        <w:rPr>
          <w:rFonts w:ascii="Book Antiqua" w:eastAsia="Book Antiqua" w:hAnsi="Book Antiqua" w:cs="Book Antiqua"/>
          <w:b/>
          <w:bCs/>
          <w:color w:val="000000"/>
        </w:rPr>
        <w:t>Sarma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Pediatric Gastroenterology, Sanjay Gandhi Post-graduate Institute of Medical Sciences, Lucknow 226014, Uttar Pradesh, </w:t>
      </w:r>
      <w:bookmarkStart w:id="2" w:name="OLE_LINK455"/>
      <w:bookmarkStart w:id="3" w:name="OLE_LINK456"/>
      <w:r>
        <w:rPr>
          <w:rFonts w:ascii="Book Antiqua" w:eastAsia="Book Antiqua" w:hAnsi="Book Antiqua" w:cs="Book Antiqua"/>
          <w:color w:val="000000"/>
        </w:rPr>
        <w:t>India</w:t>
      </w:r>
      <w:bookmarkEnd w:id="2"/>
      <w:bookmarkEnd w:id="3"/>
    </w:p>
    <w:p w14:paraId="2608D7C0" w14:textId="77777777" w:rsidR="00A77B3E" w:rsidRDefault="00A77B3E" w:rsidP="00FC1E70">
      <w:pPr>
        <w:adjustRightInd w:val="0"/>
        <w:snapToGrid w:val="0"/>
        <w:spacing w:line="360" w:lineRule="auto"/>
        <w:jc w:val="both"/>
      </w:pPr>
    </w:p>
    <w:p w14:paraId="3C49B5DE" w14:textId="77777777" w:rsidR="00A77B3E" w:rsidRDefault="00FC1E70" w:rsidP="00FC1E70">
      <w:pPr>
        <w:adjustRightInd w:val="0"/>
        <w:snapToGrid w:val="0"/>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Seetharaman J wrote the paper; Sen </w:t>
      </w:r>
      <w:proofErr w:type="spellStart"/>
      <w:r>
        <w:rPr>
          <w:rFonts w:ascii="Book Antiqua" w:eastAsia="Book Antiqua" w:hAnsi="Book Antiqua" w:cs="Book Antiqua"/>
          <w:color w:val="000000"/>
        </w:rPr>
        <w:t>Sarma</w:t>
      </w:r>
      <w:proofErr w:type="spellEnd"/>
      <w:r>
        <w:rPr>
          <w:rFonts w:ascii="Book Antiqua" w:eastAsia="Book Antiqua" w:hAnsi="Book Antiqua" w:cs="Book Antiqua"/>
          <w:color w:val="000000"/>
        </w:rPr>
        <w:t xml:space="preserve"> M provided the conception and revised the manuscript.</w:t>
      </w:r>
    </w:p>
    <w:p w14:paraId="72D2ECAC" w14:textId="77777777" w:rsidR="00A77B3E" w:rsidRDefault="00A77B3E" w:rsidP="00FC1E70">
      <w:pPr>
        <w:adjustRightInd w:val="0"/>
        <w:snapToGrid w:val="0"/>
        <w:spacing w:line="360" w:lineRule="auto"/>
        <w:jc w:val="both"/>
      </w:pPr>
    </w:p>
    <w:p w14:paraId="20CE7953" w14:textId="77777777" w:rsidR="00A77B3E" w:rsidRDefault="00FC1E70" w:rsidP="00FC1E70">
      <w:pPr>
        <w:adjustRightInd w:val="0"/>
        <w:snapToGrid w:val="0"/>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Moinak</w:t>
      </w:r>
      <w:proofErr w:type="spellEnd"/>
      <w:r>
        <w:rPr>
          <w:rFonts w:ascii="Book Antiqua" w:eastAsia="Book Antiqua" w:hAnsi="Book Antiqua" w:cs="Book Antiqua"/>
          <w:b/>
          <w:bCs/>
          <w:color w:val="000000"/>
        </w:rPr>
        <w:t xml:space="preserve"> Sen </w:t>
      </w:r>
      <w:proofErr w:type="spellStart"/>
      <w:r>
        <w:rPr>
          <w:rFonts w:ascii="Book Antiqua" w:eastAsia="Book Antiqua" w:hAnsi="Book Antiqua" w:cs="Book Antiqua"/>
          <w:b/>
          <w:bCs/>
          <w:color w:val="000000"/>
        </w:rPr>
        <w:t>Sarma</w:t>
      </w:r>
      <w:proofErr w:type="spellEnd"/>
      <w:r>
        <w:rPr>
          <w:rFonts w:ascii="Book Antiqua" w:eastAsia="Book Antiqua" w:hAnsi="Book Antiqua" w:cs="Book Antiqua"/>
          <w:b/>
          <w:bCs/>
          <w:color w:val="000000"/>
        </w:rPr>
        <w:t xml:space="preserve">, MBBS, MD, Assistant Professor, </w:t>
      </w:r>
      <w:r>
        <w:rPr>
          <w:rFonts w:ascii="Book Antiqua" w:eastAsia="Book Antiqua" w:hAnsi="Book Antiqua" w:cs="Book Antiqua"/>
          <w:color w:val="000000"/>
        </w:rPr>
        <w:t>Department of Pediatric Gastroenterology, Sanjay Gandhi Post-graduate Institute of Medical Sciences, Raebareli Road, Lucknow 226014, Uttar Pradesh, India. mmoinaksen@gmail.com</w:t>
      </w:r>
    </w:p>
    <w:p w14:paraId="2C111BED" w14:textId="77777777" w:rsidR="00A77B3E" w:rsidRDefault="00A77B3E" w:rsidP="00FC1E70">
      <w:pPr>
        <w:adjustRightInd w:val="0"/>
        <w:snapToGrid w:val="0"/>
        <w:spacing w:line="360" w:lineRule="auto"/>
        <w:jc w:val="both"/>
      </w:pPr>
    </w:p>
    <w:p w14:paraId="27692479" w14:textId="77777777" w:rsidR="00A77B3E" w:rsidRDefault="00FC1E70" w:rsidP="00FC1E70">
      <w:pPr>
        <w:adjustRightInd w:val="0"/>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27, 2021</w:t>
      </w:r>
    </w:p>
    <w:p w14:paraId="07A8F37A" w14:textId="77777777" w:rsidR="00A77B3E" w:rsidRDefault="00FC1E70" w:rsidP="00FC1E70">
      <w:pPr>
        <w:adjustRightInd w:val="0"/>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7, 2021</w:t>
      </w:r>
    </w:p>
    <w:p w14:paraId="779147AA" w14:textId="7B517A54" w:rsidR="00A77B3E" w:rsidRDefault="00FC1E70" w:rsidP="00FC1E70">
      <w:pPr>
        <w:adjustRightInd w:val="0"/>
        <w:snapToGrid w:val="0"/>
        <w:spacing w:line="360" w:lineRule="auto"/>
        <w:jc w:val="both"/>
      </w:pPr>
      <w:r>
        <w:rPr>
          <w:rFonts w:ascii="Book Antiqua" w:eastAsia="Book Antiqua" w:hAnsi="Book Antiqua" w:cs="Book Antiqua"/>
          <w:b/>
          <w:bCs/>
          <w:color w:val="000000"/>
        </w:rPr>
        <w:t xml:space="preserve">Accepted: </w:t>
      </w:r>
      <w:bookmarkStart w:id="4" w:name="OLE_LINK15"/>
      <w:bookmarkStart w:id="5" w:name="OLE_LINK33"/>
      <w:bookmarkStart w:id="6" w:name="OLE_LINK48"/>
      <w:r w:rsidR="00771C6F">
        <w:rPr>
          <w:rFonts w:ascii="Book Antiqua" w:eastAsia="SimSun" w:hAnsi="Book Antiqua" w:hint="eastAsia"/>
          <w:color w:val="000000" w:themeColor="text1"/>
        </w:rPr>
        <w:t>Au</w:t>
      </w:r>
      <w:r w:rsidR="00771C6F">
        <w:rPr>
          <w:rFonts w:ascii="Book Antiqua" w:eastAsia="SimSun" w:hAnsi="Book Antiqua"/>
          <w:color w:val="000000" w:themeColor="text1"/>
        </w:rPr>
        <w:t>gust</w:t>
      </w:r>
      <w:r w:rsidR="00771C6F" w:rsidRPr="00F06907">
        <w:rPr>
          <w:rFonts w:ascii="Book Antiqua" w:eastAsia="SimSun" w:hAnsi="Book Antiqua"/>
          <w:color w:val="000000" w:themeColor="text1"/>
        </w:rPr>
        <w:t xml:space="preserve"> </w:t>
      </w:r>
      <w:r w:rsidR="00771C6F">
        <w:rPr>
          <w:rFonts w:ascii="Book Antiqua" w:eastAsia="SimSun" w:hAnsi="Book Antiqua"/>
          <w:color w:val="000000" w:themeColor="text1"/>
        </w:rPr>
        <w:t>20</w:t>
      </w:r>
      <w:r w:rsidR="00771C6F" w:rsidRPr="00F06907">
        <w:rPr>
          <w:rFonts w:ascii="Book Antiqua" w:eastAsia="SimSun" w:hAnsi="Book Antiqua"/>
          <w:color w:val="000000" w:themeColor="text1"/>
        </w:rPr>
        <w:t>, 2021</w:t>
      </w:r>
      <w:bookmarkEnd w:id="4"/>
      <w:bookmarkEnd w:id="5"/>
      <w:bookmarkEnd w:id="6"/>
    </w:p>
    <w:p w14:paraId="1B773561" w14:textId="77777777" w:rsidR="00A77B3E" w:rsidRDefault="00FC1E70" w:rsidP="00FC1E70">
      <w:pPr>
        <w:adjustRightInd w:val="0"/>
        <w:snapToGrid w:val="0"/>
        <w:spacing w:line="360" w:lineRule="auto"/>
        <w:jc w:val="both"/>
      </w:pPr>
      <w:r>
        <w:rPr>
          <w:rFonts w:ascii="Book Antiqua" w:eastAsia="Book Antiqua" w:hAnsi="Book Antiqua" w:cs="Book Antiqua"/>
          <w:b/>
          <w:bCs/>
          <w:color w:val="000000"/>
        </w:rPr>
        <w:t xml:space="preserve">Published online: </w:t>
      </w:r>
    </w:p>
    <w:p w14:paraId="47477E03" w14:textId="77777777" w:rsidR="00A77B3E" w:rsidRDefault="00A77B3E" w:rsidP="00FC1E70">
      <w:pPr>
        <w:adjustRightInd w:val="0"/>
        <w:snapToGrid w:val="0"/>
        <w:spacing w:line="360" w:lineRule="auto"/>
        <w:jc w:val="both"/>
        <w:sectPr w:rsidR="00A77B3E">
          <w:footerReference w:type="default" r:id="rId6"/>
          <w:pgSz w:w="12240" w:h="15840"/>
          <w:pgMar w:top="1440" w:right="1440" w:bottom="1440" w:left="1440" w:header="720" w:footer="720" w:gutter="0"/>
          <w:cols w:space="720"/>
          <w:docGrid w:linePitch="360"/>
        </w:sectPr>
      </w:pPr>
    </w:p>
    <w:p w14:paraId="1CBA26A3" w14:textId="77777777" w:rsidR="00A77B3E" w:rsidRDefault="00FC1E70" w:rsidP="00FC1E70">
      <w:pPr>
        <w:adjustRightInd w:val="0"/>
        <w:snapToGrid w:val="0"/>
        <w:spacing w:line="360" w:lineRule="auto"/>
        <w:jc w:val="both"/>
      </w:pPr>
      <w:r>
        <w:rPr>
          <w:rFonts w:ascii="Book Antiqua" w:eastAsia="Book Antiqua" w:hAnsi="Book Antiqua" w:cs="Book Antiqua"/>
          <w:b/>
          <w:color w:val="000000"/>
        </w:rPr>
        <w:lastRenderedPageBreak/>
        <w:t>Abstract</w:t>
      </w:r>
    </w:p>
    <w:p w14:paraId="2C69041F"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Chelation is the mainstay of therapy in certain pediatric liver diseases. Copper and iron related disorders require chelation. Wilson’s disease (WD), one of the common causes of cirrhosis in children is treated primarily with copper chelating agents like D-penicillamine and trientine. D-Penicillamine though widely used due its high efficacy in hepatic WD is fraught with frequent adverse effects resulting discontinuation. Trientine, an alternative drug has comparable efficacy in hepatic WD but has lower frequency of adverse effects. The role of ammonium tetra-thiomolybdate is presently experimental in hepatic WD. Indian childhood cirrhosis is related to excessive copper ingestion, rarely seen in present era. D-Penicillamine is effective in the early part of this disease with reversal of clinical status. Iron chelators are commonly used in secondary hemochromatosis of liver in hemolytic anemias. There are strict chelation protocols during bone marrow transplant. The role of iron chelation in neonatal hemochromatosis is presently not in vogue due to its poor efficacy and availability of other modalities of therapy. Hereditary hemochromatosis is rare in children and the use of iron chelators in this condition is limited.</w:t>
      </w:r>
    </w:p>
    <w:p w14:paraId="53CFE8FC" w14:textId="77777777" w:rsidR="00A77B3E" w:rsidRDefault="00A77B3E" w:rsidP="00FC1E70">
      <w:pPr>
        <w:adjustRightInd w:val="0"/>
        <w:snapToGrid w:val="0"/>
        <w:spacing w:line="360" w:lineRule="auto"/>
        <w:jc w:val="both"/>
      </w:pPr>
    </w:p>
    <w:p w14:paraId="6A29EF93" w14:textId="77777777" w:rsidR="00A77B3E" w:rsidRDefault="00FC1E70" w:rsidP="00FC1E70">
      <w:pPr>
        <w:adjustRightInd w:val="0"/>
        <w:snapToGrid w:val="0"/>
        <w:spacing w:line="360" w:lineRule="auto"/>
        <w:jc w:val="both"/>
      </w:pPr>
      <w:r>
        <w:rPr>
          <w:rFonts w:ascii="Book Antiqua" w:eastAsia="Book Antiqua" w:hAnsi="Book Antiqua" w:cs="Book Antiqua"/>
          <w:b/>
          <w:bCs/>
          <w:color w:val="000000"/>
        </w:rPr>
        <w:t xml:space="preserve">Key Words: </w:t>
      </w:r>
      <w:bookmarkStart w:id="7" w:name="OLE_LINK459"/>
      <w:bookmarkStart w:id="8" w:name="OLE_LINK460"/>
      <w:r>
        <w:rPr>
          <w:rFonts w:ascii="Book Antiqua" w:eastAsia="Book Antiqua" w:hAnsi="Book Antiqua" w:cs="Book Antiqua"/>
          <w:color w:val="000000"/>
        </w:rPr>
        <w:t xml:space="preserve">Wilson’s disease; D-Penicillamine; Trientine; Indian childhood cirrhosis; Deferoxamine; </w:t>
      </w:r>
      <w:proofErr w:type="spellStart"/>
      <w:r>
        <w:rPr>
          <w:rFonts w:ascii="Book Antiqua" w:eastAsia="Book Antiqua" w:hAnsi="Book Antiqua" w:cs="Book Antiqua"/>
          <w:color w:val="000000"/>
        </w:rPr>
        <w:t>Deferasirox</w:t>
      </w:r>
      <w:proofErr w:type="spellEnd"/>
      <w:r>
        <w:rPr>
          <w:rFonts w:ascii="Book Antiqua" w:eastAsia="Book Antiqua" w:hAnsi="Book Antiqua" w:cs="Book Antiqua"/>
          <w:color w:val="000000"/>
        </w:rPr>
        <w:t>; Hemochromatosis</w:t>
      </w:r>
    </w:p>
    <w:bookmarkEnd w:id="7"/>
    <w:bookmarkEnd w:id="8"/>
    <w:p w14:paraId="65D8C70C" w14:textId="77777777" w:rsidR="00A77B3E" w:rsidRDefault="00A77B3E" w:rsidP="00FC1E70">
      <w:pPr>
        <w:adjustRightInd w:val="0"/>
        <w:snapToGrid w:val="0"/>
        <w:spacing w:line="360" w:lineRule="auto"/>
        <w:jc w:val="both"/>
      </w:pPr>
    </w:p>
    <w:p w14:paraId="4858FFBC" w14:textId="77777777" w:rsidR="00A77B3E" w:rsidRDefault="00FC1E70" w:rsidP="00FC1E70">
      <w:pPr>
        <w:adjustRightInd w:val="0"/>
        <w:snapToGrid w:val="0"/>
        <w:spacing w:line="360" w:lineRule="auto"/>
        <w:jc w:val="both"/>
      </w:pPr>
      <w:bookmarkStart w:id="9" w:name="OLE_LINK461"/>
      <w:bookmarkStart w:id="10" w:name="OLE_LINK462"/>
      <w:r>
        <w:rPr>
          <w:rFonts w:ascii="Book Antiqua" w:eastAsia="Book Antiqua" w:hAnsi="Book Antiqua" w:cs="Book Antiqua"/>
          <w:color w:val="000000"/>
        </w:rPr>
        <w:t xml:space="preserve">Seetharaman J, </w:t>
      </w:r>
      <w:proofErr w:type="spellStart"/>
      <w:r>
        <w:rPr>
          <w:rFonts w:ascii="Book Antiqua" w:eastAsia="Book Antiqua" w:hAnsi="Book Antiqua" w:cs="Book Antiqua"/>
          <w:color w:val="000000"/>
        </w:rPr>
        <w:t>Sarma</w:t>
      </w:r>
      <w:proofErr w:type="spellEnd"/>
      <w:r>
        <w:rPr>
          <w:rFonts w:ascii="Book Antiqua" w:eastAsia="Book Antiqua" w:hAnsi="Book Antiqua" w:cs="Book Antiqua"/>
          <w:color w:val="000000"/>
        </w:rPr>
        <w:t xml:space="preserve"> MS. Chelation therapy in liver diseases of childhood: </w:t>
      </w:r>
      <w:r w:rsidRPr="00014519">
        <w:rPr>
          <w:rFonts w:ascii="Book Antiqua" w:eastAsia="Book Antiqua" w:hAnsi="Book Antiqua" w:cs="Book Antiqua"/>
          <w:caps/>
          <w:color w:val="000000"/>
        </w:rPr>
        <w:t>c</w:t>
      </w:r>
      <w:r>
        <w:rPr>
          <w:rFonts w:ascii="Book Antiqua" w:eastAsia="Book Antiqua" w:hAnsi="Book Antiqua" w:cs="Book Antiqua"/>
          <w:color w:val="000000"/>
        </w:rPr>
        <w:t xml:space="preserve">urrent status and response.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2021; In press</w:t>
      </w:r>
    </w:p>
    <w:bookmarkEnd w:id="9"/>
    <w:bookmarkEnd w:id="10"/>
    <w:p w14:paraId="1957AA1D" w14:textId="77777777" w:rsidR="00A77B3E" w:rsidRDefault="00A77B3E" w:rsidP="00FC1E70">
      <w:pPr>
        <w:adjustRightInd w:val="0"/>
        <w:snapToGrid w:val="0"/>
        <w:spacing w:line="360" w:lineRule="auto"/>
        <w:jc w:val="both"/>
      </w:pPr>
    </w:p>
    <w:p w14:paraId="5325D3B4" w14:textId="5F79AC6A" w:rsidR="00A77B3E" w:rsidRDefault="00FC1E70" w:rsidP="00FC1E70">
      <w:pPr>
        <w:adjustRightInd w:val="0"/>
        <w:snapToGrid w:val="0"/>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Chelation forms the most important part of management of certain liver diseases in children. In Wilson's disease and secondary hemochromatosis related to transfusion, chelation is well established treatment modality with proven efficacy. In other diseases like copper associated childhood cirrhosis and neonatal hemochromatosis the role of chelation is doubtful. In </w:t>
      </w:r>
      <w:r w:rsidR="00771C6F">
        <w:rPr>
          <w:rFonts w:ascii="Book Antiqua" w:eastAsia="Book Antiqua" w:hAnsi="Book Antiqua" w:cs="Book Antiqua"/>
          <w:color w:val="000000"/>
        </w:rPr>
        <w:t>hereditary</w:t>
      </w:r>
      <w:r>
        <w:rPr>
          <w:rFonts w:ascii="Book Antiqua" w:eastAsia="Book Antiqua" w:hAnsi="Book Antiqua" w:cs="Book Antiqua"/>
          <w:color w:val="000000"/>
        </w:rPr>
        <w:t xml:space="preserve"> hemochromatosis, chelation is recommended as alternative therapy. The selection of chelating agents for treatment depends on the efficacy, feasibility and risk of adverse effects known from literature. The </w:t>
      </w:r>
      <w:r>
        <w:rPr>
          <w:rFonts w:ascii="Book Antiqua" w:eastAsia="Book Antiqua" w:hAnsi="Book Antiqua" w:cs="Book Antiqua"/>
          <w:color w:val="000000"/>
        </w:rPr>
        <w:lastRenderedPageBreak/>
        <w:t>review discusses the concepts of chelation and reviews the literature to assess the role of chelation in treatment of various pediatric liver diseases.</w:t>
      </w:r>
    </w:p>
    <w:p w14:paraId="6D3790EE" w14:textId="77777777" w:rsidR="00A77B3E" w:rsidRDefault="00A77B3E" w:rsidP="00FC1E70">
      <w:pPr>
        <w:adjustRightInd w:val="0"/>
        <w:snapToGrid w:val="0"/>
        <w:spacing w:line="360" w:lineRule="auto"/>
        <w:jc w:val="both"/>
      </w:pPr>
    </w:p>
    <w:p w14:paraId="07BFF3EC" w14:textId="77777777" w:rsidR="00A77B3E" w:rsidRDefault="00FC1E70" w:rsidP="00FC1E70">
      <w:pPr>
        <w:adjustRightInd w:val="0"/>
        <w:snapToGrid w:val="0"/>
        <w:spacing w:line="360" w:lineRule="auto"/>
        <w:jc w:val="both"/>
      </w:pPr>
      <w:r>
        <w:rPr>
          <w:rFonts w:ascii="Book Antiqua" w:eastAsia="Book Antiqua" w:hAnsi="Book Antiqua" w:cs="Book Antiqua"/>
          <w:b/>
          <w:caps/>
          <w:color w:val="000000"/>
          <w:u w:val="single"/>
        </w:rPr>
        <w:t>INTRODUCTION</w:t>
      </w:r>
    </w:p>
    <w:p w14:paraId="69FD6924"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Chelation is a process in which a synthetic compound is administered to remove an excess mineral or heavy metal from the body. There are various liver diseases that are caused by excess deposition of various heavy metals such as copper, iron and arsenic. Some of these are genetic-metabolic, others are due to environmental exposure. In the landmarks of chelation therapy in hepatology, Walshe documented cupriuresis after administering dimethyl cysteine (penicillamine) in Wilson’s disease (WD) in 1956</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Chelation was thereafter used in non-Wilsonian liver diseases. In the subsequent years newer chelators such as trientine and ammonium tetra thiomolybdate were identified for WD. From the 1970s, transfusion-related liver siderosis of hemolytic anemias was revolutionized by the use of deferoxamine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use of iron chelators was attempted in gestational alloimmune liver disease and hereditary hemochromatosis. This review explores the rationale and outcome of chelation therapy in various pediatric liver diseases.</w:t>
      </w:r>
    </w:p>
    <w:p w14:paraId="39B78410" w14:textId="77777777" w:rsidR="00A77B3E" w:rsidRDefault="00A77B3E" w:rsidP="00FC1E70">
      <w:pPr>
        <w:adjustRightInd w:val="0"/>
        <w:snapToGrid w:val="0"/>
        <w:spacing w:line="360" w:lineRule="auto"/>
        <w:jc w:val="both"/>
      </w:pPr>
    </w:p>
    <w:p w14:paraId="50522890" w14:textId="77777777" w:rsidR="00A77B3E" w:rsidRDefault="00FC1E70" w:rsidP="00FC1E70">
      <w:pPr>
        <w:adjustRightInd w:val="0"/>
        <w:snapToGrid w:val="0"/>
        <w:spacing w:line="360" w:lineRule="auto"/>
        <w:jc w:val="both"/>
      </w:pPr>
      <w:r>
        <w:rPr>
          <w:rFonts w:ascii="Book Antiqua" w:eastAsia="Book Antiqua" w:hAnsi="Book Antiqua" w:cs="Book Antiqua"/>
          <w:b/>
          <w:bCs/>
          <w:caps/>
          <w:color w:val="000000"/>
          <w:u w:val="single"/>
        </w:rPr>
        <w:t>Mechanism of chelation</w:t>
      </w:r>
      <w:r>
        <w:rPr>
          <w:rFonts w:ascii="Book Antiqua" w:eastAsia="Book Antiqua" w:hAnsi="Book Antiqua" w:cs="Book Antiqua"/>
          <w:b/>
          <w:bCs/>
          <w:caps/>
          <w:color w:val="000000"/>
          <w:szCs w:val="22"/>
          <w:u w:val="single"/>
        </w:rPr>
        <w:t xml:space="preserve"> </w:t>
      </w:r>
    </w:p>
    <w:p w14:paraId="7AEAF27A" w14:textId="77777777" w:rsidR="00D43049" w:rsidRPr="00D43049" w:rsidRDefault="00FC1E70" w:rsidP="00D43049">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Metal ion (M) complexes with cheating agent (L) through an equilibrium reaction to form metal-ligand complex (ML) or chelate. The concentration of the chelate in the solution is directly proportional to the concentration of metal ion [M] and the ligand [L]. </w:t>
      </w:r>
    </w:p>
    <w:p w14:paraId="22652E2E" w14:textId="77777777" w:rsidR="00D43049" w:rsidRPr="007B2E9B" w:rsidRDefault="00D43049" w:rsidP="00D43049">
      <w:pPr>
        <w:spacing w:line="360" w:lineRule="auto"/>
        <w:jc w:val="both"/>
        <w:rPr>
          <w:rFonts w:ascii="Book Antiqua" w:hAnsi="Book Antiqua" w:cs="Arial"/>
        </w:rPr>
      </w:pPr>
      <m:oMathPara>
        <m:oMath>
          <m:r>
            <w:rPr>
              <w:rFonts w:ascii="Cambria Math" w:hAnsi="Cambria Math" w:cs="Arial"/>
            </w:rPr>
            <m:t>M+L ⇋ML</m:t>
          </m:r>
        </m:oMath>
      </m:oMathPara>
    </w:p>
    <w:p w14:paraId="1EA957EE" w14:textId="77777777" w:rsidR="00D43049" w:rsidRPr="007B2E9B" w:rsidRDefault="001C30E0" w:rsidP="00D43049">
      <w:pPr>
        <w:spacing w:line="360" w:lineRule="auto"/>
        <w:jc w:val="both"/>
        <w:rPr>
          <w:rFonts w:ascii="Book Antiqua" w:hAnsi="Book Antiqua" w:cs="Arial"/>
        </w:rPr>
      </w:pPr>
      <m:oMathPara>
        <m:oMath>
          <m:d>
            <m:dPr>
              <m:begChr m:val="["/>
              <m:endChr m:val="]"/>
              <m:ctrlPr>
                <w:rPr>
                  <w:rFonts w:ascii="Cambria Math" w:hAnsi="Cambria Math" w:cs="Arial"/>
                  <w:i/>
                </w:rPr>
              </m:ctrlPr>
            </m:dPr>
            <m:e>
              <m:r>
                <w:rPr>
                  <w:rFonts w:ascii="Cambria Math" w:hAnsi="Cambria Math" w:cs="Arial"/>
                </w:rPr>
                <m:t>M</m:t>
              </m:r>
            </m:e>
          </m:d>
          <m:d>
            <m:dPr>
              <m:begChr m:val="["/>
              <m:endChr m:val="]"/>
              <m:ctrlPr>
                <w:rPr>
                  <w:rFonts w:ascii="Cambria Math" w:hAnsi="Cambria Math" w:cs="Arial"/>
                  <w:i/>
                </w:rPr>
              </m:ctrlPr>
            </m:dPr>
            <m:e>
              <m:r>
                <w:rPr>
                  <w:rFonts w:ascii="Cambria Math" w:hAnsi="Cambria Math" w:cs="Arial"/>
                </w:rPr>
                <m:t>L</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ML</m:t>
              </m:r>
            </m:e>
          </m:d>
        </m:oMath>
      </m:oMathPara>
    </w:p>
    <w:p w14:paraId="619F084C" w14:textId="77777777" w:rsidR="00A77B3E" w:rsidRPr="00D43049" w:rsidRDefault="001C30E0" w:rsidP="00D43049">
      <w:pPr>
        <w:spacing w:line="360" w:lineRule="auto"/>
        <w:jc w:val="both"/>
        <w:rPr>
          <w:rFonts w:ascii="Book Antiqua" w:hAnsi="Book Antiqua" w:cs="Arial"/>
          <w:lang w:eastAsia="zh-CN"/>
        </w:rPr>
      </w:pPr>
      <m:oMathPara>
        <m:oMath>
          <m:d>
            <m:dPr>
              <m:begChr m:val="["/>
              <m:endChr m:val="]"/>
              <m:ctrlPr>
                <w:rPr>
                  <w:rFonts w:ascii="Cambria Math" w:hAnsi="Cambria Math" w:cs="Arial"/>
                  <w:i/>
                </w:rPr>
              </m:ctrlPr>
            </m:dPr>
            <m:e>
              <m:r>
                <w:rPr>
                  <w:rFonts w:ascii="Cambria Math" w:hAnsi="Cambria Math" w:cs="Arial"/>
                </w:rPr>
                <m:t>M</m:t>
              </m:r>
            </m:e>
          </m:d>
          <m:d>
            <m:dPr>
              <m:begChr m:val="["/>
              <m:endChr m:val="]"/>
              <m:ctrlPr>
                <w:rPr>
                  <w:rFonts w:ascii="Cambria Math" w:hAnsi="Cambria Math" w:cs="Arial"/>
                  <w:i/>
                </w:rPr>
              </m:ctrlPr>
            </m:dPr>
            <m:e>
              <m:r>
                <w:rPr>
                  <w:rFonts w:ascii="Cambria Math" w:hAnsi="Cambria Math" w:cs="Arial"/>
                </w:rPr>
                <m:t>L</m:t>
              </m:r>
            </m:e>
          </m:d>
          <m:r>
            <w:rPr>
              <w:rFonts w:ascii="Cambria Math" w:hAnsi="Cambria Math" w:cs="Arial"/>
            </w:rPr>
            <m:t>k=[ML]</m:t>
          </m:r>
        </m:oMath>
      </m:oMathPara>
    </w:p>
    <w:p w14:paraId="2D0E2659" w14:textId="77777777" w:rsidR="00A77B3E" w:rsidRDefault="00FC1E70" w:rsidP="00FC1E70">
      <w:pPr>
        <w:adjustRightInd w:val="0"/>
        <w:snapToGrid w:val="0"/>
        <w:spacing w:line="360" w:lineRule="auto"/>
        <w:jc w:val="both"/>
      </w:pPr>
      <w:r>
        <w:rPr>
          <w:rFonts w:ascii="Book Antiqua" w:eastAsia="Book Antiqua" w:hAnsi="Book Antiqua" w:cs="Book Antiqua"/>
          <w:caps/>
          <w:color w:val="000000"/>
        </w:rPr>
        <w:t>w</w:t>
      </w:r>
      <w:r>
        <w:rPr>
          <w:rFonts w:ascii="Book Antiqua" w:eastAsia="Book Antiqua" w:hAnsi="Book Antiqua" w:cs="Book Antiqua"/>
          <w:color w:val="000000"/>
        </w:rPr>
        <w:t>here k is the effective stability constant. Value k denotes the affinity of the chelating agent. High k values suggest high affinity of the chelating agent. The value of k depends on the nature of the chelating agent, temperature, pH of the solution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w:t>
      </w:r>
      <w:r>
        <w:rPr>
          <w:rFonts w:ascii="Book Antiqua" w:eastAsia="Book Antiqua" w:hAnsi="Book Antiqua" w:cs="Book Antiqua"/>
          <w:i/>
          <w:iCs/>
          <w:color w:val="000000"/>
        </w:rPr>
        <w:t>in-vivo</w:t>
      </w:r>
      <w:r>
        <w:rPr>
          <w:rFonts w:ascii="Book Antiqua" w:eastAsia="Book Antiqua" w:hAnsi="Book Antiqua" w:cs="Book Antiqua"/>
          <w:color w:val="000000"/>
        </w:rPr>
        <w:t xml:space="preserve"> milieu is not similar to the </w:t>
      </w:r>
      <w:r>
        <w:rPr>
          <w:rFonts w:ascii="Book Antiqua" w:eastAsia="Book Antiqua" w:hAnsi="Book Antiqua" w:cs="Book Antiqua"/>
          <w:i/>
          <w:iCs/>
          <w:color w:val="000000"/>
        </w:rPr>
        <w:t>in-vitro</w:t>
      </w:r>
      <w:r>
        <w:rPr>
          <w:rFonts w:ascii="Book Antiqua" w:eastAsia="Book Antiqua" w:hAnsi="Book Antiqua" w:cs="Book Antiqua"/>
          <w:color w:val="000000"/>
        </w:rPr>
        <w:t xml:space="preserve"> chemical reaction. The presence of weak acids in the body fluids like glutamate, sulfate, citrate, amino acids, albumin, macroglobulin </w:t>
      </w:r>
      <w:r>
        <w:rPr>
          <w:rFonts w:ascii="Book Antiqua" w:eastAsia="Book Antiqua" w:hAnsi="Book Antiqua" w:cs="Book Antiqua"/>
          <w:i/>
          <w:iCs/>
          <w:color w:val="000000"/>
        </w:rPr>
        <w:t>etc</w:t>
      </w:r>
      <w:r>
        <w:rPr>
          <w:rFonts w:ascii="Book Antiqua" w:eastAsia="Book Antiqua" w:hAnsi="Book Antiqua" w:cs="Book Antiqua"/>
          <w:color w:val="000000"/>
        </w:rPr>
        <w:t xml:space="preserve">. affect the </w:t>
      </w:r>
      <w:r>
        <w:rPr>
          <w:rFonts w:ascii="Book Antiqua" w:eastAsia="Book Antiqua" w:hAnsi="Book Antiqua" w:cs="Book Antiqua"/>
          <w:color w:val="000000"/>
        </w:rPr>
        <w:lastRenderedPageBreak/>
        <w:t>chelation. These are called biological ligands. Chelating agent binds to the biological ligands and the effective concentration in the body fluid is lowered.</w:t>
      </w:r>
      <w:r>
        <w:rPr>
          <w:rFonts w:ascii="Book Antiqua" w:eastAsia="Book Antiqua" w:hAnsi="Book Antiqua" w:cs="Book Antiqua"/>
          <w:i/>
          <w:iCs/>
          <w:color w:val="000000"/>
        </w:rPr>
        <w:t xml:space="preserve"> </w:t>
      </w:r>
      <w:r>
        <w:rPr>
          <w:rFonts w:ascii="Book Antiqua" w:eastAsia="Book Antiqua" w:hAnsi="Book Antiqua" w:cs="Book Antiqua"/>
          <w:color w:val="000000"/>
        </w:rPr>
        <w:t>Hence the equation becomes</w:t>
      </w:r>
    </w:p>
    <w:p w14:paraId="12E1FCE6" w14:textId="77777777" w:rsidR="00A77B3E" w:rsidRPr="00D43049" w:rsidRDefault="001C30E0" w:rsidP="00D43049">
      <w:pPr>
        <w:spacing w:line="360" w:lineRule="auto"/>
        <w:jc w:val="both"/>
        <w:rPr>
          <w:rFonts w:ascii="Book Antiqua" w:hAnsi="Book Antiqua" w:cs="Arial"/>
          <w:lang w:eastAsia="zh-CN"/>
        </w:rPr>
      </w:pPr>
      <m:oMathPara>
        <m:oMath>
          <m:d>
            <m:dPr>
              <m:begChr m:val="["/>
              <m:endChr m:val="]"/>
              <m:ctrlPr>
                <w:rPr>
                  <w:rFonts w:ascii="Cambria Math" w:hAnsi="Cambria Math" w:cs="Arial"/>
                  <w:i/>
                </w:rPr>
              </m:ctrlPr>
            </m:dPr>
            <m:e>
              <m:r>
                <w:rPr>
                  <w:rFonts w:ascii="Cambria Math" w:hAnsi="Cambria Math" w:cs="Arial"/>
                </w:rPr>
                <m:t>Mt</m:t>
              </m:r>
            </m:e>
          </m:d>
          <m:d>
            <m:dPr>
              <m:begChr m:val="["/>
              <m:endChr m:val="]"/>
              <m:ctrlPr>
                <w:rPr>
                  <w:rFonts w:ascii="Cambria Math" w:hAnsi="Cambria Math" w:cs="Arial"/>
                  <w:i/>
                </w:rPr>
              </m:ctrlPr>
            </m:dPr>
            <m:e>
              <m:r>
                <w:rPr>
                  <w:rFonts w:ascii="Cambria Math" w:hAnsi="Cambria Math" w:cs="Arial"/>
                </w:rPr>
                <m:t>Lt</m:t>
              </m:r>
            </m:e>
          </m:d>
          <m:r>
            <w:rPr>
              <w:rFonts w:ascii="Cambria Math" w:hAnsi="Cambria Math" w:cs="Arial"/>
            </w:rPr>
            <m:t>k=</m:t>
          </m:r>
          <m:d>
            <m:dPr>
              <m:begChr m:val="["/>
              <m:endChr m:val="]"/>
              <m:ctrlPr>
                <w:rPr>
                  <w:rFonts w:ascii="Cambria Math" w:hAnsi="Cambria Math" w:cs="Arial"/>
                  <w:i/>
                </w:rPr>
              </m:ctrlPr>
            </m:dPr>
            <m:e>
              <m:r>
                <w:rPr>
                  <w:rFonts w:ascii="Cambria Math" w:hAnsi="Cambria Math" w:cs="Arial"/>
                </w:rPr>
                <m:t>ML</m:t>
              </m:r>
            </m:e>
          </m:d>
        </m:oMath>
      </m:oMathPara>
    </w:p>
    <w:p w14:paraId="02AFD1DC"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where Mt, Lt is the total concentration of the metal ion and chelating agent respectively which is very difficult to assess in the clinical </w:t>
      </w:r>
      <w:proofErr w:type="gramStart"/>
      <w:r>
        <w:rPr>
          <w:rFonts w:ascii="Book Antiqua" w:eastAsia="Book Antiqua" w:hAnsi="Book Antiqua" w:cs="Book Antiqua"/>
          <w:color w:val="000000"/>
        </w:rPr>
        <w:t>setting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2E129148" w14:textId="77777777" w:rsidR="00A77B3E" w:rsidRDefault="00FC1E70" w:rsidP="00FC1E70">
      <w:pPr>
        <w:adjustRightInd w:val="0"/>
        <w:snapToGrid w:val="0"/>
        <w:spacing w:line="360" w:lineRule="auto"/>
        <w:ind w:firstLine="480"/>
        <w:jc w:val="both"/>
      </w:pPr>
      <w:r>
        <w:rPr>
          <w:rFonts w:ascii="Book Antiqua" w:eastAsia="Book Antiqua" w:hAnsi="Book Antiqua" w:cs="Book Antiqua"/>
          <w:color w:val="000000"/>
        </w:rPr>
        <w:t>Effective chelation occurs when concentration of M and/or L is high, when affinity of the chelator (k) is high or when the concentration of the chelate [ML] is low. The metal ion concentration [M] in the body depends on the severity of the disease. For example, in a WD presenting as acute liver failure, serum copper (Cu) levels are usually very high. The concentration of chelating agent [L] is increased by increasing the dosing and/or frequency as tolerated by the patient. For the chelation to progress, urinary excretion of chelate [ML] is very important as it effectively reduces the concentration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Ideal chelating agents must have good oral absorption, acceptable bioavailability, high affinity to metal ions, low toxicity at appropriate plasma concentration, undergo rapid elimination or detoxification after combining with metal ions and more importantly should be available in affordable price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195C3F04" w14:textId="77777777" w:rsidR="00A77B3E" w:rsidRDefault="00A77B3E" w:rsidP="00FC1E70">
      <w:pPr>
        <w:adjustRightInd w:val="0"/>
        <w:snapToGrid w:val="0"/>
        <w:spacing w:line="360" w:lineRule="auto"/>
        <w:ind w:firstLine="480"/>
        <w:jc w:val="both"/>
      </w:pPr>
    </w:p>
    <w:p w14:paraId="02EA4E5B" w14:textId="77777777" w:rsidR="00A77B3E" w:rsidRDefault="00FC1E70" w:rsidP="00FC1E70">
      <w:pPr>
        <w:adjustRightInd w:val="0"/>
        <w:snapToGrid w:val="0"/>
        <w:spacing w:line="360" w:lineRule="auto"/>
        <w:jc w:val="both"/>
      </w:pPr>
      <w:r>
        <w:rPr>
          <w:rFonts w:ascii="Book Antiqua" w:eastAsia="Book Antiqua" w:hAnsi="Book Antiqua" w:cs="Book Antiqua"/>
          <w:b/>
          <w:bCs/>
          <w:caps/>
          <w:color w:val="000000"/>
          <w:u w:val="single"/>
        </w:rPr>
        <w:t>Chelation in WD</w:t>
      </w:r>
    </w:p>
    <w:p w14:paraId="71CC9AA0"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WD is an autosomal recessive disorder caused by mutation of ATP7B gene that encodes for a protein P-type ATPase which transports copper into trans Golgi network and for biliary excretion of copper. In lysosomes, copper is incorporated into ceruloplasmin. In WD, due to defect in ATPase transport protein, ceruloplasmin formation is defective and</w:t>
      </w:r>
      <w:r>
        <w:rPr>
          <w:rFonts w:ascii="Book Antiqua" w:eastAsia="Book Antiqua" w:hAnsi="Book Antiqua" w:cs="Book Antiqua"/>
          <w:i/>
          <w:iCs/>
          <w:color w:val="000000"/>
        </w:rPr>
        <w:t xml:space="preserve"> </w:t>
      </w:r>
      <w:r>
        <w:rPr>
          <w:rFonts w:ascii="Book Antiqua" w:eastAsia="Book Antiqua" w:hAnsi="Book Antiqua" w:cs="Book Antiqua"/>
          <w:color w:val="000000"/>
        </w:rPr>
        <w:t>biliary excretion of copper is impaired</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This causes excess accumulation of intracellular copper subsequently increasing the levels in blood causing accumulation in extra-hepatic organs (Figure 1). </w:t>
      </w:r>
    </w:p>
    <w:p w14:paraId="5154D45A" w14:textId="77777777" w:rsidR="00A77B3E" w:rsidRDefault="00A77B3E" w:rsidP="00FC1E70">
      <w:pPr>
        <w:adjustRightInd w:val="0"/>
        <w:snapToGrid w:val="0"/>
        <w:spacing w:line="360" w:lineRule="auto"/>
        <w:jc w:val="both"/>
      </w:pPr>
    </w:p>
    <w:p w14:paraId="3E636493" w14:textId="77777777" w:rsidR="00A77B3E" w:rsidRDefault="00FC1E70" w:rsidP="00FC1E70">
      <w:pPr>
        <w:adjustRightInd w:val="0"/>
        <w:snapToGrid w:val="0"/>
        <w:spacing w:line="360" w:lineRule="auto"/>
        <w:jc w:val="both"/>
      </w:pPr>
      <w:r>
        <w:rPr>
          <w:rFonts w:ascii="Book Antiqua" w:eastAsia="Book Antiqua" w:hAnsi="Book Antiqua" w:cs="Book Antiqua"/>
          <w:b/>
          <w:bCs/>
          <w:i/>
          <w:iCs/>
          <w:color w:val="000000"/>
        </w:rPr>
        <w:t>Chelating drugs</w:t>
      </w:r>
    </w:p>
    <w:p w14:paraId="06163A1E"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D-Penicillamine (3, 3-dimethylcysteine) is the most commonly used medication for WD worldwide. The L-isomer of this drug is not advised for treatment due to its </w:t>
      </w:r>
      <w:r>
        <w:rPr>
          <w:rFonts w:ascii="Book Antiqua" w:eastAsia="Book Antiqua" w:hAnsi="Book Antiqua" w:cs="Book Antiqua"/>
          <w:color w:val="000000"/>
        </w:rPr>
        <w:lastRenderedPageBreak/>
        <w:t>neurotoxicity. The chelation property of DPA is due to the presence of thiol (-SH), which is responsible for its high affinity towards divalent metal ions such as copper. The mechanism of action of D-Penicillamine (DPA) is by inducing cuprieuresis, inducing hepatic metallothionine synthesis, reducing fibrosis (by preventing collagen formation). DPA also has an anti-inflammatory property</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It is rapidly absorbed in proximal intestine but only 40%-70% are absorbed</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peak plasma concentration occurs after 1-3 h after ingestion. It circulates in the plasma predominantly by binding to albumin (80%), while the rest of the compound is present as free or </w:t>
      </w:r>
      <w:proofErr w:type="spellStart"/>
      <w:r>
        <w:rPr>
          <w:rFonts w:ascii="Book Antiqua" w:eastAsia="Book Antiqua" w:hAnsi="Book Antiqua" w:cs="Book Antiqua"/>
          <w:color w:val="000000"/>
        </w:rPr>
        <w:t>disulphide</w:t>
      </w:r>
      <w:proofErr w:type="spellEnd"/>
      <w:r>
        <w:rPr>
          <w:rFonts w:ascii="Book Antiqua" w:eastAsia="Book Antiqua" w:hAnsi="Book Antiqua" w:cs="Book Antiqua"/>
          <w:color w:val="000000"/>
        </w:rPr>
        <w:t xml:space="preserve"> forms. DPA is metabolized in the liver by conjugation with sulfide or by methylation (phase II reaction) and excreted in urine with almost 80% being eliminated within 10 h of ingestion. After discontinuation of therapy, the drug is eliminated in about 3-6 d</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Food, antacids, iron and zinc preparations reduce the bioavailability by almost 50%. Plasma concentration reduces significantly when the drug is taken with food</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It is recommended to give the drug either 1- hour before or 2- h after food. The drug is given in the dose of 20 mg/kg per day (up to 1500 mg) rounded to nearest 250 mg in 2-4 divided doses and can be maintained at 1000 mg/d once the disease is in remission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As DPA causes pyridoxine deficiency, pyridoxine should be supplemented at 25-50 mg/d. In case of neurological WD, to prevent paradoxical neurological worsening, the drug is started at low dose (125-250 mg) and slowly increased (125-250 mg every week) to reach the desired dose by 4-6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1DC034CB" w14:textId="77777777" w:rsidR="00A77B3E" w:rsidRDefault="00FC1E70" w:rsidP="00FC1E70">
      <w:pPr>
        <w:adjustRightInd w:val="0"/>
        <w:snapToGrid w:val="0"/>
        <w:spacing w:line="360" w:lineRule="auto"/>
        <w:ind w:firstLine="480"/>
        <w:jc w:val="both"/>
      </w:pPr>
      <w:r>
        <w:rPr>
          <w:rFonts w:ascii="Book Antiqua" w:eastAsia="Book Antiqua" w:hAnsi="Book Antiqua" w:cs="Book Antiqua"/>
          <w:color w:val="000000"/>
        </w:rPr>
        <w:t xml:space="preserve">Trientine (triethylenetetramine) is an alternative chelating agent in WD. It is a derivative of spermine and putrescine and binds to copper in the ratio 1:1 to form a stable complex, which is eliminated in the urine. Trientine dihydrochloride is the oral ingestible form requiring storage at 2-8 degree Celsius to maintain stability. 10% of the trientine is absorbed in the proximal small intestine and achieves its peak concentration 1.5-4 h after ingestion. Trientine is extensively metabolized in tissues by acetylation but the enzyme responsible for it is not identified. 1% of ingested trientine and 8% </w:t>
      </w:r>
      <w:proofErr w:type="spellStart"/>
      <w:r>
        <w:rPr>
          <w:rFonts w:ascii="Book Antiqua" w:eastAsia="Book Antiqua" w:hAnsi="Book Antiqua" w:cs="Book Antiqua"/>
          <w:color w:val="000000"/>
        </w:rPr>
        <w:t>trientine</w:t>
      </w:r>
      <w:proofErr w:type="spellEnd"/>
      <w:r>
        <w:rPr>
          <w:rFonts w:ascii="Book Antiqua" w:eastAsia="Book Antiqua" w:hAnsi="Book Antiqua" w:cs="Book Antiqua"/>
          <w:color w:val="000000"/>
        </w:rPr>
        <w:t xml:space="preserve"> metabolite </w:t>
      </w:r>
      <w:proofErr w:type="spellStart"/>
      <w:r>
        <w:rPr>
          <w:rFonts w:ascii="Book Antiqua" w:eastAsia="Book Antiqua" w:hAnsi="Book Antiqua" w:cs="Book Antiqua"/>
          <w:color w:val="000000"/>
        </w:rPr>
        <w:t>acetyltrien</w:t>
      </w:r>
      <w:proofErr w:type="spellEnd"/>
      <w:r>
        <w:rPr>
          <w:rFonts w:ascii="Book Antiqua" w:eastAsia="Book Antiqua" w:hAnsi="Book Antiqua" w:cs="Book Antiqua"/>
          <w:color w:val="000000"/>
        </w:rPr>
        <w:t>, appears in the urine. Plasma concentration of the trientine significantly reduces when given with food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due to its affinity to dietary copper in the lumen thereby compromising the removal of tissue copper and the other reason could be due to the </w:t>
      </w:r>
      <w:r>
        <w:rPr>
          <w:rFonts w:ascii="Book Antiqua" w:eastAsia="Book Antiqua" w:hAnsi="Book Antiqua" w:cs="Book Antiqua"/>
          <w:color w:val="000000"/>
        </w:rPr>
        <w:lastRenderedPageBreak/>
        <w:t>physiological polyamines</w:t>
      </w:r>
      <w:r>
        <w:rPr>
          <w:rFonts w:ascii="Book Antiqua" w:eastAsia="Book Antiqua" w:hAnsi="Book Antiqua" w:cs="Book Antiqua"/>
          <w:i/>
          <w:iCs/>
          <w:color w:val="000000"/>
        </w:rPr>
        <w:t xml:space="preserve"> </w:t>
      </w:r>
      <w:r>
        <w:rPr>
          <w:rFonts w:ascii="Book Antiqua" w:eastAsia="Book Antiqua" w:hAnsi="Book Antiqua" w:cs="Book Antiqua"/>
          <w:color w:val="000000"/>
        </w:rPr>
        <w:t>secreted during food intake inhibits effective trientine absorption</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Trientine is not to be given with iron as it forms toxic complexes. The dose recommended is 20 mg/kg per day with the maximum of 1500 mg/d rounded to nearest 250 mg (300 mg capsules in North America) and maintenance dose of 1000 mg/d. Similar to DPA, trientine also should be ingested 1 h before or 2 h after food intake</w:t>
      </w:r>
      <w:r>
        <w:rPr>
          <w:rFonts w:ascii="Book Antiqua" w:eastAsia="Book Antiqua" w:hAnsi="Book Antiqua" w:cs="Book Antiqua"/>
          <w:color w:val="000000"/>
          <w:szCs w:val="30"/>
          <w:vertAlign w:val="superscript"/>
        </w:rPr>
        <w:t>[12,15]</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decoppering</w:t>
      </w:r>
      <w:proofErr w:type="spellEnd"/>
      <w:r>
        <w:rPr>
          <w:rFonts w:ascii="Book Antiqua" w:eastAsia="Book Antiqua" w:hAnsi="Book Antiqua" w:cs="Book Antiqua"/>
          <w:color w:val="000000"/>
        </w:rPr>
        <w:t xml:space="preserve"> efficacy of any chelating agent is evident from the effective stability constant (k) which denotes copper affinity. The comparison of k-value of DPA (2.38 × 10</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and trientine (1.74 × 10</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suggests the </w:t>
      </w:r>
      <w:proofErr w:type="spellStart"/>
      <w:r>
        <w:rPr>
          <w:rFonts w:ascii="Book Antiqua" w:eastAsia="Book Antiqua" w:hAnsi="Book Antiqua" w:cs="Book Antiqua"/>
          <w:color w:val="000000"/>
        </w:rPr>
        <w:t>decoppering</w:t>
      </w:r>
      <w:proofErr w:type="spellEnd"/>
      <w:r>
        <w:rPr>
          <w:rFonts w:ascii="Book Antiqua" w:eastAsia="Book Antiqua" w:hAnsi="Book Antiqua" w:cs="Book Antiqua"/>
          <w:color w:val="000000"/>
        </w:rPr>
        <w:t xml:space="preserve"> efficacy of DPA is much higher than trientine</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w:t>
      </w:r>
    </w:p>
    <w:p w14:paraId="71B60372" w14:textId="77777777" w:rsidR="00A77B3E" w:rsidRDefault="00A77B3E" w:rsidP="00FC1E70">
      <w:pPr>
        <w:adjustRightInd w:val="0"/>
        <w:snapToGrid w:val="0"/>
        <w:spacing w:line="360" w:lineRule="auto"/>
        <w:ind w:firstLine="480"/>
        <w:jc w:val="both"/>
      </w:pPr>
    </w:p>
    <w:p w14:paraId="6EAF12FD" w14:textId="77777777" w:rsidR="00A77B3E" w:rsidRDefault="00FC1E70" w:rsidP="00FC1E70">
      <w:pPr>
        <w:adjustRightInd w:val="0"/>
        <w:snapToGrid w:val="0"/>
        <w:spacing w:line="360" w:lineRule="auto"/>
        <w:jc w:val="both"/>
      </w:pPr>
      <w:r>
        <w:rPr>
          <w:rFonts w:ascii="Book Antiqua" w:eastAsia="Book Antiqua" w:hAnsi="Book Antiqua" w:cs="Book Antiqua"/>
          <w:b/>
          <w:bCs/>
          <w:i/>
          <w:iCs/>
          <w:color w:val="000000"/>
        </w:rPr>
        <w:t>Efficacy of chelation</w:t>
      </w:r>
    </w:p>
    <w:p w14:paraId="4D786760"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Improvement in symptoms and biochemical parameters in WD takes around 2-6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hepatic forms whereas in isolated neurological forms it may take up to 12-24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DPA in WD children shows an efficacy of almost 70%-90%</w:t>
      </w:r>
      <w:r>
        <w:rPr>
          <w:rFonts w:ascii="Book Antiqua" w:eastAsia="Book Antiqua" w:hAnsi="Book Antiqua" w:cs="Book Antiqua"/>
          <w:color w:val="000000"/>
          <w:szCs w:val="30"/>
          <w:vertAlign w:val="superscript"/>
        </w:rPr>
        <w:t>[17–20]</w:t>
      </w:r>
      <w:r>
        <w:rPr>
          <w:rFonts w:ascii="Book Antiqua" w:eastAsia="Book Antiqua" w:hAnsi="Book Antiqua" w:cs="Book Antiqua"/>
          <w:color w:val="000000"/>
        </w:rPr>
        <w:t xml:space="preserve">. The response depends on whether it is hepatic or neurological form and severity of the disease at presentation. Long term of follow up of WD (median duration- 15.1 years) studied by </w:t>
      </w:r>
      <w:proofErr w:type="spellStart"/>
      <w:r>
        <w:rPr>
          <w:rFonts w:ascii="Book Antiqua" w:eastAsia="Book Antiqua" w:hAnsi="Book Antiqua" w:cs="Book Antiqua"/>
          <w:color w:val="000000"/>
        </w:rPr>
        <w:t>Bruha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showed the response to DPA to hepatic forms is 82% compared to</w:t>
      </w:r>
      <w:r>
        <w:rPr>
          <w:rFonts w:ascii="Book Antiqua" w:eastAsia="Book Antiqua" w:hAnsi="Book Antiqua" w:cs="Book Antiqua"/>
          <w:i/>
          <w:iCs/>
          <w:color w:val="000000"/>
        </w:rPr>
        <w:t xml:space="preserve"> </w:t>
      </w:r>
      <w:r>
        <w:rPr>
          <w:rFonts w:ascii="Book Antiqua" w:eastAsia="Book Antiqua" w:hAnsi="Book Antiqua" w:cs="Book Antiqua"/>
          <w:color w:val="000000"/>
        </w:rPr>
        <w:t>69% for neurological forms. One of the largest series of WD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327) from Euro Wilson consortium, showed hepatic forms had 91% response compared to only 68% in neurological forms after a median follow up duration of 13.3 years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In most series, trientine is used as a second line either due to poor response or due to toxicity to DPA. Hence, there are no head-to-head randomized trials comparing the efficacy of DPA and trientine. Overall efficacy of trientine is reported to be 80%-92%</w:t>
      </w:r>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xml:space="preserve">. Retrospective analysis of efficacy of the two drugs by </w:t>
      </w:r>
      <w:proofErr w:type="spellStart"/>
      <w:r>
        <w:rPr>
          <w:rFonts w:ascii="Book Antiqua" w:eastAsia="Book Antiqua" w:hAnsi="Book Antiqua" w:cs="Book Antiqua"/>
          <w:color w:val="000000"/>
        </w:rPr>
        <w:t>Hölscher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showed response in hepatic forms with DPA was 92% compared to 84% response with trientine after a median follow up duration of 13.3 years. In neurological forms, DPA fares significantly better (68%) than trientine (48%, </w:t>
      </w:r>
      <w:r>
        <w:rPr>
          <w:rFonts w:ascii="Book Antiqua" w:eastAsia="Book Antiqua" w:hAnsi="Book Antiqua" w:cs="Book Antiqua"/>
          <w:i/>
          <w:iCs/>
          <w:color w:val="000000"/>
        </w:rPr>
        <w:t xml:space="preserve">P = </w:t>
      </w:r>
      <w:r>
        <w:rPr>
          <w:rFonts w:ascii="Book Antiqua" w:eastAsia="Book Antiqua" w:hAnsi="Book Antiqua" w:cs="Book Antiqua"/>
          <w:color w:val="000000"/>
        </w:rPr>
        <w:t>0.008)</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In Euro Wilson consortium, the response of both the DPA and trientine were comparable when used as a first line in both hepatic (90.7% </w:t>
      </w:r>
      <w:r>
        <w:rPr>
          <w:rFonts w:ascii="Book Antiqua" w:eastAsia="Book Antiqua" w:hAnsi="Book Antiqua" w:cs="Book Antiqua"/>
          <w:i/>
          <w:iCs/>
          <w:color w:val="000000"/>
        </w:rPr>
        <w:t>vs</w:t>
      </w:r>
      <w:r>
        <w:rPr>
          <w:rFonts w:ascii="Book Antiqua" w:eastAsia="Book Antiqua" w:hAnsi="Book Antiqua" w:cs="Book Antiqua"/>
          <w:color w:val="000000"/>
        </w:rPr>
        <w:t xml:space="preserve"> 92.6%, </w:t>
      </w:r>
      <w:r>
        <w:rPr>
          <w:rFonts w:ascii="Book Antiqua" w:eastAsia="Book Antiqua" w:hAnsi="Book Antiqua" w:cs="Book Antiqua"/>
          <w:i/>
          <w:iCs/>
          <w:color w:val="000000"/>
        </w:rPr>
        <w:t xml:space="preserve">P = </w:t>
      </w:r>
      <w:r>
        <w:rPr>
          <w:rFonts w:ascii="Book Antiqua" w:eastAsia="Book Antiqua" w:hAnsi="Book Antiqua" w:cs="Book Antiqua"/>
          <w:color w:val="000000"/>
        </w:rPr>
        <w:t xml:space="preserve">0.98) and neurological forms (67.5% </w:t>
      </w:r>
      <w:r>
        <w:rPr>
          <w:rFonts w:ascii="Book Antiqua" w:eastAsia="Book Antiqua" w:hAnsi="Book Antiqua" w:cs="Book Antiqua"/>
          <w:i/>
          <w:iCs/>
          <w:color w:val="000000"/>
        </w:rPr>
        <w:t>vs</w:t>
      </w:r>
      <w:r>
        <w:rPr>
          <w:rFonts w:ascii="Book Antiqua" w:eastAsia="Book Antiqua" w:hAnsi="Book Antiqua" w:cs="Book Antiqua"/>
          <w:color w:val="000000"/>
        </w:rPr>
        <w:t xml:space="preserve">55%, </w:t>
      </w:r>
      <w:r>
        <w:rPr>
          <w:rFonts w:ascii="Book Antiqua" w:eastAsia="Book Antiqua" w:hAnsi="Book Antiqua" w:cs="Book Antiqua"/>
          <w:i/>
          <w:iCs/>
          <w:color w:val="000000"/>
        </w:rPr>
        <w:t xml:space="preserve">P = </w:t>
      </w:r>
      <w:r>
        <w:rPr>
          <w:rFonts w:ascii="Book Antiqua" w:eastAsia="Book Antiqua" w:hAnsi="Book Antiqua" w:cs="Book Antiqua"/>
          <w:color w:val="000000"/>
        </w:rPr>
        <w:t xml:space="preserve">0.76). However when used as a second line therapy, </w:t>
      </w:r>
      <w:r>
        <w:rPr>
          <w:rFonts w:ascii="Book Antiqua" w:eastAsia="Book Antiqua" w:hAnsi="Book Antiqua" w:cs="Book Antiqua"/>
          <w:color w:val="000000"/>
        </w:rPr>
        <w:lastRenderedPageBreak/>
        <w:t xml:space="preserve">trientine </w:t>
      </w:r>
      <w:r>
        <w:rPr>
          <w:rFonts w:ascii="Book Antiqua" w:eastAsia="Book Antiqua" w:hAnsi="Book Antiqua" w:cs="Book Antiqua"/>
          <w:i/>
          <w:iCs/>
          <w:color w:val="000000"/>
        </w:rPr>
        <w:t>vs</w:t>
      </w:r>
      <w:r>
        <w:rPr>
          <w:rFonts w:ascii="Book Antiqua" w:eastAsia="Book Antiqua" w:hAnsi="Book Antiqua" w:cs="Book Antiqua"/>
          <w:color w:val="000000"/>
        </w:rPr>
        <w:t xml:space="preserve"> DPA showed similar response in hepatic form</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(75% </w:t>
      </w:r>
      <w:r>
        <w:rPr>
          <w:rFonts w:ascii="Book Antiqua" w:eastAsia="Book Antiqua" w:hAnsi="Book Antiqua" w:cs="Book Antiqua"/>
          <w:i/>
          <w:iCs/>
          <w:color w:val="000000"/>
        </w:rPr>
        <w:t>vs</w:t>
      </w:r>
      <w:r>
        <w:rPr>
          <w:rFonts w:ascii="Book Antiqua" w:eastAsia="Book Antiqua" w:hAnsi="Book Antiqua" w:cs="Book Antiqua"/>
          <w:color w:val="000000"/>
        </w:rPr>
        <w:t xml:space="preserve"> 68.9%, </w:t>
      </w:r>
      <w:r>
        <w:rPr>
          <w:rFonts w:ascii="Book Antiqua" w:eastAsia="Book Antiqua" w:hAnsi="Book Antiqua" w:cs="Book Antiqua"/>
          <w:i/>
          <w:iCs/>
          <w:color w:val="000000"/>
        </w:rPr>
        <w:t xml:space="preserve">P = </w:t>
      </w:r>
      <w:r>
        <w:rPr>
          <w:rFonts w:ascii="Book Antiqua" w:eastAsia="Book Antiqua" w:hAnsi="Book Antiqua" w:cs="Book Antiqua"/>
          <w:color w:val="000000"/>
        </w:rPr>
        <w:t>0.76) but better response in neurological form</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(51% </w:t>
      </w:r>
      <w:r>
        <w:rPr>
          <w:rFonts w:ascii="Book Antiqua" w:eastAsia="Book Antiqua" w:hAnsi="Book Antiqua" w:cs="Book Antiqua"/>
          <w:i/>
          <w:iCs/>
          <w:color w:val="000000"/>
        </w:rPr>
        <w:t>vs</w:t>
      </w:r>
      <w:r>
        <w:rPr>
          <w:rFonts w:ascii="Book Antiqua" w:eastAsia="Book Antiqua" w:hAnsi="Book Antiqua" w:cs="Book Antiqua"/>
          <w:color w:val="000000"/>
        </w:rPr>
        <w:t xml:space="preserve"> 23.1%, </w:t>
      </w:r>
      <w:r>
        <w:rPr>
          <w:rFonts w:ascii="Book Antiqua" w:eastAsia="Book Antiqua" w:hAnsi="Book Antiqua" w:cs="Book Antiqua"/>
          <w:i/>
          <w:iCs/>
          <w:color w:val="000000"/>
        </w:rPr>
        <w:t xml:space="preserve">P = </w:t>
      </w:r>
      <w:r>
        <w:rPr>
          <w:rFonts w:ascii="Book Antiqua" w:eastAsia="Book Antiqua" w:hAnsi="Book Antiqua" w:cs="Book Antiqua"/>
          <w:color w:val="000000"/>
        </w:rPr>
        <w:t>0.01)</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1F22A445" w14:textId="77777777" w:rsidR="00A77B3E" w:rsidRDefault="00A77B3E" w:rsidP="00FC1E70">
      <w:pPr>
        <w:adjustRightInd w:val="0"/>
        <w:snapToGrid w:val="0"/>
        <w:spacing w:line="360" w:lineRule="auto"/>
        <w:jc w:val="both"/>
      </w:pPr>
    </w:p>
    <w:p w14:paraId="0F04AF1B" w14:textId="77777777" w:rsidR="00A77B3E" w:rsidRDefault="00FC1E70" w:rsidP="00FC1E70">
      <w:pPr>
        <w:adjustRightInd w:val="0"/>
        <w:snapToGrid w:val="0"/>
        <w:spacing w:line="360" w:lineRule="auto"/>
        <w:jc w:val="both"/>
      </w:pPr>
      <w:r>
        <w:rPr>
          <w:rFonts w:ascii="Book Antiqua" w:eastAsia="Book Antiqua" w:hAnsi="Book Antiqua" w:cs="Book Antiqua"/>
          <w:b/>
          <w:bCs/>
          <w:i/>
          <w:iCs/>
          <w:color w:val="000000"/>
        </w:rPr>
        <w:t>Adverse effects of copper chelators</w:t>
      </w:r>
    </w:p>
    <w:p w14:paraId="41BE4F96"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Adverse effects of DPA are always a major concern with up to 30% of the patients develop one or more adverse effects (Table 1)</w:t>
      </w:r>
      <w:r>
        <w:rPr>
          <w:rFonts w:ascii="Book Antiqua" w:eastAsia="Book Antiqua" w:hAnsi="Book Antiqua" w:cs="Book Antiqua"/>
          <w:color w:val="000000"/>
          <w:szCs w:val="30"/>
          <w:vertAlign w:val="superscript"/>
        </w:rPr>
        <w:t>[20,24,25]</w:t>
      </w:r>
      <w:r>
        <w:rPr>
          <w:rFonts w:ascii="Book Antiqua" w:eastAsia="Book Antiqua" w:hAnsi="Book Antiqua" w:cs="Book Antiqua"/>
          <w:color w:val="000000"/>
        </w:rPr>
        <w:t xml:space="preserve">. Adverse effect can be early onset (less than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therapy) or late (more than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up to 2-3 years of initiation of therapy). Early adverse effects like fever, rash, arthralgia, lymphadenopathy, pancytopenia are predominantly immune mediated</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Nephropathy, the most common late adverse effect of DPA is seen in 5%-30%. Presentations include</w:t>
      </w:r>
      <w:r>
        <w:rPr>
          <w:rFonts w:ascii="Book Antiqua" w:eastAsia="Book Antiqua" w:hAnsi="Book Antiqua" w:cs="Book Antiqua"/>
          <w:i/>
          <w:iCs/>
          <w:color w:val="000000"/>
        </w:rPr>
        <w:t xml:space="preserve"> </w:t>
      </w:r>
      <w:r>
        <w:rPr>
          <w:rFonts w:ascii="Book Antiqua" w:eastAsia="Book Antiqua" w:hAnsi="Book Antiqua" w:cs="Book Antiqua"/>
          <w:color w:val="000000"/>
        </w:rPr>
        <w:t>proteinuria, glomerulonephritis, nephrotic syndrome less commonly as Good Pasture’s syndrome</w:t>
      </w:r>
      <w:r>
        <w:rPr>
          <w:rFonts w:ascii="Book Antiqua" w:eastAsia="Book Antiqua" w:hAnsi="Book Antiqua" w:cs="Book Antiqua"/>
          <w:color w:val="000000"/>
          <w:szCs w:val="30"/>
          <w:vertAlign w:val="superscript"/>
        </w:rPr>
        <w:t>[27–29]</w:t>
      </w:r>
      <w:r>
        <w:rPr>
          <w:rFonts w:ascii="Book Antiqua" w:eastAsia="Book Antiqua" w:hAnsi="Book Antiqua" w:cs="Book Antiqua"/>
          <w:color w:val="000000"/>
        </w:rPr>
        <w:t xml:space="preserve">. More than 90% of the nephropathy occurs within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therapy. High doses of DPA, decompensated liver disease, intrinsic renal diseases or presence of HLA-B8/DR3 are probable risk factors of nephropathy</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Eighty percent are membranous glomerulonephritis on renal biopsy. In a study by Hall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of 33 patients with DPA nephropathy, one-third each showed resolution at 6, 12 and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after drug discontinuation. There are no clear recommendations as to whether the drug can be rechallenged after resolution of nephropathy. However, in such situations, it is prudent to continue the patient on an alternative drug such as trientine or zinc. DPA related myelotoxicity occur in up to 7% patients undergoing chelation with DPA</w:t>
      </w:r>
      <w:r>
        <w:rPr>
          <w:rFonts w:ascii="Book Antiqua" w:eastAsia="Book Antiqua" w:hAnsi="Book Antiqua" w:cs="Book Antiqua"/>
          <w:color w:val="000000"/>
          <w:szCs w:val="30"/>
          <w:vertAlign w:val="superscript"/>
        </w:rPr>
        <w:t>[31–33]</w:t>
      </w:r>
      <w:r>
        <w:rPr>
          <w:rFonts w:ascii="Book Antiqua" w:eastAsia="Book Antiqua" w:hAnsi="Book Antiqua" w:cs="Book Antiqua"/>
          <w:color w:val="000000"/>
        </w:rPr>
        <w:t>. Two types of myelotoxicity are known to occur, idiosyncratic (usually with in 1 year of therapy) or dose dependent (more than after 1 year therapy)</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Though, there are no definite guidelines for monitoring and treatment of myelotoxicity, European society of Pediatric Gastroenterology Hepatology and Nutrition (ESPGHAN) suggests weekly blood counts initially,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till remission and 3-6 m</w:t>
      </w:r>
      <w:r w:rsidR="00D43049">
        <w:rPr>
          <w:rFonts w:ascii="Book Antiqua" w:eastAsia="Book Antiqua" w:hAnsi="Book Antiqua" w:cs="Book Antiqua"/>
          <w:color w:val="000000"/>
        </w:rPr>
        <w:t>onth</w:t>
      </w:r>
      <w:r>
        <w:rPr>
          <w:rFonts w:ascii="Book Antiqua" w:eastAsia="Book Antiqua" w:hAnsi="Book Antiqua" w:cs="Book Antiqua"/>
          <w:color w:val="000000"/>
        </w:rPr>
        <w:t xml:space="preserve">ly </w:t>
      </w:r>
      <w:proofErr w:type="gramStart"/>
      <w:r>
        <w:rPr>
          <w:rFonts w:ascii="Book Antiqua" w:eastAsia="Book Antiqua" w:hAnsi="Book Antiqua" w:cs="Book Antiqua"/>
          <w:color w:val="000000"/>
        </w:rPr>
        <w:t>thereafter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If two or more values of total leukocyte count less than 3.5 ×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per cubic mm, drug is to be discontinued. Bone marrow examination and reticulocyte counts differentiates this condition if concomitant hypersplenism is present</w:t>
      </w:r>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 xml:space="preserve">. Blood products, colony stimulating factor and anti-thymocyte globulin may improve the counts. Usual time of spontaneous recovery is 4-12 wk. Rarely hematopoietic stem cell transplantation may be required in refractory and prolonged cases. Once bone </w:t>
      </w:r>
      <w:r>
        <w:rPr>
          <w:rFonts w:ascii="Book Antiqua" w:eastAsia="Book Antiqua" w:hAnsi="Book Antiqua" w:cs="Book Antiqua"/>
          <w:color w:val="000000"/>
        </w:rPr>
        <w:lastRenderedPageBreak/>
        <w:t>marrow toxicity has ensued, the drug should not be re-challenged.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Adverse effects of DPA related to skin may be due to either acute hypersensitivity reaction presenting as morbilliform rash, urticaria, degenerative dermatoses (cutis </w:t>
      </w:r>
      <w:proofErr w:type="spellStart"/>
      <w:r>
        <w:rPr>
          <w:rFonts w:ascii="Book Antiqua" w:eastAsia="Book Antiqua" w:hAnsi="Book Antiqua" w:cs="Book Antiqua"/>
          <w:color w:val="000000"/>
        </w:rPr>
        <w:t>laxa</w:t>
      </w:r>
      <w:proofErr w:type="spellEnd"/>
      <w:r>
        <w:rPr>
          <w:rFonts w:ascii="Book Antiqua" w:eastAsia="Book Antiqua" w:hAnsi="Book Antiqua" w:cs="Book Antiqua"/>
          <w:color w:val="000000"/>
        </w:rPr>
        <w:t xml:space="preserve"> or elastosis </w:t>
      </w:r>
      <w:proofErr w:type="spellStart"/>
      <w:r>
        <w:rPr>
          <w:rFonts w:ascii="Book Antiqua" w:eastAsia="Book Antiqua" w:hAnsi="Book Antiqua" w:cs="Book Antiqua"/>
          <w:color w:val="000000"/>
        </w:rPr>
        <w:t>perforans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serpingosa</w:t>
      </w:r>
      <w:proofErr w:type="spellEnd"/>
      <w:r>
        <w:rPr>
          <w:rFonts w:ascii="Book Antiqua" w:eastAsia="Book Antiqua" w:hAnsi="Book Antiqua" w:cs="Book Antiqua"/>
          <w:color w:val="000000"/>
        </w:rPr>
        <w:t>) or an autoimmune phenomenon (pemphigus, scleroderma or lichen planus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Rare </w:t>
      </w:r>
      <w:proofErr w:type="spellStart"/>
      <w:r>
        <w:rPr>
          <w:rFonts w:ascii="Book Antiqua" w:eastAsia="Book Antiqua" w:hAnsi="Book Antiqua" w:cs="Book Antiqua"/>
          <w:color w:val="000000"/>
        </w:rPr>
        <w:t>musclar</w:t>
      </w:r>
      <w:proofErr w:type="spellEnd"/>
      <w:r>
        <w:rPr>
          <w:rFonts w:ascii="Book Antiqua" w:eastAsia="Book Antiqua" w:hAnsi="Book Antiqua" w:cs="Book Antiqua"/>
          <w:color w:val="000000"/>
        </w:rPr>
        <w:t xml:space="preserve"> adverse effects of DPA include myasthenia (1%-2%) and ptosis. Anti- nicotinic acetyl choline receptor or Anti- </w:t>
      </w:r>
      <w:proofErr w:type="spellStart"/>
      <w:r>
        <w:rPr>
          <w:rFonts w:ascii="Book Antiqua" w:eastAsia="Book Antiqua" w:hAnsi="Book Antiqua" w:cs="Book Antiqua"/>
          <w:color w:val="000000"/>
        </w:rPr>
        <w:t>MuSK</w:t>
      </w:r>
      <w:proofErr w:type="spellEnd"/>
      <w:r>
        <w:rPr>
          <w:rFonts w:ascii="Book Antiqua" w:eastAsia="Book Antiqua" w:hAnsi="Book Antiqua" w:cs="Book Antiqua"/>
          <w:color w:val="000000"/>
        </w:rPr>
        <w:t xml:space="preserve"> (Anti- Muscle Specific tyrosine Kinase) is present in up to 70%</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Systemic lupus erythematosus can occur within 6-12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onset of DPA therapy presenting as pleurisy, arthritis, rash with or without presence of anti-nuclear antibody</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Deutscher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noted 3 out of 50 WD children with elevated transaminases within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DPA therapy who resolved subsequently following discontinuation. Trientine also present with similar adverse effects as DPA like nausea, vomiting, arthralgia, myalgia, leukopenia, elevation in anti-nuclear antibody (ANA), nephropathy but adverse effects requiring discontinuation of trientine is significantly lower compared to DPA</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w:t>
      </w:r>
    </w:p>
    <w:p w14:paraId="3D0010D9" w14:textId="77777777" w:rsidR="00A77B3E" w:rsidRDefault="00FC1E70" w:rsidP="00FC1E70">
      <w:pPr>
        <w:adjustRightInd w:val="0"/>
        <w:snapToGrid w:val="0"/>
        <w:spacing w:line="360" w:lineRule="auto"/>
        <w:ind w:firstLine="480"/>
        <w:jc w:val="both"/>
      </w:pPr>
      <w:r>
        <w:rPr>
          <w:rFonts w:ascii="Book Antiqua" w:eastAsia="Book Antiqua" w:hAnsi="Book Antiqua" w:cs="Book Antiqua"/>
          <w:color w:val="000000"/>
        </w:rPr>
        <w:t xml:space="preserve">In hepatic WD, paradoxical neurological worsening occurs commonly within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therapy, in patients with an underlying overt or occult neuropsychiatric feature.</w:t>
      </w:r>
      <w:r>
        <w:rPr>
          <w:rFonts w:ascii="Book Antiqua" w:eastAsia="Book Antiqua" w:hAnsi="Book Antiqua" w:cs="Book Antiqua"/>
          <w:i/>
          <w:iCs/>
          <w:color w:val="000000"/>
        </w:rPr>
        <w:t xml:space="preserve"> </w:t>
      </w:r>
      <w:r>
        <w:rPr>
          <w:rFonts w:ascii="Book Antiqua" w:eastAsia="Book Antiqua" w:hAnsi="Book Antiqua" w:cs="Book Antiqua"/>
          <w:color w:val="000000"/>
        </w:rPr>
        <w:t>Paradoxical neurological worsening occurs even when dosing and compliance is good</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It occurs due to the sudden release of Cu from the liver following chelation therapy causing oxidative brain injury. Overall incidence of paradoxical neurological worsening ranges from 7%-26%. Those with previous known neurological WD, the incidence of worsening is up to 75%</w:t>
      </w:r>
      <w:r>
        <w:rPr>
          <w:rFonts w:ascii="Book Antiqua" w:eastAsia="Book Antiqua" w:hAnsi="Book Antiqua" w:cs="Book Antiqua"/>
          <w:color w:val="000000"/>
          <w:szCs w:val="30"/>
          <w:vertAlign w:val="superscript"/>
        </w:rPr>
        <w:t>[19,24,25]</w:t>
      </w:r>
      <w:r>
        <w:rPr>
          <w:rFonts w:ascii="Book Antiqua" w:eastAsia="Book Antiqua" w:hAnsi="Book Antiqua" w:cs="Book Antiqua"/>
          <w:color w:val="000000"/>
        </w:rPr>
        <w:t>. Both DPA and TA have shown to cause neurological worsening. In series from Euro Wilson consortium, paradoxical neurological worsening occurred significantly more with TA compared to DPA</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Litwin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studied natural history of 143 WD (70 Neuro/</w:t>
      </w:r>
      <w:proofErr w:type="spellStart"/>
      <w:r>
        <w:rPr>
          <w:rFonts w:ascii="Book Antiqua" w:eastAsia="Book Antiqua" w:hAnsi="Book Antiqua" w:cs="Book Antiqua"/>
          <w:color w:val="000000"/>
        </w:rPr>
        <w:t>Neurohepatic</w:t>
      </w:r>
      <w:proofErr w:type="spellEnd"/>
      <w:r>
        <w:rPr>
          <w:rFonts w:ascii="Book Antiqua" w:eastAsia="Book Antiqua" w:hAnsi="Book Antiqua" w:cs="Book Antiqua"/>
          <w:color w:val="000000"/>
        </w:rPr>
        <w:t xml:space="preserve"> WD and 73 hepatic WD), of whom 23% neurological cohort and none of the hepatic cohort developed early neurological worsening on chelation. In this series, median time of onset of neurological worsening was 2.3 mo. Fifty-three percent were completely reversible and 13% were partially reversible on drug discontinuation with median time of reversibility of 9.2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Prior neurological involvement, lesions in brain stem or thalamus and concomitant anti-dopaminergic drugs had higher chances of neurological worsening. Treatment consists </w:t>
      </w:r>
      <w:r>
        <w:rPr>
          <w:rFonts w:ascii="Book Antiqua" w:eastAsia="Book Antiqua" w:hAnsi="Book Antiqua" w:cs="Book Antiqua"/>
          <w:color w:val="000000"/>
        </w:rPr>
        <w:lastRenderedPageBreak/>
        <w:t>of drug discontinuation and addition of zinc for a transition period.</w:t>
      </w:r>
      <w:r>
        <w:rPr>
          <w:rFonts w:ascii="Book Antiqua" w:eastAsia="Book Antiqua" w:hAnsi="Book Antiqua" w:cs="Book Antiqua"/>
          <w:i/>
          <w:iCs/>
          <w:color w:val="000000"/>
        </w:rPr>
        <w:t xml:space="preserve"> </w:t>
      </w:r>
      <w:r>
        <w:rPr>
          <w:rFonts w:ascii="Book Antiqua" w:eastAsia="Book Antiqua" w:hAnsi="Book Antiqua" w:cs="Book Antiqua"/>
          <w:color w:val="000000"/>
        </w:rPr>
        <w:t>Chelators can be restarted in lower doses with gradual increment once the symptoms improve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46932920" w14:textId="77777777" w:rsidR="00A77B3E" w:rsidRDefault="00A77B3E" w:rsidP="00FC1E70">
      <w:pPr>
        <w:adjustRightInd w:val="0"/>
        <w:snapToGrid w:val="0"/>
        <w:spacing w:line="360" w:lineRule="auto"/>
        <w:ind w:firstLine="480"/>
        <w:jc w:val="both"/>
      </w:pPr>
    </w:p>
    <w:p w14:paraId="169D97BB" w14:textId="77777777" w:rsidR="00A77B3E" w:rsidRDefault="00FC1E70" w:rsidP="00FC1E70">
      <w:pPr>
        <w:adjustRightInd w:val="0"/>
        <w:snapToGrid w:val="0"/>
        <w:spacing w:line="360" w:lineRule="auto"/>
        <w:jc w:val="both"/>
      </w:pPr>
      <w:r>
        <w:rPr>
          <w:rFonts w:ascii="Book Antiqua" w:eastAsia="Book Antiqua" w:hAnsi="Book Antiqua" w:cs="Book Antiqua"/>
          <w:b/>
          <w:bCs/>
          <w:i/>
          <w:iCs/>
          <w:color w:val="000000"/>
        </w:rPr>
        <w:t>Assessment of adequacy of chelation: clinical parameters</w:t>
      </w:r>
    </w:p>
    <w:p w14:paraId="36D29203"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Currently there is no fool-proof, gold standard yardstick to assess chelation adequacy. All have fallacies in assessment and hence multiple parameters are considered. Chelation adequacy can be assessed firstly by assessing compliance to drug intake. Compliance is assessed by having a pill count, self-reporting by patients themselves or by checking empty blister packs during follow up outpatient visits</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There are various scales being developed assessing medication adherence (MAQ: Medication adherence questionnaire, MARS: Medication adherence Rating scale) but none have been validated in children</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More objective way of assessing compliance is by measuring drug levels but it is not routinely available under clinical setting. Secondly, follow up of clinical parameters assess the adequacy of chelation like improvement in jaundice, ascites, encephalopathy which usually take 2-6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 therapy. Resolution of neurological symptoms may take longer than 2-3 years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resolution of Kayser-Fleischer ring on de-coppering therapy has considerable controversies to the same. Studies have heterogeneity in their assessment and reports. It appears to be independent on type of presentation (neurologic </w:t>
      </w:r>
      <w:r>
        <w:rPr>
          <w:rFonts w:ascii="Book Antiqua" w:eastAsia="Book Antiqua" w:hAnsi="Book Antiqua" w:cs="Book Antiqua"/>
          <w:i/>
          <w:iCs/>
          <w:color w:val="000000"/>
        </w:rPr>
        <w:t>vs</w:t>
      </w:r>
      <w:r>
        <w:rPr>
          <w:rFonts w:ascii="Book Antiqua" w:eastAsia="Book Antiqua" w:hAnsi="Book Antiqua" w:cs="Book Antiqua"/>
          <w:color w:val="000000"/>
        </w:rPr>
        <w:t xml:space="preserve"> hepatic), stage of disease (pre-symptomatic </w:t>
      </w:r>
      <w:r>
        <w:rPr>
          <w:rFonts w:ascii="Book Antiqua" w:eastAsia="Book Antiqua" w:hAnsi="Book Antiqua" w:cs="Book Antiqua"/>
          <w:i/>
          <w:iCs/>
          <w:color w:val="000000"/>
        </w:rPr>
        <w:t>vs</w:t>
      </w:r>
      <w:r>
        <w:rPr>
          <w:rFonts w:ascii="Book Antiqua" w:eastAsia="Book Antiqua" w:hAnsi="Book Antiqua" w:cs="Book Antiqua"/>
          <w:color w:val="000000"/>
        </w:rPr>
        <w:t xml:space="preserve"> symptomatic) and choice of chelator and compliance. Initial reports showed, Kayser-Fleischer (KF) ring disappearance in 81% of the patients (completely in 41% and incompletely in 59%), more in pre-symptomatic stage (60%) than those in symptomatic phase with ongoing therapy (2%) over 22 years of follow-up on DPA (90%) and zinc or trientine (10%). Conversely one-third of asymptomatic patients the rings did not reabsorb even after therapy of &gt; 10 years. In this study, the fading of KF rings seemed to be independent of the stage of the disease and effectiveness of the </w:t>
      </w:r>
      <w:proofErr w:type="spellStart"/>
      <w:r>
        <w:rPr>
          <w:rFonts w:ascii="Book Antiqua" w:eastAsia="Book Antiqua" w:hAnsi="Book Antiqua" w:cs="Book Antiqua"/>
          <w:color w:val="000000"/>
        </w:rPr>
        <w:t>decopperizing</w:t>
      </w:r>
      <w:proofErr w:type="spellEnd"/>
      <w:r>
        <w:rPr>
          <w:rFonts w:ascii="Book Antiqua" w:eastAsia="Book Antiqua" w:hAnsi="Book Antiqua" w:cs="Book Antiqua"/>
          <w:color w:val="000000"/>
        </w:rPr>
        <w:t xml:space="preserve"> treatment</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In a study by </w:t>
      </w:r>
      <w:proofErr w:type="spellStart"/>
      <w:r>
        <w:rPr>
          <w:rFonts w:ascii="Book Antiqua" w:eastAsia="Book Antiqua" w:hAnsi="Book Antiqua" w:cs="Book Antiqua"/>
          <w:color w:val="000000"/>
        </w:rPr>
        <w:t>Fenu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where 66% were hepatic and 31% were neuro-hepatic (90% on DPA ± zinc therapy), partial or total KF ring resolution was observed in 28%, deterioration in 6% and static in the rest of the cohort over 1-3 years of therapy. Other smaller cohorts report reduction of KF ring in neuropsychiatric manifestation or disappearance over 10 years on maintenance zinc and </w:t>
      </w:r>
      <w:r>
        <w:rPr>
          <w:rFonts w:ascii="Book Antiqua" w:eastAsia="Book Antiqua" w:hAnsi="Book Antiqua" w:cs="Book Antiqua"/>
          <w:color w:val="000000"/>
        </w:rPr>
        <w:lastRenderedPageBreak/>
        <w:t>molybdate therapy in pediatric hepatic WD</w:t>
      </w:r>
      <w:r>
        <w:rPr>
          <w:rFonts w:ascii="Book Antiqua" w:eastAsia="Book Antiqua" w:hAnsi="Book Antiqua" w:cs="Book Antiqua"/>
          <w:color w:val="000000"/>
          <w:szCs w:val="30"/>
          <w:vertAlign w:val="superscript"/>
        </w:rPr>
        <w:t>[47,48]</w:t>
      </w:r>
      <w:r>
        <w:rPr>
          <w:rFonts w:ascii="Book Antiqua" w:eastAsia="Book Antiqua" w:hAnsi="Book Antiqua" w:cs="Book Antiqua"/>
          <w:color w:val="000000"/>
        </w:rPr>
        <w:t>. KF rings may reappear with non-compliance, and occasionally even with successful maintenance therapy</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w:t>
      </w:r>
    </w:p>
    <w:p w14:paraId="473855F4" w14:textId="77777777" w:rsidR="00A77B3E" w:rsidRDefault="00FC1E70" w:rsidP="00FC1E70">
      <w:pPr>
        <w:adjustRightInd w:val="0"/>
        <w:snapToGrid w:val="0"/>
        <w:spacing w:line="360" w:lineRule="auto"/>
        <w:ind w:firstLine="480"/>
        <w:jc w:val="both"/>
      </w:pPr>
      <w:r>
        <w:rPr>
          <w:rFonts w:ascii="Book Antiqua" w:eastAsia="Book Antiqua" w:hAnsi="Book Antiqua" w:cs="Book Antiqua"/>
          <w:color w:val="000000"/>
        </w:rPr>
        <w:t xml:space="preserve">Liver status can be appropriately assessed by Pediatric end-stage liver disease or Child-Turcotte-Pugh score. Biochemical parameters like serum albumin, total bilirubin and prothrombin time normalizes by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but liver enzymes might take</w:t>
      </w:r>
      <w:r>
        <w:rPr>
          <w:rFonts w:ascii="Book Antiqua" w:eastAsia="Book Antiqua" w:hAnsi="Book Antiqua" w:cs="Book Antiqua"/>
          <w:i/>
          <w:iCs/>
          <w:color w:val="000000"/>
        </w:rPr>
        <w:t xml:space="preserve"> </w:t>
      </w:r>
      <w:r>
        <w:rPr>
          <w:rFonts w:ascii="Book Antiqua" w:eastAsia="Book Antiqua" w:hAnsi="Book Antiqua" w:cs="Book Antiqua"/>
          <w:color w:val="000000"/>
        </w:rPr>
        <w:t>longer</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the author’s experience it takes 9-12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complete normalization of Liver function tests in majority of the cases</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In patients who have additional neurological involvement, neurological response is monitored by indices such as Global assessment scale (GAS)</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Even with neurological WD with significant MRI changes, 50% show improvement with long term chelation</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w:t>
      </w:r>
    </w:p>
    <w:p w14:paraId="57465BD0" w14:textId="77777777" w:rsidR="00A77B3E" w:rsidRDefault="00A77B3E" w:rsidP="00FC1E70">
      <w:pPr>
        <w:adjustRightInd w:val="0"/>
        <w:snapToGrid w:val="0"/>
        <w:spacing w:line="360" w:lineRule="auto"/>
        <w:ind w:firstLine="480"/>
        <w:jc w:val="both"/>
      </w:pPr>
    </w:p>
    <w:p w14:paraId="413D232A" w14:textId="77777777" w:rsidR="00A77B3E" w:rsidRDefault="00FC1E70" w:rsidP="00FC1E70">
      <w:pPr>
        <w:adjustRightInd w:val="0"/>
        <w:snapToGrid w:val="0"/>
        <w:spacing w:line="360" w:lineRule="auto"/>
        <w:jc w:val="both"/>
      </w:pPr>
      <w:r>
        <w:rPr>
          <w:rFonts w:ascii="Book Antiqua" w:eastAsia="Book Antiqua" w:hAnsi="Book Antiqua" w:cs="Book Antiqua"/>
          <w:b/>
          <w:bCs/>
          <w:i/>
          <w:iCs/>
          <w:color w:val="000000"/>
        </w:rPr>
        <w:t xml:space="preserve">Assessment of adequacy of chelation: </w:t>
      </w:r>
      <w:r w:rsidRPr="00D43049">
        <w:rPr>
          <w:rFonts w:ascii="Book Antiqua" w:eastAsia="Book Antiqua" w:hAnsi="Book Antiqua" w:cs="Book Antiqua"/>
          <w:b/>
          <w:bCs/>
          <w:i/>
          <w:iCs/>
          <w:caps/>
          <w:color w:val="000000"/>
        </w:rPr>
        <w:t>b</w:t>
      </w:r>
      <w:r>
        <w:rPr>
          <w:rFonts w:ascii="Book Antiqua" w:eastAsia="Book Antiqua" w:hAnsi="Book Antiqua" w:cs="Book Antiqua"/>
          <w:b/>
          <w:bCs/>
          <w:i/>
          <w:iCs/>
          <w:color w:val="000000"/>
        </w:rPr>
        <w:t>iochemical parameters</w:t>
      </w:r>
    </w:p>
    <w:p w14:paraId="617ACB9C"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Presently the most widely acceptable way to assess adequacy of chelation is by 24-h urine copper and non-ceruloplasmin copper. Twenty-four hours urine copper (UCu) increases immediately following chelation and takes around 12-18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reach a stable level</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European Association for the Study of the Liver (EASL) and American Association for the Study of Liver diseases (AALSD) recommends targeting 24-h urine copper between 200-500 mg/d for adequate chelation</w:t>
      </w:r>
      <w:r>
        <w:rPr>
          <w:rFonts w:ascii="Book Antiqua" w:eastAsia="Book Antiqua" w:hAnsi="Book Antiqua" w:cs="Book Antiqua"/>
          <w:color w:val="000000"/>
          <w:szCs w:val="30"/>
          <w:vertAlign w:val="superscript"/>
        </w:rPr>
        <w:t>[12,15]</w:t>
      </w:r>
      <w:r>
        <w:rPr>
          <w:rFonts w:ascii="Book Antiqua" w:eastAsia="Book Antiqua" w:hAnsi="Book Antiqua" w:cs="Book Antiqua"/>
          <w:color w:val="000000"/>
        </w:rPr>
        <w:t>. Values &gt; 500 mg/d suggest under chelation as lot of unchelated copper is remaining in the body. Values &lt; 200 mg/d may be either due to over chelation or poor compliance (Table 2). This can be differentiated by non-ceruloplasmin copper (NCC) levels calculated by the formula (serum copper (mg/L) - 0.3 x serum ceruloplasmin(mg/L)</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NCC has a few fallacies. Firstly, almost 20% of NCC are negative values, seen mostly when immunoassay method was used to measure ceruloplasmin as it measures both </w:t>
      </w:r>
      <w:proofErr w:type="spellStart"/>
      <w:r>
        <w:rPr>
          <w:rFonts w:ascii="Book Antiqua" w:eastAsia="Book Antiqua" w:hAnsi="Book Antiqua" w:cs="Book Antiqua"/>
          <w:color w:val="000000"/>
        </w:rPr>
        <w:t>holoceruloplasmin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apoceruloplasmin</w:t>
      </w:r>
      <w:proofErr w:type="spellEnd"/>
      <w:r>
        <w:rPr>
          <w:rFonts w:ascii="Book Antiqua" w:eastAsia="Book Antiqua" w:hAnsi="Book Antiqua" w:cs="Book Antiqua"/>
          <w:color w:val="000000"/>
        </w:rPr>
        <w:t xml:space="preserve">. NCC calculation becomes inappropriate when inactive </w:t>
      </w:r>
      <w:proofErr w:type="spellStart"/>
      <w:r>
        <w:rPr>
          <w:rFonts w:ascii="Book Antiqua" w:eastAsia="Book Antiqua" w:hAnsi="Book Antiqua" w:cs="Book Antiqua"/>
          <w:color w:val="000000"/>
        </w:rPr>
        <w:t>apoceruloplasmin</w:t>
      </w:r>
      <w:proofErr w:type="spellEnd"/>
      <w:r>
        <w:rPr>
          <w:rFonts w:ascii="Book Antiqua" w:eastAsia="Book Antiqua" w:hAnsi="Book Antiqua" w:cs="Book Antiqua"/>
          <w:color w:val="000000"/>
        </w:rPr>
        <w:t xml:space="preserve"> is included. Secondly, there are variabilities in reference ranges in ceruloplasmin values between various laboratories across the world creating disparities in NCC cut-offs</w:t>
      </w:r>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According to EASL guidelines, NCC &gt; 15 mg/d</w:t>
      </w:r>
      <w:r>
        <w:rPr>
          <w:rFonts w:ascii="Book Antiqua" w:eastAsia="Book Antiqua" w:hAnsi="Book Antiqua" w:cs="Book Antiqua"/>
          <w:caps/>
          <w:color w:val="000000"/>
        </w:rPr>
        <w:t>l</w:t>
      </w:r>
      <w:r>
        <w:rPr>
          <w:rFonts w:ascii="Book Antiqua" w:eastAsia="Book Antiqua" w:hAnsi="Book Antiqua" w:cs="Book Antiqua"/>
          <w:color w:val="000000"/>
        </w:rPr>
        <w:t xml:space="preserve"> suggest poor compliance and &lt; 5 mg/d</w:t>
      </w:r>
      <w:r>
        <w:rPr>
          <w:rFonts w:ascii="Book Antiqua" w:eastAsia="Book Antiqua" w:hAnsi="Book Antiqua" w:cs="Book Antiqua"/>
          <w:caps/>
          <w:color w:val="000000"/>
        </w:rPr>
        <w:t>l</w:t>
      </w:r>
      <w:r>
        <w:rPr>
          <w:rFonts w:ascii="Book Antiqua" w:eastAsia="Book Antiqua" w:hAnsi="Book Antiqua" w:cs="Book Antiqua"/>
          <w:color w:val="000000"/>
        </w:rPr>
        <w:t xml:space="preserve"> suggest over chelation. Additionally, 24-h urine copper after 48-h cessation of therapy has been </w:t>
      </w:r>
      <w:r>
        <w:rPr>
          <w:rFonts w:ascii="Book Antiqua" w:eastAsia="Book Antiqua" w:hAnsi="Book Antiqua" w:cs="Book Antiqua"/>
          <w:color w:val="000000"/>
        </w:rPr>
        <w:lastRenderedPageBreak/>
        <w:t>recommended by EASL. Values &gt; 100 mg/d is suggestive of under chelation or poor compliance while values &lt; 100 mg/d suggest adequate treatment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3EE21935" w14:textId="77777777" w:rsidR="00A77B3E" w:rsidRDefault="00FC1E70" w:rsidP="00FC1E70">
      <w:pPr>
        <w:adjustRightInd w:val="0"/>
        <w:snapToGrid w:val="0"/>
        <w:spacing w:line="360" w:lineRule="auto"/>
        <w:ind w:firstLine="480"/>
        <w:jc w:val="both"/>
      </w:pPr>
      <w:r>
        <w:rPr>
          <w:rFonts w:ascii="Book Antiqua" w:eastAsia="Book Antiqua" w:hAnsi="Book Antiqua" w:cs="Book Antiqua"/>
          <w:color w:val="000000"/>
        </w:rPr>
        <w:t>A novel and upcoming modality to assess chelation is the use of exchangeable copper. Exchangeable copper is the fraction of copper bound to albumin, peptide and amino acids which are easily chelated by chelating agents. It denotes a direct estimation of non-ceruloplasmin copper (NCC)</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On WD with chelation for long time, exchangeable copper values tend to reduce comparable to non-Wilson children. In a pilot study by the authors, the role of exchangeable copper was assessed in a cohort of 96 children with hepatic WD.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Exchangeable copper was significantly higher in newly diagnosed WD compared to WD on chelation for more than 1 year (3 ± 7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w:t>
      </w:r>
      <w:r>
        <w:rPr>
          <w:rFonts w:ascii="Book Antiqua" w:eastAsia="Book Antiqua" w:hAnsi="Book Antiqua" w:cs="Book Antiqua"/>
          <w:i/>
          <w:iCs/>
          <w:color w:val="000000"/>
        </w:rPr>
        <w:t>vs</w:t>
      </w:r>
      <w:r>
        <w:rPr>
          <w:rFonts w:ascii="Book Antiqua" w:eastAsia="Book Antiqua" w:hAnsi="Book Antiqua" w:cs="Book Antiqua"/>
          <w:color w:val="000000"/>
        </w:rPr>
        <w:t xml:space="preserve"> 0.9 ± 0.6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w:t>
      </w:r>
      <w:r>
        <w:rPr>
          <w:rFonts w:ascii="Book Antiqua" w:eastAsia="Book Antiqua" w:hAnsi="Book Antiqua" w:cs="Book Antiqua"/>
          <w:i/>
          <w:iCs/>
          <w:color w:val="000000"/>
        </w:rPr>
        <w:t xml:space="preserve">P = </w:t>
      </w:r>
      <w:r>
        <w:rPr>
          <w:rFonts w:ascii="Book Antiqua" w:eastAsia="Book Antiqua" w:hAnsi="Book Antiqua" w:cs="Book Antiqua"/>
          <w:color w:val="000000"/>
        </w:rPr>
        <w:t xml:space="preserve">0.03). Exchangeable copper values were lower in stable liver disease compared to unstable liver disease (0.86 ± 0.5mmol/L </w:t>
      </w:r>
      <w:r>
        <w:rPr>
          <w:rFonts w:ascii="Book Antiqua" w:eastAsia="Book Antiqua" w:hAnsi="Book Antiqua" w:cs="Book Antiqua"/>
          <w:i/>
          <w:iCs/>
          <w:color w:val="000000"/>
        </w:rPr>
        <w:t>vs</w:t>
      </w:r>
      <w:r>
        <w:rPr>
          <w:rFonts w:ascii="Book Antiqua" w:eastAsia="Book Antiqua" w:hAnsi="Book Antiqua" w:cs="Book Antiqua"/>
          <w:color w:val="000000"/>
        </w:rPr>
        <w:t xml:space="preserve"> 1.3 ± 0.6 mmol/L, </w:t>
      </w:r>
      <w:r>
        <w:rPr>
          <w:rFonts w:ascii="Book Antiqua" w:eastAsia="Book Antiqua" w:hAnsi="Book Antiqua" w:cs="Book Antiqua"/>
          <w:i/>
          <w:iCs/>
          <w:color w:val="000000"/>
        </w:rPr>
        <w:t xml:space="preserve">P = </w:t>
      </w:r>
      <w:r>
        <w:rPr>
          <w:rFonts w:ascii="Book Antiqua" w:eastAsia="Book Antiqua" w:hAnsi="Book Antiqua" w:cs="Book Antiqua"/>
          <w:color w:val="000000"/>
        </w:rPr>
        <w:t>0.01). Exchangeable copper values showed excellent correlation with non-ceruloplasmin copper (</w:t>
      </w:r>
      <w:r>
        <w:rPr>
          <w:rFonts w:ascii="Book Antiqua" w:eastAsia="Book Antiqua" w:hAnsi="Book Antiqua" w:cs="Book Antiqua"/>
          <w:i/>
          <w:iCs/>
          <w:color w:val="000000"/>
        </w:rPr>
        <w:t>r</w:t>
      </w:r>
      <w:r>
        <w:rPr>
          <w:rFonts w:ascii="Book Antiqua" w:eastAsia="Book Antiqua" w:hAnsi="Book Antiqua" w:cs="Book Antiqua"/>
          <w:color w:val="000000"/>
        </w:rPr>
        <w:t xml:space="preserve"> = 0.92,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0.001). Predictive model incorporating exchangeable copper into standard monitoring tools improved the yield of disease control assessment by 21%</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p>
    <w:p w14:paraId="02EDD190" w14:textId="77777777" w:rsidR="00A77B3E" w:rsidRDefault="00A77B3E" w:rsidP="00FC1E70">
      <w:pPr>
        <w:adjustRightInd w:val="0"/>
        <w:snapToGrid w:val="0"/>
        <w:spacing w:line="360" w:lineRule="auto"/>
        <w:ind w:firstLine="480"/>
        <w:jc w:val="both"/>
      </w:pPr>
    </w:p>
    <w:p w14:paraId="788D237A" w14:textId="77777777" w:rsidR="00A77B3E" w:rsidRDefault="00FC1E70" w:rsidP="00FC1E70">
      <w:pPr>
        <w:adjustRightInd w:val="0"/>
        <w:snapToGrid w:val="0"/>
        <w:spacing w:line="360" w:lineRule="auto"/>
        <w:jc w:val="both"/>
      </w:pPr>
      <w:r>
        <w:rPr>
          <w:rFonts w:ascii="Book Antiqua" w:eastAsia="Book Antiqua" w:hAnsi="Book Antiqua" w:cs="Book Antiqua"/>
          <w:b/>
          <w:bCs/>
          <w:i/>
          <w:iCs/>
          <w:color w:val="000000"/>
        </w:rPr>
        <w:t xml:space="preserve">Comparison of single vs dual chelation: </w:t>
      </w:r>
      <w:r w:rsidRPr="00D43049">
        <w:rPr>
          <w:rFonts w:ascii="Book Antiqua" w:eastAsia="Book Antiqua" w:hAnsi="Book Antiqua" w:cs="Book Antiqua"/>
          <w:b/>
          <w:bCs/>
          <w:i/>
          <w:iCs/>
          <w:caps/>
          <w:color w:val="000000"/>
        </w:rPr>
        <w:t>w</w:t>
      </w:r>
      <w:r>
        <w:rPr>
          <w:rFonts w:ascii="Book Antiqua" w:eastAsia="Book Antiqua" w:hAnsi="Book Antiqua" w:cs="Book Antiqua"/>
          <w:b/>
          <w:bCs/>
          <w:i/>
          <w:iCs/>
          <w:color w:val="000000"/>
        </w:rPr>
        <w:t>hich is better in hepatic WD?</w:t>
      </w:r>
    </w:p>
    <w:p w14:paraId="5996F8EE"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Strictly zinc is not considered as a systemic chelator. Oral zinc (Zn) induces metallothionine in enterocyte. Metallothionine is an endogenous chelator that has high affinity to copper. Hence induced metallothionine combines with luminal Cu, preventing its entry into circulation. This Cu is removed through feces when enterocyte is shed. Zn also induces hepatic metallothionine</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Hence, Zn is used in pre-symptomatic WD, stable well chelated WD on maintenance therapy, severe neurological WD. It is also used as a last resort in those with DPA or trientine intolerance. In severe hepatic disease, many centers consider giving a trial of dual chelation DPA and zinc for rapid chelation and quick stabilization. In a study conducted by the authors, 65 children with &gt;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chelation were followed up for long term outcome. Majority had advanced disease at presentation. 83% of children were treated with DPA monotherapy and 17% treated with DPA and zinc combination. Trientine was started in 4 children due to DPA toxicity. 77% of children responded to DPA monotherapy even when the disease is severe at presentation and 50% </w:t>
      </w:r>
      <w:r>
        <w:rPr>
          <w:rFonts w:ascii="Book Antiqua" w:eastAsia="Book Antiqua" w:hAnsi="Book Antiqua" w:cs="Book Antiqua"/>
          <w:color w:val="000000"/>
        </w:rPr>
        <w:lastRenderedPageBreak/>
        <w:t>responded when DPA and zinc combination was started. The overall response to oral chelation is 71%</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Hence, DPA should be the first line of therapy for any hepatic WD and zinc is added in those who failed to show optimal response with DPA in desperate circumstances with the hope of rapid synergistic chelation and quicker liver recuperation</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Though there are no comparative trials of dual or single chelation therapy, there are limited case series that have used DPA or trientine with zinc for WD presenting with ascites, coagulopathy and encephalopathy</w:t>
      </w:r>
      <w:r>
        <w:rPr>
          <w:rFonts w:ascii="Book Antiqua" w:eastAsia="Book Antiqua" w:hAnsi="Book Antiqua" w:cs="Book Antiqua"/>
          <w:color w:val="000000"/>
          <w:szCs w:val="30"/>
          <w:vertAlign w:val="superscript"/>
        </w:rPr>
        <w:t>[59–61]</w:t>
      </w:r>
      <w:r>
        <w:rPr>
          <w:rFonts w:ascii="Book Antiqua" w:eastAsia="Book Antiqua" w:hAnsi="Book Antiqua" w:cs="Book Antiqua"/>
          <w:color w:val="000000"/>
        </w:rPr>
        <w:t>. Though the efficacy of dual therapy in these studies were 91%-100%, sample sizes were small.</w:t>
      </w:r>
      <w:r>
        <w:rPr>
          <w:rFonts w:ascii="Book Antiqua" w:eastAsia="Book Antiqua" w:hAnsi="Book Antiqua" w:cs="Book Antiqua"/>
          <w:i/>
          <w:iCs/>
          <w:color w:val="000000"/>
        </w:rPr>
        <w:t xml:space="preserve"> </w:t>
      </w:r>
      <w:r>
        <w:rPr>
          <w:rFonts w:ascii="Book Antiqua" w:eastAsia="Book Antiqua" w:hAnsi="Book Antiqua" w:cs="Book Antiqua"/>
          <w:color w:val="000000"/>
        </w:rPr>
        <w:t>Systematic review of 17 studies that assessed the efficacy of dual therapy (DPA/ Trientine with zinc) showed pooled efficacy rate (60.4%, 95%CI: 55.8-65.0) compared to DPA (73.7%, 95%CI: 65.1-85.4) and trientine monotherapy (82.6%, 95%CI: 75.4-89.5). Adverse effects following monotherapy is also lesser with either DPA or trientine compared to combination therapy</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Another retrospective study assessed 30 of 313 patients on dual chelator therapy, showed long term discontinuation and non-adherence was higher as compared to monotherapy (</w:t>
      </w:r>
      <w:r>
        <w:rPr>
          <w:rFonts w:ascii="Book Antiqua" w:eastAsia="Book Antiqua" w:hAnsi="Book Antiqua" w:cs="Book Antiqua"/>
          <w:i/>
          <w:iCs/>
          <w:color w:val="000000"/>
        </w:rPr>
        <w:t xml:space="preserve">P = </w:t>
      </w:r>
      <w:r>
        <w:rPr>
          <w:rFonts w:ascii="Book Antiqua" w:eastAsia="Book Antiqua" w:hAnsi="Book Antiqua" w:cs="Book Antiqua"/>
          <w:color w:val="000000"/>
        </w:rPr>
        <w:t>0.006). Combination therapy, may fare better in neurological WD compared to exclusive hepatic forms</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Compliance and adequate spacing with chelating agent need careful consideration in the treatment schedule. If consumed together, chelator can combine with zinc in the lumen and effective absorption of both the medication gets reduced. Animal studies have shown that hepatic zinc stores is also significantly reduced during </w:t>
      </w:r>
      <w:proofErr w:type="spellStart"/>
      <w:r>
        <w:rPr>
          <w:rFonts w:ascii="Book Antiqua" w:eastAsia="Book Antiqua" w:hAnsi="Book Antiqua" w:cs="Book Antiqua"/>
          <w:color w:val="000000"/>
        </w:rPr>
        <w:t>decoppering</w:t>
      </w:r>
      <w:proofErr w:type="spell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Hence, when chelator is combined with zinc, a proportion of chelator is used up in removing the body zinc thereby compromising the efficacy.</w:t>
      </w:r>
    </w:p>
    <w:p w14:paraId="0FD8ABBD" w14:textId="77777777" w:rsidR="00A77B3E" w:rsidRDefault="00A77B3E" w:rsidP="00FC1E70">
      <w:pPr>
        <w:adjustRightInd w:val="0"/>
        <w:snapToGrid w:val="0"/>
        <w:spacing w:line="360" w:lineRule="auto"/>
        <w:jc w:val="both"/>
      </w:pPr>
    </w:p>
    <w:p w14:paraId="06412D02" w14:textId="77777777" w:rsidR="00A77B3E" w:rsidRDefault="00FC1E70" w:rsidP="00FC1E70">
      <w:pPr>
        <w:adjustRightInd w:val="0"/>
        <w:snapToGrid w:val="0"/>
        <w:spacing w:line="360" w:lineRule="auto"/>
        <w:jc w:val="both"/>
      </w:pPr>
      <w:r>
        <w:rPr>
          <w:rFonts w:ascii="Book Antiqua" w:eastAsia="Book Antiqua" w:hAnsi="Book Antiqua" w:cs="Book Antiqua"/>
          <w:b/>
          <w:bCs/>
          <w:i/>
          <w:iCs/>
          <w:color w:val="000000"/>
        </w:rPr>
        <w:t>Efficacy of ammonium tetra thiomolybdate</w:t>
      </w:r>
    </w:p>
    <w:p w14:paraId="0D6853D0"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Ammonium tetra thiomolybdate is a strong </w:t>
      </w:r>
      <w:proofErr w:type="spellStart"/>
      <w:r>
        <w:rPr>
          <w:rFonts w:ascii="Book Antiqua" w:eastAsia="Book Antiqua" w:hAnsi="Book Antiqua" w:cs="Book Antiqua"/>
          <w:color w:val="000000"/>
        </w:rPr>
        <w:t>decoppering</w:t>
      </w:r>
      <w:proofErr w:type="spellEnd"/>
      <w:r>
        <w:rPr>
          <w:rFonts w:ascii="Book Antiqua" w:eastAsia="Book Antiqua" w:hAnsi="Book Antiqua" w:cs="Book Antiqua"/>
          <w:color w:val="000000"/>
        </w:rPr>
        <w:t xml:space="preserve"> agent used in limited trials. It prevents intestinal absorption of copper if given with meals but also reduces serum copper when given in between meals. Ammonium tetra thiomolybdate (ATM) is predominantly advised for neurological forms due to it low risk of neurological worsening</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In the comparative study of ATM with trientine in neurological WD, paradoxical neurological worsening is significantly lower with ATM (4%) compared to </w:t>
      </w:r>
      <w:r>
        <w:rPr>
          <w:rFonts w:ascii="Book Antiqua" w:eastAsia="Book Antiqua" w:hAnsi="Book Antiqua" w:cs="Book Antiqua"/>
          <w:color w:val="000000"/>
        </w:rPr>
        <w:lastRenderedPageBreak/>
        <w:t xml:space="preserve">trientine (26.1%, </w:t>
      </w:r>
      <w:r>
        <w:rPr>
          <w:rFonts w:ascii="Book Antiqua" w:eastAsia="Book Antiqua" w:hAnsi="Book Antiqua" w:cs="Book Antiqua"/>
          <w:i/>
          <w:iCs/>
          <w:color w:val="000000"/>
        </w:rPr>
        <w:t xml:space="preserve">P = </w:t>
      </w:r>
      <w:r>
        <w:rPr>
          <w:rFonts w:ascii="Book Antiqua" w:eastAsia="Book Antiqua" w:hAnsi="Book Antiqua" w:cs="Book Antiqua"/>
          <w:color w:val="000000"/>
        </w:rPr>
        <w:t>0.01)</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At larger doses, ATM can form toxic insoluble complex that gets deposited in liver causing hepatoxicity</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Hence the role of ATM in hepatic WD is precarious. Up to 10% of patients receiving ATM might develop bone marrow toxicity also</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Bis-choline tetra thiomolybdate (WTX101) is an investigational derivative of ATM being studied recently in neurological WD with better stability and lower toxicity</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Twenty-four weeks treatment of the drug caused improvement in 71% of neurological WD. Seven percent developed leukopenia and almost 39% developed elevated liver enzymes post therapy</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Robust experience in exclusive hepatic WD is not yet available.</w:t>
      </w:r>
    </w:p>
    <w:p w14:paraId="7663FADF" w14:textId="77777777" w:rsidR="00A77B3E" w:rsidRDefault="00A77B3E" w:rsidP="00FC1E70">
      <w:pPr>
        <w:adjustRightInd w:val="0"/>
        <w:snapToGrid w:val="0"/>
        <w:spacing w:line="360" w:lineRule="auto"/>
        <w:jc w:val="both"/>
      </w:pPr>
    </w:p>
    <w:p w14:paraId="749C3292" w14:textId="77777777" w:rsidR="00A77B3E" w:rsidRDefault="00FC1E70" w:rsidP="00FC1E70">
      <w:pPr>
        <w:adjustRightInd w:val="0"/>
        <w:snapToGrid w:val="0"/>
        <w:spacing w:line="360" w:lineRule="auto"/>
        <w:jc w:val="both"/>
      </w:pPr>
      <w:r>
        <w:rPr>
          <w:rFonts w:ascii="Book Antiqua" w:eastAsia="Book Antiqua" w:hAnsi="Book Antiqua" w:cs="Book Antiqua"/>
          <w:b/>
          <w:bCs/>
          <w:caps/>
          <w:color w:val="000000"/>
          <w:u w:val="single"/>
        </w:rPr>
        <w:t>Chelation in Indian childhood cirrhosis</w:t>
      </w:r>
    </w:p>
    <w:p w14:paraId="274D0B18"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Indian childhood cirrhosis is commonly seen in children between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5 years of age in Indian subcontinent with its peak incidence seen during 1970-1990</w:t>
      </w:r>
      <w:r>
        <w:rPr>
          <w:rFonts w:ascii="Book Antiqua" w:eastAsia="Book Antiqua" w:hAnsi="Book Antiqua" w:cs="Book Antiqua"/>
          <w:color w:val="000000"/>
          <w:szCs w:val="30"/>
          <w:vertAlign w:val="superscript"/>
        </w:rPr>
        <w:t xml:space="preserve">[70]. </w:t>
      </w:r>
      <w:r>
        <w:rPr>
          <w:rFonts w:ascii="Book Antiqua" w:eastAsia="Book Antiqua" w:hAnsi="Book Antiqua" w:cs="Book Antiqua"/>
          <w:color w:val="000000"/>
        </w:rPr>
        <w:t>Presently this entity seems to be waning in the Indian subcontinent. Predominant etiology advocated was excessive copper ingestion with use of copper utensils</w:t>
      </w:r>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There was also a possibility of genetic predisposition affecting copper metabolism</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70]</w:t>
      </w:r>
      <w:r>
        <w:rPr>
          <w:rFonts w:ascii="Book Antiqua" w:eastAsia="Book Antiqua" w:hAnsi="Book Antiqua" w:cs="Book Antiqua"/>
          <w:color w:val="000000"/>
        </w:rPr>
        <w:t>. Clinical features consist of nonspecific symptoms to start with like fever, lethargy, easy fatiguability, palpable liver with leafy edges in stage I, splenomegaly and ascites in stage II and jaundice, coagulopathy and encephalopathy in stage III. Histopathological examination of liver shows diffuse hepatocyte necrosis, presence of Mallory bodies and granular orcein staining. Treatment monitoring is by liver function tests (LFT), serum copper and in many studies, by repeat hepatic copper and liver histology, while on treatment.</w:t>
      </w:r>
      <w:r>
        <w:rPr>
          <w:rFonts w:ascii="Book Antiqua" w:eastAsia="Book Antiqua" w:hAnsi="Book Antiqua" w:cs="Book Antiqua"/>
          <w:i/>
          <w:iCs/>
          <w:color w:val="000000"/>
        </w:rPr>
        <w:t xml:space="preserve"> </w:t>
      </w:r>
      <w:r>
        <w:rPr>
          <w:rFonts w:ascii="Book Antiqua" w:eastAsia="Book Antiqua" w:hAnsi="Book Antiqua" w:cs="Book Antiqua"/>
          <w:color w:val="000000"/>
        </w:rPr>
        <w:t>Mortality is almost 60% in stage II but reaching almost 90% in stage III</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In the study by </w:t>
      </w:r>
      <w:proofErr w:type="spellStart"/>
      <w:r>
        <w:rPr>
          <w:rFonts w:ascii="Book Antiqua" w:eastAsia="Book Antiqua" w:hAnsi="Book Antiqua" w:cs="Book Antiqua"/>
          <w:color w:val="000000"/>
        </w:rPr>
        <w:t>Bavdekar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xml:space="preserve"> 65 children with Indian childhood cirrhosis (ICC) on treatment with DPA were followed up for the mean duration of 3.5 years, showed response in 60% of the children in pre-icteric phase compared to only 6% response (</w:t>
      </w:r>
      <w:r>
        <w:rPr>
          <w:rFonts w:ascii="Book Antiqua" w:eastAsia="Book Antiqua" w:hAnsi="Book Antiqua" w:cs="Book Antiqua"/>
          <w:i/>
          <w:iCs/>
          <w:caps/>
          <w:color w:val="000000"/>
        </w:rPr>
        <w:t>p</w:t>
      </w:r>
      <w:r>
        <w:rPr>
          <w:rFonts w:ascii="Book Antiqua" w:eastAsia="Book Antiqua" w:hAnsi="Book Antiqua" w:cs="Book Antiqua"/>
          <w:color w:val="000000"/>
        </w:rPr>
        <w:t xml:space="preserve"> &lt; 0.01) in icteric phase (Table 3). Another study in ICC children who received DPA or DPA with steroids showed 50% survival as compared to10% in placebo group (</w:t>
      </w:r>
      <w:r>
        <w:rPr>
          <w:rFonts w:ascii="Book Antiqua" w:eastAsia="Book Antiqua" w:hAnsi="Book Antiqua" w:cs="Book Antiqua"/>
          <w:i/>
          <w:iCs/>
          <w:color w:val="000000"/>
        </w:rPr>
        <w:t xml:space="preserve">P = </w:t>
      </w:r>
      <w:r>
        <w:rPr>
          <w:rFonts w:ascii="Book Antiqua" w:eastAsia="Book Antiqua" w:hAnsi="Book Antiqua" w:cs="Book Antiqua"/>
          <w:color w:val="000000"/>
        </w:rPr>
        <w:t>0.002)</w:t>
      </w:r>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.In a pediatric study, DPA therapy has showed better response compared to DPA with intravenous immunoglobulin (</w:t>
      </w:r>
      <w:r>
        <w:rPr>
          <w:rFonts w:ascii="Book Antiqua" w:eastAsia="Book Antiqua" w:hAnsi="Book Antiqua" w:cs="Book Antiqua"/>
          <w:i/>
          <w:iCs/>
          <w:color w:val="000000"/>
        </w:rPr>
        <w:t xml:space="preserve">P = </w:t>
      </w:r>
      <w:r>
        <w:rPr>
          <w:rFonts w:ascii="Book Antiqua" w:eastAsia="Book Antiqua" w:hAnsi="Book Antiqua" w:cs="Book Antiqua"/>
          <w:color w:val="000000"/>
        </w:rPr>
        <w:t>0.018)</w:t>
      </w:r>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Chelation may improve symptoms if given early as prognosis is poor in advanced disease despite treatment</w:t>
      </w:r>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w:t>
      </w:r>
    </w:p>
    <w:p w14:paraId="51AF5B87" w14:textId="77777777" w:rsidR="00A77B3E" w:rsidRDefault="00A77B3E" w:rsidP="00FC1E70">
      <w:pPr>
        <w:adjustRightInd w:val="0"/>
        <w:snapToGrid w:val="0"/>
        <w:spacing w:line="360" w:lineRule="auto"/>
        <w:jc w:val="both"/>
      </w:pPr>
    </w:p>
    <w:p w14:paraId="4F5732A4" w14:textId="77777777" w:rsidR="00A77B3E" w:rsidRDefault="00FC1E70" w:rsidP="00FC1E70">
      <w:pPr>
        <w:adjustRightInd w:val="0"/>
        <w:snapToGrid w:val="0"/>
        <w:spacing w:line="360" w:lineRule="auto"/>
        <w:jc w:val="both"/>
      </w:pPr>
      <w:r>
        <w:rPr>
          <w:rFonts w:ascii="Book Antiqua" w:eastAsia="Book Antiqua" w:hAnsi="Book Antiqua" w:cs="Book Antiqua"/>
          <w:b/>
          <w:bCs/>
          <w:caps/>
          <w:color w:val="000000"/>
          <w:u w:val="single"/>
        </w:rPr>
        <w:t>Chelation in non-Wilsonian copper related disorders</w:t>
      </w:r>
    </w:p>
    <w:p w14:paraId="5F3EAD4B"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Non-Wilsonian copper related diseases termed by Baker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as copper associated childhood cirrhosis includes ICC from India and ICC-like illness from western countries. This ICC like illnesses is otherwise called idiopathic copper toxicosis. Type I copper associated childhood cirrhosis (CACC) resembles ICC, with an early onset of disease and related to increased copper intake. Type II CACC has onset later than 4 years of age and possibly has an autosomal recessive inheritance without an obvious increase in copper intake</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Although there are few case reports of ICC- like illnesses, meagre number of reports use chelation therapy probably due to its conflicting results. One child from Bangladeshi origin, presented with jaundice, anorexia, weight loss at 7 years, with normal serum ceruloplasmin, and elevated hepatic copper 2319 mg/g. Improvement in symptoms and decrease in liver copper (35 mg/g) was noted after 19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DPA therapy (Table 3)</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In contrast, a 10 year old Italian child with ascites and hepatomegaly, normal ceruloplasmin levels and liver copper of 1970 mg/g did not show any improvement clinically and biochemically even after 2 years of DPA</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Largest cohort of endemic Tyrolean infantile cirrhosis studied by Muller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showed both genetics and copper contamination were responsible for the disease. However there is paucity of chelation therapy experience in this condition.</w:t>
      </w:r>
    </w:p>
    <w:p w14:paraId="028B0FC9" w14:textId="77777777" w:rsidR="00A77B3E" w:rsidRDefault="00A77B3E" w:rsidP="00FC1E70">
      <w:pPr>
        <w:adjustRightInd w:val="0"/>
        <w:snapToGrid w:val="0"/>
        <w:spacing w:line="360" w:lineRule="auto"/>
        <w:jc w:val="both"/>
      </w:pPr>
    </w:p>
    <w:p w14:paraId="2BE936F6" w14:textId="77777777" w:rsidR="00A77B3E" w:rsidRDefault="00FC1E70" w:rsidP="00FC1E70">
      <w:pPr>
        <w:adjustRightInd w:val="0"/>
        <w:snapToGrid w:val="0"/>
        <w:spacing w:line="360" w:lineRule="auto"/>
        <w:jc w:val="both"/>
      </w:pPr>
      <w:r>
        <w:rPr>
          <w:rFonts w:ascii="Book Antiqua" w:eastAsia="Book Antiqua" w:hAnsi="Book Antiqua" w:cs="Book Antiqua"/>
          <w:b/>
          <w:bCs/>
          <w:caps/>
          <w:color w:val="000000"/>
          <w:u w:val="single"/>
        </w:rPr>
        <w:t xml:space="preserve">Iron chelation in gestational alloimmune liver diseases </w:t>
      </w:r>
    </w:p>
    <w:p w14:paraId="2CEE43E7"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In Gestational alloimmune liver disease alloimmunization of fetal liver antigen occurs in maternal blood resulting in</w:t>
      </w:r>
      <w:r>
        <w:rPr>
          <w:rFonts w:ascii="Book Antiqua" w:eastAsia="Book Antiqua" w:hAnsi="Book Antiqua" w:cs="Book Antiqua"/>
          <w:i/>
          <w:iCs/>
          <w:color w:val="000000"/>
        </w:rPr>
        <w:t xml:space="preserve"> </w:t>
      </w:r>
      <w:r>
        <w:rPr>
          <w:rFonts w:ascii="Book Antiqua" w:eastAsia="Book Antiqua" w:hAnsi="Book Antiqua" w:cs="Book Antiqua"/>
          <w:color w:val="000000"/>
        </w:rPr>
        <w:t>IgG fetal liver antibody causing complement activation in fetal liver and significant impairment in hepcidin production (Figure 2)</w:t>
      </w:r>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xml:space="preserve">. This causes iron storage in various organs like liver, heart, gonads, pancreas </w:t>
      </w:r>
      <w:r>
        <w:rPr>
          <w:rFonts w:ascii="Book Antiqua" w:eastAsia="Book Antiqua" w:hAnsi="Book Antiqua" w:cs="Book Antiqua"/>
          <w:i/>
          <w:iCs/>
          <w:color w:val="000000"/>
        </w:rPr>
        <w:t>etc.</w:t>
      </w:r>
      <w:r>
        <w:rPr>
          <w:rFonts w:ascii="Book Antiqua" w:eastAsia="Book Antiqua" w:hAnsi="Book Antiqua" w:cs="Book Antiqua"/>
          <w:color w:val="000000"/>
        </w:rPr>
        <w:t xml:space="preserve"> Gestational alloimmune liver disease (GALD) causes liver failure as a result of hemochromatosis in newborn period and has high mortality if not intervened earlier. The liver injury causes reduced production of hepcidin resulting in uncontrolled iron absorption through placenta. This excess iron might further aggravate liver injury and also result in extra-hepatic iron deposition</w:t>
      </w:r>
      <w:r>
        <w:rPr>
          <w:rFonts w:ascii="Book Antiqua" w:eastAsia="Book Antiqua" w:hAnsi="Book Antiqua" w:cs="Book Antiqua"/>
          <w:color w:val="000000"/>
          <w:szCs w:val="30"/>
          <w:vertAlign w:val="superscript"/>
        </w:rPr>
        <w:t>[81,82]</w:t>
      </w:r>
      <w:r>
        <w:rPr>
          <w:rFonts w:ascii="Book Antiqua" w:eastAsia="Book Antiqua" w:hAnsi="Book Antiqua" w:cs="Book Antiqua"/>
          <w:color w:val="000000"/>
        </w:rPr>
        <w:t xml:space="preserve">. There have been few studies of GALD being treated with </w:t>
      </w:r>
      <w:r>
        <w:rPr>
          <w:rFonts w:ascii="Book Antiqua" w:eastAsia="Book Antiqua" w:hAnsi="Book Antiqua" w:cs="Book Antiqua"/>
          <w:color w:val="000000"/>
        </w:rPr>
        <w:lastRenderedPageBreak/>
        <w:t xml:space="preserve">iron chelators (intravenous deferoxamine) and antioxidants with no clear-cut benefit. In the series by Flynn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five infants with neonatal hemochromatosis received intravenous deferoxamine but only one survived without liver transplantation. In the study by Rodrigues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10 infants received iron chelation but only one survived without transplantation. In another series by Sigurdsson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six infants with neonatal hemochromatosis received supportive measures whereas eight infants received combination of deferoxamine and antioxidants. Two out of six who received supportive measures survived compared to only one who received chelation. It is not clear if the small proportion of response to chelation is due to efficacy of the drug in already advanced disease or due to natural history. In the recent years, it now clear that intravenous immunoglobulin has a superior role than chelation therapy in GALD.</w:t>
      </w:r>
    </w:p>
    <w:p w14:paraId="4BAFB8CD" w14:textId="77777777" w:rsidR="00A77B3E" w:rsidRDefault="00A77B3E" w:rsidP="00FC1E70">
      <w:pPr>
        <w:adjustRightInd w:val="0"/>
        <w:snapToGrid w:val="0"/>
        <w:spacing w:line="360" w:lineRule="auto"/>
        <w:jc w:val="both"/>
      </w:pPr>
    </w:p>
    <w:p w14:paraId="2F51800B" w14:textId="77777777" w:rsidR="00A77B3E" w:rsidRDefault="00FC1E70" w:rsidP="00FC1E70">
      <w:pPr>
        <w:adjustRightInd w:val="0"/>
        <w:snapToGrid w:val="0"/>
        <w:spacing w:line="360" w:lineRule="auto"/>
        <w:jc w:val="both"/>
      </w:pPr>
      <w:r>
        <w:rPr>
          <w:rFonts w:ascii="Book Antiqua" w:eastAsia="Book Antiqua" w:hAnsi="Book Antiqua" w:cs="Book Antiqua"/>
          <w:b/>
          <w:bCs/>
          <w:caps/>
          <w:color w:val="000000"/>
          <w:u w:val="single"/>
        </w:rPr>
        <w:t>Iron chelation in hereditary hemochromatosis</w:t>
      </w:r>
    </w:p>
    <w:p w14:paraId="64A9EB3A"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Hemochromatosis is due to iron accumulation in various organs with secondary causes being commoner in children than hereditary hemochromatosis. Secondary causes of hemochromatosis are commonly related to repeated transfusions in hemolytic anemia especially thalassemia major.</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 normal individuals, increased plasma iron induces the genes like HFE, TFR2 and HJV. This causes release in hepcidin, binding with </w:t>
      </w:r>
      <w:proofErr w:type="spellStart"/>
      <w:r>
        <w:rPr>
          <w:rFonts w:ascii="Book Antiqua" w:eastAsia="Book Antiqua" w:hAnsi="Book Antiqua" w:cs="Book Antiqua"/>
          <w:color w:val="000000"/>
        </w:rPr>
        <w:t>ferroportin</w:t>
      </w:r>
      <w:proofErr w:type="spellEnd"/>
      <w:r>
        <w:rPr>
          <w:rFonts w:ascii="Book Antiqua" w:eastAsia="Book Antiqua" w:hAnsi="Book Antiqua" w:cs="Book Antiqua"/>
          <w:color w:val="000000"/>
        </w:rPr>
        <w:t xml:space="preserve"> in enterocytes and macrophages, reducing iron absorption. Hereditary hemochromatosis (HH), most commonly due to mutation in HFE, cause impaired production of hepcidin making checkpoint for iron absorption defective</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Animal studies showed</w:t>
      </w:r>
      <w:r>
        <w:rPr>
          <w:rFonts w:ascii="Book Antiqua" w:eastAsia="Book Antiqua" w:hAnsi="Book Antiqua" w:cs="Book Antiqua"/>
          <w:i/>
          <w:iCs/>
          <w:color w:val="000000"/>
        </w:rPr>
        <w:t xml:space="preserve"> </w:t>
      </w:r>
      <w:r>
        <w:rPr>
          <w:rFonts w:ascii="Book Antiqua" w:eastAsia="Book Antiqua" w:hAnsi="Book Antiqua" w:cs="Book Antiqua"/>
          <w:color w:val="000000"/>
        </w:rPr>
        <w:t>excessive fat intake causes impaired hepcidin production and increased transferrin receptor 1 and divalent metal transporter 1 Levels by altering mRNA expression. Hence, increased iron absorption and iron related liver injury may be responsible for development of non-alcoholic steatohepatitis</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Hereditary hemochromatosis (HH) is extremely rare in children. Excess iron in the serum causes liver cirrhosis, skin pigmentation, pancreatic insufficiency, cardiac dysfunction and hypothyroidism</w:t>
      </w:r>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Iron chelation forms the mainstay of therapy in transfusion related siderosis in various hemolytic anemias in children. In a few studies, iron chelators have been implicated in treatment of HH also. Deferoxamine is parenteral iron chelator, given either as subcutaneous or intravenous </w:t>
      </w:r>
      <w:r>
        <w:rPr>
          <w:rFonts w:ascii="Book Antiqua" w:eastAsia="Book Antiqua" w:hAnsi="Book Antiqua" w:cs="Book Antiqua"/>
          <w:color w:val="000000"/>
        </w:rPr>
        <w:lastRenderedPageBreak/>
        <w:t xml:space="preserve">infusion (20-50 mg/kg per day) over 8-24 h. Adverse effects seen are local reaction in injection site, hearing abnormalities, bone abnormalities </w:t>
      </w:r>
      <w:r>
        <w:rPr>
          <w:rFonts w:ascii="Book Antiqua" w:eastAsia="Book Antiqua" w:hAnsi="Book Antiqua" w:cs="Book Antiqua"/>
          <w:i/>
          <w:iCs/>
          <w:color w:val="000000"/>
        </w:rPr>
        <w:t>etc.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Deferasirox</w:t>
      </w:r>
      <w:proofErr w:type="spellEnd"/>
      <w:r>
        <w:rPr>
          <w:rFonts w:ascii="Book Antiqua" w:eastAsia="Book Antiqua" w:hAnsi="Book Antiqua" w:cs="Book Antiqua"/>
          <w:color w:val="000000"/>
        </w:rPr>
        <w:t xml:space="preserve"> is an oral chelator with a similar efficacy as deferoxamine in removing hepatic iron but prone for its gastrointestinal side effects. Deferiprone, also an oral chelator is prone for gastrointestinal side effects and agranulocytosis and is highly effective in removing cardiac iron compared to other chelators (Table 4)</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Phatak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from Italy studied multiple doses of deferoxamine in HH, showed 10 mg/kg is the dose with optimal response and lower side effects. </w:t>
      </w:r>
      <w:proofErr w:type="spellStart"/>
      <w:r>
        <w:rPr>
          <w:rFonts w:ascii="Book Antiqua" w:eastAsia="Book Antiqua" w:hAnsi="Book Antiqua" w:cs="Book Antiqua"/>
          <w:color w:val="000000"/>
        </w:rPr>
        <w:t>Nagler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analyzed 2 patients treated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who showed significant reduction in serum ferritin in the follow up. EASL and AASLD guidelines on HH recommend phlebotomy as the treatment of choice in HH</w:t>
      </w:r>
      <w:r>
        <w:rPr>
          <w:rFonts w:ascii="Book Antiqua" w:eastAsia="Book Antiqua" w:hAnsi="Book Antiqua" w:cs="Book Antiqua"/>
          <w:color w:val="000000"/>
          <w:szCs w:val="30"/>
          <w:vertAlign w:val="superscript"/>
        </w:rPr>
        <w:t>[92,93]</w:t>
      </w:r>
      <w:r>
        <w:rPr>
          <w:rFonts w:ascii="Book Antiqua" w:eastAsia="Book Antiqua" w:hAnsi="Book Antiqua" w:cs="Book Antiqua"/>
          <w:color w:val="000000"/>
        </w:rPr>
        <w:t xml:space="preserve">. Chelation may be considered in HH when phlebotomy is not tolerated due to severe congestive cardiac failure, anemia and in case of difficult venous access. </w:t>
      </w:r>
    </w:p>
    <w:p w14:paraId="65B209FA" w14:textId="77777777" w:rsidR="00A77B3E" w:rsidRDefault="00A77B3E" w:rsidP="00FC1E70">
      <w:pPr>
        <w:adjustRightInd w:val="0"/>
        <w:snapToGrid w:val="0"/>
        <w:spacing w:line="360" w:lineRule="auto"/>
        <w:jc w:val="both"/>
      </w:pPr>
    </w:p>
    <w:p w14:paraId="7A35A9F6" w14:textId="77777777" w:rsidR="00A77B3E" w:rsidRDefault="00FC1E70" w:rsidP="00FC1E70">
      <w:pPr>
        <w:adjustRightInd w:val="0"/>
        <w:snapToGrid w:val="0"/>
        <w:spacing w:line="360" w:lineRule="auto"/>
        <w:jc w:val="both"/>
      </w:pPr>
      <w:r>
        <w:rPr>
          <w:rFonts w:ascii="Book Antiqua" w:eastAsia="Book Antiqua" w:hAnsi="Book Antiqua" w:cs="Book Antiqua"/>
          <w:b/>
          <w:bCs/>
          <w:caps/>
          <w:color w:val="000000"/>
          <w:u w:val="single"/>
        </w:rPr>
        <w:t>Iron chelation in secondary hemochromatosis</w:t>
      </w:r>
    </w:p>
    <w:p w14:paraId="77C64304"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In children, secondary hemochromatosis is more common than HH and is usually caused by transfusion related iron overload seen in chronic hemolytic anemia especially beta thalassemia</w:t>
      </w:r>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Each milliliter of packed RBC adds 1mg of iron to the body stores. Iron is usually bound to transferrin in plasma. However when the iron load increases, transferrin sites saturate and excess iron spills as labile plasma iron causing free radical injury to heart, liver and endocrine organs</w:t>
      </w:r>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Multiple transfusion causes liver injury by various mechanisms such as siderosis causing hepatitis eventually progressing to fibrosis and cirrhosis. Hepatic foci of hemopoiesis and transfusion related hepatitis B and C infection are also seen</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w:t>
      </w:r>
    </w:p>
    <w:p w14:paraId="0C05EC03" w14:textId="77777777" w:rsidR="00A77B3E" w:rsidRDefault="00FC1E70" w:rsidP="00FC1E70">
      <w:pPr>
        <w:adjustRightInd w:val="0"/>
        <w:snapToGrid w:val="0"/>
        <w:spacing w:line="360" w:lineRule="auto"/>
        <w:ind w:firstLine="480"/>
        <w:jc w:val="both"/>
      </w:pPr>
      <w:r>
        <w:rPr>
          <w:rFonts w:ascii="Book Antiqua" w:eastAsia="Book Antiqua" w:hAnsi="Book Antiqua" w:cs="Book Antiqua"/>
          <w:color w:val="000000"/>
        </w:rPr>
        <w:t>Iron overload related liver injury can be assessed by various modalities.</w:t>
      </w:r>
      <w:r>
        <w:rPr>
          <w:rFonts w:ascii="Book Antiqua" w:eastAsia="Book Antiqua" w:hAnsi="Book Antiqua" w:cs="Book Antiqua"/>
          <w:i/>
          <w:iCs/>
          <w:color w:val="000000"/>
        </w:rPr>
        <w:t xml:space="preserve"> </w:t>
      </w:r>
      <w:r>
        <w:rPr>
          <w:rFonts w:ascii="Book Antiqua" w:eastAsia="Book Antiqua" w:hAnsi="Book Antiqua" w:cs="Book Antiqua"/>
          <w:color w:val="000000"/>
        </w:rPr>
        <w:t>Serum ferritin is easily available and an inexpensive method to assess iron overload but its utility is limited in the presence of infection and inflammation. Liver iron concentration &gt; 15 mg/g dry weight of liver is associated with significant mortality and morbidity</w:t>
      </w:r>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The superconducting quantum interface device (SQUID) measures liver iron stores non-invasively but the SQUID scanners are not available in many centers worldwide</w:t>
      </w:r>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Magnetic resonance imaging</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estimates liver iron by R2 and R2* techniques and it </w:t>
      </w:r>
      <w:r>
        <w:rPr>
          <w:rFonts w:ascii="Book Antiqua" w:eastAsia="Book Antiqua" w:hAnsi="Book Antiqua" w:cs="Book Antiqua"/>
          <w:color w:val="000000"/>
        </w:rPr>
        <w:lastRenderedPageBreak/>
        <w:t>correlates well with liver iron concentration attained from biopsy. Magnetic resonance imaging</w:t>
      </w:r>
      <w:r>
        <w:rPr>
          <w:rFonts w:ascii="Book Antiqua" w:eastAsia="Book Antiqua" w:hAnsi="Book Antiqua" w:cs="Book Antiqua"/>
          <w:i/>
          <w:iCs/>
          <w:color w:val="000000"/>
        </w:rPr>
        <w:t xml:space="preserve"> </w:t>
      </w:r>
      <w:r>
        <w:rPr>
          <w:rFonts w:ascii="Book Antiqua" w:eastAsia="Book Antiqua" w:hAnsi="Book Antiqua" w:cs="Book Antiqua"/>
          <w:color w:val="000000"/>
        </w:rPr>
        <w:t>(MRI) has now become the primary monitoring tool for both liver and cardiac iron</w:t>
      </w:r>
      <w:r>
        <w:rPr>
          <w:rFonts w:ascii="Book Antiqua" w:eastAsia="Book Antiqua" w:hAnsi="Book Antiqua" w:cs="Book Antiqua"/>
          <w:color w:val="000000"/>
          <w:szCs w:val="30"/>
          <w:vertAlign w:val="superscript"/>
        </w:rPr>
        <w:t>[99]</w:t>
      </w:r>
      <w:r>
        <w:rPr>
          <w:rFonts w:ascii="Book Antiqua" w:eastAsia="Book Antiqua" w:hAnsi="Book Antiqua" w:cs="Book Antiqua"/>
          <w:color w:val="000000"/>
        </w:rPr>
        <w:t>.</w:t>
      </w:r>
    </w:p>
    <w:p w14:paraId="5A3BF6CC" w14:textId="77777777" w:rsidR="00A77B3E" w:rsidRDefault="00FC1E70" w:rsidP="00FC1E70">
      <w:pPr>
        <w:adjustRightInd w:val="0"/>
        <w:snapToGrid w:val="0"/>
        <w:spacing w:line="360" w:lineRule="auto"/>
        <w:ind w:firstLine="480"/>
        <w:jc w:val="both"/>
      </w:pPr>
      <w:r>
        <w:rPr>
          <w:rFonts w:ascii="Book Antiqua" w:eastAsia="Book Antiqua" w:hAnsi="Book Antiqua" w:cs="Book Antiqua"/>
          <w:color w:val="000000"/>
        </w:rPr>
        <w:t>Liver injury due to iron overload was common in children in pre-chelation era. Liver biopsies obtained in 80 children with beta thalassemia during splenectomy showed cirrhosis in 40% of children &gt; 11 years with risk of cirrhosis increasing with age. 60% of the children showed hypoalbuminemia and 70% showed elevated transaminases</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Iron-chelators are well established treatment modality to prevent iron overload related liver injury. In a retrospective study by </w:t>
      </w:r>
      <w:proofErr w:type="spellStart"/>
      <w:r>
        <w:rPr>
          <w:rFonts w:ascii="Book Antiqua" w:eastAsia="Book Antiqua" w:hAnsi="Book Antiqua" w:cs="Book Antiqua"/>
          <w:color w:val="000000"/>
        </w:rPr>
        <w:t>Maira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deferasirox</w:t>
      </w:r>
      <w:proofErr w:type="spellEnd"/>
      <w:r>
        <w:rPr>
          <w:rFonts w:ascii="Book Antiqua" w:eastAsia="Book Antiqua" w:hAnsi="Book Antiqua" w:cs="Book Antiqua"/>
          <w:color w:val="000000"/>
        </w:rPr>
        <w:t xml:space="preserve"> for a duration of 4 ± 1.5 years showed significant improvement in liver stiffness measurement by transient elastography (7.4 ± 3.2 kPa </w:t>
      </w:r>
      <w:r>
        <w:rPr>
          <w:rFonts w:ascii="Book Antiqua" w:eastAsia="Book Antiqua" w:hAnsi="Book Antiqua" w:cs="Book Antiqua"/>
          <w:i/>
          <w:iCs/>
          <w:color w:val="000000"/>
        </w:rPr>
        <w:t>vs</w:t>
      </w:r>
      <w:r>
        <w:rPr>
          <w:rFonts w:ascii="Book Antiqua" w:eastAsia="Book Antiqua" w:hAnsi="Book Antiqua" w:cs="Book Antiqua"/>
          <w:color w:val="000000"/>
        </w:rPr>
        <w:t xml:space="preserve"> 6.6 ± 3.2 kPa, </w:t>
      </w:r>
      <w:r>
        <w:rPr>
          <w:rFonts w:ascii="Book Antiqua" w:eastAsia="Book Antiqua" w:hAnsi="Book Antiqua" w:cs="Book Antiqua"/>
          <w:i/>
          <w:iCs/>
          <w:color w:val="000000"/>
        </w:rPr>
        <w:t xml:space="preserve">P = </w:t>
      </w:r>
      <w:r>
        <w:rPr>
          <w:rFonts w:ascii="Book Antiqua" w:eastAsia="Book Antiqua" w:hAnsi="Book Antiqua" w:cs="Book Antiqua"/>
          <w:color w:val="000000"/>
        </w:rPr>
        <w:t xml:space="preserve">0.017) and liver iron concentration (LIC) (4.81 ± 3.82 mg/g </w:t>
      </w:r>
      <w:r>
        <w:rPr>
          <w:rFonts w:ascii="Book Antiqua" w:eastAsia="Book Antiqua" w:hAnsi="Book Antiqua" w:cs="Book Antiqua"/>
          <w:i/>
          <w:iCs/>
          <w:color w:val="000000"/>
        </w:rPr>
        <w:t>vs</w:t>
      </w:r>
      <w:r>
        <w:rPr>
          <w:rFonts w:ascii="Book Antiqua" w:eastAsia="Book Antiqua" w:hAnsi="Book Antiqua" w:cs="Book Antiqua"/>
          <w:color w:val="000000"/>
        </w:rPr>
        <w:t xml:space="preserve"> 3.65 ± 3.45 mg/g, </w:t>
      </w:r>
      <w:r>
        <w:rPr>
          <w:rFonts w:ascii="Book Antiqua" w:eastAsia="Book Antiqua" w:hAnsi="Book Antiqua" w:cs="Book Antiqua"/>
          <w:i/>
          <w:iCs/>
          <w:color w:val="000000"/>
        </w:rPr>
        <w:t xml:space="preserve">P = </w:t>
      </w:r>
      <w:r>
        <w:rPr>
          <w:rFonts w:ascii="Book Antiqua" w:eastAsia="Book Antiqua" w:hAnsi="Book Antiqua" w:cs="Book Antiqua"/>
          <w:color w:val="000000"/>
        </w:rPr>
        <w:t xml:space="preserve">0.001). Thus, iron chelation not only prevents progression of liver injury but also reverses inflammation and fibrosis. In the multicentric cross-sectional study from Italy, 924 beta-thalassemia patients were evaluated for iron overload assessment and management. The study showed serum ferritin had an excellent correlation with liver iron concentration. </w:t>
      </w:r>
      <w:proofErr w:type="spellStart"/>
      <w:r>
        <w:rPr>
          <w:rFonts w:ascii="Book Antiqua" w:eastAsia="Book Antiqua" w:hAnsi="Book Antiqua" w:cs="Book Antiqua"/>
          <w:color w:val="000000"/>
        </w:rPr>
        <w:t>Deferasirox</w:t>
      </w:r>
      <w:proofErr w:type="spellEnd"/>
      <w:r>
        <w:rPr>
          <w:rFonts w:ascii="Book Antiqua" w:eastAsia="Book Antiqua" w:hAnsi="Book Antiqua" w:cs="Book Antiqua"/>
          <w:color w:val="000000"/>
        </w:rPr>
        <w:t xml:space="preserve"> (38.3%) was most preferred chelator, especially in children because of its safety and easy administration</w:t>
      </w:r>
      <w:r>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Deferiprone was less commonly used when transaminases were elevated due to its concern of hepatic fibrosis</w:t>
      </w:r>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Combination of two chelators were used whenever serum ferritin &gt; 2500 ng/m</w:t>
      </w:r>
      <w:r>
        <w:rPr>
          <w:rFonts w:ascii="Book Antiqua" w:eastAsia="Book Antiqua" w:hAnsi="Book Antiqua" w:cs="Book Antiqua"/>
          <w:caps/>
          <w:color w:val="000000"/>
        </w:rPr>
        <w:t>l</w:t>
      </w:r>
      <w:r>
        <w:rPr>
          <w:rFonts w:ascii="Book Antiqua" w:eastAsia="Book Antiqua" w:hAnsi="Book Antiqua" w:cs="Book Antiqua"/>
          <w:color w:val="000000"/>
        </w:rPr>
        <w:t xml:space="preserve"> or MRI R2* values &lt; 20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Guidelines suggest that LIC assessment should be done at 1-2 yearly intervals</w:t>
      </w:r>
      <w:r>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Iron over load needs to be monitored and treated pre- and post-alloimmune hematopoietic stem cell transplantation (HSCT) for hemolytic anemia. Pre-transplant serum ferritin &gt; 1000 ng/m</w:t>
      </w:r>
      <w:r>
        <w:rPr>
          <w:rFonts w:ascii="Book Antiqua" w:eastAsia="Book Antiqua" w:hAnsi="Book Antiqua" w:cs="Book Antiqua"/>
          <w:caps/>
          <w:color w:val="000000"/>
        </w:rPr>
        <w:t>l</w:t>
      </w:r>
      <w:r>
        <w:rPr>
          <w:rFonts w:ascii="Book Antiqua" w:eastAsia="Book Antiqua" w:hAnsi="Book Antiqua" w:cs="Book Antiqua"/>
          <w:color w:val="000000"/>
        </w:rPr>
        <w:t xml:space="preserve"> is associated with increased risk of post-transplant complications such as chronic liver disease, graft </w:t>
      </w:r>
      <w:r>
        <w:rPr>
          <w:rFonts w:ascii="Book Antiqua" w:eastAsia="Book Antiqua" w:hAnsi="Book Antiqua" w:cs="Book Antiqua"/>
          <w:i/>
          <w:iCs/>
          <w:color w:val="000000"/>
        </w:rPr>
        <w:t>vs</w:t>
      </w:r>
      <w:r>
        <w:rPr>
          <w:rFonts w:ascii="Book Antiqua" w:eastAsia="Book Antiqua" w:hAnsi="Book Antiqua" w:cs="Book Antiqua"/>
          <w:color w:val="000000"/>
        </w:rPr>
        <w:t xml:space="preserve"> host disease (GVHD), sinusoidal obstruction syndrome and infection</w:t>
      </w:r>
      <w:r>
        <w:rPr>
          <w:rFonts w:ascii="Book Antiqua" w:eastAsia="Book Antiqua" w:hAnsi="Book Antiqua" w:cs="Book Antiqua"/>
          <w:color w:val="000000"/>
          <w:szCs w:val="30"/>
          <w:vertAlign w:val="superscript"/>
        </w:rPr>
        <w:t>[103,104]</w:t>
      </w:r>
      <w:r>
        <w:rPr>
          <w:rFonts w:ascii="Book Antiqua" w:eastAsia="Book Antiqua" w:hAnsi="Book Antiqua" w:cs="Book Antiqua"/>
          <w:color w:val="000000"/>
        </w:rPr>
        <w:t xml:space="preserve">. Hence it is mandatory to rapidly reduce ferritin levels before HSCT. Gruppo </w:t>
      </w:r>
      <w:proofErr w:type="spellStart"/>
      <w:r>
        <w:rPr>
          <w:rFonts w:ascii="Book Antiqua" w:eastAsia="Book Antiqua" w:hAnsi="Book Antiqua" w:cs="Book Antiqua"/>
          <w:color w:val="000000"/>
        </w:rPr>
        <w:t>Italiano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Trapianto</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Midollo</w:t>
      </w:r>
      <w:proofErr w:type="spellEnd"/>
      <w:r>
        <w:rPr>
          <w:rFonts w:ascii="Book Antiqua" w:eastAsia="Book Antiqua" w:hAnsi="Book Antiqua" w:cs="Book Antiqua"/>
          <w:color w:val="000000"/>
        </w:rPr>
        <w:t xml:space="preserve"> Osseo (GITMO) study group recommends switching to intravenous deferoxamine for rapid lowering of serum ferritin pre-transplant. From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post-transplant, iron overload is to be assessed by serum ferritin and MRI R2*. If LIC in MRI </w:t>
      </w:r>
      <w:r>
        <w:rPr>
          <w:rFonts w:ascii="Book Antiqua" w:eastAsia="Book Antiqua" w:hAnsi="Book Antiqua" w:cs="Book Antiqua"/>
          <w:color w:val="000000"/>
        </w:rPr>
        <w:lastRenderedPageBreak/>
        <w:t>&gt; 7 mg/g phlebotomy is preferred, but when LIC &gt; 15 mg/g phlebotomy along with iron chelators are required to prevent complications</w:t>
      </w:r>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w:t>
      </w:r>
    </w:p>
    <w:p w14:paraId="4977C36E" w14:textId="77777777" w:rsidR="00A77B3E" w:rsidRDefault="00A77B3E" w:rsidP="00FC1E70">
      <w:pPr>
        <w:adjustRightInd w:val="0"/>
        <w:snapToGrid w:val="0"/>
        <w:spacing w:line="360" w:lineRule="auto"/>
        <w:ind w:firstLine="480"/>
        <w:jc w:val="both"/>
      </w:pPr>
    </w:p>
    <w:p w14:paraId="12912C34" w14:textId="77777777" w:rsidR="00A77B3E" w:rsidRDefault="00FC1E70" w:rsidP="00FC1E70">
      <w:pPr>
        <w:adjustRightInd w:val="0"/>
        <w:snapToGrid w:val="0"/>
        <w:spacing w:line="360" w:lineRule="auto"/>
        <w:jc w:val="both"/>
      </w:pPr>
      <w:r>
        <w:rPr>
          <w:rFonts w:ascii="Book Antiqua" w:eastAsia="Book Antiqua" w:hAnsi="Book Antiqua" w:cs="Book Antiqua"/>
          <w:b/>
          <w:caps/>
          <w:color w:val="000000"/>
          <w:u w:val="single"/>
        </w:rPr>
        <w:t>CONCLUSION</w:t>
      </w:r>
    </w:p>
    <w:p w14:paraId="6659872D"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Copper chelation by D-penicillamine and trientine forms the mainstay of treatment in childhood WD. Appropriate dosing, compliance to medications and scheduled monitoring with liver function tests, 24-h urine copper and non- ceruloplasmin copper are required for better control of the disease. D-penicillamine is a promising treatment for Indian childhood cirrhosis especially in early stages. The role in other non-Wilsonian copper diseases is doubtful. The use of iron chelator in Gestational alloimmune liver disease is waning due to its poor efficacy. Iron chelator may be considered as an alternative therapy in hereditary hemochromatosis when the primary treatment fails or not feasible but in case of secondary hemochromatosis chelation forms the main treatment.</w:t>
      </w:r>
    </w:p>
    <w:p w14:paraId="13A3C3B5" w14:textId="77777777" w:rsidR="00A77B3E" w:rsidRDefault="00A77B3E" w:rsidP="00FC1E70">
      <w:pPr>
        <w:adjustRightInd w:val="0"/>
        <w:snapToGrid w:val="0"/>
        <w:spacing w:line="360" w:lineRule="auto"/>
        <w:jc w:val="both"/>
      </w:pPr>
    </w:p>
    <w:p w14:paraId="0C97C1FC" w14:textId="77777777" w:rsidR="00A77B3E" w:rsidRDefault="00FC1E70" w:rsidP="00FC1E70">
      <w:pPr>
        <w:adjustRightInd w:val="0"/>
        <w:snapToGrid w:val="0"/>
        <w:spacing w:line="360" w:lineRule="auto"/>
        <w:jc w:val="both"/>
      </w:pPr>
      <w:r>
        <w:rPr>
          <w:rFonts w:ascii="Book Antiqua" w:eastAsia="Book Antiqua" w:hAnsi="Book Antiqua" w:cs="Book Antiqua"/>
          <w:b/>
          <w:color w:val="000000"/>
        </w:rPr>
        <w:t>REFERENCES</w:t>
      </w:r>
    </w:p>
    <w:p w14:paraId="34F9A21C" w14:textId="77777777" w:rsidR="00A77B3E" w:rsidRDefault="00FC1E70" w:rsidP="00FC1E70">
      <w:pPr>
        <w:adjustRightInd w:val="0"/>
        <w:snapToGrid w:val="0"/>
        <w:spacing w:line="360" w:lineRule="auto"/>
        <w:jc w:val="both"/>
      </w:pPr>
      <w:bookmarkStart w:id="11" w:name="OLE_LINK467"/>
      <w:bookmarkStart w:id="12" w:name="OLE_LINK468"/>
      <w:r>
        <w:rPr>
          <w:rFonts w:ascii="Book Antiqua" w:eastAsia="Book Antiqua" w:hAnsi="Book Antiqua" w:cs="Book Antiqua"/>
          <w:color w:val="000000"/>
        </w:rPr>
        <w:t xml:space="preserve">1 </w:t>
      </w:r>
      <w:r w:rsidR="00533F22" w:rsidRPr="00533F22">
        <w:rPr>
          <w:rFonts w:ascii="Book Antiqua" w:eastAsia="Book Antiqua" w:hAnsi="Book Antiqua" w:cs="Book Antiqua"/>
          <w:b/>
          <w:bCs/>
          <w:caps/>
          <w:color w:val="000000"/>
        </w:rPr>
        <w:t>w</w:t>
      </w:r>
      <w:r w:rsidR="00533F22">
        <w:rPr>
          <w:rFonts w:ascii="Book Antiqua" w:eastAsia="Book Antiqua" w:hAnsi="Book Antiqua" w:cs="Book Antiqua"/>
          <w:b/>
          <w:bCs/>
          <w:color w:val="000000"/>
        </w:rPr>
        <w:t xml:space="preserve">alshe </w:t>
      </w:r>
      <w:r>
        <w:rPr>
          <w:rFonts w:ascii="Book Antiqua" w:eastAsia="Book Antiqua" w:hAnsi="Book Antiqua" w:cs="Book Antiqua"/>
          <w:b/>
          <w:bCs/>
          <w:color w:val="000000"/>
        </w:rPr>
        <w:t>JM</w:t>
      </w:r>
      <w:r>
        <w:rPr>
          <w:rFonts w:ascii="Book Antiqua" w:eastAsia="Book Antiqua" w:hAnsi="Book Antiqua" w:cs="Book Antiqua"/>
          <w:color w:val="000000"/>
        </w:rPr>
        <w:t xml:space="preserve">. Penicillamine, a new oral therapy for Wilson's disease.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1956; </w:t>
      </w:r>
      <w:r>
        <w:rPr>
          <w:rFonts w:ascii="Book Antiqua" w:eastAsia="Book Antiqua" w:hAnsi="Book Antiqua" w:cs="Book Antiqua"/>
          <w:b/>
          <w:bCs/>
          <w:color w:val="000000"/>
        </w:rPr>
        <w:t>21</w:t>
      </w:r>
      <w:r>
        <w:rPr>
          <w:rFonts w:ascii="Book Antiqua" w:eastAsia="Book Antiqua" w:hAnsi="Book Antiqua" w:cs="Book Antiqua"/>
          <w:color w:val="000000"/>
        </w:rPr>
        <w:t>: 487-495 [PMID: 13362281 DOI: 10.1016/0002-9343(56)90066-3]</w:t>
      </w:r>
    </w:p>
    <w:p w14:paraId="67CCE389" w14:textId="77777777" w:rsidR="00A77B3E" w:rsidRDefault="00533F22" w:rsidP="00FC1E70">
      <w:pPr>
        <w:adjustRightInd w:val="0"/>
        <w:snapToGrid w:val="0"/>
        <w:spacing w:line="360" w:lineRule="auto"/>
        <w:jc w:val="both"/>
      </w:pPr>
      <w:r>
        <w:rPr>
          <w:rFonts w:ascii="Book Antiqua" w:eastAsia="Book Antiqua" w:hAnsi="Book Antiqua" w:cs="Book Antiqua"/>
          <w:color w:val="000000"/>
        </w:rPr>
        <w:t xml:space="preserve">2 </w:t>
      </w:r>
      <w:proofErr w:type="spellStart"/>
      <w:r w:rsidR="00FC1E70" w:rsidRPr="00533F22">
        <w:rPr>
          <w:rFonts w:ascii="Book Antiqua" w:eastAsia="Book Antiqua" w:hAnsi="Book Antiqua" w:cs="Book Antiqua"/>
          <w:b/>
          <w:color w:val="000000"/>
        </w:rPr>
        <w:t>Mettananda</w:t>
      </w:r>
      <w:proofErr w:type="spellEnd"/>
      <w:r w:rsidR="00FC1E70" w:rsidRPr="00533F22">
        <w:rPr>
          <w:rFonts w:ascii="Book Antiqua" w:eastAsia="Book Antiqua" w:hAnsi="Book Antiqua" w:cs="Book Antiqua"/>
          <w:b/>
          <w:color w:val="000000"/>
        </w:rPr>
        <w:t xml:space="preserve"> S</w:t>
      </w:r>
      <w:r w:rsidR="00FC1E70">
        <w:rPr>
          <w:rFonts w:ascii="Book Antiqua" w:eastAsia="Book Antiqua" w:hAnsi="Book Antiqua" w:cs="Book Antiqua"/>
          <w:color w:val="000000"/>
        </w:rPr>
        <w:t xml:space="preserve">. Management of </w:t>
      </w:r>
      <w:proofErr w:type="spellStart"/>
      <w:r w:rsidR="00FC1E70">
        <w:rPr>
          <w:rFonts w:ascii="Book Antiqua" w:eastAsia="Book Antiqua" w:hAnsi="Book Antiqua" w:cs="Book Antiqua"/>
          <w:color w:val="000000"/>
        </w:rPr>
        <w:t>thalassaemia</w:t>
      </w:r>
      <w:proofErr w:type="spellEnd"/>
      <w:r w:rsidR="00FC1E70">
        <w:rPr>
          <w:rFonts w:ascii="Book Antiqua" w:eastAsia="Book Antiqua" w:hAnsi="Book Antiqua" w:cs="Book Antiqua"/>
          <w:color w:val="000000"/>
        </w:rPr>
        <w:t xml:space="preserve">. </w:t>
      </w:r>
      <w:r w:rsidR="00FC1E70" w:rsidRPr="00533F22">
        <w:rPr>
          <w:rFonts w:ascii="Book Antiqua" w:eastAsia="Book Antiqua" w:hAnsi="Book Antiqua" w:cs="Book Antiqua"/>
          <w:i/>
          <w:color w:val="000000"/>
        </w:rPr>
        <w:t xml:space="preserve">Sri Lanka J Child Heal </w:t>
      </w:r>
      <w:r w:rsidR="00FC1E70">
        <w:rPr>
          <w:rFonts w:ascii="Book Antiqua" w:eastAsia="Book Antiqua" w:hAnsi="Book Antiqua" w:cs="Book Antiqua"/>
          <w:color w:val="000000"/>
        </w:rPr>
        <w:t xml:space="preserve">2018; </w:t>
      </w:r>
      <w:r w:rsidR="00FC1E70" w:rsidRPr="00533F22">
        <w:rPr>
          <w:rFonts w:ascii="Book Antiqua" w:eastAsia="Book Antiqua" w:hAnsi="Book Antiqua" w:cs="Book Antiqua"/>
          <w:b/>
          <w:color w:val="000000"/>
        </w:rPr>
        <w:t>47</w:t>
      </w:r>
      <w:r w:rsidR="00FC1E70">
        <w:rPr>
          <w:rFonts w:ascii="Book Antiqua" w:eastAsia="Book Antiqua" w:hAnsi="Book Antiqua" w:cs="Book Antiqua"/>
          <w:color w:val="000000"/>
        </w:rPr>
        <w:t>: 159-165 [DOI: 10.4038/sljch.v47i2.8484]</w:t>
      </w:r>
    </w:p>
    <w:p w14:paraId="3A41F708"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Aaseth</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Skaug</w:t>
      </w:r>
      <w:proofErr w:type="spellEnd"/>
      <w:r>
        <w:rPr>
          <w:rFonts w:ascii="Book Antiqua" w:eastAsia="Book Antiqua" w:hAnsi="Book Antiqua" w:cs="Book Antiqua"/>
          <w:color w:val="000000"/>
        </w:rPr>
        <w:t xml:space="preserve"> MA, Cao Y, Andersen O. Chelation in metal intoxication--Principles and paradigms. </w:t>
      </w:r>
      <w:r>
        <w:rPr>
          <w:rFonts w:ascii="Book Antiqua" w:eastAsia="Book Antiqua" w:hAnsi="Book Antiqua" w:cs="Book Antiqua"/>
          <w:i/>
          <w:iCs/>
          <w:color w:val="000000"/>
        </w:rPr>
        <w:t>J Trace Elem Med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31</w:t>
      </w:r>
      <w:r>
        <w:rPr>
          <w:rFonts w:ascii="Book Antiqua" w:eastAsia="Book Antiqua" w:hAnsi="Book Antiqua" w:cs="Book Antiqua"/>
          <w:color w:val="000000"/>
        </w:rPr>
        <w:t>: 260-266 [PMID: 25457281 DOI: 10.1016/j.jtemb.2014.10.001]</w:t>
      </w:r>
    </w:p>
    <w:p w14:paraId="0FAEB5D7" w14:textId="6E2BCCA9" w:rsidR="00A77B3E" w:rsidRDefault="00281B5B" w:rsidP="00FC1E70">
      <w:pPr>
        <w:adjustRightInd w:val="0"/>
        <w:snapToGrid w:val="0"/>
        <w:spacing w:line="360" w:lineRule="auto"/>
        <w:jc w:val="both"/>
      </w:pPr>
      <w:r>
        <w:rPr>
          <w:rFonts w:ascii="Book Antiqua" w:eastAsia="Book Antiqua" w:hAnsi="Book Antiqua" w:cs="Book Antiqua"/>
          <w:color w:val="000000"/>
        </w:rPr>
        <w:t xml:space="preserve">4 </w:t>
      </w:r>
      <w:r w:rsidRPr="00281B5B">
        <w:rPr>
          <w:rFonts w:ascii="Book Antiqua" w:eastAsia="Book Antiqua" w:hAnsi="Book Antiqua" w:cs="Book Antiqua"/>
          <w:color w:val="000000"/>
        </w:rPr>
        <w:t>Al-</w:t>
      </w:r>
      <w:proofErr w:type="spellStart"/>
      <w:r w:rsidRPr="00281B5B">
        <w:rPr>
          <w:rFonts w:ascii="Book Antiqua" w:eastAsia="Book Antiqua" w:hAnsi="Book Antiqua" w:cs="Book Antiqua"/>
          <w:color w:val="000000"/>
        </w:rPr>
        <w:t>Karadaghi</w:t>
      </w:r>
      <w:proofErr w:type="spellEnd"/>
      <w:r w:rsidRPr="00281B5B">
        <w:rPr>
          <w:rFonts w:ascii="Book Antiqua" w:eastAsia="Book Antiqua" w:hAnsi="Book Antiqua" w:cs="Book Antiqua"/>
          <w:color w:val="000000"/>
        </w:rPr>
        <w:t xml:space="preserve"> S, Franco R, Hansson M, </w:t>
      </w:r>
      <w:proofErr w:type="spellStart"/>
      <w:r w:rsidRPr="00281B5B">
        <w:rPr>
          <w:rFonts w:ascii="Book Antiqua" w:eastAsia="Book Antiqua" w:hAnsi="Book Antiqua" w:cs="Book Antiqua"/>
          <w:color w:val="000000"/>
        </w:rPr>
        <w:t>Shelnutt</w:t>
      </w:r>
      <w:proofErr w:type="spellEnd"/>
      <w:r w:rsidRPr="00281B5B">
        <w:rPr>
          <w:rFonts w:ascii="Book Antiqua" w:eastAsia="Book Antiqua" w:hAnsi="Book Antiqua" w:cs="Book Antiqua"/>
          <w:color w:val="000000"/>
        </w:rPr>
        <w:t xml:space="preserve"> JA, </w:t>
      </w:r>
      <w:proofErr w:type="spellStart"/>
      <w:r w:rsidRPr="00281B5B">
        <w:rPr>
          <w:rFonts w:ascii="Book Antiqua" w:eastAsia="Book Antiqua" w:hAnsi="Book Antiqua" w:cs="Book Antiqua"/>
          <w:color w:val="000000"/>
        </w:rPr>
        <w:t>Isaya</w:t>
      </w:r>
      <w:proofErr w:type="spellEnd"/>
      <w:r w:rsidRPr="00281B5B">
        <w:rPr>
          <w:rFonts w:ascii="Book Antiqua" w:eastAsia="Book Antiqua" w:hAnsi="Book Antiqua" w:cs="Book Antiqua"/>
          <w:color w:val="000000"/>
        </w:rPr>
        <w:t xml:space="preserve"> G, Ferreira GC. Chelatases: distort to select? </w:t>
      </w:r>
      <w:r w:rsidRPr="00281B5B">
        <w:rPr>
          <w:rFonts w:ascii="Book Antiqua" w:eastAsia="Book Antiqua" w:hAnsi="Book Antiqua" w:cs="Book Antiqua"/>
          <w:i/>
          <w:iCs/>
          <w:color w:val="000000"/>
        </w:rPr>
        <w:t xml:space="preserve">Trends </w:t>
      </w:r>
      <w:proofErr w:type="spellStart"/>
      <w:r w:rsidRPr="00281B5B">
        <w:rPr>
          <w:rFonts w:ascii="Book Antiqua" w:eastAsia="Book Antiqua" w:hAnsi="Book Antiqua" w:cs="Book Antiqua"/>
          <w:i/>
          <w:iCs/>
          <w:color w:val="000000"/>
        </w:rPr>
        <w:t>Biochem</w:t>
      </w:r>
      <w:proofErr w:type="spellEnd"/>
      <w:r w:rsidRPr="00281B5B">
        <w:rPr>
          <w:rFonts w:ascii="Book Antiqua" w:eastAsia="Book Antiqua" w:hAnsi="Book Antiqua" w:cs="Book Antiqua"/>
          <w:i/>
          <w:iCs/>
          <w:color w:val="000000"/>
        </w:rPr>
        <w:t xml:space="preserve"> Sci.</w:t>
      </w:r>
      <w:r w:rsidRPr="00281B5B">
        <w:rPr>
          <w:rFonts w:ascii="Book Antiqua" w:eastAsia="Book Antiqua" w:hAnsi="Book Antiqua" w:cs="Book Antiqua"/>
          <w:color w:val="000000"/>
        </w:rPr>
        <w:t xml:space="preserve"> 2006</w:t>
      </w:r>
      <w:r>
        <w:rPr>
          <w:rFonts w:ascii="Book Antiqua" w:eastAsia="Book Antiqua" w:hAnsi="Book Antiqua" w:cs="Book Antiqua"/>
          <w:color w:val="000000"/>
        </w:rPr>
        <w:t xml:space="preserve"> </w:t>
      </w:r>
      <w:r w:rsidRPr="00281B5B">
        <w:rPr>
          <w:rFonts w:ascii="Book Antiqua" w:eastAsia="Book Antiqua" w:hAnsi="Book Antiqua" w:cs="Book Antiqua"/>
          <w:color w:val="000000"/>
        </w:rPr>
        <w:t xml:space="preserve">;31(3):135-42. </w:t>
      </w:r>
      <w:r>
        <w:rPr>
          <w:rFonts w:ascii="Book Antiqua" w:eastAsia="Book Antiqua" w:hAnsi="Book Antiqua" w:cs="Book Antiqua"/>
          <w:color w:val="000000"/>
        </w:rPr>
        <w:t>[PMID 16469498 DOI</w:t>
      </w:r>
      <w:r w:rsidRPr="00281B5B">
        <w:rPr>
          <w:rFonts w:ascii="Book Antiqua" w:eastAsia="Book Antiqua" w:hAnsi="Book Antiqua" w:cs="Book Antiqua"/>
          <w:color w:val="000000"/>
        </w:rPr>
        <w:t xml:space="preserve">: 10.1016/j.tibs.2006.01.001. </w:t>
      </w:r>
      <w:proofErr w:type="spellStart"/>
      <w:r w:rsidRPr="00281B5B">
        <w:rPr>
          <w:rFonts w:ascii="Book Antiqua" w:eastAsia="Book Antiqua" w:hAnsi="Book Antiqua" w:cs="Book Antiqua"/>
          <w:color w:val="000000"/>
        </w:rPr>
        <w:t>Epub</w:t>
      </w:r>
      <w:proofErr w:type="spellEnd"/>
      <w:r w:rsidRPr="00281B5B">
        <w:rPr>
          <w:rFonts w:ascii="Book Antiqua" w:eastAsia="Book Antiqua" w:hAnsi="Book Antiqua" w:cs="Book Antiqua"/>
          <w:color w:val="000000"/>
        </w:rPr>
        <w:t xml:space="preserve"> 2006 Feb 15</w:t>
      </w:r>
      <w:r>
        <w:rPr>
          <w:rFonts w:ascii="Book Antiqua" w:eastAsia="Book Antiqua" w:hAnsi="Book Antiqua" w:cs="Book Antiqua"/>
          <w:color w:val="000000"/>
        </w:rPr>
        <w:t>]</w:t>
      </w:r>
    </w:p>
    <w:p w14:paraId="3C82BAF8"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Flora SJ</w:t>
      </w:r>
      <w:r>
        <w:rPr>
          <w:rFonts w:ascii="Book Antiqua" w:eastAsia="Book Antiqua" w:hAnsi="Book Antiqua" w:cs="Book Antiqua"/>
          <w:color w:val="000000"/>
        </w:rPr>
        <w:t xml:space="preserve">, Pachauri V. Chelation in metal intoxication.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2010; </w:t>
      </w:r>
      <w:r>
        <w:rPr>
          <w:rFonts w:ascii="Book Antiqua" w:eastAsia="Book Antiqua" w:hAnsi="Book Antiqua" w:cs="Book Antiqua"/>
          <w:b/>
          <w:bCs/>
          <w:color w:val="000000"/>
        </w:rPr>
        <w:t>7</w:t>
      </w:r>
      <w:r>
        <w:rPr>
          <w:rFonts w:ascii="Book Antiqua" w:eastAsia="Book Antiqua" w:hAnsi="Book Antiqua" w:cs="Book Antiqua"/>
          <w:color w:val="000000"/>
        </w:rPr>
        <w:t>: 2745-2788 [PMID: 20717537 DOI: 10.3390/ijerph7072745]</w:t>
      </w:r>
    </w:p>
    <w:p w14:paraId="7E4B88F7"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Bie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Muller P, </w:t>
      </w:r>
      <w:proofErr w:type="spellStart"/>
      <w:r>
        <w:rPr>
          <w:rFonts w:ascii="Book Antiqua" w:eastAsia="Book Antiqua" w:hAnsi="Book Antiqua" w:cs="Book Antiqua"/>
          <w:color w:val="000000"/>
        </w:rPr>
        <w:t>Wijmenga</w:t>
      </w:r>
      <w:proofErr w:type="spellEnd"/>
      <w:r>
        <w:rPr>
          <w:rFonts w:ascii="Book Antiqua" w:eastAsia="Book Antiqua" w:hAnsi="Book Antiqua" w:cs="Book Antiqua"/>
          <w:color w:val="000000"/>
        </w:rPr>
        <w:t xml:space="preserve"> C, Klomp LW. Molecular pathogenesis of Wilson and Menkes disease: correlation of mutations with molecular defects and disease phenotypes.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2007; </w:t>
      </w:r>
      <w:r>
        <w:rPr>
          <w:rFonts w:ascii="Book Antiqua" w:eastAsia="Book Antiqua" w:hAnsi="Book Antiqua" w:cs="Book Antiqua"/>
          <w:b/>
          <w:bCs/>
          <w:color w:val="000000"/>
        </w:rPr>
        <w:t>44</w:t>
      </w:r>
      <w:r>
        <w:rPr>
          <w:rFonts w:ascii="Book Antiqua" w:eastAsia="Book Antiqua" w:hAnsi="Book Antiqua" w:cs="Book Antiqua"/>
          <w:color w:val="000000"/>
        </w:rPr>
        <w:t>: 673-688 [PMID: 17717039 DOI: 10.1136/jmg.2007.052746]</w:t>
      </w:r>
    </w:p>
    <w:p w14:paraId="32D279DF"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Lalioti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Sandoval I, Cassio D, Duclos-</w:t>
      </w:r>
      <w:proofErr w:type="spellStart"/>
      <w:r>
        <w:rPr>
          <w:rFonts w:ascii="Book Antiqua" w:eastAsia="Book Antiqua" w:hAnsi="Book Antiqua" w:cs="Book Antiqua"/>
          <w:color w:val="000000"/>
        </w:rPr>
        <w:t>Vallée</w:t>
      </w:r>
      <w:proofErr w:type="spellEnd"/>
      <w:r>
        <w:rPr>
          <w:rFonts w:ascii="Book Antiqua" w:eastAsia="Book Antiqua" w:hAnsi="Book Antiqua" w:cs="Book Antiqua"/>
          <w:color w:val="000000"/>
        </w:rPr>
        <w:t xml:space="preserve"> JC. Molecular pathology of Wilson's disease: a brief.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53</w:t>
      </w:r>
      <w:r>
        <w:rPr>
          <w:rFonts w:ascii="Book Antiqua" w:eastAsia="Book Antiqua" w:hAnsi="Book Antiqua" w:cs="Book Antiqua"/>
          <w:color w:val="000000"/>
        </w:rPr>
        <w:t>: 1151-1153 [PMID: 20832891 DOI: 10.1016/j.jhep.2010.07.008]</w:t>
      </w:r>
    </w:p>
    <w:p w14:paraId="4F9A2984"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Peisach</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Blumberg WE. A mechanism for the action of penicillamine in the treatment of Wilson's disease.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1969; </w:t>
      </w:r>
      <w:r>
        <w:rPr>
          <w:rFonts w:ascii="Book Antiqua" w:eastAsia="Book Antiqua" w:hAnsi="Book Antiqua" w:cs="Book Antiqua"/>
          <w:b/>
          <w:bCs/>
          <w:color w:val="000000"/>
        </w:rPr>
        <w:t>5</w:t>
      </w:r>
      <w:r>
        <w:rPr>
          <w:rFonts w:ascii="Book Antiqua" w:eastAsia="Book Antiqua" w:hAnsi="Book Antiqua" w:cs="Book Antiqua"/>
          <w:color w:val="000000"/>
        </w:rPr>
        <w:t>: 200-209 [PMID: 4306792]</w:t>
      </w:r>
    </w:p>
    <w:p w14:paraId="68378E0F"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Kukovetz</w:t>
      </w:r>
      <w:proofErr w:type="spellEnd"/>
      <w:r>
        <w:rPr>
          <w:rFonts w:ascii="Book Antiqua" w:eastAsia="Book Antiqua" w:hAnsi="Book Antiqua" w:cs="Book Antiqua"/>
          <w:b/>
          <w:bCs/>
          <w:color w:val="000000"/>
        </w:rPr>
        <w:t xml:space="preserve"> WR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Beubler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Kreuzig</w:t>
      </w:r>
      <w:proofErr w:type="spellEnd"/>
      <w:r>
        <w:rPr>
          <w:rFonts w:ascii="Book Antiqua" w:eastAsia="Book Antiqua" w:hAnsi="Book Antiqua" w:cs="Book Antiqua"/>
          <w:color w:val="000000"/>
        </w:rPr>
        <w:t xml:space="preserve"> F, Moritz AJ, </w:t>
      </w:r>
      <w:proofErr w:type="spellStart"/>
      <w:r>
        <w:rPr>
          <w:rFonts w:ascii="Book Antiqua" w:eastAsia="Book Antiqua" w:hAnsi="Book Antiqua" w:cs="Book Antiqua"/>
          <w:color w:val="000000"/>
        </w:rPr>
        <w:t>Nirnberger</w:t>
      </w:r>
      <w:proofErr w:type="spellEnd"/>
      <w:r>
        <w:rPr>
          <w:rFonts w:ascii="Book Antiqua" w:eastAsia="Book Antiqua" w:hAnsi="Book Antiqua" w:cs="Book Antiqua"/>
          <w:color w:val="000000"/>
        </w:rPr>
        <w:t xml:space="preserve"> G, Werner-</w:t>
      </w:r>
      <w:proofErr w:type="spellStart"/>
      <w:r>
        <w:rPr>
          <w:rFonts w:ascii="Book Antiqua" w:eastAsia="Book Antiqua" w:hAnsi="Book Antiqua" w:cs="Book Antiqua"/>
          <w:color w:val="000000"/>
        </w:rPr>
        <w:t>Breitenecker</w:t>
      </w:r>
      <w:proofErr w:type="spellEnd"/>
      <w:r>
        <w:rPr>
          <w:rFonts w:ascii="Book Antiqua" w:eastAsia="Book Antiqua" w:hAnsi="Book Antiqua" w:cs="Book Antiqua"/>
          <w:color w:val="000000"/>
        </w:rPr>
        <w:t xml:space="preserve"> L. Bioavailability and pharmacokinetics of D-penicillamine.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1983; </w:t>
      </w:r>
      <w:r>
        <w:rPr>
          <w:rFonts w:ascii="Book Antiqua" w:eastAsia="Book Antiqua" w:hAnsi="Book Antiqua" w:cs="Book Antiqua"/>
          <w:b/>
          <w:bCs/>
          <w:color w:val="000000"/>
        </w:rPr>
        <w:t>10</w:t>
      </w:r>
      <w:r>
        <w:rPr>
          <w:rFonts w:ascii="Book Antiqua" w:eastAsia="Book Antiqua" w:hAnsi="Book Antiqua" w:cs="Book Antiqua"/>
          <w:color w:val="000000"/>
        </w:rPr>
        <w:t>: 90-94 [PMID: 6842492]</w:t>
      </w:r>
    </w:p>
    <w:p w14:paraId="3651BEE0"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Netter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Bannwarth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Péré</w:t>
      </w:r>
      <w:proofErr w:type="spellEnd"/>
      <w:r>
        <w:rPr>
          <w:rFonts w:ascii="Book Antiqua" w:eastAsia="Book Antiqua" w:hAnsi="Book Antiqua" w:cs="Book Antiqua"/>
          <w:color w:val="000000"/>
        </w:rPr>
        <w:t xml:space="preserve"> P, Nicolas A. Clinical pharmacokinetics of D-penicillamine.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Pharmacokinet</w:t>
      </w:r>
      <w:proofErr w:type="spellEnd"/>
      <w:r>
        <w:rPr>
          <w:rFonts w:ascii="Book Antiqua" w:eastAsia="Book Antiqua" w:hAnsi="Book Antiqua" w:cs="Book Antiqua"/>
          <w:color w:val="000000"/>
        </w:rPr>
        <w:t xml:space="preserve"> 1987; </w:t>
      </w:r>
      <w:r>
        <w:rPr>
          <w:rFonts w:ascii="Book Antiqua" w:eastAsia="Book Antiqua" w:hAnsi="Book Antiqua" w:cs="Book Antiqua"/>
          <w:b/>
          <w:bCs/>
          <w:color w:val="000000"/>
        </w:rPr>
        <w:t>13</w:t>
      </w:r>
      <w:r>
        <w:rPr>
          <w:rFonts w:ascii="Book Antiqua" w:eastAsia="Book Antiqua" w:hAnsi="Book Antiqua" w:cs="Book Antiqua"/>
          <w:color w:val="000000"/>
        </w:rPr>
        <w:t>: 317-333 [PMID: 3319347 DOI: 10.2165/00003088-198713050-00003]</w:t>
      </w:r>
    </w:p>
    <w:p w14:paraId="791460A7"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Langlois DK</w:t>
      </w:r>
      <w:r>
        <w:rPr>
          <w:rFonts w:ascii="Book Antiqua" w:eastAsia="Book Antiqua" w:hAnsi="Book Antiqua" w:cs="Book Antiqua"/>
          <w:color w:val="000000"/>
        </w:rPr>
        <w:t xml:space="preserve">, Lehner AF, </w:t>
      </w:r>
      <w:proofErr w:type="spellStart"/>
      <w:r>
        <w:rPr>
          <w:rFonts w:ascii="Book Antiqua" w:eastAsia="Book Antiqua" w:hAnsi="Book Antiqua" w:cs="Book Antiqua"/>
          <w:color w:val="000000"/>
        </w:rPr>
        <w:t>Buchweitz</w:t>
      </w:r>
      <w:proofErr w:type="spellEnd"/>
      <w:r>
        <w:rPr>
          <w:rFonts w:ascii="Book Antiqua" w:eastAsia="Book Antiqua" w:hAnsi="Book Antiqua" w:cs="Book Antiqua"/>
          <w:color w:val="000000"/>
        </w:rPr>
        <w:t xml:space="preserve"> JP, Ross DE, Johnson MB, Kruger JM, </w:t>
      </w:r>
      <w:proofErr w:type="spellStart"/>
      <w:r>
        <w:rPr>
          <w:rFonts w:ascii="Book Antiqua" w:eastAsia="Book Antiqua" w:hAnsi="Book Antiqua" w:cs="Book Antiqua"/>
          <w:color w:val="000000"/>
        </w:rPr>
        <w:t>Bailie</w:t>
      </w:r>
      <w:proofErr w:type="spellEnd"/>
      <w:r>
        <w:rPr>
          <w:rFonts w:ascii="Book Antiqua" w:eastAsia="Book Antiqua" w:hAnsi="Book Antiqua" w:cs="Book Antiqua"/>
          <w:color w:val="000000"/>
        </w:rPr>
        <w:t xml:space="preserve"> MB, Hauptman JG, </w:t>
      </w:r>
      <w:proofErr w:type="spellStart"/>
      <w:r>
        <w:rPr>
          <w:rFonts w:ascii="Book Antiqua" w:eastAsia="Book Antiqua" w:hAnsi="Book Antiqua" w:cs="Book Antiqua"/>
          <w:color w:val="000000"/>
        </w:rPr>
        <w:t>Schall</w:t>
      </w:r>
      <w:proofErr w:type="spellEnd"/>
      <w:r>
        <w:rPr>
          <w:rFonts w:ascii="Book Antiqua" w:eastAsia="Book Antiqua" w:hAnsi="Book Antiqua" w:cs="Book Antiqua"/>
          <w:color w:val="000000"/>
        </w:rPr>
        <w:t xml:space="preserve"> WD. Pharmacokinetics and relative bioavailability of D-penicillamine in fasted and nonfasted dogs. </w:t>
      </w:r>
      <w:r>
        <w:rPr>
          <w:rFonts w:ascii="Book Antiqua" w:eastAsia="Book Antiqua" w:hAnsi="Book Antiqua" w:cs="Book Antiqua"/>
          <w:i/>
          <w:iCs/>
          <w:color w:val="000000"/>
        </w:rPr>
        <w:t>J Vet Intern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1071-1076 [PMID: 23875792 DOI: 10.1111/jvim.12147]</w:t>
      </w:r>
    </w:p>
    <w:p w14:paraId="1DCCD93C"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Roberts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Schilsky</w:t>
      </w:r>
      <w:proofErr w:type="spellEnd"/>
      <w:r>
        <w:rPr>
          <w:rFonts w:ascii="Book Antiqua" w:eastAsia="Book Antiqua" w:hAnsi="Book Antiqua" w:cs="Book Antiqua"/>
          <w:color w:val="000000"/>
        </w:rPr>
        <w:t xml:space="preserve"> ML; American Association for Study of Liver Diseases (AASLD). Diagnosis and treatment of Wilson disease: an update.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47</w:t>
      </w:r>
      <w:r>
        <w:rPr>
          <w:rFonts w:ascii="Book Antiqua" w:eastAsia="Book Antiqua" w:hAnsi="Book Antiqua" w:cs="Book Antiqua"/>
          <w:color w:val="000000"/>
        </w:rPr>
        <w:t>: 2089-2111 [PMID: 18506894 DOI: 10.1002/hep.22261]</w:t>
      </w:r>
    </w:p>
    <w:p w14:paraId="56B6A24B"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Litwin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Dzieżyc</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Karliński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Chabik</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Czepiel</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Członkowska</w:t>
      </w:r>
      <w:proofErr w:type="spellEnd"/>
      <w:r>
        <w:rPr>
          <w:rFonts w:ascii="Book Antiqua" w:eastAsia="Book Antiqua" w:hAnsi="Book Antiqua" w:cs="Book Antiqua"/>
          <w:color w:val="000000"/>
        </w:rPr>
        <w:t xml:space="preserve"> A. Early neurological worsening in patients with Wilson's disease. </w:t>
      </w:r>
      <w:r>
        <w:rPr>
          <w:rFonts w:ascii="Book Antiqua" w:eastAsia="Book Antiqua" w:hAnsi="Book Antiqua" w:cs="Book Antiqua"/>
          <w:i/>
          <w:iCs/>
          <w:color w:val="000000"/>
        </w:rPr>
        <w:t>J Neurol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355</w:t>
      </w:r>
      <w:r>
        <w:rPr>
          <w:rFonts w:ascii="Book Antiqua" w:eastAsia="Book Antiqua" w:hAnsi="Book Antiqua" w:cs="Book Antiqua"/>
          <w:color w:val="000000"/>
        </w:rPr>
        <w:t>: 162-167 [PMID: 26071888 DOI: 10.1016/j.jns.2015.06.010]</w:t>
      </w:r>
    </w:p>
    <w:p w14:paraId="377D0CBC"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Lu J</w:t>
      </w:r>
      <w:r>
        <w:rPr>
          <w:rFonts w:ascii="Book Antiqua" w:eastAsia="Book Antiqua" w:hAnsi="Book Antiqua" w:cs="Book Antiqua"/>
          <w:color w:val="000000"/>
        </w:rPr>
        <w:t xml:space="preserve">. Triethylenetetramine pharmacology and its clinical applications. </w:t>
      </w:r>
      <w:r>
        <w:rPr>
          <w:rFonts w:ascii="Book Antiqua" w:eastAsia="Book Antiqua" w:hAnsi="Book Antiqua" w:cs="Book Antiqua"/>
          <w:i/>
          <w:iCs/>
          <w:color w:val="000000"/>
        </w:rPr>
        <w:t xml:space="preserve">Mol Cancer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w:t>
      </w:r>
      <w:r>
        <w:rPr>
          <w:rFonts w:ascii="Book Antiqua" w:eastAsia="Book Antiqua" w:hAnsi="Book Antiqua" w:cs="Book Antiqua"/>
          <w:color w:val="000000"/>
        </w:rPr>
        <w:t>: 2458-2467 [PMID: 20660601 DOI: 10.1158/1535-7163.MCT-10-0523]</w:t>
      </w:r>
    </w:p>
    <w:p w14:paraId="535E5AF1"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European Association for Study of Liver.</w:t>
      </w:r>
      <w:r>
        <w:rPr>
          <w:rFonts w:ascii="Book Antiqua" w:eastAsia="Book Antiqua" w:hAnsi="Book Antiqua" w:cs="Book Antiqua"/>
          <w:color w:val="000000"/>
        </w:rPr>
        <w:t xml:space="preserve">. EASL Clinical Practice Guidelines: Wilson's disease.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56</w:t>
      </w:r>
      <w:r>
        <w:rPr>
          <w:rFonts w:ascii="Book Antiqua" w:eastAsia="Book Antiqua" w:hAnsi="Book Antiqua" w:cs="Book Antiqua"/>
          <w:color w:val="000000"/>
        </w:rPr>
        <w:t>: 671-685 [PMID: 22340672 DOI: 10.1016/j.jhep.2011.11.007]</w:t>
      </w:r>
    </w:p>
    <w:p w14:paraId="65D3B6CD"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Smirnova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Kabin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Järving</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Bragina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Tõugu</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Plitz</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Palumaa</w:t>
      </w:r>
      <w:proofErr w:type="spellEnd"/>
      <w:r>
        <w:rPr>
          <w:rFonts w:ascii="Book Antiqua" w:eastAsia="Book Antiqua" w:hAnsi="Book Antiqua" w:cs="Book Antiqua"/>
          <w:color w:val="000000"/>
        </w:rPr>
        <w:t xml:space="preserve"> P. Copper(I)-binding properties of de-coppering drugs for the treatment of Wilson disease. α-Lipoic </w:t>
      </w:r>
      <w:r>
        <w:rPr>
          <w:rFonts w:ascii="Book Antiqua" w:eastAsia="Book Antiqua" w:hAnsi="Book Antiqua" w:cs="Book Antiqua"/>
          <w:color w:val="000000"/>
        </w:rPr>
        <w:lastRenderedPageBreak/>
        <w:t xml:space="preserve">acid as a potential anti-copper agent.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1463 [PMID: 29362485 DOI: 10.1038/s41598-018-19873-2]</w:t>
      </w:r>
    </w:p>
    <w:p w14:paraId="0618BBDB"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Lau JY</w:t>
      </w:r>
      <w:r>
        <w:rPr>
          <w:rFonts w:ascii="Book Antiqua" w:eastAsia="Book Antiqua" w:hAnsi="Book Antiqua" w:cs="Book Antiqua"/>
          <w:color w:val="000000"/>
        </w:rPr>
        <w:t xml:space="preserve">, Lai CL, Wu PC, Pan HY, Lin HJ, Todd D. Wilson's disease: 35 years' experience. </w:t>
      </w:r>
      <w:r>
        <w:rPr>
          <w:rFonts w:ascii="Book Antiqua" w:eastAsia="Book Antiqua" w:hAnsi="Book Antiqua" w:cs="Book Antiqua"/>
          <w:i/>
          <w:iCs/>
          <w:color w:val="000000"/>
        </w:rPr>
        <w:t>Q J Med</w:t>
      </w:r>
      <w:r>
        <w:rPr>
          <w:rFonts w:ascii="Book Antiqua" w:eastAsia="Book Antiqua" w:hAnsi="Book Antiqua" w:cs="Book Antiqua"/>
          <w:color w:val="000000"/>
        </w:rPr>
        <w:t xml:space="preserve"> 1990; </w:t>
      </w:r>
      <w:r>
        <w:rPr>
          <w:rFonts w:ascii="Book Antiqua" w:eastAsia="Book Antiqua" w:hAnsi="Book Antiqua" w:cs="Book Antiqua"/>
          <w:b/>
          <w:bCs/>
          <w:color w:val="000000"/>
        </w:rPr>
        <w:t>75</w:t>
      </w:r>
      <w:r>
        <w:rPr>
          <w:rFonts w:ascii="Book Antiqua" w:eastAsia="Book Antiqua" w:hAnsi="Book Antiqua" w:cs="Book Antiqua"/>
          <w:color w:val="000000"/>
        </w:rPr>
        <w:t>: 597-605 [PMID: 2217665]</w:t>
      </w:r>
    </w:p>
    <w:p w14:paraId="7DEB6AD1"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Svetel</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Pekmezović</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Petrović</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Tomić</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Kresojević</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Jesić</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Kazić</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Raicević</w:t>
      </w:r>
      <w:proofErr w:type="spellEnd"/>
      <w:r>
        <w:rPr>
          <w:rFonts w:ascii="Book Antiqua" w:eastAsia="Book Antiqua" w:hAnsi="Book Antiqua" w:cs="Book Antiqua"/>
          <w:color w:val="000000"/>
        </w:rPr>
        <w:t xml:space="preserve"> R, Stefanović D, </w:t>
      </w:r>
      <w:proofErr w:type="spellStart"/>
      <w:r>
        <w:rPr>
          <w:rFonts w:ascii="Book Antiqua" w:eastAsia="Book Antiqua" w:hAnsi="Book Antiqua" w:cs="Book Antiqua"/>
          <w:color w:val="000000"/>
        </w:rPr>
        <w:t>Delibasić</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Zivanović</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Dordević</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Kostić</w:t>
      </w:r>
      <w:proofErr w:type="spellEnd"/>
      <w:r>
        <w:rPr>
          <w:rFonts w:ascii="Book Antiqua" w:eastAsia="Book Antiqua" w:hAnsi="Book Antiqua" w:cs="Book Antiqua"/>
          <w:color w:val="000000"/>
        </w:rPr>
        <w:t xml:space="preserve"> VS. Long-term outcome in Serbian patients with Wilson disease. </w:t>
      </w:r>
      <w:r>
        <w:rPr>
          <w:rFonts w:ascii="Book Antiqua" w:eastAsia="Book Antiqua" w:hAnsi="Book Antiqua" w:cs="Book Antiqua"/>
          <w:i/>
          <w:iCs/>
          <w:color w:val="000000"/>
        </w:rPr>
        <w:t>Eur J Neurol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852-857 [PMID: 19473354 DOI: 10.1111/j.1468-1331.2009.02607.x]</w:t>
      </w:r>
    </w:p>
    <w:p w14:paraId="4B6DBED9"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Bruha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Marecek</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Pospisilova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Nevsimalova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Vitek</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Martasek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Nevoral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Petrtyl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Urbanek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Jiraskova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Ferenci</w:t>
      </w:r>
      <w:proofErr w:type="spellEnd"/>
      <w:r>
        <w:rPr>
          <w:rFonts w:ascii="Book Antiqua" w:eastAsia="Book Antiqua" w:hAnsi="Book Antiqua" w:cs="Book Antiqua"/>
          <w:color w:val="000000"/>
        </w:rPr>
        <w:t xml:space="preserve"> P. Long-term follow-up of Wilson disease: natural history, treatment, mutations analysis and phenotypic correlation.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83-91 [PMID: 20958917 DOI: 10.1111/j.1478-3231.2010.02354.x]</w:t>
      </w:r>
    </w:p>
    <w:p w14:paraId="4C3F6C77"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Weiss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Thurik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Gotthardt</w:t>
      </w:r>
      <w:proofErr w:type="spellEnd"/>
      <w:r>
        <w:rPr>
          <w:rFonts w:ascii="Book Antiqua" w:eastAsia="Book Antiqua" w:hAnsi="Book Antiqua" w:cs="Book Antiqua"/>
          <w:color w:val="000000"/>
        </w:rPr>
        <w:t xml:space="preserve"> DN, Schäfer M, Teufel U, Wiegand F, Merle U, </w:t>
      </w:r>
      <w:proofErr w:type="spellStart"/>
      <w:r>
        <w:rPr>
          <w:rFonts w:ascii="Book Antiqua" w:eastAsia="Book Antiqua" w:hAnsi="Book Antiqua" w:cs="Book Antiqua"/>
          <w:color w:val="000000"/>
        </w:rPr>
        <w:t>Ferenci</w:t>
      </w:r>
      <w:proofErr w:type="spellEnd"/>
      <w:r>
        <w:rPr>
          <w:rFonts w:ascii="Book Antiqua" w:eastAsia="Book Antiqua" w:hAnsi="Book Antiqua" w:cs="Book Antiqua"/>
          <w:color w:val="000000"/>
        </w:rPr>
        <w:t xml:space="preserve">-Foerster D, </w:t>
      </w:r>
      <w:proofErr w:type="spellStart"/>
      <w:r>
        <w:rPr>
          <w:rFonts w:ascii="Book Antiqua" w:eastAsia="Book Antiqua" w:hAnsi="Book Antiqua" w:cs="Book Antiqua"/>
          <w:color w:val="000000"/>
        </w:rPr>
        <w:t>Maieron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Stauber</w:t>
      </w:r>
      <w:proofErr w:type="spellEnd"/>
      <w:r>
        <w:rPr>
          <w:rFonts w:ascii="Book Antiqua" w:eastAsia="Book Antiqua" w:hAnsi="Book Antiqua" w:cs="Book Antiqua"/>
          <w:color w:val="000000"/>
        </w:rPr>
        <w:t xml:space="preserve"> R, Zoller H, Schmidt HH, </w:t>
      </w:r>
      <w:proofErr w:type="spellStart"/>
      <w:r>
        <w:rPr>
          <w:rFonts w:ascii="Book Antiqua" w:eastAsia="Book Antiqua" w:hAnsi="Book Antiqua" w:cs="Book Antiqua"/>
          <w:color w:val="000000"/>
        </w:rPr>
        <w:t>Reuner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Hefter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Trocello</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Houwen</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Ferenci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Stremmel</w:t>
      </w:r>
      <w:proofErr w:type="spellEnd"/>
      <w:r>
        <w:rPr>
          <w:rFonts w:ascii="Book Antiqua" w:eastAsia="Book Antiqua" w:hAnsi="Book Antiqua" w:cs="Book Antiqua"/>
          <w:color w:val="000000"/>
        </w:rPr>
        <w:t xml:space="preserve"> W; EUROWILSON Consortium. Efficacy and safety of oral chelators in treatment of patients with Wilson disease.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1028-35.e1-2 [PMID: 23542331 DOI: 10.1016/j.cgh.2013.03.012]</w:t>
      </w:r>
    </w:p>
    <w:p w14:paraId="3830DEB5"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Walshe JM</w:t>
      </w:r>
      <w:r>
        <w:rPr>
          <w:rFonts w:ascii="Book Antiqua" w:eastAsia="Book Antiqua" w:hAnsi="Book Antiqua" w:cs="Book Antiqua"/>
          <w:color w:val="000000"/>
        </w:rPr>
        <w:t xml:space="preserve">. Treatment of Wilson's disease with </w:t>
      </w:r>
      <w:proofErr w:type="spellStart"/>
      <w:r>
        <w:rPr>
          <w:rFonts w:ascii="Book Antiqua" w:eastAsia="Book Antiqua" w:hAnsi="Book Antiqua" w:cs="Book Antiqua"/>
          <w:color w:val="000000"/>
        </w:rPr>
        <w:t>trientine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triethylene</w:t>
      </w:r>
      <w:proofErr w:type="spellEnd"/>
      <w:r>
        <w:rPr>
          <w:rFonts w:ascii="Book Antiqua" w:eastAsia="Book Antiqua" w:hAnsi="Book Antiqua" w:cs="Book Antiqua"/>
          <w:color w:val="000000"/>
        </w:rPr>
        <w:t xml:space="preserve"> tetramine) dihydrochloride.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1982; </w:t>
      </w:r>
      <w:r>
        <w:rPr>
          <w:rFonts w:ascii="Book Antiqua" w:eastAsia="Book Antiqua" w:hAnsi="Book Antiqua" w:cs="Book Antiqua"/>
          <w:b/>
          <w:bCs/>
          <w:color w:val="000000"/>
        </w:rPr>
        <w:t>1</w:t>
      </w:r>
      <w:r>
        <w:rPr>
          <w:rFonts w:ascii="Book Antiqua" w:eastAsia="Book Antiqua" w:hAnsi="Book Antiqua" w:cs="Book Antiqua"/>
          <w:color w:val="000000"/>
        </w:rPr>
        <w:t>: 643-647 [PMID: 6121964 DOI: 10.1016/s0140-6736(82)92201-2]</w:t>
      </w:r>
    </w:p>
    <w:p w14:paraId="45DC988D"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Scheinberg</w:t>
      </w:r>
      <w:proofErr w:type="spellEnd"/>
      <w:r>
        <w:rPr>
          <w:rFonts w:ascii="Book Antiqua" w:eastAsia="Book Antiqua" w:hAnsi="Book Antiqua" w:cs="Book Antiqua"/>
          <w:b/>
          <w:bCs/>
          <w:color w:val="000000"/>
        </w:rPr>
        <w:t xml:space="preserve"> IH</w:t>
      </w:r>
      <w:r>
        <w:rPr>
          <w:rFonts w:ascii="Book Antiqua" w:eastAsia="Book Antiqua" w:hAnsi="Book Antiqua" w:cs="Book Antiqua"/>
          <w:color w:val="000000"/>
        </w:rPr>
        <w:t xml:space="preserve">, Jaffe ME, </w:t>
      </w:r>
      <w:proofErr w:type="spellStart"/>
      <w:r>
        <w:rPr>
          <w:rFonts w:ascii="Book Antiqua" w:eastAsia="Book Antiqua" w:hAnsi="Book Antiqua" w:cs="Book Antiqua"/>
          <w:color w:val="000000"/>
        </w:rPr>
        <w:t>Sternlieb</w:t>
      </w:r>
      <w:proofErr w:type="spellEnd"/>
      <w:r>
        <w:rPr>
          <w:rFonts w:ascii="Book Antiqua" w:eastAsia="Book Antiqua" w:hAnsi="Book Antiqua" w:cs="Book Antiqua"/>
          <w:color w:val="000000"/>
        </w:rPr>
        <w:t xml:space="preserve"> I. The use of trientine in preventing the effects of interrupting penicillamine therapy in Wilson's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1987; </w:t>
      </w:r>
      <w:r>
        <w:rPr>
          <w:rFonts w:ascii="Book Antiqua" w:eastAsia="Book Antiqua" w:hAnsi="Book Antiqua" w:cs="Book Antiqua"/>
          <w:b/>
          <w:bCs/>
          <w:color w:val="000000"/>
        </w:rPr>
        <w:t>317</w:t>
      </w:r>
      <w:r>
        <w:rPr>
          <w:rFonts w:ascii="Book Antiqua" w:eastAsia="Book Antiqua" w:hAnsi="Book Antiqua" w:cs="Book Antiqua"/>
          <w:color w:val="000000"/>
        </w:rPr>
        <w:t>: 209-213 [PMID: 3600712 DOI: 10.1056/NEJM198707233170405]</w:t>
      </w:r>
    </w:p>
    <w:p w14:paraId="3AD5280C"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Hölscher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Leinweber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Hefter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Reuner</w:t>
      </w:r>
      <w:proofErr w:type="spellEnd"/>
      <w:r>
        <w:rPr>
          <w:rFonts w:ascii="Book Antiqua" w:eastAsia="Book Antiqua" w:hAnsi="Book Antiqua" w:cs="Book Antiqua"/>
          <w:color w:val="000000"/>
        </w:rPr>
        <w:t xml:space="preserve"> U, Günther P, Weiss KH, </w:t>
      </w:r>
      <w:proofErr w:type="spellStart"/>
      <w:r>
        <w:rPr>
          <w:rFonts w:ascii="Book Antiqua" w:eastAsia="Book Antiqua" w:hAnsi="Book Antiqua" w:cs="Book Antiqua"/>
          <w:color w:val="000000"/>
        </w:rPr>
        <w:t>Oertel</w:t>
      </w:r>
      <w:proofErr w:type="spellEnd"/>
      <w:r>
        <w:rPr>
          <w:rFonts w:ascii="Book Antiqua" w:eastAsia="Book Antiqua" w:hAnsi="Book Antiqua" w:cs="Book Antiqua"/>
          <w:color w:val="000000"/>
        </w:rPr>
        <w:t xml:space="preserve"> WH, </w:t>
      </w:r>
      <w:proofErr w:type="spellStart"/>
      <w:r>
        <w:rPr>
          <w:rFonts w:ascii="Book Antiqua" w:eastAsia="Book Antiqua" w:hAnsi="Book Antiqua" w:cs="Book Antiqua"/>
          <w:color w:val="000000"/>
        </w:rPr>
        <w:t>Möller</w:t>
      </w:r>
      <w:proofErr w:type="spellEnd"/>
      <w:r>
        <w:rPr>
          <w:rFonts w:ascii="Book Antiqua" w:eastAsia="Book Antiqua" w:hAnsi="Book Antiqua" w:cs="Book Antiqua"/>
          <w:color w:val="000000"/>
        </w:rPr>
        <w:t xml:space="preserve"> JC. Evaluation of the symptomatic treatment of residual neurological symptoms in Wilson disease. </w:t>
      </w:r>
      <w:r>
        <w:rPr>
          <w:rFonts w:ascii="Book Antiqua" w:eastAsia="Book Antiqua" w:hAnsi="Book Antiqua" w:cs="Book Antiqua"/>
          <w:i/>
          <w:iCs/>
          <w:color w:val="000000"/>
        </w:rPr>
        <w:t>Eur Neurol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64</w:t>
      </w:r>
      <w:r>
        <w:rPr>
          <w:rFonts w:ascii="Book Antiqua" w:eastAsia="Book Antiqua" w:hAnsi="Book Antiqua" w:cs="Book Antiqua"/>
          <w:color w:val="000000"/>
        </w:rPr>
        <w:t>: 83-87 [PMID: 20606453 DOI: 10.1159/000316066]</w:t>
      </w:r>
    </w:p>
    <w:p w14:paraId="1E6E317F"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Medici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Trevisan</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D'Incà</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Barollo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Zancan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Fagiuoli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Martines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Irato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Sturniolo</w:t>
      </w:r>
      <w:proofErr w:type="spellEnd"/>
      <w:r>
        <w:rPr>
          <w:rFonts w:ascii="Book Antiqua" w:eastAsia="Book Antiqua" w:hAnsi="Book Antiqua" w:cs="Book Antiqua"/>
          <w:color w:val="000000"/>
        </w:rPr>
        <w:t xml:space="preserve"> GC. Diagnosis and management of Wilson's disease: results of a single center experience.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40</w:t>
      </w:r>
      <w:r>
        <w:rPr>
          <w:rFonts w:ascii="Book Antiqua" w:eastAsia="Book Antiqua" w:hAnsi="Book Antiqua" w:cs="Book Antiqua"/>
          <w:color w:val="000000"/>
        </w:rPr>
        <w:t>: 936-941 [PMID: 17063115 DOI: 10.1097/01.mcg.0000225670.91722.59]</w:t>
      </w:r>
    </w:p>
    <w:p w14:paraId="046DA683"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lastRenderedPageBreak/>
        <w:t xml:space="preserve">25 </w:t>
      </w:r>
      <w:proofErr w:type="spellStart"/>
      <w:r>
        <w:rPr>
          <w:rFonts w:ascii="Book Antiqua" w:eastAsia="Book Antiqua" w:hAnsi="Book Antiqua" w:cs="Book Antiqua"/>
          <w:b/>
          <w:bCs/>
          <w:color w:val="000000"/>
        </w:rPr>
        <w:t>Czlonkowska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Gajda</w:t>
      </w:r>
      <w:proofErr w:type="spellEnd"/>
      <w:r>
        <w:rPr>
          <w:rFonts w:ascii="Book Antiqua" w:eastAsia="Book Antiqua" w:hAnsi="Book Antiqua" w:cs="Book Antiqua"/>
          <w:color w:val="000000"/>
        </w:rPr>
        <w:t xml:space="preserve"> J, Rodo M. Effects of long-term treatment in Wilson's disease with D-penicillamine and zinc sulphate. </w:t>
      </w:r>
      <w:r>
        <w:rPr>
          <w:rFonts w:ascii="Book Antiqua" w:eastAsia="Book Antiqua" w:hAnsi="Book Antiqua" w:cs="Book Antiqua"/>
          <w:i/>
          <w:iCs/>
          <w:color w:val="000000"/>
        </w:rPr>
        <w:t>J Neurol</w:t>
      </w:r>
      <w:r>
        <w:rPr>
          <w:rFonts w:ascii="Book Antiqua" w:eastAsia="Book Antiqua" w:hAnsi="Book Antiqua" w:cs="Book Antiqua"/>
          <w:color w:val="000000"/>
        </w:rPr>
        <w:t xml:space="preserve"> 1996; </w:t>
      </w:r>
      <w:r>
        <w:rPr>
          <w:rFonts w:ascii="Book Antiqua" w:eastAsia="Book Antiqua" w:hAnsi="Book Antiqua" w:cs="Book Antiqua"/>
          <w:b/>
          <w:bCs/>
          <w:color w:val="000000"/>
        </w:rPr>
        <w:t>243</w:t>
      </w:r>
      <w:r>
        <w:rPr>
          <w:rFonts w:ascii="Book Antiqua" w:eastAsia="Book Antiqua" w:hAnsi="Book Antiqua" w:cs="Book Antiqua"/>
          <w:color w:val="000000"/>
        </w:rPr>
        <w:t>: 269-273 [PMID: 8936358 DOI: 10.1007/BF00868525]</w:t>
      </w:r>
    </w:p>
    <w:p w14:paraId="7D99AD1A" w14:textId="77777777" w:rsidR="00A77B3E" w:rsidRDefault="00533F22" w:rsidP="00FC1E70">
      <w:pPr>
        <w:adjustRightInd w:val="0"/>
        <w:snapToGrid w:val="0"/>
        <w:spacing w:line="360" w:lineRule="auto"/>
        <w:jc w:val="both"/>
      </w:pPr>
      <w:r>
        <w:rPr>
          <w:rFonts w:ascii="Book Antiqua" w:hAnsi="Book Antiqua" w:cs="Book Antiqua" w:hint="eastAsia"/>
          <w:color w:val="000000"/>
          <w:lang w:eastAsia="zh-CN"/>
        </w:rPr>
        <w:t xml:space="preserve">26 </w:t>
      </w:r>
      <w:proofErr w:type="spellStart"/>
      <w:r w:rsidR="00FC1E70">
        <w:rPr>
          <w:rFonts w:ascii="Book Antiqua" w:eastAsia="Book Antiqua" w:hAnsi="Book Antiqua" w:cs="Book Antiqua"/>
          <w:color w:val="000000"/>
        </w:rPr>
        <w:t>LiverTox</w:t>
      </w:r>
      <w:proofErr w:type="spellEnd"/>
      <w:r w:rsidR="00FC1E70">
        <w:rPr>
          <w:rFonts w:ascii="Book Antiqua" w:eastAsia="Book Antiqua" w:hAnsi="Book Antiqua" w:cs="Book Antiqua"/>
          <w:color w:val="000000"/>
        </w:rPr>
        <w:t>: Clinical and Research Information on Drug-Induced Liver Injury [Internet]. Bethesda (MD): National Institute of Diabetes and Diges</w:t>
      </w:r>
      <w:r>
        <w:rPr>
          <w:rFonts w:ascii="Book Antiqua" w:eastAsia="Book Antiqua" w:hAnsi="Book Antiqua" w:cs="Book Antiqua"/>
          <w:color w:val="000000"/>
        </w:rPr>
        <w:t>tive and Kidney Diseases; 2012</w:t>
      </w:r>
      <w:r w:rsidR="00FC1E70">
        <w:rPr>
          <w:rFonts w:ascii="Book Antiqua" w:eastAsia="Book Antiqua" w:hAnsi="Book Antiqua" w:cs="Book Antiqua"/>
          <w:color w:val="000000"/>
        </w:rPr>
        <w:t xml:space="preserve"> [PMID: </w:t>
      </w:r>
      <w:bookmarkStart w:id="13" w:name="OLE_LINK332"/>
      <w:bookmarkStart w:id="14" w:name="OLE_LINK333"/>
      <w:r w:rsidR="00FC1E70">
        <w:rPr>
          <w:rFonts w:ascii="Book Antiqua" w:eastAsia="Book Antiqua" w:hAnsi="Book Antiqua" w:cs="Book Antiqua"/>
          <w:color w:val="000000"/>
        </w:rPr>
        <w:t>31643176</w:t>
      </w:r>
      <w:bookmarkEnd w:id="13"/>
      <w:bookmarkEnd w:id="14"/>
      <w:r w:rsidR="00FC1E70">
        <w:rPr>
          <w:rFonts w:ascii="Book Antiqua" w:eastAsia="Book Antiqua" w:hAnsi="Book Antiqua" w:cs="Book Antiqua"/>
          <w:color w:val="000000"/>
        </w:rPr>
        <w:t>]</w:t>
      </w:r>
    </w:p>
    <w:p w14:paraId="0B92C385"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Hall CL</w:t>
      </w:r>
      <w:r>
        <w:rPr>
          <w:rFonts w:ascii="Book Antiqua" w:eastAsia="Book Antiqua" w:hAnsi="Book Antiqua" w:cs="Book Antiqua"/>
          <w:color w:val="000000"/>
        </w:rPr>
        <w:t xml:space="preserve">, Jawad S, Harrison PR, </w:t>
      </w:r>
      <w:proofErr w:type="spellStart"/>
      <w:r>
        <w:rPr>
          <w:rFonts w:ascii="Book Antiqua" w:eastAsia="Book Antiqua" w:hAnsi="Book Antiqua" w:cs="Book Antiqua"/>
          <w:color w:val="000000"/>
        </w:rPr>
        <w:t>MacKenzie</w:t>
      </w:r>
      <w:proofErr w:type="spellEnd"/>
      <w:r>
        <w:rPr>
          <w:rFonts w:ascii="Book Antiqua" w:eastAsia="Book Antiqua" w:hAnsi="Book Antiqua" w:cs="Book Antiqua"/>
          <w:color w:val="000000"/>
        </w:rPr>
        <w:t xml:space="preserve"> JC, Bacon PA, </w:t>
      </w:r>
      <w:proofErr w:type="spellStart"/>
      <w:r>
        <w:rPr>
          <w:rFonts w:ascii="Book Antiqua" w:eastAsia="Book Antiqua" w:hAnsi="Book Antiqua" w:cs="Book Antiqua"/>
          <w:color w:val="000000"/>
        </w:rPr>
        <w:t>Klouda</w:t>
      </w:r>
      <w:proofErr w:type="spellEnd"/>
      <w:r>
        <w:rPr>
          <w:rFonts w:ascii="Book Antiqua" w:eastAsia="Book Antiqua" w:hAnsi="Book Antiqua" w:cs="Book Antiqua"/>
          <w:color w:val="000000"/>
        </w:rPr>
        <w:t xml:space="preserve"> PT, MacIver AG. Natural course of penicillamine nephropathy: a long term study of 33 patients. </w:t>
      </w:r>
      <w:r>
        <w:rPr>
          <w:rFonts w:ascii="Book Antiqua" w:eastAsia="Book Antiqua" w:hAnsi="Book Antiqua" w:cs="Book Antiqua"/>
          <w:i/>
          <w:iCs/>
          <w:color w:val="000000"/>
        </w:rPr>
        <w:t>Br Med J (Clin Res Ed)</w:t>
      </w:r>
      <w:r>
        <w:rPr>
          <w:rFonts w:ascii="Book Antiqua" w:eastAsia="Book Antiqua" w:hAnsi="Book Antiqua" w:cs="Book Antiqua"/>
          <w:color w:val="000000"/>
        </w:rPr>
        <w:t xml:space="preserve"> 1988; </w:t>
      </w:r>
      <w:r>
        <w:rPr>
          <w:rFonts w:ascii="Book Antiqua" w:eastAsia="Book Antiqua" w:hAnsi="Book Antiqua" w:cs="Book Antiqua"/>
          <w:b/>
          <w:bCs/>
          <w:color w:val="000000"/>
        </w:rPr>
        <w:t>296</w:t>
      </w:r>
      <w:r>
        <w:rPr>
          <w:rFonts w:ascii="Book Antiqua" w:eastAsia="Book Antiqua" w:hAnsi="Book Antiqua" w:cs="Book Antiqua"/>
          <w:color w:val="000000"/>
        </w:rPr>
        <w:t>: 1083-1086 [PMID: 3132218 DOI: 10.1136/bmj.296.6629.1083]</w:t>
      </w:r>
    </w:p>
    <w:p w14:paraId="18638F93"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Bienaimé</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Clerbaux</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Plaisier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Mougenot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Ronco</w:t>
      </w:r>
      <w:proofErr w:type="spellEnd"/>
      <w:r>
        <w:rPr>
          <w:rFonts w:ascii="Book Antiqua" w:eastAsia="Book Antiqua" w:hAnsi="Book Antiqua" w:cs="Book Antiqua"/>
          <w:color w:val="000000"/>
        </w:rPr>
        <w:t xml:space="preserve"> P, Rougier JP. D-Penicillamine-induced ANCA-associated crescentic glomerulonephritis in Wilson disease. </w:t>
      </w:r>
      <w:r>
        <w:rPr>
          <w:rFonts w:ascii="Book Antiqua" w:eastAsia="Book Antiqua" w:hAnsi="Book Antiqua" w:cs="Book Antiqua"/>
          <w:i/>
          <w:iCs/>
          <w:color w:val="000000"/>
        </w:rPr>
        <w:t>Am J Kidney Dis</w:t>
      </w:r>
      <w:r>
        <w:rPr>
          <w:rFonts w:ascii="Book Antiqua" w:eastAsia="Book Antiqua" w:hAnsi="Book Antiqua" w:cs="Book Antiqua"/>
          <w:color w:val="000000"/>
        </w:rPr>
        <w:t xml:space="preserve"> 2007; </w:t>
      </w:r>
      <w:r>
        <w:rPr>
          <w:rFonts w:ascii="Book Antiqua" w:eastAsia="Book Antiqua" w:hAnsi="Book Antiqua" w:cs="Book Antiqua"/>
          <w:b/>
          <w:bCs/>
          <w:color w:val="000000"/>
        </w:rPr>
        <w:t>50</w:t>
      </w:r>
      <w:r>
        <w:rPr>
          <w:rFonts w:ascii="Book Antiqua" w:eastAsia="Book Antiqua" w:hAnsi="Book Antiqua" w:cs="Book Antiqua"/>
          <w:color w:val="000000"/>
        </w:rPr>
        <w:t>: 821-825 [PMID: 17954295 DOI: 10.1053/j.ajkd.2007.05.026]</w:t>
      </w:r>
    </w:p>
    <w:p w14:paraId="3E87AE1A"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Derk</w:t>
      </w:r>
      <w:proofErr w:type="spellEnd"/>
      <w:r>
        <w:rPr>
          <w:rFonts w:ascii="Book Antiqua" w:eastAsia="Book Antiqua" w:hAnsi="Book Antiqua" w:cs="Book Antiqua"/>
          <w:b/>
          <w:bCs/>
          <w:color w:val="000000"/>
        </w:rPr>
        <w:t xml:space="preserve"> CT</w:t>
      </w:r>
      <w:r>
        <w:rPr>
          <w:rFonts w:ascii="Book Antiqua" w:eastAsia="Book Antiqua" w:hAnsi="Book Antiqua" w:cs="Book Antiqua"/>
          <w:color w:val="000000"/>
        </w:rPr>
        <w:t xml:space="preserve">, Jimenez SA. Goodpasture-like syndrome induced by D-penicillamine in a patient with systemic sclerosis: report and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30</w:t>
      </w:r>
      <w:r>
        <w:rPr>
          <w:rFonts w:ascii="Book Antiqua" w:eastAsia="Book Antiqua" w:hAnsi="Book Antiqua" w:cs="Book Antiqua"/>
          <w:color w:val="000000"/>
        </w:rPr>
        <w:t>: 1616-1620 [PMID: 12858467]</w:t>
      </w:r>
    </w:p>
    <w:p w14:paraId="762F0205"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Billingsley LM</w:t>
      </w:r>
      <w:r>
        <w:rPr>
          <w:rFonts w:ascii="Book Antiqua" w:eastAsia="Book Antiqua" w:hAnsi="Book Antiqua" w:cs="Book Antiqua"/>
          <w:color w:val="000000"/>
        </w:rPr>
        <w:t xml:space="preserve">, Stevens MB. The relationship between D-penicillamine--induced proteinuria and prior gold nephropathy. </w:t>
      </w:r>
      <w:r>
        <w:rPr>
          <w:rFonts w:ascii="Book Antiqua" w:eastAsia="Book Antiqua" w:hAnsi="Book Antiqua" w:cs="Book Antiqua"/>
          <w:i/>
          <w:iCs/>
          <w:color w:val="000000"/>
        </w:rPr>
        <w:t>Johns Hopkins Med J</w:t>
      </w:r>
      <w:r>
        <w:rPr>
          <w:rFonts w:ascii="Book Antiqua" w:eastAsia="Book Antiqua" w:hAnsi="Book Antiqua" w:cs="Book Antiqua"/>
          <w:color w:val="000000"/>
        </w:rPr>
        <w:t xml:space="preserve"> 1981; </w:t>
      </w:r>
      <w:r>
        <w:rPr>
          <w:rFonts w:ascii="Book Antiqua" w:eastAsia="Book Antiqua" w:hAnsi="Book Antiqua" w:cs="Book Antiqua"/>
          <w:b/>
          <w:bCs/>
          <w:color w:val="000000"/>
        </w:rPr>
        <w:t>148</w:t>
      </w:r>
      <w:r>
        <w:rPr>
          <w:rFonts w:ascii="Book Antiqua" w:eastAsia="Book Antiqua" w:hAnsi="Book Antiqua" w:cs="Book Antiqua"/>
          <w:color w:val="000000"/>
        </w:rPr>
        <w:t>: 64-67 [PMID: 7206401]</w:t>
      </w:r>
    </w:p>
    <w:p w14:paraId="046D6D36"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Steen VD</w:t>
      </w:r>
      <w:r>
        <w:rPr>
          <w:rFonts w:ascii="Book Antiqua" w:eastAsia="Book Antiqua" w:hAnsi="Book Antiqua" w:cs="Book Antiqua"/>
          <w:color w:val="000000"/>
        </w:rPr>
        <w:t xml:space="preserve">, Blair S, </w:t>
      </w:r>
      <w:proofErr w:type="spellStart"/>
      <w:r>
        <w:rPr>
          <w:rFonts w:ascii="Book Antiqua" w:eastAsia="Book Antiqua" w:hAnsi="Book Antiqua" w:cs="Book Antiqua"/>
          <w:color w:val="000000"/>
        </w:rPr>
        <w:t>Medsger</w:t>
      </w:r>
      <w:proofErr w:type="spellEnd"/>
      <w:r>
        <w:rPr>
          <w:rFonts w:ascii="Book Antiqua" w:eastAsia="Book Antiqua" w:hAnsi="Book Antiqua" w:cs="Book Antiqua"/>
          <w:color w:val="000000"/>
        </w:rPr>
        <w:t xml:space="preserve"> TA Jr. The toxicity of D-penicillamine in systemic sclerosis.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1986; </w:t>
      </w:r>
      <w:r>
        <w:rPr>
          <w:rFonts w:ascii="Book Antiqua" w:eastAsia="Book Antiqua" w:hAnsi="Book Antiqua" w:cs="Book Antiqua"/>
          <w:b/>
          <w:bCs/>
          <w:color w:val="000000"/>
        </w:rPr>
        <w:t>104</w:t>
      </w:r>
      <w:r>
        <w:rPr>
          <w:rFonts w:ascii="Book Antiqua" w:eastAsia="Book Antiqua" w:hAnsi="Book Antiqua" w:cs="Book Antiqua"/>
          <w:color w:val="000000"/>
        </w:rPr>
        <w:t>: 699-705 [PMID: 2938530 DOI: 10.7326/0003-4819-104-5-699]</w:t>
      </w:r>
    </w:p>
    <w:p w14:paraId="7503599A" w14:textId="77777777" w:rsidR="00A77B3E" w:rsidRDefault="00533F22" w:rsidP="00FC1E70">
      <w:pPr>
        <w:adjustRightInd w:val="0"/>
        <w:snapToGrid w:val="0"/>
        <w:spacing w:line="360" w:lineRule="auto"/>
        <w:jc w:val="both"/>
      </w:pPr>
      <w:r>
        <w:rPr>
          <w:rFonts w:ascii="Book Antiqua" w:eastAsia="Book Antiqua" w:hAnsi="Book Antiqua" w:cs="Book Antiqua"/>
          <w:color w:val="000000"/>
        </w:rPr>
        <w:t xml:space="preserve">32 </w:t>
      </w:r>
      <w:r w:rsidR="00FC1E70">
        <w:rPr>
          <w:rFonts w:ascii="Book Antiqua" w:eastAsia="Book Antiqua" w:hAnsi="Book Antiqua" w:cs="Book Antiqua"/>
          <w:color w:val="000000"/>
        </w:rPr>
        <w:t xml:space="preserve">Toxicity of </w:t>
      </w:r>
      <w:proofErr w:type="spellStart"/>
      <w:r w:rsidR="00FC1E70">
        <w:rPr>
          <w:rFonts w:ascii="Book Antiqua" w:eastAsia="Book Antiqua" w:hAnsi="Book Antiqua" w:cs="Book Antiqua"/>
          <w:color w:val="000000"/>
        </w:rPr>
        <w:t>longterm</w:t>
      </w:r>
      <w:proofErr w:type="spellEnd"/>
      <w:r w:rsidR="00FC1E70">
        <w:rPr>
          <w:rFonts w:ascii="Book Antiqua" w:eastAsia="Book Antiqua" w:hAnsi="Book Antiqua" w:cs="Book Antiqua"/>
          <w:color w:val="000000"/>
        </w:rPr>
        <w:t xml:space="preserve"> low dose D-penicillamine therapy in rheumatoid arthritis. Cooperative Systematic Studies of Rheumatic Disease Group. </w:t>
      </w:r>
      <w:r w:rsidR="00FC1E70">
        <w:rPr>
          <w:rFonts w:ascii="Book Antiqua" w:eastAsia="Book Antiqua" w:hAnsi="Book Antiqua" w:cs="Book Antiqua"/>
          <w:i/>
          <w:iCs/>
          <w:color w:val="000000"/>
        </w:rPr>
        <w:t xml:space="preserve">J </w:t>
      </w:r>
      <w:proofErr w:type="spellStart"/>
      <w:r w:rsidR="00FC1E70">
        <w:rPr>
          <w:rFonts w:ascii="Book Antiqua" w:eastAsia="Book Antiqua" w:hAnsi="Book Antiqua" w:cs="Book Antiqua"/>
          <w:i/>
          <w:iCs/>
          <w:color w:val="000000"/>
        </w:rPr>
        <w:t>Rheumatol</w:t>
      </w:r>
      <w:proofErr w:type="spellEnd"/>
      <w:r w:rsidR="00FC1E70">
        <w:rPr>
          <w:rFonts w:ascii="Book Antiqua" w:eastAsia="Book Antiqua" w:hAnsi="Book Antiqua" w:cs="Book Antiqua"/>
          <w:color w:val="000000"/>
        </w:rPr>
        <w:t xml:space="preserve"> 1987; </w:t>
      </w:r>
      <w:r w:rsidR="00FC1E70">
        <w:rPr>
          <w:rFonts w:ascii="Book Antiqua" w:eastAsia="Book Antiqua" w:hAnsi="Book Antiqua" w:cs="Book Antiqua"/>
          <w:b/>
          <w:bCs/>
          <w:color w:val="000000"/>
        </w:rPr>
        <w:t>14</w:t>
      </w:r>
      <w:r w:rsidR="00FC1E70">
        <w:rPr>
          <w:rFonts w:ascii="Book Antiqua" w:eastAsia="Book Antiqua" w:hAnsi="Book Antiqua" w:cs="Book Antiqua"/>
          <w:color w:val="000000"/>
        </w:rPr>
        <w:t xml:space="preserve">: 67-73 [PMID: </w:t>
      </w:r>
      <w:bookmarkStart w:id="15" w:name="OLE_LINK330"/>
      <w:bookmarkStart w:id="16" w:name="OLE_LINK331"/>
      <w:r w:rsidR="00FC1E70">
        <w:rPr>
          <w:rFonts w:ascii="Book Antiqua" w:eastAsia="Book Antiqua" w:hAnsi="Book Antiqua" w:cs="Book Antiqua"/>
          <w:color w:val="000000"/>
        </w:rPr>
        <w:t>2952797</w:t>
      </w:r>
      <w:bookmarkEnd w:id="15"/>
      <w:bookmarkEnd w:id="16"/>
      <w:r w:rsidR="00FC1E70">
        <w:rPr>
          <w:rFonts w:ascii="Book Antiqua" w:eastAsia="Book Antiqua" w:hAnsi="Book Antiqua" w:cs="Book Antiqua"/>
          <w:color w:val="000000"/>
        </w:rPr>
        <w:t>]</w:t>
      </w:r>
    </w:p>
    <w:p w14:paraId="1C915080"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Kay AG</w:t>
      </w:r>
      <w:r>
        <w:rPr>
          <w:rFonts w:ascii="Book Antiqua" w:eastAsia="Book Antiqua" w:hAnsi="Book Antiqua" w:cs="Book Antiqua"/>
          <w:color w:val="000000"/>
        </w:rPr>
        <w:t xml:space="preserve">. Myelotoxicity of D-penicillamine.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1979; </w:t>
      </w:r>
      <w:r>
        <w:rPr>
          <w:rFonts w:ascii="Book Antiqua" w:eastAsia="Book Antiqua" w:hAnsi="Book Antiqua" w:cs="Book Antiqua"/>
          <w:b/>
          <w:bCs/>
          <w:color w:val="000000"/>
        </w:rPr>
        <w:t>38</w:t>
      </w:r>
      <w:r>
        <w:rPr>
          <w:rFonts w:ascii="Book Antiqua" w:eastAsia="Book Antiqua" w:hAnsi="Book Antiqua" w:cs="Book Antiqua"/>
          <w:color w:val="000000"/>
        </w:rPr>
        <w:t>: 232-236 [PMID: 485580 DOI: 10.1136/ard.38.3.232]</w:t>
      </w:r>
    </w:p>
    <w:p w14:paraId="0DC9F32E"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Jaffe IA</w:t>
      </w:r>
      <w:r>
        <w:rPr>
          <w:rFonts w:ascii="Book Antiqua" w:eastAsia="Book Antiqua" w:hAnsi="Book Antiqua" w:cs="Book Antiqua"/>
          <w:color w:val="000000"/>
        </w:rPr>
        <w:t xml:space="preserve">. Adverse effects profile of sulfhydryl compounds in man.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1986; </w:t>
      </w:r>
      <w:r>
        <w:rPr>
          <w:rFonts w:ascii="Book Antiqua" w:eastAsia="Book Antiqua" w:hAnsi="Book Antiqua" w:cs="Book Antiqua"/>
          <w:b/>
          <w:bCs/>
          <w:color w:val="000000"/>
        </w:rPr>
        <w:t>80</w:t>
      </w:r>
      <w:r>
        <w:rPr>
          <w:rFonts w:ascii="Book Antiqua" w:eastAsia="Book Antiqua" w:hAnsi="Book Antiqua" w:cs="Book Antiqua"/>
          <w:color w:val="000000"/>
        </w:rPr>
        <w:t>: 471-476 [PMID: 2937293 DOI: 10.1016/0002-9343(86)90722-9]</w:t>
      </w:r>
    </w:p>
    <w:p w14:paraId="1782D36D"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Gupta P</w:t>
      </w:r>
      <w:r>
        <w:rPr>
          <w:rFonts w:ascii="Book Antiqua" w:eastAsia="Book Antiqua" w:hAnsi="Book Antiqua" w:cs="Book Antiqua"/>
          <w:color w:val="000000"/>
        </w:rPr>
        <w:t xml:space="preserve">, Choksi M, Goel A, Zachariah U, Sajith KG, Ramachandran J, </w:t>
      </w:r>
      <w:proofErr w:type="spellStart"/>
      <w:r>
        <w:rPr>
          <w:rFonts w:ascii="Book Antiqua" w:eastAsia="Book Antiqua" w:hAnsi="Book Antiqua" w:cs="Book Antiqua"/>
          <w:color w:val="000000"/>
        </w:rPr>
        <w:t>Chandy</w:t>
      </w:r>
      <w:proofErr w:type="spellEnd"/>
      <w:r>
        <w:rPr>
          <w:rFonts w:ascii="Book Antiqua" w:eastAsia="Book Antiqua" w:hAnsi="Book Antiqua" w:cs="Book Antiqua"/>
          <w:color w:val="000000"/>
        </w:rPr>
        <w:t xml:space="preserve"> G, Kurian G, Rebekah G, </w:t>
      </w:r>
      <w:proofErr w:type="spellStart"/>
      <w:r>
        <w:rPr>
          <w:rFonts w:ascii="Book Antiqua" w:eastAsia="Book Antiqua" w:hAnsi="Book Antiqua" w:cs="Book Antiqua"/>
          <w:color w:val="000000"/>
        </w:rPr>
        <w:t>Eapen</w:t>
      </w:r>
      <w:proofErr w:type="spellEnd"/>
      <w:r>
        <w:rPr>
          <w:rFonts w:ascii="Book Antiqua" w:eastAsia="Book Antiqua" w:hAnsi="Book Antiqua" w:cs="Book Antiqua"/>
          <w:color w:val="000000"/>
        </w:rPr>
        <w:t xml:space="preserve"> CE. Maintenance zinc therapy after initial penicillamine </w:t>
      </w:r>
      <w:r>
        <w:rPr>
          <w:rFonts w:ascii="Book Antiqua" w:eastAsia="Book Antiqua" w:hAnsi="Book Antiqua" w:cs="Book Antiqua"/>
          <w:color w:val="000000"/>
        </w:rPr>
        <w:lastRenderedPageBreak/>
        <w:t xml:space="preserve">chelation to treat symptomatic hepatic Wilson's disease in resource constrained setting. </w:t>
      </w:r>
      <w:r>
        <w:rPr>
          <w:rFonts w:ascii="Book Antiqua" w:eastAsia="Book Antiqua" w:hAnsi="Book Antiqua" w:cs="Book Antiqua"/>
          <w:i/>
          <w:iCs/>
          <w:color w:val="000000"/>
        </w:rPr>
        <w:t>Indian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31-38 [PMID: 29457214 DOI: 10.1007/s12664-018-0829-x]</w:t>
      </w:r>
    </w:p>
    <w:p w14:paraId="10F5BA6B"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Pitman SK</w:t>
      </w:r>
      <w:r>
        <w:rPr>
          <w:rFonts w:ascii="Book Antiqua" w:eastAsia="Book Antiqua" w:hAnsi="Book Antiqua" w:cs="Book Antiqua"/>
          <w:color w:val="000000"/>
        </w:rPr>
        <w:t xml:space="preserve">, Huynh T, Bjarnason TA, An J, </w:t>
      </w:r>
      <w:proofErr w:type="spellStart"/>
      <w:r>
        <w:rPr>
          <w:rFonts w:ascii="Book Antiqua" w:eastAsia="Book Antiqua" w:hAnsi="Book Antiqua" w:cs="Book Antiqua"/>
          <w:color w:val="000000"/>
        </w:rPr>
        <w:t>Malkhasyan</w:t>
      </w:r>
      <w:proofErr w:type="spellEnd"/>
      <w:r>
        <w:rPr>
          <w:rFonts w:ascii="Book Antiqua" w:eastAsia="Book Antiqua" w:hAnsi="Book Antiqua" w:cs="Book Antiqua"/>
          <w:color w:val="000000"/>
        </w:rPr>
        <w:t xml:space="preserve"> KA. A case report and focused literature review of d-penicillamine and severe neutropenia: A serious toxicity from a seldom-used drug. </w:t>
      </w:r>
      <w:r>
        <w:rPr>
          <w:rFonts w:ascii="Book Antiqua" w:eastAsia="Book Antiqua" w:hAnsi="Book Antiqua" w:cs="Book Antiqua"/>
          <w:i/>
          <w:iCs/>
          <w:color w:val="000000"/>
        </w:rPr>
        <w:t>Clin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990-994 [PMID: 31110732 DOI: 10.1002/ccr3.2125]</w:t>
      </w:r>
    </w:p>
    <w:p w14:paraId="04C230E9" w14:textId="256B3382" w:rsidR="0036755F" w:rsidRDefault="0036755F" w:rsidP="00FC1E7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37 </w:t>
      </w:r>
      <w:proofErr w:type="spellStart"/>
      <w:r w:rsidRPr="0036755F">
        <w:rPr>
          <w:rFonts w:ascii="Book Antiqua" w:eastAsia="Book Antiqua" w:hAnsi="Book Antiqua" w:cs="Book Antiqua"/>
          <w:color w:val="000000"/>
        </w:rPr>
        <w:t>Petrides</w:t>
      </w:r>
      <w:proofErr w:type="spellEnd"/>
      <w:r w:rsidRPr="0036755F">
        <w:rPr>
          <w:rFonts w:ascii="Book Antiqua" w:eastAsia="Book Antiqua" w:hAnsi="Book Antiqua" w:cs="Book Antiqua"/>
          <w:color w:val="000000"/>
        </w:rPr>
        <w:t xml:space="preserve"> PE, </w:t>
      </w:r>
      <w:proofErr w:type="spellStart"/>
      <w:r w:rsidRPr="0036755F">
        <w:rPr>
          <w:rFonts w:ascii="Book Antiqua" w:eastAsia="Book Antiqua" w:hAnsi="Book Antiqua" w:cs="Book Antiqua"/>
          <w:color w:val="000000"/>
        </w:rPr>
        <w:t>Gerhartz</w:t>
      </w:r>
      <w:proofErr w:type="spellEnd"/>
      <w:r w:rsidRPr="0036755F">
        <w:rPr>
          <w:rFonts w:ascii="Book Antiqua" w:eastAsia="Book Antiqua" w:hAnsi="Book Antiqua" w:cs="Book Antiqua"/>
          <w:color w:val="000000"/>
        </w:rPr>
        <w:t xml:space="preserve"> HH. D-penicillamine-induced agranulocytosis: hematological remission upon treatment with recombinant GM-CSF. Z </w:t>
      </w:r>
      <w:proofErr w:type="spellStart"/>
      <w:r w:rsidRPr="0036755F">
        <w:rPr>
          <w:rFonts w:ascii="Book Antiqua" w:eastAsia="Book Antiqua" w:hAnsi="Book Antiqua" w:cs="Book Antiqua"/>
          <w:color w:val="000000"/>
        </w:rPr>
        <w:t>Rheumatol</w:t>
      </w:r>
      <w:proofErr w:type="spellEnd"/>
      <w:r w:rsidRPr="0036755F">
        <w:rPr>
          <w:rFonts w:ascii="Book Antiqua" w:eastAsia="Book Antiqua" w:hAnsi="Book Antiqua" w:cs="Book Antiqua"/>
          <w:color w:val="000000"/>
        </w:rPr>
        <w:t xml:space="preserve">. 1991;50(5):328-9. </w:t>
      </w:r>
      <w:r>
        <w:rPr>
          <w:rFonts w:ascii="Book Antiqua" w:eastAsia="Book Antiqua" w:hAnsi="Book Antiqua" w:cs="Book Antiqua"/>
          <w:color w:val="000000"/>
        </w:rPr>
        <w:t>[</w:t>
      </w:r>
      <w:r w:rsidRPr="0036755F">
        <w:rPr>
          <w:rFonts w:ascii="Book Antiqua" w:eastAsia="Book Antiqua" w:hAnsi="Book Antiqua" w:cs="Book Antiqua"/>
          <w:color w:val="000000"/>
        </w:rPr>
        <w:t>PMID: 1776370</w:t>
      </w:r>
      <w:r>
        <w:rPr>
          <w:rFonts w:ascii="Book Antiqua" w:eastAsia="Book Antiqua" w:hAnsi="Book Antiqua" w:cs="Book Antiqua"/>
          <w:color w:val="000000"/>
        </w:rPr>
        <w:t>]</w:t>
      </w:r>
      <w:r w:rsidRPr="0036755F">
        <w:rPr>
          <w:rFonts w:ascii="Book Antiqua" w:eastAsia="Book Antiqua" w:hAnsi="Book Antiqua" w:cs="Book Antiqua"/>
          <w:color w:val="000000"/>
        </w:rPr>
        <w:t>.</w:t>
      </w:r>
    </w:p>
    <w:p w14:paraId="38DBE7B4" w14:textId="6B67B61C"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Ishak R</w:t>
      </w:r>
      <w:r>
        <w:rPr>
          <w:rFonts w:ascii="Book Antiqua" w:eastAsia="Book Antiqua" w:hAnsi="Book Antiqua" w:cs="Book Antiqua"/>
          <w:color w:val="000000"/>
        </w:rPr>
        <w:t xml:space="preserve">, Abbas O. Penicillamine revisited: historic overview and review of the clinical uses and cutaneous adverse effects. </w:t>
      </w:r>
      <w:r>
        <w:rPr>
          <w:rFonts w:ascii="Book Antiqua" w:eastAsia="Book Antiqua" w:hAnsi="Book Antiqua" w:cs="Book Antiqua"/>
          <w:i/>
          <w:iCs/>
          <w:color w:val="000000"/>
        </w:rPr>
        <w:t>Am J Clin Dermatol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223-233 [PMID: 23605177 DOI: 10.1007/s40257-013-0022-z]</w:t>
      </w:r>
    </w:p>
    <w:p w14:paraId="6754BFF3"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Nishida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Sahashi</w:t>
      </w:r>
      <w:proofErr w:type="spellEnd"/>
      <w:r>
        <w:rPr>
          <w:rFonts w:ascii="Book Antiqua" w:eastAsia="Book Antiqua" w:hAnsi="Book Antiqua" w:cs="Book Antiqua"/>
          <w:color w:val="000000"/>
        </w:rPr>
        <w:t xml:space="preserve"> K. [Penicillamine-induced myasthenia gravis]. </w:t>
      </w:r>
      <w:proofErr w:type="spellStart"/>
      <w:r>
        <w:rPr>
          <w:rFonts w:ascii="Book Antiqua" w:eastAsia="Book Antiqua" w:hAnsi="Book Antiqua" w:cs="Book Antiqua"/>
          <w:i/>
          <w:iCs/>
          <w:color w:val="000000"/>
        </w:rPr>
        <w:t>Ryoikibetsu</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Shokogun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Shirizu</w:t>
      </w:r>
      <w:proofErr w:type="spellEnd"/>
      <w:r>
        <w:rPr>
          <w:rFonts w:ascii="Book Antiqua" w:eastAsia="Book Antiqua" w:hAnsi="Book Antiqua" w:cs="Book Antiqua"/>
          <w:color w:val="000000"/>
        </w:rPr>
        <w:t xml:space="preserve"> 2001: 351-353 [PMID: 11596408]</w:t>
      </w:r>
    </w:p>
    <w:p w14:paraId="3954CC22"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Lee Y</w:t>
      </w:r>
      <w:r>
        <w:rPr>
          <w:rFonts w:ascii="Book Antiqua" w:eastAsia="Book Antiqua" w:hAnsi="Book Antiqua" w:cs="Book Antiqua"/>
          <w:color w:val="000000"/>
        </w:rPr>
        <w:t xml:space="preserve">, Lee ST, Cho H. D-penicillamine-induced ANA (+) ANCA (+) vasculitis in pediatric patients with Wilson's disease. </w:t>
      </w:r>
      <w:r>
        <w:rPr>
          <w:rFonts w:ascii="Book Antiqua" w:eastAsia="Book Antiqua" w:hAnsi="Book Antiqua" w:cs="Book Antiqua"/>
          <w:i/>
          <w:iCs/>
          <w:color w:val="000000"/>
        </w:rPr>
        <w:t>Clin Nephrol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85</w:t>
      </w:r>
      <w:r>
        <w:rPr>
          <w:rFonts w:ascii="Book Antiqua" w:eastAsia="Book Antiqua" w:hAnsi="Book Antiqua" w:cs="Book Antiqua"/>
          <w:color w:val="000000"/>
        </w:rPr>
        <w:t>: 296-300 [PMID: 26784915 DOI: 10.5414/CN108763]</w:t>
      </w:r>
    </w:p>
    <w:p w14:paraId="0527FBB0"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Deutscher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Kiess</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Scheerschmidt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Willgerodt</w:t>
      </w:r>
      <w:proofErr w:type="spellEnd"/>
      <w:r>
        <w:rPr>
          <w:rFonts w:ascii="Book Antiqua" w:eastAsia="Book Antiqua" w:hAnsi="Book Antiqua" w:cs="Book Antiqua"/>
          <w:color w:val="000000"/>
        </w:rPr>
        <w:t xml:space="preserve"> H. Potential hepatotoxicity of penicillamine treatment in three patients with Wilson's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Gastroenterol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29</w:t>
      </w:r>
      <w:r>
        <w:rPr>
          <w:rFonts w:ascii="Book Antiqua" w:eastAsia="Book Antiqua" w:hAnsi="Book Antiqua" w:cs="Book Antiqua"/>
          <w:color w:val="000000"/>
        </w:rPr>
        <w:t>: 628 [PMID: 10554138 DOI: 10.1097/00005176-199911000-00031]</w:t>
      </w:r>
    </w:p>
    <w:p w14:paraId="69EF3F6A"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Kalita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Kumar V, Ranjan A, </w:t>
      </w:r>
      <w:proofErr w:type="spellStart"/>
      <w:r>
        <w:rPr>
          <w:rFonts w:ascii="Book Antiqua" w:eastAsia="Book Antiqua" w:hAnsi="Book Antiqua" w:cs="Book Antiqua"/>
          <w:color w:val="000000"/>
        </w:rPr>
        <w:t>Misra</w:t>
      </w:r>
      <w:proofErr w:type="spellEnd"/>
      <w:r>
        <w:rPr>
          <w:rFonts w:ascii="Book Antiqua" w:eastAsia="Book Antiqua" w:hAnsi="Book Antiqua" w:cs="Book Antiqua"/>
          <w:color w:val="000000"/>
        </w:rPr>
        <w:t xml:space="preserve"> UK. Role of Oxidative Stress in the Worsening of Neurologic Wilson Disease Following Chelating Therapy. </w:t>
      </w:r>
      <w:proofErr w:type="spellStart"/>
      <w:r>
        <w:rPr>
          <w:rFonts w:ascii="Book Antiqua" w:eastAsia="Book Antiqua" w:hAnsi="Book Antiqua" w:cs="Book Antiqua"/>
          <w:i/>
          <w:iCs/>
          <w:color w:val="000000"/>
        </w:rPr>
        <w:t>Neuromolecular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364-372 [PMID: 26224517 DOI: 10.1007/s12017-015-8364-8]</w:t>
      </w:r>
    </w:p>
    <w:p w14:paraId="1A60B35B"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Cramer JA</w:t>
      </w:r>
      <w:r>
        <w:rPr>
          <w:rFonts w:ascii="Book Antiqua" w:eastAsia="Book Antiqua" w:hAnsi="Book Antiqua" w:cs="Book Antiqua"/>
          <w:color w:val="000000"/>
        </w:rPr>
        <w:t xml:space="preserve">, Roy A, Burrell A, Fairchild CJ, </w:t>
      </w:r>
      <w:proofErr w:type="spellStart"/>
      <w:r>
        <w:rPr>
          <w:rFonts w:ascii="Book Antiqua" w:eastAsia="Book Antiqua" w:hAnsi="Book Antiqua" w:cs="Book Antiqua"/>
          <w:color w:val="000000"/>
        </w:rPr>
        <w:t>Fuldeore</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Ollendorf</w:t>
      </w:r>
      <w:proofErr w:type="spellEnd"/>
      <w:r>
        <w:rPr>
          <w:rFonts w:ascii="Book Antiqua" w:eastAsia="Book Antiqua" w:hAnsi="Book Antiqua" w:cs="Book Antiqua"/>
          <w:color w:val="000000"/>
        </w:rPr>
        <w:t xml:space="preserve"> DA, Wong PK. Medication compliance and persistence: terminology and definitions. </w:t>
      </w:r>
      <w:r>
        <w:rPr>
          <w:rFonts w:ascii="Book Antiqua" w:eastAsia="Book Antiqua" w:hAnsi="Book Antiqua" w:cs="Book Antiqua"/>
          <w:i/>
          <w:iCs/>
          <w:color w:val="000000"/>
        </w:rPr>
        <w:t>Value Health</w:t>
      </w:r>
      <w:r>
        <w:rPr>
          <w:rFonts w:ascii="Book Antiqua" w:eastAsia="Book Antiqua" w:hAnsi="Book Antiqua" w:cs="Book Antiqua"/>
          <w:color w:val="000000"/>
        </w:rPr>
        <w:t xml:space="preserve"> 2008; </w:t>
      </w:r>
      <w:r>
        <w:rPr>
          <w:rFonts w:ascii="Book Antiqua" w:eastAsia="Book Antiqua" w:hAnsi="Book Antiqua" w:cs="Book Antiqua"/>
          <w:b/>
          <w:bCs/>
          <w:color w:val="000000"/>
        </w:rPr>
        <w:t>11</w:t>
      </w:r>
      <w:r>
        <w:rPr>
          <w:rFonts w:ascii="Book Antiqua" w:eastAsia="Book Antiqua" w:hAnsi="Book Antiqua" w:cs="Book Antiqua"/>
          <w:color w:val="000000"/>
        </w:rPr>
        <w:t>: 44-47 [PMID: 18237359 DOI: 10.1111/j.1524-4733.2007.00213.x]</w:t>
      </w:r>
    </w:p>
    <w:p w14:paraId="0ACD687A"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Masełbas</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Członkowska</w:t>
      </w:r>
      <w:proofErr w:type="spellEnd"/>
      <w:r>
        <w:rPr>
          <w:rFonts w:ascii="Book Antiqua" w:eastAsia="Book Antiqua" w:hAnsi="Book Antiqua" w:cs="Book Antiqua"/>
          <w:color w:val="000000"/>
        </w:rPr>
        <w:t xml:space="preserve"> A, Litwin T, </w:t>
      </w:r>
      <w:proofErr w:type="spellStart"/>
      <w:r>
        <w:rPr>
          <w:rFonts w:ascii="Book Antiqua" w:eastAsia="Book Antiqua" w:hAnsi="Book Antiqua" w:cs="Book Antiqua"/>
          <w:color w:val="000000"/>
        </w:rPr>
        <w:t>Niewada</w:t>
      </w:r>
      <w:proofErr w:type="spellEnd"/>
      <w:r>
        <w:rPr>
          <w:rFonts w:ascii="Book Antiqua" w:eastAsia="Book Antiqua" w:hAnsi="Book Antiqua" w:cs="Book Antiqua"/>
          <w:color w:val="000000"/>
        </w:rPr>
        <w:t xml:space="preserve"> M. Persistence with treatment for Wilson disease: a retrospective study. </w:t>
      </w:r>
      <w:r>
        <w:rPr>
          <w:rFonts w:ascii="Book Antiqua" w:eastAsia="Book Antiqua" w:hAnsi="Book Antiqua" w:cs="Book Antiqua"/>
          <w:i/>
          <w:iCs/>
          <w:color w:val="000000"/>
        </w:rPr>
        <w:t>BMC Neurol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278 [PMID: 31718567 DOI: 10.1186/s12883-019-1502-4]</w:t>
      </w:r>
    </w:p>
    <w:p w14:paraId="052DCF90"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lastRenderedPageBreak/>
        <w:t xml:space="preserve">45 </w:t>
      </w:r>
      <w:proofErr w:type="spellStart"/>
      <w:r>
        <w:rPr>
          <w:rFonts w:ascii="Book Antiqua" w:eastAsia="Book Antiqua" w:hAnsi="Book Antiqua" w:cs="Book Antiqua"/>
          <w:b/>
          <w:bCs/>
          <w:color w:val="000000"/>
        </w:rPr>
        <w:t>Lössner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Lössner</w:t>
      </w:r>
      <w:proofErr w:type="spellEnd"/>
      <w:r>
        <w:rPr>
          <w:rFonts w:ascii="Book Antiqua" w:eastAsia="Book Antiqua" w:hAnsi="Book Antiqua" w:cs="Book Antiqua"/>
          <w:color w:val="000000"/>
        </w:rPr>
        <w:t xml:space="preserve"> J, Bachmann H, </w:t>
      </w:r>
      <w:proofErr w:type="spellStart"/>
      <w:r>
        <w:rPr>
          <w:rFonts w:ascii="Book Antiqua" w:eastAsia="Book Antiqua" w:hAnsi="Book Antiqua" w:cs="Book Antiqua"/>
          <w:color w:val="000000"/>
        </w:rPr>
        <w:t>Zotter</w:t>
      </w:r>
      <w:proofErr w:type="spellEnd"/>
      <w:r>
        <w:rPr>
          <w:rFonts w:ascii="Book Antiqua" w:eastAsia="Book Antiqua" w:hAnsi="Book Antiqua" w:cs="Book Antiqua"/>
          <w:color w:val="000000"/>
        </w:rPr>
        <w:t xml:space="preserve"> J. The Kayser-Fleischer ring during long-term treatment in Wilson's disease (hepatolenticular degeneration). A follow-up study. </w:t>
      </w:r>
      <w:proofErr w:type="spellStart"/>
      <w:r>
        <w:rPr>
          <w:rFonts w:ascii="Book Antiqua" w:eastAsia="Book Antiqua" w:hAnsi="Book Antiqua" w:cs="Book Antiqua"/>
          <w:i/>
          <w:iCs/>
          <w:color w:val="000000"/>
        </w:rPr>
        <w:t>Graefes</w:t>
      </w:r>
      <w:proofErr w:type="spellEnd"/>
      <w:r>
        <w:rPr>
          <w:rFonts w:ascii="Book Antiqua" w:eastAsia="Book Antiqua" w:hAnsi="Book Antiqua" w:cs="Book Antiqua"/>
          <w:i/>
          <w:iCs/>
          <w:color w:val="000000"/>
        </w:rPr>
        <w:t xml:space="preserve"> Arch Clin Exp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1986; </w:t>
      </w:r>
      <w:r>
        <w:rPr>
          <w:rFonts w:ascii="Book Antiqua" w:eastAsia="Book Antiqua" w:hAnsi="Book Antiqua" w:cs="Book Antiqua"/>
          <w:b/>
          <w:bCs/>
          <w:color w:val="000000"/>
        </w:rPr>
        <w:t>224</w:t>
      </w:r>
      <w:r>
        <w:rPr>
          <w:rFonts w:ascii="Book Antiqua" w:eastAsia="Book Antiqua" w:hAnsi="Book Antiqua" w:cs="Book Antiqua"/>
          <w:color w:val="000000"/>
        </w:rPr>
        <w:t>: 152-155 [PMID: 3949188 DOI: 10.1007/BF02141489]</w:t>
      </w:r>
    </w:p>
    <w:p w14:paraId="4980867A"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Fenu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Liggi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Demelia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Sorbello</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Civolani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Demelia</w:t>
      </w:r>
      <w:proofErr w:type="spellEnd"/>
      <w:r>
        <w:rPr>
          <w:rFonts w:ascii="Book Antiqua" w:eastAsia="Book Antiqua" w:hAnsi="Book Antiqua" w:cs="Book Antiqua"/>
          <w:color w:val="000000"/>
        </w:rPr>
        <w:t xml:space="preserve"> L. Kayser-Fleischer ring in Wilson's disease: a cohort study. </w:t>
      </w:r>
      <w:r>
        <w:rPr>
          <w:rFonts w:ascii="Book Antiqua" w:eastAsia="Book Antiqua" w:hAnsi="Book Antiqua" w:cs="Book Antiqua"/>
          <w:i/>
          <w:iCs/>
          <w:color w:val="000000"/>
        </w:rPr>
        <w:t>Eur J Intern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e150-e156 [PMID: 22863441 DOI: 10.1016/j.ejim.2012.04.005]</w:t>
      </w:r>
    </w:p>
    <w:p w14:paraId="62B3D4E1"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Esmaeli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Burnstine</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Martonyi</w:t>
      </w:r>
      <w:proofErr w:type="spellEnd"/>
      <w:r>
        <w:rPr>
          <w:rFonts w:ascii="Book Antiqua" w:eastAsia="Book Antiqua" w:hAnsi="Book Antiqua" w:cs="Book Antiqua"/>
          <w:color w:val="000000"/>
        </w:rPr>
        <w:t xml:space="preserve"> CL, Sugar A, Johnson V, Brewer GJ. Regression of Kayser-Fleischer rings during oral zinc therapy: correlation with systemic manifestations of Wilson's disease. </w:t>
      </w:r>
      <w:r>
        <w:rPr>
          <w:rFonts w:ascii="Book Antiqua" w:eastAsia="Book Antiqua" w:hAnsi="Book Antiqua" w:cs="Book Antiqua"/>
          <w:i/>
          <w:iCs/>
          <w:color w:val="000000"/>
        </w:rPr>
        <w:t>Cornea</w:t>
      </w:r>
      <w:r>
        <w:rPr>
          <w:rFonts w:ascii="Book Antiqua" w:eastAsia="Book Antiqua" w:hAnsi="Book Antiqua" w:cs="Book Antiqua"/>
          <w:color w:val="000000"/>
        </w:rPr>
        <w:t xml:space="preserve"> 1996; </w:t>
      </w:r>
      <w:r>
        <w:rPr>
          <w:rFonts w:ascii="Book Antiqua" w:eastAsia="Book Antiqua" w:hAnsi="Book Antiqua" w:cs="Book Antiqua"/>
          <w:b/>
          <w:bCs/>
          <w:color w:val="000000"/>
        </w:rPr>
        <w:t>15</w:t>
      </w:r>
      <w:r>
        <w:rPr>
          <w:rFonts w:ascii="Book Antiqua" w:eastAsia="Book Antiqua" w:hAnsi="Book Antiqua" w:cs="Book Antiqua"/>
          <w:color w:val="000000"/>
        </w:rPr>
        <w:t>: 582-588 [PMID: 8899270]</w:t>
      </w:r>
    </w:p>
    <w:p w14:paraId="27FA9E6C"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Marcellini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Ciommo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Callea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Devito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Comparcola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Sartorelli</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Carelli</w:t>
      </w:r>
      <w:proofErr w:type="spellEnd"/>
      <w:r>
        <w:rPr>
          <w:rFonts w:ascii="Book Antiqua" w:eastAsia="Book Antiqua" w:hAnsi="Book Antiqua" w:cs="Book Antiqua"/>
          <w:color w:val="000000"/>
        </w:rPr>
        <w:t xml:space="preserve"> G, Nobili V. Treatment of Wilson's disease with zinc from the time of diagnosis in pediatric patients: a single-hospital, 10-year follow-up study. </w:t>
      </w:r>
      <w:r>
        <w:rPr>
          <w:rFonts w:ascii="Book Antiqua" w:eastAsia="Book Antiqua" w:hAnsi="Book Antiqua" w:cs="Book Antiqua"/>
          <w:i/>
          <w:iCs/>
          <w:color w:val="000000"/>
        </w:rPr>
        <w:t>J Lab Clin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145</w:t>
      </w:r>
      <w:r>
        <w:rPr>
          <w:rFonts w:ascii="Book Antiqua" w:eastAsia="Book Antiqua" w:hAnsi="Book Antiqua" w:cs="Book Antiqua"/>
          <w:color w:val="000000"/>
        </w:rPr>
        <w:t>: 139-143 [PMID: 15871305 DOI: 10.1016/j.lab.2005.01.007]</w:t>
      </w:r>
    </w:p>
    <w:p w14:paraId="549C512D"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Suvarna JC</w:t>
      </w:r>
      <w:r>
        <w:rPr>
          <w:rFonts w:ascii="Book Antiqua" w:eastAsia="Book Antiqua" w:hAnsi="Book Antiqua" w:cs="Book Antiqua"/>
          <w:color w:val="000000"/>
        </w:rPr>
        <w:t xml:space="preserve">. Kayser-Fleischer ring. </w:t>
      </w:r>
      <w:r>
        <w:rPr>
          <w:rFonts w:ascii="Book Antiqua" w:eastAsia="Book Antiqua" w:hAnsi="Book Antiqua" w:cs="Book Antiqua"/>
          <w:i/>
          <w:iCs/>
          <w:color w:val="000000"/>
        </w:rPr>
        <w:t>J Postgrad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54</w:t>
      </w:r>
      <w:r>
        <w:rPr>
          <w:rFonts w:ascii="Book Antiqua" w:eastAsia="Book Antiqua" w:hAnsi="Book Antiqua" w:cs="Book Antiqua"/>
          <w:color w:val="000000"/>
        </w:rPr>
        <w:t>: 238-240 [PMID: 18626182 DOI: 10.4103/0022-3859.41816]</w:t>
      </w:r>
    </w:p>
    <w:p w14:paraId="0BE3112E"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Das MC</w:t>
      </w:r>
      <w:r>
        <w:rPr>
          <w:rFonts w:ascii="Book Antiqua" w:eastAsia="Book Antiqua" w:hAnsi="Book Antiqua" w:cs="Book Antiqua"/>
          <w:color w:val="000000"/>
        </w:rPr>
        <w:t xml:space="preserve">, Sen </w:t>
      </w:r>
      <w:proofErr w:type="spellStart"/>
      <w:r>
        <w:rPr>
          <w:rFonts w:ascii="Book Antiqua" w:eastAsia="Book Antiqua" w:hAnsi="Book Antiqua" w:cs="Book Antiqua"/>
          <w:color w:val="000000"/>
        </w:rPr>
        <w:t>Sarma</w:t>
      </w:r>
      <w:proofErr w:type="spellEnd"/>
      <w:r>
        <w:rPr>
          <w:rFonts w:ascii="Book Antiqua" w:eastAsia="Book Antiqua" w:hAnsi="Book Antiqua" w:cs="Book Antiqua"/>
          <w:color w:val="000000"/>
        </w:rPr>
        <w:t xml:space="preserve"> M, Srivastava A, </w:t>
      </w:r>
      <w:proofErr w:type="spellStart"/>
      <w:r>
        <w:rPr>
          <w:rFonts w:ascii="Book Antiqua" w:eastAsia="Book Antiqua" w:hAnsi="Book Antiqua" w:cs="Book Antiqua"/>
          <w:color w:val="000000"/>
        </w:rPr>
        <w:t>Yachha</w:t>
      </w:r>
      <w:proofErr w:type="spellEnd"/>
      <w:r>
        <w:rPr>
          <w:rFonts w:ascii="Book Antiqua" w:eastAsia="Book Antiqua" w:hAnsi="Book Antiqua" w:cs="Book Antiqua"/>
          <w:color w:val="000000"/>
        </w:rPr>
        <w:t xml:space="preserve"> SK, Poddar U. Effect of chelation therapy in pediatric Wilson's disease: Liver and endoscopic outcome.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336-345 [PMID: 32745371 DOI: 10.1002/jhbp.812]</w:t>
      </w:r>
    </w:p>
    <w:p w14:paraId="2116BF6B"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Aggarwal A</w:t>
      </w:r>
      <w:r>
        <w:rPr>
          <w:rFonts w:ascii="Book Antiqua" w:eastAsia="Book Antiqua" w:hAnsi="Book Antiqua" w:cs="Book Antiqua"/>
          <w:color w:val="000000"/>
        </w:rPr>
        <w:t xml:space="preserve">, Aggarwal N, </w:t>
      </w:r>
      <w:proofErr w:type="spellStart"/>
      <w:r>
        <w:rPr>
          <w:rFonts w:ascii="Book Antiqua" w:eastAsia="Book Antiqua" w:hAnsi="Book Antiqua" w:cs="Book Antiqua"/>
          <w:color w:val="000000"/>
        </w:rPr>
        <w:t>Nagral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Jankharia</w:t>
      </w:r>
      <w:proofErr w:type="spellEnd"/>
      <w:r>
        <w:rPr>
          <w:rFonts w:ascii="Book Antiqua" w:eastAsia="Book Antiqua" w:hAnsi="Book Antiqua" w:cs="Book Antiqua"/>
          <w:color w:val="000000"/>
        </w:rPr>
        <w:t xml:space="preserve"> G, Bhatt M. A novel Global Assessment Scale for Wilson's Disease (GAS for WD). </w:t>
      </w:r>
      <w:r>
        <w:rPr>
          <w:rFonts w:ascii="Book Antiqua" w:eastAsia="Book Antiqua" w:hAnsi="Book Antiqua" w:cs="Book Antiqua"/>
          <w:i/>
          <w:iCs/>
          <w:color w:val="000000"/>
        </w:rPr>
        <w:t xml:space="preserve">Mov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509-518 [PMID: 19115420 DOI: 10.1002/mds.22231]</w:t>
      </w:r>
    </w:p>
    <w:p w14:paraId="00BA3E12"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Prashanth LK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Taly</w:t>
      </w:r>
      <w:proofErr w:type="spellEnd"/>
      <w:r>
        <w:rPr>
          <w:rFonts w:ascii="Book Antiqua" w:eastAsia="Book Antiqua" w:hAnsi="Book Antiqua" w:cs="Book Antiqua"/>
          <w:color w:val="000000"/>
        </w:rPr>
        <w:t xml:space="preserve"> AB, Sinha S, Ravishankar S, </w:t>
      </w:r>
      <w:proofErr w:type="spellStart"/>
      <w:r>
        <w:rPr>
          <w:rFonts w:ascii="Book Antiqua" w:eastAsia="Book Antiqua" w:hAnsi="Book Antiqua" w:cs="Book Antiqua"/>
          <w:color w:val="000000"/>
        </w:rPr>
        <w:t>Arunodaya</w:t>
      </w:r>
      <w:proofErr w:type="spellEnd"/>
      <w:r>
        <w:rPr>
          <w:rFonts w:ascii="Book Antiqua" w:eastAsia="Book Antiqua" w:hAnsi="Book Antiqua" w:cs="Book Antiqua"/>
          <w:color w:val="000000"/>
        </w:rPr>
        <w:t xml:space="preserve"> GR, Vasudev MK, Swamy HS. Prognostic factors in patients presenting with severe neurological forms of Wilson's disease. </w:t>
      </w:r>
      <w:r>
        <w:rPr>
          <w:rFonts w:ascii="Book Antiqua" w:eastAsia="Book Antiqua" w:hAnsi="Book Antiqua" w:cs="Book Antiqua"/>
          <w:i/>
          <w:iCs/>
          <w:color w:val="000000"/>
        </w:rPr>
        <w:t>QJM</w:t>
      </w:r>
      <w:r>
        <w:rPr>
          <w:rFonts w:ascii="Book Antiqua" w:eastAsia="Book Antiqua" w:hAnsi="Book Antiqua" w:cs="Book Antiqua"/>
          <w:color w:val="000000"/>
        </w:rPr>
        <w:t xml:space="preserve"> 2005; </w:t>
      </w:r>
      <w:r>
        <w:rPr>
          <w:rFonts w:ascii="Book Antiqua" w:eastAsia="Book Antiqua" w:hAnsi="Book Antiqua" w:cs="Book Antiqua"/>
          <w:b/>
          <w:bCs/>
          <w:color w:val="000000"/>
        </w:rPr>
        <w:t>98</w:t>
      </w:r>
      <w:r>
        <w:rPr>
          <w:rFonts w:ascii="Book Antiqua" w:eastAsia="Book Antiqua" w:hAnsi="Book Antiqua" w:cs="Book Antiqua"/>
          <w:color w:val="000000"/>
        </w:rPr>
        <w:t>: 557-563 [PMID: 16006499 DOI: 10.1093/</w:t>
      </w:r>
      <w:proofErr w:type="spellStart"/>
      <w:r>
        <w:rPr>
          <w:rFonts w:ascii="Book Antiqua" w:eastAsia="Book Antiqua" w:hAnsi="Book Antiqua" w:cs="Book Antiqua"/>
          <w:color w:val="000000"/>
        </w:rPr>
        <w:t>qjmed</w:t>
      </w:r>
      <w:proofErr w:type="spellEnd"/>
      <w:r>
        <w:rPr>
          <w:rFonts w:ascii="Book Antiqua" w:eastAsia="Book Antiqua" w:hAnsi="Book Antiqua" w:cs="Book Antiqua"/>
          <w:color w:val="000000"/>
        </w:rPr>
        <w:t>/hci095]</w:t>
      </w:r>
    </w:p>
    <w:p w14:paraId="03EBF5FC"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Walshe JM</w:t>
      </w:r>
      <w:r>
        <w:rPr>
          <w:rFonts w:ascii="Book Antiqua" w:eastAsia="Book Antiqua" w:hAnsi="Book Antiqua" w:cs="Book Antiqua"/>
          <w:color w:val="000000"/>
        </w:rPr>
        <w:t xml:space="preserve">. The pattern of urinary copper excretion and its response to treatment in patients with Wilson's disease. </w:t>
      </w:r>
      <w:r>
        <w:rPr>
          <w:rFonts w:ascii="Book Antiqua" w:eastAsia="Book Antiqua" w:hAnsi="Book Antiqua" w:cs="Book Antiqua"/>
          <w:i/>
          <w:iCs/>
          <w:color w:val="000000"/>
        </w:rPr>
        <w:t>QJM</w:t>
      </w:r>
      <w:r>
        <w:rPr>
          <w:rFonts w:ascii="Book Antiqua" w:eastAsia="Book Antiqua" w:hAnsi="Book Antiqua" w:cs="Book Antiqua"/>
          <w:color w:val="000000"/>
        </w:rPr>
        <w:t xml:space="preserve"> 2011; </w:t>
      </w:r>
      <w:r>
        <w:rPr>
          <w:rFonts w:ascii="Book Antiqua" w:eastAsia="Book Antiqua" w:hAnsi="Book Antiqua" w:cs="Book Antiqua"/>
          <w:b/>
          <w:bCs/>
          <w:color w:val="000000"/>
        </w:rPr>
        <w:t>104</w:t>
      </w:r>
      <w:r>
        <w:rPr>
          <w:rFonts w:ascii="Book Antiqua" w:eastAsia="Book Antiqua" w:hAnsi="Book Antiqua" w:cs="Book Antiqua"/>
          <w:color w:val="000000"/>
        </w:rPr>
        <w:t>: 775-778 [PMID: 21622540 DOI: 10.1093/</w:t>
      </w:r>
      <w:proofErr w:type="spellStart"/>
      <w:r>
        <w:rPr>
          <w:rFonts w:ascii="Book Antiqua" w:eastAsia="Book Antiqua" w:hAnsi="Book Antiqua" w:cs="Book Antiqua"/>
          <w:color w:val="000000"/>
        </w:rPr>
        <w:t>qjmed</w:t>
      </w:r>
      <w:proofErr w:type="spellEnd"/>
      <w:r>
        <w:rPr>
          <w:rFonts w:ascii="Book Antiqua" w:eastAsia="Book Antiqua" w:hAnsi="Book Antiqua" w:cs="Book Antiqua"/>
          <w:color w:val="000000"/>
        </w:rPr>
        <w:t>/hcr073]</w:t>
      </w:r>
    </w:p>
    <w:p w14:paraId="0E4875EE"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lastRenderedPageBreak/>
        <w:t xml:space="preserve">54 </w:t>
      </w:r>
      <w:r>
        <w:rPr>
          <w:rFonts w:ascii="Book Antiqua" w:eastAsia="Book Antiqua" w:hAnsi="Book Antiqua" w:cs="Book Antiqua"/>
          <w:b/>
          <w:bCs/>
          <w:color w:val="000000"/>
        </w:rPr>
        <w:t>Twomey PJ</w:t>
      </w:r>
      <w:r>
        <w:rPr>
          <w:rFonts w:ascii="Book Antiqua" w:eastAsia="Book Antiqua" w:hAnsi="Book Antiqua" w:cs="Book Antiqua"/>
          <w:color w:val="000000"/>
        </w:rPr>
        <w:t xml:space="preserve">, Viljoen A, Reynolds TM, </w:t>
      </w:r>
      <w:proofErr w:type="spellStart"/>
      <w:r>
        <w:rPr>
          <w:rFonts w:ascii="Book Antiqua" w:eastAsia="Book Antiqua" w:hAnsi="Book Antiqua" w:cs="Book Antiqua"/>
          <w:color w:val="000000"/>
        </w:rPr>
        <w:t>Wierzbicki</w:t>
      </w:r>
      <w:proofErr w:type="spellEnd"/>
      <w:r>
        <w:rPr>
          <w:rFonts w:ascii="Book Antiqua" w:eastAsia="Book Antiqua" w:hAnsi="Book Antiqua" w:cs="Book Antiqua"/>
          <w:color w:val="000000"/>
        </w:rPr>
        <w:t xml:space="preserve"> AS. Non-ceruloplasmin-bound copper in routine clinical practice in different laboratories. </w:t>
      </w:r>
      <w:r>
        <w:rPr>
          <w:rFonts w:ascii="Book Antiqua" w:eastAsia="Book Antiqua" w:hAnsi="Book Antiqua" w:cs="Book Antiqua"/>
          <w:i/>
          <w:iCs/>
          <w:color w:val="000000"/>
        </w:rPr>
        <w:t>J Trace Elem Med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22</w:t>
      </w:r>
      <w:r>
        <w:rPr>
          <w:rFonts w:ascii="Book Antiqua" w:eastAsia="Book Antiqua" w:hAnsi="Book Antiqua" w:cs="Book Antiqua"/>
          <w:color w:val="000000"/>
        </w:rPr>
        <w:t>: 50-53 [PMID: 18319140 DOI: 10.1016/j.jtemb.2007.11.001]</w:t>
      </w:r>
    </w:p>
    <w:p w14:paraId="0CE0DEF9"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Duncan A</w:t>
      </w:r>
      <w:r>
        <w:rPr>
          <w:rFonts w:ascii="Book Antiqua" w:eastAsia="Book Antiqua" w:hAnsi="Book Antiqua" w:cs="Book Antiqua"/>
          <w:color w:val="000000"/>
        </w:rPr>
        <w:t xml:space="preserve">, Yacoubian C, Beetham R, Catchpole A, Bullock D. The role of calculated non-caeruloplasmin-bound copper in Wilson's disease. </w:t>
      </w:r>
      <w:r>
        <w:rPr>
          <w:rFonts w:ascii="Book Antiqua" w:eastAsia="Book Antiqua" w:hAnsi="Book Antiqua" w:cs="Book Antiqua"/>
          <w:i/>
          <w:iCs/>
          <w:color w:val="000000"/>
        </w:rPr>
        <w:t xml:space="preserve">Ann Clin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54</w:t>
      </w:r>
      <w:r>
        <w:rPr>
          <w:rFonts w:ascii="Book Antiqua" w:eastAsia="Book Antiqua" w:hAnsi="Book Antiqua" w:cs="Book Antiqua"/>
          <w:color w:val="000000"/>
        </w:rPr>
        <w:t>: 649-654 [PMID: 27742851 DOI: 10.1177/0004563216676843]</w:t>
      </w:r>
    </w:p>
    <w:p w14:paraId="29D6B0CF"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Schmitt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Podevin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Poupon</w:t>
      </w:r>
      <w:proofErr w:type="spellEnd"/>
      <w:r>
        <w:rPr>
          <w:rFonts w:ascii="Book Antiqua" w:eastAsia="Book Antiqua" w:hAnsi="Book Antiqua" w:cs="Book Antiqua"/>
          <w:color w:val="000000"/>
        </w:rPr>
        <w:t xml:space="preserve"> J, Roux J, </w:t>
      </w:r>
      <w:proofErr w:type="spellStart"/>
      <w:r>
        <w:rPr>
          <w:rFonts w:ascii="Book Antiqua" w:eastAsia="Book Antiqua" w:hAnsi="Book Antiqua" w:cs="Book Antiqua"/>
          <w:color w:val="000000"/>
        </w:rPr>
        <w:t>Legras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Trocello</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Woimant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Laprévote</w:t>
      </w:r>
      <w:proofErr w:type="spellEnd"/>
      <w:r>
        <w:rPr>
          <w:rFonts w:ascii="Book Antiqua" w:eastAsia="Book Antiqua" w:hAnsi="Book Antiqua" w:cs="Book Antiqua"/>
          <w:color w:val="000000"/>
        </w:rPr>
        <w:t xml:space="preserve"> O, Nguyen TH, El </w:t>
      </w:r>
      <w:proofErr w:type="spellStart"/>
      <w:r>
        <w:rPr>
          <w:rFonts w:ascii="Book Antiqua" w:eastAsia="Book Antiqua" w:hAnsi="Book Antiqua" w:cs="Book Antiqua"/>
          <w:color w:val="000000"/>
        </w:rPr>
        <w:t>Balkhi</w:t>
      </w:r>
      <w:proofErr w:type="spellEnd"/>
      <w:r>
        <w:rPr>
          <w:rFonts w:ascii="Book Antiqua" w:eastAsia="Book Antiqua" w:hAnsi="Book Antiqua" w:cs="Book Antiqua"/>
          <w:color w:val="000000"/>
        </w:rPr>
        <w:t xml:space="preserve"> S. Evolution of exchangeable copper and relative exchangeable copper through the course of Wilson's disease in the Long Evans Cinnamon rat.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e82323 [PMID: 24358170 DOI: 10.1371/journal.pone.0082323]</w:t>
      </w:r>
    </w:p>
    <w:p w14:paraId="2C49C3A2"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57 </w:t>
      </w:r>
      <w:r w:rsidRPr="00533F22">
        <w:rPr>
          <w:rFonts w:ascii="Book Antiqua" w:eastAsia="Book Antiqua" w:hAnsi="Book Antiqua" w:cs="Book Antiqua"/>
          <w:bCs/>
          <w:color w:val="000000"/>
        </w:rPr>
        <w:t>UEG</w:t>
      </w:r>
      <w:r>
        <w:rPr>
          <w:rFonts w:ascii="Book Antiqua" w:eastAsia="Book Antiqua" w:hAnsi="Book Antiqua" w:cs="Book Antiqua"/>
          <w:color w:val="000000"/>
        </w:rPr>
        <w:t xml:space="preserve"> Week 2020 Poster Presentations.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144-887 [PMID: 33043826 DOI: 10.1177/2050640620927345]</w:t>
      </w:r>
    </w:p>
    <w:p w14:paraId="24E2E004"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Cousins RJ</w:t>
      </w:r>
      <w:r>
        <w:rPr>
          <w:rFonts w:ascii="Book Antiqua" w:eastAsia="Book Antiqua" w:hAnsi="Book Antiqua" w:cs="Book Antiqua"/>
          <w:color w:val="000000"/>
        </w:rPr>
        <w:t xml:space="preserve">. Absorption, transport, and hepatic metabolism of copper and zinc: special reference to metallothionein and ceruloplasmin.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1985; </w:t>
      </w:r>
      <w:r>
        <w:rPr>
          <w:rFonts w:ascii="Book Antiqua" w:eastAsia="Book Antiqua" w:hAnsi="Book Antiqua" w:cs="Book Antiqua"/>
          <w:b/>
          <w:bCs/>
          <w:color w:val="000000"/>
        </w:rPr>
        <w:t>65</w:t>
      </w:r>
      <w:r>
        <w:rPr>
          <w:rFonts w:ascii="Book Antiqua" w:eastAsia="Book Antiqua" w:hAnsi="Book Antiqua" w:cs="Book Antiqua"/>
          <w:color w:val="000000"/>
        </w:rPr>
        <w:t>: 238-309 [PMID: 3885271 DOI: 10.1152/physrev.1985.65.2.238]</w:t>
      </w:r>
    </w:p>
    <w:p w14:paraId="2EB8BBD7"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Santos Silva EE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Sarles</w:t>
      </w:r>
      <w:proofErr w:type="spellEnd"/>
      <w:r>
        <w:rPr>
          <w:rFonts w:ascii="Book Antiqua" w:eastAsia="Book Antiqua" w:hAnsi="Book Antiqua" w:cs="Book Antiqua"/>
          <w:color w:val="000000"/>
        </w:rPr>
        <w:t xml:space="preserve"> J, Buts JP, </w:t>
      </w:r>
      <w:proofErr w:type="spellStart"/>
      <w:r>
        <w:rPr>
          <w:rFonts w:ascii="Book Antiqua" w:eastAsia="Book Antiqua" w:hAnsi="Book Antiqua" w:cs="Book Antiqua"/>
          <w:color w:val="000000"/>
        </w:rPr>
        <w:t>Sokal</w:t>
      </w:r>
      <w:proofErr w:type="spellEnd"/>
      <w:r>
        <w:rPr>
          <w:rFonts w:ascii="Book Antiqua" w:eastAsia="Book Antiqua" w:hAnsi="Book Antiqua" w:cs="Book Antiqua"/>
          <w:color w:val="000000"/>
        </w:rPr>
        <w:t xml:space="preserve"> EM. Successful medical treatment of severely decompensated Wilson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128</w:t>
      </w:r>
      <w:r>
        <w:rPr>
          <w:rFonts w:ascii="Book Antiqua" w:eastAsia="Book Antiqua" w:hAnsi="Book Antiqua" w:cs="Book Antiqua"/>
          <w:color w:val="000000"/>
        </w:rPr>
        <w:t>: 285-287 [PMID: 8636833 DOI: 10.1016/s0022-3476(96)70412-2]</w:t>
      </w:r>
    </w:p>
    <w:p w14:paraId="000AFE67"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Dhawan A</w:t>
      </w:r>
      <w:r>
        <w:rPr>
          <w:rFonts w:ascii="Book Antiqua" w:eastAsia="Book Antiqua" w:hAnsi="Book Antiqua" w:cs="Book Antiqua"/>
          <w:color w:val="000000"/>
        </w:rPr>
        <w:t xml:space="preserve">, Taylor RM, Cheeseman P, De Silva P, </w:t>
      </w:r>
      <w:proofErr w:type="spellStart"/>
      <w:r>
        <w:rPr>
          <w:rFonts w:ascii="Book Antiqua" w:eastAsia="Book Antiqua" w:hAnsi="Book Antiqua" w:cs="Book Antiqua"/>
          <w:color w:val="000000"/>
        </w:rPr>
        <w:t>Katsiyiannakis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Mieli-Vergani</w:t>
      </w:r>
      <w:proofErr w:type="spellEnd"/>
      <w:r>
        <w:rPr>
          <w:rFonts w:ascii="Book Antiqua" w:eastAsia="Book Antiqua" w:hAnsi="Book Antiqua" w:cs="Book Antiqua"/>
          <w:color w:val="000000"/>
        </w:rPr>
        <w:t xml:space="preserve"> G. Wilson's disease in children: 37-year experience and revised King's score for liver transplantation.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441-448 [PMID: 15776453 DOI: 10.1002/Lt.20352]</w:t>
      </w:r>
    </w:p>
    <w:p w14:paraId="40CE59FC"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Askari FK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Greenson</w:t>
      </w:r>
      <w:proofErr w:type="spellEnd"/>
      <w:r>
        <w:rPr>
          <w:rFonts w:ascii="Book Antiqua" w:eastAsia="Book Antiqua" w:hAnsi="Book Antiqua" w:cs="Book Antiqua"/>
          <w:color w:val="000000"/>
        </w:rPr>
        <w:t xml:space="preserve"> J, Dick RD, Johnson VD, Brewer GJ. Treatment of Wilson's disease with zinc. XVIII. Initial treatment of the hepatic decompensation presentation with trientine and zinc. </w:t>
      </w:r>
      <w:r>
        <w:rPr>
          <w:rFonts w:ascii="Book Antiqua" w:eastAsia="Book Antiqua" w:hAnsi="Book Antiqua" w:cs="Book Antiqua"/>
          <w:i/>
          <w:iCs/>
          <w:color w:val="000000"/>
        </w:rPr>
        <w:t>J Lab Clin Med</w:t>
      </w:r>
      <w:r>
        <w:rPr>
          <w:rFonts w:ascii="Book Antiqua" w:eastAsia="Book Antiqua" w:hAnsi="Book Antiqua" w:cs="Book Antiqua"/>
          <w:color w:val="000000"/>
        </w:rPr>
        <w:t xml:space="preserve"> 2003; </w:t>
      </w:r>
      <w:r>
        <w:rPr>
          <w:rFonts w:ascii="Book Antiqua" w:eastAsia="Book Antiqua" w:hAnsi="Book Antiqua" w:cs="Book Antiqua"/>
          <w:b/>
          <w:bCs/>
          <w:color w:val="000000"/>
        </w:rPr>
        <w:t>142</w:t>
      </w:r>
      <w:r>
        <w:rPr>
          <w:rFonts w:ascii="Book Antiqua" w:eastAsia="Book Antiqua" w:hAnsi="Book Antiqua" w:cs="Book Antiqua"/>
          <w:color w:val="000000"/>
        </w:rPr>
        <w:t>: 385-390 [PMID: 14713890 DOI: 10.1016/S0022-2143(03)00157-4]</w:t>
      </w:r>
    </w:p>
    <w:p w14:paraId="475EE49A"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Chen JC</w:t>
      </w:r>
      <w:r>
        <w:rPr>
          <w:rFonts w:ascii="Book Antiqua" w:eastAsia="Book Antiqua" w:hAnsi="Book Antiqua" w:cs="Book Antiqua"/>
          <w:color w:val="000000"/>
        </w:rPr>
        <w:t xml:space="preserve">, Chuang CH, Wang JD, Wang CW. Combination Therapy Using Chelating Agent and Zinc for Wilson's Disease. </w:t>
      </w:r>
      <w:r>
        <w:rPr>
          <w:rFonts w:ascii="Book Antiqua" w:eastAsia="Book Antiqua" w:hAnsi="Book Antiqua" w:cs="Book Antiqua"/>
          <w:i/>
          <w:iCs/>
          <w:color w:val="000000"/>
        </w:rPr>
        <w:t xml:space="preserve">J Med Biol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35</w:t>
      </w:r>
      <w:r>
        <w:rPr>
          <w:rFonts w:ascii="Book Antiqua" w:eastAsia="Book Antiqua" w:hAnsi="Book Antiqua" w:cs="Book Antiqua"/>
          <w:color w:val="000000"/>
        </w:rPr>
        <w:t>: 697-708 [PMID: 26692828 DOI: 10.1007/s40846-015-0087-7]</w:t>
      </w:r>
    </w:p>
    <w:p w14:paraId="1E74B712"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Weiss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Gotthardt</w:t>
      </w:r>
      <w:proofErr w:type="spellEnd"/>
      <w:r>
        <w:rPr>
          <w:rFonts w:ascii="Book Antiqua" w:eastAsia="Book Antiqua" w:hAnsi="Book Antiqua" w:cs="Book Antiqua"/>
          <w:color w:val="000000"/>
        </w:rPr>
        <w:t xml:space="preserve"> DN, Klemm D, Merle U, </w:t>
      </w:r>
      <w:proofErr w:type="spellStart"/>
      <w:r>
        <w:rPr>
          <w:rFonts w:ascii="Book Antiqua" w:eastAsia="Book Antiqua" w:hAnsi="Book Antiqua" w:cs="Book Antiqua"/>
          <w:color w:val="000000"/>
        </w:rPr>
        <w:t>Ferenci</w:t>
      </w:r>
      <w:proofErr w:type="spellEnd"/>
      <w:r>
        <w:rPr>
          <w:rFonts w:ascii="Book Antiqua" w:eastAsia="Book Antiqua" w:hAnsi="Book Antiqua" w:cs="Book Antiqua"/>
          <w:color w:val="000000"/>
        </w:rPr>
        <w:t xml:space="preserve">-Foerster D, Schaefer M, </w:t>
      </w:r>
      <w:proofErr w:type="spellStart"/>
      <w:r>
        <w:rPr>
          <w:rFonts w:ascii="Book Antiqua" w:eastAsia="Book Antiqua" w:hAnsi="Book Antiqua" w:cs="Book Antiqua"/>
          <w:color w:val="000000"/>
        </w:rPr>
        <w:t>Ferenci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Stremmel</w:t>
      </w:r>
      <w:proofErr w:type="spellEnd"/>
      <w:r>
        <w:rPr>
          <w:rFonts w:ascii="Book Antiqua" w:eastAsia="Book Antiqua" w:hAnsi="Book Antiqua" w:cs="Book Antiqua"/>
          <w:color w:val="000000"/>
        </w:rPr>
        <w:t xml:space="preserve"> W. Zinc monotherapy is not as effective as chelating agents in treatment of </w:t>
      </w:r>
      <w:r>
        <w:rPr>
          <w:rFonts w:ascii="Book Antiqua" w:eastAsia="Book Antiqua" w:hAnsi="Book Antiqua" w:cs="Book Antiqua"/>
          <w:color w:val="000000"/>
        </w:rPr>
        <w:lastRenderedPageBreak/>
        <w:t xml:space="preserve">Wilson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140</w:t>
      </w:r>
      <w:r>
        <w:rPr>
          <w:rFonts w:ascii="Book Antiqua" w:eastAsia="Book Antiqua" w:hAnsi="Book Antiqua" w:cs="Book Antiqua"/>
          <w:color w:val="000000"/>
        </w:rPr>
        <w:t>: 1189-1198.e1 [PMID: 21185835 DOI: 10.1053/j.gastro.2010.12.034]</w:t>
      </w:r>
    </w:p>
    <w:p w14:paraId="7EA0002E"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Fieten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Dirksen K, van den </w:t>
      </w:r>
      <w:proofErr w:type="spellStart"/>
      <w:r>
        <w:rPr>
          <w:rFonts w:ascii="Book Antiqua" w:eastAsia="Book Antiqua" w:hAnsi="Book Antiqua" w:cs="Book Antiqua"/>
          <w:color w:val="000000"/>
        </w:rPr>
        <w:t>Ingh</w:t>
      </w:r>
      <w:proofErr w:type="spellEnd"/>
      <w:r>
        <w:rPr>
          <w:rFonts w:ascii="Book Antiqua" w:eastAsia="Book Antiqua" w:hAnsi="Book Antiqua" w:cs="Book Antiqua"/>
          <w:color w:val="000000"/>
        </w:rPr>
        <w:t xml:space="preserve"> TS, Winter EA, Watson AL, </w:t>
      </w:r>
      <w:proofErr w:type="spellStart"/>
      <w:r>
        <w:rPr>
          <w:rFonts w:ascii="Book Antiqua" w:eastAsia="Book Antiqua" w:hAnsi="Book Antiqua" w:cs="Book Antiqua"/>
          <w:color w:val="000000"/>
        </w:rPr>
        <w:t>Leegwater</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Rothuizen</w:t>
      </w:r>
      <w:proofErr w:type="spellEnd"/>
      <w:r>
        <w:rPr>
          <w:rFonts w:ascii="Book Antiqua" w:eastAsia="Book Antiqua" w:hAnsi="Book Antiqua" w:cs="Book Antiqua"/>
          <w:color w:val="000000"/>
        </w:rPr>
        <w:t xml:space="preserve"> J. D-penicillamine treatment of copper-associated hepatitis in Labrador retrievers. </w:t>
      </w:r>
      <w:r>
        <w:rPr>
          <w:rFonts w:ascii="Book Antiqua" w:eastAsia="Book Antiqua" w:hAnsi="Book Antiqua" w:cs="Book Antiqua"/>
          <w:i/>
          <w:iCs/>
          <w:color w:val="000000"/>
        </w:rPr>
        <w:t>Vet J</w:t>
      </w:r>
      <w:r>
        <w:rPr>
          <w:rFonts w:ascii="Book Antiqua" w:eastAsia="Book Antiqua" w:hAnsi="Book Antiqua" w:cs="Book Antiqua"/>
          <w:color w:val="000000"/>
        </w:rPr>
        <w:t xml:space="preserve"> 2013; </w:t>
      </w:r>
      <w:r>
        <w:rPr>
          <w:rFonts w:ascii="Book Antiqua" w:eastAsia="Book Antiqua" w:hAnsi="Book Antiqua" w:cs="Book Antiqua"/>
          <w:b/>
          <w:bCs/>
          <w:color w:val="000000"/>
        </w:rPr>
        <w:t>196</w:t>
      </w:r>
      <w:r>
        <w:rPr>
          <w:rFonts w:ascii="Book Antiqua" w:eastAsia="Book Antiqua" w:hAnsi="Book Antiqua" w:cs="Book Antiqua"/>
          <w:color w:val="000000"/>
        </w:rPr>
        <w:t>: 522-527 [PMID: 23375251 DOI: 10.1016/j.tvjl.2012.12.013]</w:t>
      </w:r>
    </w:p>
    <w:p w14:paraId="5B33F253"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Brewer GJ</w:t>
      </w:r>
      <w:r>
        <w:rPr>
          <w:rFonts w:ascii="Book Antiqua" w:eastAsia="Book Antiqua" w:hAnsi="Book Antiqua" w:cs="Book Antiqua"/>
          <w:color w:val="000000"/>
        </w:rPr>
        <w:t xml:space="preserve">, Hedera P, </w:t>
      </w:r>
      <w:proofErr w:type="spellStart"/>
      <w:r>
        <w:rPr>
          <w:rFonts w:ascii="Book Antiqua" w:eastAsia="Book Antiqua" w:hAnsi="Book Antiqua" w:cs="Book Antiqua"/>
          <w:color w:val="000000"/>
        </w:rPr>
        <w:t>Kluin</w:t>
      </w:r>
      <w:proofErr w:type="spellEnd"/>
      <w:r>
        <w:rPr>
          <w:rFonts w:ascii="Book Antiqua" w:eastAsia="Book Antiqua" w:hAnsi="Book Antiqua" w:cs="Book Antiqua"/>
          <w:color w:val="000000"/>
        </w:rPr>
        <w:t xml:space="preserve"> KJ, Carlson M, Askari F, Dick RB, </w:t>
      </w:r>
      <w:proofErr w:type="spellStart"/>
      <w:r>
        <w:rPr>
          <w:rFonts w:ascii="Book Antiqua" w:eastAsia="Book Antiqua" w:hAnsi="Book Antiqua" w:cs="Book Antiqua"/>
          <w:color w:val="000000"/>
        </w:rPr>
        <w:t>Sitterly</w:t>
      </w:r>
      <w:proofErr w:type="spellEnd"/>
      <w:r>
        <w:rPr>
          <w:rFonts w:ascii="Book Antiqua" w:eastAsia="Book Antiqua" w:hAnsi="Book Antiqua" w:cs="Book Antiqua"/>
          <w:color w:val="000000"/>
        </w:rPr>
        <w:t xml:space="preserve"> J, Fink JK. Treatment of Wilson disease with ammonium </w:t>
      </w:r>
      <w:proofErr w:type="spellStart"/>
      <w:r>
        <w:rPr>
          <w:rFonts w:ascii="Book Antiqua" w:eastAsia="Book Antiqua" w:hAnsi="Book Antiqua" w:cs="Book Antiqua"/>
          <w:color w:val="000000"/>
        </w:rPr>
        <w:t>tetrathiomolybdate</w:t>
      </w:r>
      <w:proofErr w:type="spellEnd"/>
      <w:r>
        <w:rPr>
          <w:rFonts w:ascii="Book Antiqua" w:eastAsia="Book Antiqua" w:hAnsi="Book Antiqua" w:cs="Book Antiqua"/>
          <w:color w:val="000000"/>
        </w:rPr>
        <w:t xml:space="preserve">: III. Initial therapy in a total of 55 neurologically affected patients and follow-up with zinc therapy. </w:t>
      </w:r>
      <w:r>
        <w:rPr>
          <w:rFonts w:ascii="Book Antiqua" w:eastAsia="Book Antiqua" w:hAnsi="Book Antiqua" w:cs="Book Antiqua"/>
          <w:i/>
          <w:iCs/>
          <w:color w:val="000000"/>
        </w:rPr>
        <w:t>Arch Neurol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60</w:t>
      </w:r>
      <w:r>
        <w:rPr>
          <w:rFonts w:ascii="Book Antiqua" w:eastAsia="Book Antiqua" w:hAnsi="Book Antiqua" w:cs="Book Antiqua"/>
          <w:color w:val="000000"/>
        </w:rPr>
        <w:t>: 379-385 [PMID: 12633149 DOI: 10.1001/archneur.60.3.379]</w:t>
      </w:r>
    </w:p>
    <w:p w14:paraId="72E43FAD"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Brewer GJ</w:t>
      </w:r>
      <w:r>
        <w:rPr>
          <w:rFonts w:ascii="Book Antiqua" w:eastAsia="Book Antiqua" w:hAnsi="Book Antiqua" w:cs="Book Antiqua"/>
          <w:color w:val="000000"/>
        </w:rPr>
        <w:t xml:space="preserve">, Askari F, </w:t>
      </w:r>
      <w:proofErr w:type="spellStart"/>
      <w:r>
        <w:rPr>
          <w:rFonts w:ascii="Book Antiqua" w:eastAsia="Book Antiqua" w:hAnsi="Book Antiqua" w:cs="Book Antiqua"/>
          <w:color w:val="000000"/>
        </w:rPr>
        <w:t>Lorincz</w:t>
      </w:r>
      <w:proofErr w:type="spellEnd"/>
      <w:r>
        <w:rPr>
          <w:rFonts w:ascii="Book Antiqua" w:eastAsia="Book Antiqua" w:hAnsi="Book Antiqua" w:cs="Book Antiqua"/>
          <w:color w:val="000000"/>
        </w:rPr>
        <w:t xml:space="preserve"> MT, Carlson M, </w:t>
      </w:r>
      <w:proofErr w:type="spellStart"/>
      <w:r>
        <w:rPr>
          <w:rFonts w:ascii="Book Antiqua" w:eastAsia="Book Antiqua" w:hAnsi="Book Antiqua" w:cs="Book Antiqua"/>
          <w:color w:val="000000"/>
        </w:rPr>
        <w:t>Schilsky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Kluin</w:t>
      </w:r>
      <w:proofErr w:type="spellEnd"/>
      <w:r>
        <w:rPr>
          <w:rFonts w:ascii="Book Antiqua" w:eastAsia="Book Antiqua" w:hAnsi="Book Antiqua" w:cs="Book Antiqua"/>
          <w:color w:val="000000"/>
        </w:rPr>
        <w:t xml:space="preserve"> KJ, Hedera P, Moretti P, Fink JK, </w:t>
      </w:r>
      <w:proofErr w:type="spellStart"/>
      <w:r>
        <w:rPr>
          <w:rFonts w:ascii="Book Antiqua" w:eastAsia="Book Antiqua" w:hAnsi="Book Antiqua" w:cs="Book Antiqua"/>
          <w:color w:val="000000"/>
        </w:rPr>
        <w:t>Tankanow</w:t>
      </w:r>
      <w:proofErr w:type="spellEnd"/>
      <w:r>
        <w:rPr>
          <w:rFonts w:ascii="Book Antiqua" w:eastAsia="Book Antiqua" w:hAnsi="Book Antiqua" w:cs="Book Antiqua"/>
          <w:color w:val="000000"/>
        </w:rPr>
        <w:t xml:space="preserve"> R, Dick RB, </w:t>
      </w:r>
      <w:proofErr w:type="spellStart"/>
      <w:r>
        <w:rPr>
          <w:rFonts w:ascii="Book Antiqua" w:eastAsia="Book Antiqua" w:hAnsi="Book Antiqua" w:cs="Book Antiqua"/>
          <w:color w:val="000000"/>
        </w:rPr>
        <w:t>Sitterly</w:t>
      </w:r>
      <w:proofErr w:type="spellEnd"/>
      <w:r>
        <w:rPr>
          <w:rFonts w:ascii="Book Antiqua" w:eastAsia="Book Antiqua" w:hAnsi="Book Antiqua" w:cs="Book Antiqua"/>
          <w:color w:val="000000"/>
        </w:rPr>
        <w:t xml:space="preserve"> J. Treatment of Wilson disease with ammonium </w:t>
      </w:r>
      <w:proofErr w:type="spellStart"/>
      <w:r>
        <w:rPr>
          <w:rFonts w:ascii="Book Antiqua" w:eastAsia="Book Antiqua" w:hAnsi="Book Antiqua" w:cs="Book Antiqua"/>
          <w:color w:val="000000"/>
        </w:rPr>
        <w:t>tetrathiomolybdate</w:t>
      </w:r>
      <w:proofErr w:type="spellEnd"/>
      <w:r>
        <w:rPr>
          <w:rFonts w:ascii="Book Antiqua" w:eastAsia="Book Antiqua" w:hAnsi="Book Antiqua" w:cs="Book Antiqua"/>
          <w:color w:val="000000"/>
        </w:rPr>
        <w:t xml:space="preserve">: IV. Comparison of </w:t>
      </w:r>
      <w:proofErr w:type="spellStart"/>
      <w:r>
        <w:rPr>
          <w:rFonts w:ascii="Book Antiqua" w:eastAsia="Book Antiqua" w:hAnsi="Book Antiqua" w:cs="Book Antiqua"/>
          <w:color w:val="000000"/>
        </w:rPr>
        <w:t>tetrathiomolybdate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trientine</w:t>
      </w:r>
      <w:proofErr w:type="spellEnd"/>
      <w:r>
        <w:rPr>
          <w:rFonts w:ascii="Book Antiqua" w:eastAsia="Book Antiqua" w:hAnsi="Book Antiqua" w:cs="Book Antiqua"/>
          <w:color w:val="000000"/>
        </w:rPr>
        <w:t xml:space="preserve"> in a double-blind study of treatment of the neurologic presentation of Wilson disease. </w:t>
      </w:r>
      <w:r>
        <w:rPr>
          <w:rFonts w:ascii="Book Antiqua" w:eastAsia="Book Antiqua" w:hAnsi="Book Antiqua" w:cs="Book Antiqua"/>
          <w:i/>
          <w:iCs/>
          <w:color w:val="000000"/>
        </w:rPr>
        <w:t>Arch Neurol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63</w:t>
      </w:r>
      <w:r>
        <w:rPr>
          <w:rFonts w:ascii="Book Antiqua" w:eastAsia="Book Antiqua" w:hAnsi="Book Antiqua" w:cs="Book Antiqua"/>
          <w:color w:val="000000"/>
        </w:rPr>
        <w:t>: 521-527 [PMID: 16606763 DOI: 10.1001/archneur.63.4.521]</w:t>
      </w:r>
    </w:p>
    <w:p w14:paraId="396BD4C5"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Medici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Trevisan</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Bigotto</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D'Incà</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Martines</w:t>
      </w:r>
      <w:proofErr w:type="spellEnd"/>
      <w:r>
        <w:rPr>
          <w:rFonts w:ascii="Book Antiqua" w:eastAsia="Book Antiqua" w:hAnsi="Book Antiqua" w:cs="Book Antiqua"/>
          <w:color w:val="000000"/>
        </w:rPr>
        <w:t xml:space="preserve"> D, Dal Pont E, </w:t>
      </w:r>
      <w:proofErr w:type="spellStart"/>
      <w:r>
        <w:rPr>
          <w:rFonts w:ascii="Book Antiqua" w:eastAsia="Book Antiqua" w:hAnsi="Book Antiqua" w:cs="Book Antiqua"/>
          <w:color w:val="000000"/>
        </w:rPr>
        <w:t>Sturniolo</w:t>
      </w:r>
      <w:proofErr w:type="spellEnd"/>
      <w:r>
        <w:rPr>
          <w:rFonts w:ascii="Book Antiqua" w:eastAsia="Book Antiqua" w:hAnsi="Book Antiqua" w:cs="Book Antiqua"/>
          <w:color w:val="000000"/>
        </w:rPr>
        <w:t xml:space="preserve"> GC. Adverse reaction after </w:t>
      </w:r>
      <w:proofErr w:type="spellStart"/>
      <w:r>
        <w:rPr>
          <w:rFonts w:ascii="Book Antiqua" w:eastAsia="Book Antiqua" w:hAnsi="Book Antiqua" w:cs="Book Antiqua"/>
          <w:color w:val="000000"/>
        </w:rPr>
        <w:t>tetrathiomolybdate</w:t>
      </w:r>
      <w:proofErr w:type="spellEnd"/>
      <w:r>
        <w:rPr>
          <w:rFonts w:ascii="Book Antiqua" w:eastAsia="Book Antiqua" w:hAnsi="Book Antiqua" w:cs="Book Antiqua"/>
          <w:color w:val="000000"/>
        </w:rPr>
        <w:t xml:space="preserve"> treatment for Wilson's disease: a case report. </w:t>
      </w:r>
      <w:r>
        <w:rPr>
          <w:rFonts w:ascii="Book Antiqua" w:eastAsia="Book Antiqua" w:hAnsi="Book Antiqua" w:cs="Book Antiqua"/>
          <w:i/>
          <w:iCs/>
          <w:color w:val="000000"/>
        </w:rPr>
        <w:t xml:space="preserve">Mov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21</w:t>
      </w:r>
      <w:r>
        <w:rPr>
          <w:rFonts w:ascii="Book Antiqua" w:eastAsia="Book Antiqua" w:hAnsi="Book Antiqua" w:cs="Book Antiqua"/>
          <w:color w:val="000000"/>
        </w:rPr>
        <w:t>: 2030-2032 [PMID: 16991142 DOI: 10.1002/mds.21109]</w:t>
      </w:r>
    </w:p>
    <w:p w14:paraId="78CE6C65"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68 </w:t>
      </w:r>
      <w:proofErr w:type="spellStart"/>
      <w:r>
        <w:rPr>
          <w:rFonts w:ascii="Book Antiqua" w:eastAsia="Book Antiqua" w:hAnsi="Book Antiqua" w:cs="Book Antiqua"/>
          <w:b/>
          <w:bCs/>
          <w:color w:val="000000"/>
        </w:rPr>
        <w:t>Karunajeewa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Wall A, Metz J, Grigg A. </w:t>
      </w:r>
      <w:proofErr w:type="spellStart"/>
      <w:r>
        <w:rPr>
          <w:rFonts w:ascii="Book Antiqua" w:eastAsia="Book Antiqua" w:hAnsi="Book Antiqua" w:cs="Book Antiqua"/>
          <w:color w:val="000000"/>
        </w:rPr>
        <w:t>Cytopenias</w:t>
      </w:r>
      <w:proofErr w:type="spellEnd"/>
      <w:r>
        <w:rPr>
          <w:rFonts w:ascii="Book Antiqua" w:eastAsia="Book Antiqua" w:hAnsi="Book Antiqua" w:cs="Book Antiqua"/>
          <w:color w:val="000000"/>
        </w:rPr>
        <w:t xml:space="preserve"> secondary to copper depletion complicating ammonium </w:t>
      </w:r>
      <w:proofErr w:type="spellStart"/>
      <w:r>
        <w:rPr>
          <w:rFonts w:ascii="Book Antiqua" w:eastAsia="Book Antiqua" w:hAnsi="Book Antiqua" w:cs="Book Antiqua"/>
          <w:color w:val="000000"/>
        </w:rPr>
        <w:t>tetrathiomolybdate</w:t>
      </w:r>
      <w:proofErr w:type="spellEnd"/>
      <w:r>
        <w:rPr>
          <w:rFonts w:ascii="Book Antiqua" w:eastAsia="Book Antiqua" w:hAnsi="Book Antiqua" w:cs="Book Antiqua"/>
          <w:color w:val="000000"/>
        </w:rPr>
        <w:t xml:space="preserve"> therapy for Wilson's disease. </w:t>
      </w:r>
      <w:r>
        <w:rPr>
          <w:rFonts w:ascii="Book Antiqua" w:eastAsia="Book Antiqua" w:hAnsi="Book Antiqua" w:cs="Book Antiqua"/>
          <w:i/>
          <w:iCs/>
          <w:color w:val="000000"/>
        </w:rPr>
        <w:t>Aust N Z J Med</w:t>
      </w:r>
      <w:r>
        <w:rPr>
          <w:rFonts w:ascii="Book Antiqua" w:eastAsia="Book Antiqua" w:hAnsi="Book Antiqua" w:cs="Book Antiqua"/>
          <w:color w:val="000000"/>
        </w:rPr>
        <w:t xml:space="preserve"> 1998; </w:t>
      </w:r>
      <w:r>
        <w:rPr>
          <w:rFonts w:ascii="Book Antiqua" w:eastAsia="Book Antiqua" w:hAnsi="Book Antiqua" w:cs="Book Antiqua"/>
          <w:b/>
          <w:bCs/>
          <w:color w:val="000000"/>
        </w:rPr>
        <w:t>28</w:t>
      </w:r>
      <w:r>
        <w:rPr>
          <w:rFonts w:ascii="Book Antiqua" w:eastAsia="Book Antiqua" w:hAnsi="Book Antiqua" w:cs="Book Antiqua"/>
          <w:color w:val="000000"/>
        </w:rPr>
        <w:t>: 215-216 [PMID: 9612534 DOI: 10.1111/j.1445-5994.1998.tb02975.x]</w:t>
      </w:r>
    </w:p>
    <w:p w14:paraId="22214EF0"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Weiss KH</w:t>
      </w:r>
      <w:r>
        <w:rPr>
          <w:rFonts w:ascii="Book Antiqua" w:eastAsia="Book Antiqua" w:hAnsi="Book Antiqua" w:cs="Book Antiqua"/>
          <w:color w:val="000000"/>
        </w:rPr>
        <w:t xml:space="preserve">, Askari FK, </w:t>
      </w:r>
      <w:proofErr w:type="spellStart"/>
      <w:r>
        <w:rPr>
          <w:rFonts w:ascii="Book Antiqua" w:eastAsia="Book Antiqua" w:hAnsi="Book Antiqua" w:cs="Book Antiqua"/>
          <w:color w:val="000000"/>
        </w:rPr>
        <w:t>Czlonkowska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Ferenci</w:t>
      </w:r>
      <w:proofErr w:type="spellEnd"/>
      <w:r>
        <w:rPr>
          <w:rFonts w:ascii="Book Antiqua" w:eastAsia="Book Antiqua" w:hAnsi="Book Antiqua" w:cs="Book Antiqua"/>
          <w:color w:val="000000"/>
        </w:rPr>
        <w:t xml:space="preserve"> P, Bronstein JM, Bega D, Ala A, Nicholl D, Flint S, Olsson L, </w:t>
      </w:r>
      <w:proofErr w:type="spellStart"/>
      <w:r>
        <w:rPr>
          <w:rFonts w:ascii="Book Antiqua" w:eastAsia="Book Antiqua" w:hAnsi="Book Antiqua" w:cs="Book Antiqua"/>
          <w:color w:val="000000"/>
        </w:rPr>
        <w:t>Plitz</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Bjartmar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Schilsky</w:t>
      </w:r>
      <w:proofErr w:type="spellEnd"/>
      <w:r>
        <w:rPr>
          <w:rFonts w:ascii="Book Antiqua" w:eastAsia="Book Antiqua" w:hAnsi="Book Antiqua" w:cs="Book Antiqua"/>
          <w:color w:val="000000"/>
        </w:rPr>
        <w:t xml:space="preserve"> ML. Bis-choline </w:t>
      </w:r>
      <w:proofErr w:type="spellStart"/>
      <w:r>
        <w:rPr>
          <w:rFonts w:ascii="Book Antiqua" w:eastAsia="Book Antiqua" w:hAnsi="Book Antiqua" w:cs="Book Antiqua"/>
          <w:color w:val="000000"/>
        </w:rPr>
        <w:t>tetrathiomolybdate</w:t>
      </w:r>
      <w:proofErr w:type="spellEnd"/>
      <w:r>
        <w:rPr>
          <w:rFonts w:ascii="Book Antiqua" w:eastAsia="Book Antiqua" w:hAnsi="Book Antiqua" w:cs="Book Antiqua"/>
          <w:color w:val="000000"/>
        </w:rPr>
        <w:t xml:space="preserve"> in patients with Wilson's disease: an open-label,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phase 2 study.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w:t>
      </w:r>
      <w:r>
        <w:rPr>
          <w:rFonts w:ascii="Book Antiqua" w:eastAsia="Book Antiqua" w:hAnsi="Book Antiqua" w:cs="Book Antiqua"/>
          <w:color w:val="000000"/>
        </w:rPr>
        <w:t>: 869-876 [PMID: 28988934 DOI: 10.1016/S2468-1253(17)30293-5]</w:t>
      </w:r>
    </w:p>
    <w:p w14:paraId="72DE048F"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Pandit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Bhave</w:t>
      </w:r>
      <w:proofErr w:type="spellEnd"/>
      <w:r>
        <w:rPr>
          <w:rFonts w:ascii="Book Antiqua" w:eastAsia="Book Antiqua" w:hAnsi="Book Antiqua" w:cs="Book Antiqua"/>
          <w:color w:val="000000"/>
        </w:rPr>
        <w:t xml:space="preserve"> S. Present interpretation of the role of copper in Indian childhood cirrhosis. </w:t>
      </w:r>
      <w:r>
        <w:rPr>
          <w:rFonts w:ascii="Book Antiqua" w:eastAsia="Book Antiqua" w:hAnsi="Book Antiqua" w:cs="Book Antiqua"/>
          <w:i/>
          <w:iCs/>
          <w:color w:val="000000"/>
        </w:rPr>
        <w:t xml:space="preserve">Am J Clin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63</w:t>
      </w:r>
      <w:r>
        <w:rPr>
          <w:rFonts w:ascii="Book Antiqua" w:eastAsia="Book Antiqua" w:hAnsi="Book Antiqua" w:cs="Book Antiqua"/>
          <w:color w:val="000000"/>
        </w:rPr>
        <w:t>: 830S-835S [PMID: 8615370 DOI: 10.1093/</w:t>
      </w:r>
      <w:proofErr w:type="spellStart"/>
      <w:r>
        <w:rPr>
          <w:rFonts w:ascii="Book Antiqua" w:eastAsia="Book Antiqua" w:hAnsi="Book Antiqua" w:cs="Book Antiqua"/>
          <w:color w:val="000000"/>
        </w:rPr>
        <w:t>ajcn</w:t>
      </w:r>
      <w:proofErr w:type="spellEnd"/>
      <w:r>
        <w:rPr>
          <w:rFonts w:ascii="Book Antiqua" w:eastAsia="Book Antiqua" w:hAnsi="Book Antiqua" w:cs="Book Antiqua"/>
          <w:color w:val="000000"/>
        </w:rPr>
        <w:t>/63.5.830]</w:t>
      </w:r>
    </w:p>
    <w:p w14:paraId="4A61C4B4"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Chawla V</w:t>
      </w:r>
      <w:r>
        <w:rPr>
          <w:rFonts w:ascii="Book Antiqua" w:eastAsia="Book Antiqua" w:hAnsi="Book Antiqua" w:cs="Book Antiqua"/>
          <w:color w:val="000000"/>
        </w:rPr>
        <w:t xml:space="preserve">, Chandra RK, Verma IC, </w:t>
      </w:r>
      <w:proofErr w:type="spellStart"/>
      <w:r>
        <w:rPr>
          <w:rFonts w:ascii="Book Antiqua" w:eastAsia="Book Antiqua" w:hAnsi="Book Antiqua" w:cs="Book Antiqua"/>
          <w:color w:val="000000"/>
        </w:rPr>
        <w:t>Ghai</w:t>
      </w:r>
      <w:proofErr w:type="spellEnd"/>
      <w:r>
        <w:rPr>
          <w:rFonts w:ascii="Book Antiqua" w:eastAsia="Book Antiqua" w:hAnsi="Book Antiqua" w:cs="Book Antiqua"/>
          <w:color w:val="000000"/>
        </w:rPr>
        <w:t xml:space="preserve"> OP. An epidemiologic approach to Indian childhood cirrhosis. </w:t>
      </w:r>
      <w:r>
        <w:rPr>
          <w:rFonts w:ascii="Book Antiqua" w:eastAsia="Book Antiqua" w:hAnsi="Book Antiqua" w:cs="Book Antiqua"/>
          <w:i/>
          <w:iCs/>
          <w:color w:val="000000"/>
        </w:rPr>
        <w:t xml:space="preserve">Indian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1973; </w:t>
      </w:r>
      <w:r>
        <w:rPr>
          <w:rFonts w:ascii="Book Antiqua" w:eastAsia="Book Antiqua" w:hAnsi="Book Antiqua" w:cs="Book Antiqua"/>
          <w:b/>
          <w:bCs/>
          <w:color w:val="000000"/>
        </w:rPr>
        <w:t>10</w:t>
      </w:r>
      <w:r>
        <w:rPr>
          <w:rFonts w:ascii="Book Antiqua" w:eastAsia="Book Antiqua" w:hAnsi="Book Antiqua" w:cs="Book Antiqua"/>
          <w:color w:val="000000"/>
        </w:rPr>
        <w:t>: 73-79 [PMID: 4719650]</w:t>
      </w:r>
    </w:p>
    <w:p w14:paraId="23C416D1"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lastRenderedPageBreak/>
        <w:t xml:space="preserve">72 </w:t>
      </w:r>
      <w:r>
        <w:rPr>
          <w:rFonts w:ascii="Book Antiqua" w:eastAsia="Book Antiqua" w:hAnsi="Book Antiqua" w:cs="Book Antiqua"/>
          <w:b/>
          <w:bCs/>
          <w:color w:val="000000"/>
        </w:rPr>
        <w:t>Nayak NC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Visalakshi</w:t>
      </w:r>
      <w:proofErr w:type="spellEnd"/>
      <w:r>
        <w:rPr>
          <w:rFonts w:ascii="Book Antiqua" w:eastAsia="Book Antiqua" w:hAnsi="Book Antiqua" w:cs="Book Antiqua"/>
          <w:color w:val="000000"/>
        </w:rPr>
        <w:t xml:space="preserve"> S, Singh M, Chawla V, Chandra RK, </w:t>
      </w:r>
      <w:proofErr w:type="spellStart"/>
      <w:r>
        <w:rPr>
          <w:rFonts w:ascii="Book Antiqua" w:eastAsia="Book Antiqua" w:hAnsi="Book Antiqua" w:cs="Book Antiqua"/>
          <w:color w:val="000000"/>
        </w:rPr>
        <w:t>Ramalingaswami</w:t>
      </w:r>
      <w:proofErr w:type="spellEnd"/>
      <w:r>
        <w:rPr>
          <w:rFonts w:ascii="Book Antiqua" w:eastAsia="Book Antiqua" w:hAnsi="Book Antiqua" w:cs="Book Antiqua"/>
          <w:color w:val="000000"/>
        </w:rPr>
        <w:t xml:space="preserve"> V. Indian childhood cirrhosis--a re-evaluation of its </w:t>
      </w:r>
      <w:proofErr w:type="spellStart"/>
      <w:r>
        <w:rPr>
          <w:rFonts w:ascii="Book Antiqua" w:eastAsia="Book Antiqua" w:hAnsi="Book Antiqua" w:cs="Book Antiqua"/>
          <w:color w:val="000000"/>
        </w:rPr>
        <w:t>pathomorphologic</w:t>
      </w:r>
      <w:proofErr w:type="spellEnd"/>
      <w:r>
        <w:rPr>
          <w:rFonts w:ascii="Book Antiqua" w:eastAsia="Book Antiqua" w:hAnsi="Book Antiqua" w:cs="Book Antiqua"/>
          <w:color w:val="000000"/>
        </w:rPr>
        <w:t xml:space="preserve"> features and their significance in the light of clinical data and natural history of the disease. </w:t>
      </w:r>
      <w:r>
        <w:rPr>
          <w:rFonts w:ascii="Book Antiqua" w:eastAsia="Book Antiqua" w:hAnsi="Book Antiqua" w:cs="Book Antiqua"/>
          <w:i/>
          <w:iCs/>
          <w:color w:val="000000"/>
        </w:rPr>
        <w:t>Indian J Med Res</w:t>
      </w:r>
      <w:r>
        <w:rPr>
          <w:rFonts w:ascii="Book Antiqua" w:eastAsia="Book Antiqua" w:hAnsi="Book Antiqua" w:cs="Book Antiqua"/>
          <w:color w:val="000000"/>
        </w:rPr>
        <w:t xml:space="preserve"> 1972; </w:t>
      </w:r>
      <w:r>
        <w:rPr>
          <w:rFonts w:ascii="Book Antiqua" w:eastAsia="Book Antiqua" w:hAnsi="Book Antiqua" w:cs="Book Antiqua"/>
          <w:b/>
          <w:bCs/>
          <w:color w:val="000000"/>
        </w:rPr>
        <w:t>60</w:t>
      </w:r>
      <w:r>
        <w:rPr>
          <w:rFonts w:ascii="Book Antiqua" w:eastAsia="Book Antiqua" w:hAnsi="Book Antiqua" w:cs="Book Antiqua"/>
          <w:color w:val="000000"/>
        </w:rPr>
        <w:t>: 246-259 [PMID: 5064312]</w:t>
      </w:r>
    </w:p>
    <w:p w14:paraId="34AC1935"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73 </w:t>
      </w:r>
      <w:proofErr w:type="spellStart"/>
      <w:r>
        <w:rPr>
          <w:rFonts w:ascii="Book Antiqua" w:eastAsia="Book Antiqua" w:hAnsi="Book Antiqua" w:cs="Book Antiqua"/>
          <w:b/>
          <w:bCs/>
          <w:color w:val="000000"/>
        </w:rPr>
        <w:t>Bavdekar</w:t>
      </w:r>
      <w:proofErr w:type="spellEnd"/>
      <w:r>
        <w:rPr>
          <w:rFonts w:ascii="Book Antiqua" w:eastAsia="Book Antiqua" w:hAnsi="Book Antiqua" w:cs="Book Antiqua"/>
          <w:b/>
          <w:bCs/>
          <w:color w:val="000000"/>
        </w:rPr>
        <w:t xml:space="preserve">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Bhave</w:t>
      </w:r>
      <w:proofErr w:type="spellEnd"/>
      <w:r>
        <w:rPr>
          <w:rFonts w:ascii="Book Antiqua" w:eastAsia="Book Antiqua" w:hAnsi="Book Antiqua" w:cs="Book Antiqua"/>
          <w:color w:val="000000"/>
        </w:rPr>
        <w:t xml:space="preserve"> SA, Pradhan AM, Pandit AN, Tanner MS. Long term survival in Indian childhood cirrhosis treated with D-penicillamine. </w:t>
      </w:r>
      <w:r>
        <w:rPr>
          <w:rFonts w:ascii="Book Antiqua" w:eastAsia="Book Antiqua" w:hAnsi="Book Antiqua" w:cs="Book Antiqua"/>
          <w:i/>
          <w:iCs/>
          <w:color w:val="000000"/>
        </w:rPr>
        <w:t>Arch Dis Child</w:t>
      </w:r>
      <w:r>
        <w:rPr>
          <w:rFonts w:ascii="Book Antiqua" w:eastAsia="Book Antiqua" w:hAnsi="Book Antiqua" w:cs="Book Antiqua"/>
          <w:color w:val="000000"/>
        </w:rPr>
        <w:t xml:space="preserve"> 1996; </w:t>
      </w:r>
      <w:r>
        <w:rPr>
          <w:rFonts w:ascii="Book Antiqua" w:eastAsia="Book Antiqua" w:hAnsi="Book Antiqua" w:cs="Book Antiqua"/>
          <w:b/>
          <w:bCs/>
          <w:color w:val="000000"/>
        </w:rPr>
        <w:t>74</w:t>
      </w:r>
      <w:r>
        <w:rPr>
          <w:rFonts w:ascii="Book Antiqua" w:eastAsia="Book Antiqua" w:hAnsi="Book Antiqua" w:cs="Book Antiqua"/>
          <w:color w:val="000000"/>
        </w:rPr>
        <w:t>: 32-35 [PMID: 8660042 DOI: 10.1136/adc.74.1.32]</w:t>
      </w:r>
    </w:p>
    <w:p w14:paraId="494FD275"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Tanner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Bhave</w:t>
      </w:r>
      <w:proofErr w:type="spellEnd"/>
      <w:r>
        <w:rPr>
          <w:rFonts w:ascii="Book Antiqua" w:eastAsia="Book Antiqua" w:hAnsi="Book Antiqua" w:cs="Book Antiqua"/>
          <w:color w:val="000000"/>
        </w:rPr>
        <w:t xml:space="preserve"> SA, Pradhan AM, Pandit AN. Clinical trials of penicillamine in Indian childhood cirrhosis. </w:t>
      </w:r>
      <w:r>
        <w:rPr>
          <w:rFonts w:ascii="Book Antiqua" w:eastAsia="Book Antiqua" w:hAnsi="Book Antiqua" w:cs="Book Antiqua"/>
          <w:i/>
          <w:iCs/>
          <w:color w:val="000000"/>
        </w:rPr>
        <w:t>Arch Dis Child</w:t>
      </w:r>
      <w:r>
        <w:rPr>
          <w:rFonts w:ascii="Book Antiqua" w:eastAsia="Book Antiqua" w:hAnsi="Book Antiqua" w:cs="Book Antiqua"/>
          <w:color w:val="000000"/>
        </w:rPr>
        <w:t xml:space="preserve"> 1987; </w:t>
      </w:r>
      <w:r>
        <w:rPr>
          <w:rFonts w:ascii="Book Antiqua" w:eastAsia="Book Antiqua" w:hAnsi="Book Antiqua" w:cs="Book Antiqua"/>
          <w:b/>
          <w:bCs/>
          <w:color w:val="000000"/>
        </w:rPr>
        <w:t>62</w:t>
      </w:r>
      <w:r>
        <w:rPr>
          <w:rFonts w:ascii="Book Antiqua" w:eastAsia="Book Antiqua" w:hAnsi="Book Antiqua" w:cs="Book Antiqua"/>
          <w:color w:val="000000"/>
        </w:rPr>
        <w:t>: 1118-1124 [PMID: 3318711 DOI: 10.1136/adc.62.11.1118]</w:t>
      </w:r>
    </w:p>
    <w:p w14:paraId="1649A1EE"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75 </w:t>
      </w:r>
      <w:proofErr w:type="spellStart"/>
      <w:r>
        <w:rPr>
          <w:rFonts w:ascii="Book Antiqua" w:eastAsia="Book Antiqua" w:hAnsi="Book Antiqua" w:cs="Book Antiqua"/>
          <w:b/>
          <w:bCs/>
          <w:color w:val="000000"/>
        </w:rPr>
        <w:t>Tomar</w:t>
      </w:r>
      <w:proofErr w:type="spellEnd"/>
      <w:r>
        <w:rPr>
          <w:rFonts w:ascii="Book Antiqua" w:eastAsia="Book Antiqua" w:hAnsi="Book Antiqua" w:cs="Book Antiqua"/>
          <w:b/>
          <w:bCs/>
          <w:color w:val="000000"/>
        </w:rPr>
        <w:t xml:space="preserve"> BS</w:t>
      </w:r>
      <w:r>
        <w:rPr>
          <w:rFonts w:ascii="Book Antiqua" w:eastAsia="Book Antiqua" w:hAnsi="Book Antiqua" w:cs="Book Antiqua"/>
          <w:color w:val="000000"/>
        </w:rPr>
        <w:t xml:space="preserve">, Saxena S, Prakash P, </w:t>
      </w:r>
      <w:proofErr w:type="spellStart"/>
      <w:r>
        <w:rPr>
          <w:rFonts w:ascii="Book Antiqua" w:eastAsia="Book Antiqua" w:hAnsi="Book Antiqua" w:cs="Book Antiqua"/>
          <w:color w:val="000000"/>
        </w:rPr>
        <w:t>Tomar</w:t>
      </w:r>
      <w:proofErr w:type="spellEnd"/>
      <w:r>
        <w:rPr>
          <w:rFonts w:ascii="Book Antiqua" w:eastAsia="Book Antiqua" w:hAnsi="Book Antiqua" w:cs="Book Antiqua"/>
          <w:color w:val="000000"/>
        </w:rPr>
        <w:t xml:space="preserve"> S, Verma C. D-penicillamine in the treatment of Indian childhood cirrhosis--a preliminary report.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1983; </w:t>
      </w:r>
      <w:r>
        <w:rPr>
          <w:rFonts w:ascii="Book Antiqua" w:eastAsia="Book Antiqua" w:hAnsi="Book Antiqua" w:cs="Book Antiqua"/>
          <w:b/>
          <w:bCs/>
          <w:color w:val="000000"/>
        </w:rPr>
        <w:t>50</w:t>
      </w:r>
      <w:r>
        <w:rPr>
          <w:rFonts w:ascii="Book Antiqua" w:eastAsia="Book Antiqua" w:hAnsi="Book Antiqua" w:cs="Book Antiqua"/>
          <w:color w:val="000000"/>
        </w:rPr>
        <w:t>: 613-618 [PMID: 6680110 DOI: 10.1007/BF02957727]</w:t>
      </w:r>
    </w:p>
    <w:p w14:paraId="21D5EF9E"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Baker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Gormally</w:t>
      </w:r>
      <w:proofErr w:type="spellEnd"/>
      <w:r>
        <w:rPr>
          <w:rFonts w:ascii="Book Antiqua" w:eastAsia="Book Antiqua" w:hAnsi="Book Antiqua" w:cs="Book Antiqua"/>
          <w:color w:val="000000"/>
        </w:rPr>
        <w:t xml:space="preserve"> S, Saxena R, Baldwin D, </w:t>
      </w:r>
      <w:proofErr w:type="spellStart"/>
      <w:r>
        <w:rPr>
          <w:rFonts w:ascii="Book Antiqua" w:eastAsia="Book Antiqua" w:hAnsi="Book Antiqua" w:cs="Book Antiqua"/>
          <w:color w:val="000000"/>
        </w:rPr>
        <w:t>Drumm</w:t>
      </w:r>
      <w:proofErr w:type="spellEnd"/>
      <w:r>
        <w:rPr>
          <w:rFonts w:ascii="Book Antiqua" w:eastAsia="Book Antiqua" w:hAnsi="Book Antiqua" w:cs="Book Antiqua"/>
          <w:color w:val="000000"/>
        </w:rPr>
        <w:t xml:space="preserve"> B, Bonham J, </w:t>
      </w:r>
      <w:proofErr w:type="spellStart"/>
      <w:r>
        <w:rPr>
          <w:rFonts w:ascii="Book Antiqua" w:eastAsia="Book Antiqua" w:hAnsi="Book Antiqua" w:cs="Book Antiqua"/>
          <w:color w:val="000000"/>
        </w:rPr>
        <w:t>Portmann</w:t>
      </w:r>
      <w:proofErr w:type="spellEnd"/>
      <w:r>
        <w:rPr>
          <w:rFonts w:ascii="Book Antiqua" w:eastAsia="Book Antiqua" w:hAnsi="Book Antiqua" w:cs="Book Antiqua"/>
          <w:color w:val="000000"/>
        </w:rPr>
        <w:t xml:space="preserve"> B, Mowat AP. Copper-associated liver disease in childhood.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1995; </w:t>
      </w:r>
      <w:r>
        <w:rPr>
          <w:rFonts w:ascii="Book Antiqua" w:eastAsia="Book Antiqua" w:hAnsi="Book Antiqua" w:cs="Book Antiqua"/>
          <w:b/>
          <w:bCs/>
          <w:color w:val="000000"/>
        </w:rPr>
        <w:t>23</w:t>
      </w:r>
      <w:r>
        <w:rPr>
          <w:rFonts w:ascii="Book Antiqua" w:eastAsia="Book Antiqua" w:hAnsi="Book Antiqua" w:cs="Book Antiqua"/>
          <w:color w:val="000000"/>
        </w:rPr>
        <w:t>: 538-543 [PMID: 8583141 DOI: 10.1016/0168-8278(95)80059-x]</w:t>
      </w:r>
    </w:p>
    <w:p w14:paraId="2756572B"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Horslen</w:t>
      </w:r>
      <w:proofErr w:type="spellEnd"/>
      <w:r>
        <w:rPr>
          <w:rFonts w:ascii="Book Antiqua" w:eastAsia="Book Antiqua" w:hAnsi="Book Antiqua" w:cs="Book Antiqua"/>
          <w:b/>
          <w:bCs/>
          <w:color w:val="000000"/>
        </w:rPr>
        <w:t xml:space="preserve"> SP</w:t>
      </w:r>
      <w:r>
        <w:rPr>
          <w:rFonts w:ascii="Book Antiqua" w:eastAsia="Book Antiqua" w:hAnsi="Book Antiqua" w:cs="Book Antiqua"/>
          <w:color w:val="000000"/>
        </w:rPr>
        <w:t xml:space="preserve">, Tanner MS, Lyon TD, Fell GS, Lowry MF. Copper associated childhood cirrhosis. </w:t>
      </w:r>
      <w:r>
        <w:rPr>
          <w:rFonts w:ascii="Book Antiqua" w:eastAsia="Book Antiqua" w:hAnsi="Book Antiqua" w:cs="Book Antiqua"/>
          <w:i/>
          <w:iCs/>
          <w:color w:val="000000"/>
        </w:rPr>
        <w:t>Gut</w:t>
      </w:r>
      <w:r>
        <w:rPr>
          <w:rFonts w:ascii="Book Antiqua" w:eastAsia="Book Antiqua" w:hAnsi="Book Antiqua" w:cs="Book Antiqua"/>
          <w:color w:val="000000"/>
        </w:rPr>
        <w:t xml:space="preserve"> 1994; </w:t>
      </w:r>
      <w:r>
        <w:rPr>
          <w:rFonts w:ascii="Book Antiqua" w:eastAsia="Book Antiqua" w:hAnsi="Book Antiqua" w:cs="Book Antiqua"/>
          <w:b/>
          <w:bCs/>
          <w:color w:val="000000"/>
        </w:rPr>
        <w:t>35</w:t>
      </w:r>
      <w:r>
        <w:rPr>
          <w:rFonts w:ascii="Book Antiqua" w:eastAsia="Book Antiqua" w:hAnsi="Book Antiqua" w:cs="Book Antiqua"/>
          <w:color w:val="000000"/>
        </w:rPr>
        <w:t>: 1497-1500 [PMID: 7959213 DOI: 10.1136/gut.35.10.1497]</w:t>
      </w:r>
    </w:p>
    <w:p w14:paraId="365ACD23"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Maggiore G</w:t>
      </w:r>
      <w:r>
        <w:rPr>
          <w:rFonts w:ascii="Book Antiqua" w:eastAsia="Book Antiqua" w:hAnsi="Book Antiqua" w:cs="Book Antiqua"/>
          <w:color w:val="000000"/>
        </w:rPr>
        <w:t xml:space="preserve">, De Giacomo C, Sessa F, </w:t>
      </w:r>
      <w:proofErr w:type="spellStart"/>
      <w:r>
        <w:rPr>
          <w:rFonts w:ascii="Book Antiqua" w:eastAsia="Book Antiqua" w:hAnsi="Book Antiqua" w:cs="Book Antiqua"/>
          <w:color w:val="000000"/>
        </w:rPr>
        <w:t>Burgio</w:t>
      </w:r>
      <w:proofErr w:type="spellEnd"/>
      <w:r>
        <w:rPr>
          <w:rFonts w:ascii="Book Antiqua" w:eastAsia="Book Antiqua" w:hAnsi="Book Antiqua" w:cs="Book Antiqua"/>
          <w:color w:val="000000"/>
        </w:rPr>
        <w:t xml:space="preserve"> GR. Idiopathic hepatic copper toxicosis in a child.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Gastroenterol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1987; </w:t>
      </w:r>
      <w:r>
        <w:rPr>
          <w:rFonts w:ascii="Book Antiqua" w:eastAsia="Book Antiqua" w:hAnsi="Book Antiqua" w:cs="Book Antiqua"/>
          <w:b/>
          <w:bCs/>
          <w:color w:val="000000"/>
        </w:rPr>
        <w:t>6</w:t>
      </w:r>
      <w:r>
        <w:rPr>
          <w:rFonts w:ascii="Book Antiqua" w:eastAsia="Book Antiqua" w:hAnsi="Book Antiqua" w:cs="Book Antiqua"/>
          <w:color w:val="000000"/>
        </w:rPr>
        <w:t>: 980-983 [PMID: 3681585 DOI: 10.1097/00005176-198711000-00028]</w:t>
      </w:r>
    </w:p>
    <w:p w14:paraId="547C7A40"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Muller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Feichtinger</w:t>
      </w:r>
      <w:proofErr w:type="spellEnd"/>
      <w:r>
        <w:rPr>
          <w:rFonts w:ascii="Book Antiqua" w:eastAsia="Book Antiqua" w:hAnsi="Book Antiqua" w:cs="Book Antiqua"/>
          <w:color w:val="000000"/>
        </w:rPr>
        <w:t xml:space="preserve"> H, Berger H, Muller W. Endemic Tyrolean infantile cirrhosis: an </w:t>
      </w:r>
      <w:proofErr w:type="spellStart"/>
      <w:r>
        <w:rPr>
          <w:rFonts w:ascii="Book Antiqua" w:eastAsia="Book Antiqua" w:hAnsi="Book Antiqua" w:cs="Book Antiqua"/>
          <w:color w:val="000000"/>
        </w:rPr>
        <w:t>ecogenetic</w:t>
      </w:r>
      <w:proofErr w:type="spellEnd"/>
      <w:r>
        <w:rPr>
          <w:rFonts w:ascii="Book Antiqua" w:eastAsia="Book Antiqua" w:hAnsi="Book Antiqua" w:cs="Book Antiqua"/>
          <w:color w:val="000000"/>
        </w:rPr>
        <w:t xml:space="preserve"> disorder.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1996; </w:t>
      </w:r>
      <w:r>
        <w:rPr>
          <w:rFonts w:ascii="Book Antiqua" w:eastAsia="Book Antiqua" w:hAnsi="Book Antiqua" w:cs="Book Antiqua"/>
          <w:b/>
          <w:bCs/>
          <w:color w:val="000000"/>
        </w:rPr>
        <w:t>347</w:t>
      </w:r>
      <w:r>
        <w:rPr>
          <w:rFonts w:ascii="Book Antiqua" w:eastAsia="Book Antiqua" w:hAnsi="Book Antiqua" w:cs="Book Antiqua"/>
          <w:color w:val="000000"/>
        </w:rPr>
        <w:t>: 877-880 [PMID: 8622397 DOI: 10.1016/s0140-6736(96)91351-3]</w:t>
      </w:r>
    </w:p>
    <w:p w14:paraId="466ACE7A"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Kelly AL</w:t>
      </w:r>
      <w:r>
        <w:rPr>
          <w:rFonts w:ascii="Book Antiqua" w:eastAsia="Book Antiqua" w:hAnsi="Book Antiqua" w:cs="Book Antiqua"/>
          <w:color w:val="000000"/>
        </w:rPr>
        <w:t xml:space="preserve">, Lunt PW, Rodrigues F, Berry PJ, Flynn DM, McKiernan PJ, Kelly DA, </w:t>
      </w:r>
      <w:proofErr w:type="spellStart"/>
      <w:r>
        <w:rPr>
          <w:rFonts w:ascii="Book Antiqua" w:eastAsia="Book Antiqua" w:hAnsi="Book Antiqua" w:cs="Book Antiqua"/>
          <w:color w:val="000000"/>
        </w:rPr>
        <w:t>Mieli-Vergani</w:t>
      </w:r>
      <w:proofErr w:type="spellEnd"/>
      <w:r>
        <w:rPr>
          <w:rFonts w:ascii="Book Antiqua" w:eastAsia="Book Antiqua" w:hAnsi="Book Antiqua" w:cs="Book Antiqua"/>
          <w:color w:val="000000"/>
        </w:rPr>
        <w:t xml:space="preserve"> G, Cox TM. Classification and genetic features of neonatal haemochromatosis: a study of 27 affected pedigrees and molecular analysis of genes implicated in iron metabolism.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2001; </w:t>
      </w:r>
      <w:r>
        <w:rPr>
          <w:rFonts w:ascii="Book Antiqua" w:eastAsia="Book Antiqua" w:hAnsi="Book Antiqua" w:cs="Book Antiqua"/>
          <w:b/>
          <w:bCs/>
          <w:color w:val="000000"/>
        </w:rPr>
        <w:t>38</w:t>
      </w:r>
      <w:r>
        <w:rPr>
          <w:rFonts w:ascii="Book Antiqua" w:eastAsia="Book Antiqua" w:hAnsi="Book Antiqua" w:cs="Book Antiqua"/>
          <w:color w:val="000000"/>
        </w:rPr>
        <w:t>: 599-610 [PMID: 11546828 DOI: 10.1136/jmg.38.9.599]</w:t>
      </w:r>
    </w:p>
    <w:p w14:paraId="0A800760"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Feldman 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Whitington</w:t>
      </w:r>
      <w:proofErr w:type="spellEnd"/>
      <w:r>
        <w:rPr>
          <w:rFonts w:ascii="Book Antiqua" w:eastAsia="Book Antiqua" w:hAnsi="Book Antiqua" w:cs="Book Antiqua"/>
          <w:color w:val="000000"/>
        </w:rPr>
        <w:t xml:space="preserve"> PF. Neonatal hemochromatosis. </w:t>
      </w:r>
      <w:r>
        <w:rPr>
          <w:rFonts w:ascii="Book Antiqua" w:eastAsia="Book Antiqua" w:hAnsi="Book Antiqua" w:cs="Book Antiqua"/>
          <w:i/>
          <w:iCs/>
          <w:color w:val="000000"/>
        </w:rPr>
        <w:t>J Clin Exp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w:t>
      </w:r>
      <w:r>
        <w:rPr>
          <w:rFonts w:ascii="Book Antiqua" w:eastAsia="Book Antiqua" w:hAnsi="Book Antiqua" w:cs="Book Antiqua"/>
          <w:color w:val="000000"/>
        </w:rPr>
        <w:t>: 313-320 [PMID: 25755519 DOI: 10.1016/j.jceh.2013.10.004]</w:t>
      </w:r>
    </w:p>
    <w:p w14:paraId="6CA79450"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lastRenderedPageBreak/>
        <w:t xml:space="preserve">82 </w:t>
      </w:r>
      <w:proofErr w:type="spellStart"/>
      <w:r>
        <w:rPr>
          <w:rFonts w:ascii="Book Antiqua" w:eastAsia="Book Antiqua" w:hAnsi="Book Antiqua" w:cs="Book Antiqua"/>
          <w:b/>
          <w:bCs/>
          <w:color w:val="000000"/>
        </w:rPr>
        <w:t>Lopriore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Mearin</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Oepkes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Devlieger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Whitington</w:t>
      </w:r>
      <w:proofErr w:type="spellEnd"/>
      <w:r>
        <w:rPr>
          <w:rFonts w:ascii="Book Antiqua" w:eastAsia="Book Antiqua" w:hAnsi="Book Antiqua" w:cs="Book Antiqua"/>
          <w:color w:val="000000"/>
        </w:rPr>
        <w:t xml:space="preserve"> PF. Neonatal hemochromatosis: management, outcome, and prevention. </w:t>
      </w:r>
      <w:proofErr w:type="spellStart"/>
      <w:r>
        <w:rPr>
          <w:rFonts w:ascii="Book Antiqua" w:eastAsia="Book Antiqua" w:hAnsi="Book Antiqua" w:cs="Book Antiqua"/>
          <w:i/>
          <w:iCs/>
          <w:color w:val="000000"/>
        </w:rPr>
        <w:t>Prenat</w:t>
      </w:r>
      <w:proofErr w:type="spellEnd"/>
      <w:r>
        <w:rPr>
          <w:rFonts w:ascii="Book Antiqua" w:eastAsia="Book Antiqua" w:hAnsi="Book Antiqua" w:cs="Book Antiqua"/>
          <w:i/>
          <w:iCs/>
          <w:color w:val="000000"/>
        </w:rPr>
        <w:t xml:space="preserve"> Diagn</w:t>
      </w:r>
      <w:r>
        <w:rPr>
          <w:rFonts w:ascii="Book Antiqua" w:eastAsia="Book Antiqua" w:hAnsi="Book Antiqua" w:cs="Book Antiqua"/>
          <w:color w:val="000000"/>
        </w:rPr>
        <w:t xml:space="preserve"> 2013; </w:t>
      </w:r>
      <w:r>
        <w:rPr>
          <w:rFonts w:ascii="Book Antiqua" w:eastAsia="Book Antiqua" w:hAnsi="Book Antiqua" w:cs="Book Antiqua"/>
          <w:b/>
          <w:bCs/>
          <w:color w:val="000000"/>
        </w:rPr>
        <w:t>33</w:t>
      </w:r>
      <w:r>
        <w:rPr>
          <w:rFonts w:ascii="Book Antiqua" w:eastAsia="Book Antiqua" w:hAnsi="Book Antiqua" w:cs="Book Antiqua"/>
          <w:color w:val="000000"/>
        </w:rPr>
        <w:t>: 1221-1225 [PMID: 24030714 DOI: 10.1002/pd.4232]</w:t>
      </w:r>
    </w:p>
    <w:p w14:paraId="73F1A1DE"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Flynn DM</w:t>
      </w:r>
      <w:r>
        <w:rPr>
          <w:rFonts w:ascii="Book Antiqua" w:eastAsia="Book Antiqua" w:hAnsi="Book Antiqua" w:cs="Book Antiqua"/>
          <w:color w:val="000000"/>
        </w:rPr>
        <w:t xml:space="preserve">, Mohan N, McKiernan P, Beath S, </w:t>
      </w:r>
      <w:proofErr w:type="spellStart"/>
      <w:r>
        <w:rPr>
          <w:rFonts w:ascii="Book Antiqua" w:eastAsia="Book Antiqua" w:hAnsi="Book Antiqua" w:cs="Book Antiqua"/>
          <w:color w:val="000000"/>
        </w:rPr>
        <w:t>Buckels</w:t>
      </w:r>
      <w:proofErr w:type="spellEnd"/>
      <w:r>
        <w:rPr>
          <w:rFonts w:ascii="Book Antiqua" w:eastAsia="Book Antiqua" w:hAnsi="Book Antiqua" w:cs="Book Antiqua"/>
          <w:color w:val="000000"/>
        </w:rPr>
        <w:t xml:space="preserve"> J, Mayer D, Kelly DA. Progress in treatment and outcome for children with neonatal haemochromatosis. </w:t>
      </w:r>
      <w:r>
        <w:rPr>
          <w:rFonts w:ascii="Book Antiqua" w:eastAsia="Book Antiqua" w:hAnsi="Book Antiqua" w:cs="Book Antiqua"/>
          <w:i/>
          <w:iCs/>
          <w:color w:val="000000"/>
        </w:rPr>
        <w:t>Arch Dis Child Fetal Neonatal Ed</w:t>
      </w:r>
      <w:r>
        <w:rPr>
          <w:rFonts w:ascii="Book Antiqua" w:eastAsia="Book Antiqua" w:hAnsi="Book Antiqua" w:cs="Book Antiqua"/>
          <w:color w:val="000000"/>
        </w:rPr>
        <w:t xml:space="preserve"> 2003; </w:t>
      </w:r>
      <w:r>
        <w:rPr>
          <w:rFonts w:ascii="Book Antiqua" w:eastAsia="Book Antiqua" w:hAnsi="Book Antiqua" w:cs="Book Antiqua"/>
          <w:b/>
          <w:bCs/>
          <w:color w:val="000000"/>
        </w:rPr>
        <w:t>88</w:t>
      </w:r>
      <w:r>
        <w:rPr>
          <w:rFonts w:ascii="Book Antiqua" w:eastAsia="Book Antiqua" w:hAnsi="Book Antiqua" w:cs="Book Antiqua"/>
          <w:color w:val="000000"/>
        </w:rPr>
        <w:t>: F124-F127 [PMID: 12598501 DOI: 10.1136/fn.88.2.f124]</w:t>
      </w:r>
    </w:p>
    <w:p w14:paraId="17DBB591"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Rodrigues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Kallas</w:t>
      </w:r>
      <w:proofErr w:type="spellEnd"/>
      <w:r>
        <w:rPr>
          <w:rFonts w:ascii="Book Antiqua" w:eastAsia="Book Antiqua" w:hAnsi="Book Antiqua" w:cs="Book Antiqua"/>
          <w:color w:val="000000"/>
        </w:rPr>
        <w:t xml:space="preserve"> M, Nash R, Cheeseman P, </w:t>
      </w:r>
      <w:proofErr w:type="spellStart"/>
      <w:r>
        <w:rPr>
          <w:rFonts w:ascii="Book Antiqua" w:eastAsia="Book Antiqua" w:hAnsi="Book Antiqua" w:cs="Book Antiqua"/>
          <w:color w:val="000000"/>
        </w:rPr>
        <w:t>D'Antiga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Rela</w:t>
      </w:r>
      <w:proofErr w:type="spellEnd"/>
      <w:r>
        <w:rPr>
          <w:rFonts w:ascii="Book Antiqua" w:eastAsia="Book Antiqua" w:hAnsi="Book Antiqua" w:cs="Book Antiqua"/>
          <w:color w:val="000000"/>
        </w:rPr>
        <w:t xml:space="preserve"> M, Heaton ND, </w:t>
      </w:r>
      <w:proofErr w:type="spellStart"/>
      <w:r>
        <w:rPr>
          <w:rFonts w:ascii="Book Antiqua" w:eastAsia="Book Antiqua" w:hAnsi="Book Antiqua" w:cs="Book Antiqua"/>
          <w:color w:val="000000"/>
        </w:rPr>
        <w:t>Mieli-Vergani</w:t>
      </w:r>
      <w:proofErr w:type="spellEnd"/>
      <w:r>
        <w:rPr>
          <w:rFonts w:ascii="Book Antiqua" w:eastAsia="Book Antiqua" w:hAnsi="Book Antiqua" w:cs="Book Antiqua"/>
          <w:color w:val="000000"/>
        </w:rPr>
        <w:t xml:space="preserve"> G. Neonatal hemochromatosis--medical treatment vs. transplantation: the king's experience.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1417-1424 [PMID: 16237701 DOI: 10.1002/Lt.20497]</w:t>
      </w:r>
    </w:p>
    <w:p w14:paraId="62D12F26"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Sigurdsson L</w:t>
      </w:r>
      <w:r>
        <w:rPr>
          <w:rFonts w:ascii="Book Antiqua" w:eastAsia="Book Antiqua" w:hAnsi="Book Antiqua" w:cs="Book Antiqua"/>
          <w:color w:val="000000"/>
        </w:rPr>
        <w:t xml:space="preserve">, Reyes J, </w:t>
      </w:r>
      <w:proofErr w:type="spellStart"/>
      <w:r>
        <w:rPr>
          <w:rFonts w:ascii="Book Antiqua" w:eastAsia="Book Antiqua" w:hAnsi="Book Antiqua" w:cs="Book Antiqua"/>
          <w:color w:val="000000"/>
        </w:rPr>
        <w:t>Kocoshis</w:t>
      </w:r>
      <w:proofErr w:type="spellEnd"/>
      <w:r>
        <w:rPr>
          <w:rFonts w:ascii="Book Antiqua" w:eastAsia="Book Antiqua" w:hAnsi="Book Antiqua" w:cs="Book Antiqua"/>
          <w:color w:val="000000"/>
        </w:rPr>
        <w:t xml:space="preserve"> SA, Hansen TW, Rosh J, </w:t>
      </w:r>
      <w:proofErr w:type="spellStart"/>
      <w:r>
        <w:rPr>
          <w:rFonts w:ascii="Book Antiqua" w:eastAsia="Book Antiqua" w:hAnsi="Book Antiqua" w:cs="Book Antiqua"/>
          <w:color w:val="000000"/>
        </w:rPr>
        <w:t>Knisely</w:t>
      </w:r>
      <w:proofErr w:type="spellEnd"/>
      <w:r>
        <w:rPr>
          <w:rFonts w:ascii="Book Antiqua" w:eastAsia="Book Antiqua" w:hAnsi="Book Antiqua" w:cs="Book Antiqua"/>
          <w:color w:val="000000"/>
        </w:rPr>
        <w:t xml:space="preserve"> AS. Neonatal hemochromatosis: outcomes of pharmacologic and surgical therapies.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Gastroenterol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26</w:t>
      </w:r>
      <w:r>
        <w:rPr>
          <w:rFonts w:ascii="Book Antiqua" w:eastAsia="Book Antiqua" w:hAnsi="Book Antiqua" w:cs="Book Antiqua"/>
          <w:color w:val="000000"/>
        </w:rPr>
        <w:t>: 85-89 [PMID: 9443126 DOI: 10.1097/00005176-199801000-00015]</w:t>
      </w:r>
    </w:p>
    <w:p w14:paraId="0E0ABCD8"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Pietrangelo A</w:t>
      </w:r>
      <w:r>
        <w:rPr>
          <w:rFonts w:ascii="Book Antiqua" w:eastAsia="Book Antiqua" w:hAnsi="Book Antiqua" w:cs="Book Antiqua"/>
          <w:color w:val="000000"/>
        </w:rPr>
        <w:t xml:space="preserve">. Hereditary hemochromatosis: pathogenesis, diagnosis, and treatment.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139</w:t>
      </w:r>
      <w:r>
        <w:rPr>
          <w:rFonts w:ascii="Book Antiqua" w:eastAsia="Book Antiqua" w:hAnsi="Book Antiqua" w:cs="Book Antiqua"/>
          <w:color w:val="000000"/>
        </w:rPr>
        <w:t>: 393-408, 408.e1-408.e2 [PMID: 20542038 DOI: 10.1053/j.gastro.2010.06.013]</w:t>
      </w:r>
    </w:p>
    <w:p w14:paraId="4CFB5D7F"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Higuchi T</w:t>
      </w:r>
      <w:r>
        <w:rPr>
          <w:rFonts w:ascii="Book Antiqua" w:eastAsia="Book Antiqua" w:hAnsi="Book Antiqua" w:cs="Book Antiqua"/>
          <w:color w:val="000000"/>
        </w:rPr>
        <w:t xml:space="preserve">, Moriyama M, Fukushima A, Matsumura H, Matsuoka S, Kanda T, </w:t>
      </w:r>
      <w:proofErr w:type="spellStart"/>
      <w:r>
        <w:rPr>
          <w:rFonts w:ascii="Book Antiqua" w:eastAsia="Book Antiqua" w:hAnsi="Book Antiqua" w:cs="Book Antiqua"/>
          <w:color w:val="000000"/>
        </w:rPr>
        <w:t>Sugitani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Tsunemi</w:t>
      </w:r>
      <w:proofErr w:type="spellEnd"/>
      <w:r>
        <w:rPr>
          <w:rFonts w:ascii="Book Antiqua" w:eastAsia="Book Antiqua" w:hAnsi="Book Antiqua" w:cs="Book Antiqua"/>
          <w:color w:val="000000"/>
        </w:rPr>
        <w:t xml:space="preserve"> A, Ueno T, Fukuda N. Association of mRNA expression of iron metabolism-associated genes and progression of non-alcoholic steatohepatitis in rats.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26183-26194 [PMID: 29899851 DOI: 10.18632/oncotarget.25488]</w:t>
      </w:r>
    </w:p>
    <w:p w14:paraId="623E9F5C"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88 </w:t>
      </w:r>
      <w:proofErr w:type="spellStart"/>
      <w:r>
        <w:rPr>
          <w:rFonts w:ascii="Book Antiqua" w:eastAsia="Book Antiqua" w:hAnsi="Book Antiqua" w:cs="Book Antiqua"/>
          <w:b/>
          <w:bCs/>
          <w:color w:val="000000"/>
        </w:rPr>
        <w:t>Salgia</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Brown K. Diagnosis and management of hereditary hemochromatosis.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187-198 [PMID: 25454304 DOI: 10.1016/j.cld.2014.09.011]</w:t>
      </w:r>
    </w:p>
    <w:p w14:paraId="17747E8A"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89 </w:t>
      </w:r>
      <w:proofErr w:type="spellStart"/>
      <w:r>
        <w:rPr>
          <w:rFonts w:ascii="Book Antiqua" w:eastAsia="Book Antiqua" w:hAnsi="Book Antiqua" w:cs="Book Antiqua"/>
          <w:b/>
          <w:bCs/>
          <w:color w:val="000000"/>
        </w:rPr>
        <w:t>Mobarra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Shanaki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Ehteram</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Nasiri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Sahmani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Saeidi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Goudarzi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Pourkarim</w:t>
      </w:r>
      <w:proofErr w:type="spellEnd"/>
      <w:r>
        <w:rPr>
          <w:rFonts w:ascii="Book Antiqua" w:eastAsia="Book Antiqua" w:hAnsi="Book Antiqua" w:cs="Book Antiqua"/>
          <w:color w:val="000000"/>
        </w:rPr>
        <w:t xml:space="preserve"> H, Azad M. A Review on Iron Chelators in Treatment of Iron Overload Syndromes.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 Stem Cell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239-247 [PMID: 27928480]</w:t>
      </w:r>
    </w:p>
    <w:p w14:paraId="6B27401C"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90 </w:t>
      </w:r>
      <w:proofErr w:type="spellStart"/>
      <w:r>
        <w:rPr>
          <w:rFonts w:ascii="Book Antiqua" w:eastAsia="Book Antiqua" w:hAnsi="Book Antiqua" w:cs="Book Antiqua"/>
          <w:b/>
          <w:bCs/>
          <w:color w:val="000000"/>
        </w:rPr>
        <w:t>Phatak</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Brissot</w:t>
      </w:r>
      <w:proofErr w:type="spellEnd"/>
      <w:r>
        <w:rPr>
          <w:rFonts w:ascii="Book Antiqua" w:eastAsia="Book Antiqua" w:hAnsi="Book Antiqua" w:cs="Book Antiqua"/>
          <w:color w:val="000000"/>
        </w:rPr>
        <w:t xml:space="preserve"> P, Wurster M, Adams PC, </w:t>
      </w:r>
      <w:proofErr w:type="spellStart"/>
      <w:r>
        <w:rPr>
          <w:rFonts w:ascii="Book Antiqua" w:eastAsia="Book Antiqua" w:hAnsi="Book Antiqua" w:cs="Book Antiqua"/>
          <w:color w:val="000000"/>
        </w:rPr>
        <w:t>Bonkovsky</w:t>
      </w:r>
      <w:proofErr w:type="spellEnd"/>
      <w:r>
        <w:rPr>
          <w:rFonts w:ascii="Book Antiqua" w:eastAsia="Book Antiqua" w:hAnsi="Book Antiqua" w:cs="Book Antiqua"/>
          <w:color w:val="000000"/>
        </w:rPr>
        <w:t xml:space="preserve"> HL, Gross J, </w:t>
      </w:r>
      <w:proofErr w:type="spellStart"/>
      <w:r>
        <w:rPr>
          <w:rFonts w:ascii="Book Antiqua" w:eastAsia="Book Antiqua" w:hAnsi="Book Antiqua" w:cs="Book Antiqua"/>
          <w:color w:val="000000"/>
        </w:rPr>
        <w:t>Malfertheiner</w:t>
      </w:r>
      <w:proofErr w:type="spellEnd"/>
      <w:r>
        <w:rPr>
          <w:rFonts w:ascii="Book Antiqua" w:eastAsia="Book Antiqua" w:hAnsi="Book Antiqua" w:cs="Book Antiqua"/>
          <w:color w:val="000000"/>
        </w:rPr>
        <w:t xml:space="preserve"> P, McLaren GD, </w:t>
      </w:r>
      <w:proofErr w:type="spellStart"/>
      <w:r>
        <w:rPr>
          <w:rFonts w:ascii="Book Antiqua" w:eastAsia="Book Antiqua" w:hAnsi="Book Antiqua" w:cs="Book Antiqua"/>
          <w:color w:val="000000"/>
        </w:rPr>
        <w:t>Niederau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Piperno</w:t>
      </w:r>
      <w:proofErr w:type="spellEnd"/>
      <w:r>
        <w:rPr>
          <w:rFonts w:ascii="Book Antiqua" w:eastAsia="Book Antiqua" w:hAnsi="Book Antiqua" w:cs="Book Antiqua"/>
          <w:color w:val="000000"/>
        </w:rPr>
        <w:t xml:space="preserve"> A, Powell LW, Russo MW, </w:t>
      </w:r>
      <w:proofErr w:type="spellStart"/>
      <w:r>
        <w:rPr>
          <w:rFonts w:ascii="Book Antiqua" w:eastAsia="Book Antiqua" w:hAnsi="Book Antiqua" w:cs="Book Antiqua"/>
          <w:color w:val="000000"/>
        </w:rPr>
        <w:t>Stoelzel</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Stremmel</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Griffel</w:t>
      </w:r>
      <w:proofErr w:type="spellEnd"/>
      <w:r>
        <w:rPr>
          <w:rFonts w:ascii="Book Antiqua" w:eastAsia="Book Antiqua" w:hAnsi="Book Antiqua" w:cs="Book Antiqua"/>
          <w:color w:val="000000"/>
        </w:rPr>
        <w:t xml:space="preserve"> L, Lynch N, Zhang Y, Pietrangelo A. A phase 1/2, dose-escalation trial of </w:t>
      </w:r>
      <w:proofErr w:type="spellStart"/>
      <w:r>
        <w:rPr>
          <w:rFonts w:ascii="Book Antiqua" w:eastAsia="Book Antiqua" w:hAnsi="Book Antiqua" w:cs="Book Antiqua"/>
          <w:color w:val="000000"/>
        </w:rPr>
        <w:t>deferasirox</w:t>
      </w:r>
      <w:proofErr w:type="spellEnd"/>
      <w:r>
        <w:rPr>
          <w:rFonts w:ascii="Book Antiqua" w:eastAsia="Book Antiqua" w:hAnsi="Book Antiqua" w:cs="Book Antiqua"/>
          <w:color w:val="000000"/>
        </w:rPr>
        <w:t xml:space="preserve"> for the treatment of iron overload in HFE-related hereditary </w:t>
      </w:r>
      <w:r>
        <w:rPr>
          <w:rFonts w:ascii="Book Antiqua" w:eastAsia="Book Antiqua" w:hAnsi="Book Antiqua" w:cs="Book Antiqua"/>
          <w:color w:val="000000"/>
        </w:rPr>
        <w:lastRenderedPageBreak/>
        <w:t xml:space="preserve">hemochromatosis.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52</w:t>
      </w:r>
      <w:r>
        <w:rPr>
          <w:rFonts w:ascii="Book Antiqua" w:eastAsia="Book Antiqua" w:hAnsi="Book Antiqua" w:cs="Book Antiqua"/>
          <w:color w:val="000000"/>
        </w:rPr>
        <w:t>: 1671-1779 [PMID: 20814896 DOI: 10.1002/hep.23879]</w:t>
      </w:r>
    </w:p>
    <w:p w14:paraId="5BD3530E"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91 </w:t>
      </w:r>
      <w:proofErr w:type="spellStart"/>
      <w:r>
        <w:rPr>
          <w:rFonts w:ascii="Book Antiqua" w:eastAsia="Book Antiqua" w:hAnsi="Book Antiqua" w:cs="Book Antiqua"/>
          <w:b/>
          <w:bCs/>
          <w:color w:val="000000"/>
        </w:rPr>
        <w:t>Nagler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Gregor M, </w:t>
      </w:r>
      <w:proofErr w:type="spellStart"/>
      <w:r>
        <w:rPr>
          <w:rFonts w:ascii="Book Antiqua" w:eastAsia="Book Antiqua" w:hAnsi="Book Antiqua" w:cs="Book Antiqua"/>
          <w:color w:val="000000"/>
        </w:rPr>
        <w:t>Wuillemin</w:t>
      </w:r>
      <w:proofErr w:type="spellEnd"/>
      <w:r>
        <w:rPr>
          <w:rFonts w:ascii="Book Antiqua" w:eastAsia="Book Antiqua" w:hAnsi="Book Antiqua" w:cs="Book Antiqua"/>
          <w:color w:val="000000"/>
        </w:rPr>
        <w:t xml:space="preserve"> WA. Iron chelation with </w:t>
      </w:r>
      <w:proofErr w:type="spellStart"/>
      <w:r>
        <w:rPr>
          <w:rFonts w:ascii="Book Antiqua" w:eastAsia="Book Antiqua" w:hAnsi="Book Antiqua" w:cs="Book Antiqua"/>
          <w:color w:val="000000"/>
        </w:rPr>
        <w:t>deferasirox</w:t>
      </w:r>
      <w:proofErr w:type="spellEnd"/>
      <w:r>
        <w:rPr>
          <w:rFonts w:ascii="Book Antiqua" w:eastAsia="Book Antiqua" w:hAnsi="Book Antiqua" w:cs="Book Antiqua"/>
          <w:color w:val="000000"/>
        </w:rPr>
        <w:t xml:space="preserve"> in two patients with HFE hemochromatosis and chronic anemia.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126</w:t>
      </w:r>
      <w:r>
        <w:rPr>
          <w:rFonts w:ascii="Book Antiqua" w:eastAsia="Book Antiqua" w:hAnsi="Book Antiqua" w:cs="Book Antiqua"/>
          <w:color w:val="000000"/>
        </w:rPr>
        <w:t>: 119-121 [PMID: 21659727 DOI: 10.1159/000328039]</w:t>
      </w:r>
    </w:p>
    <w:p w14:paraId="552614AE"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Bacon BR</w:t>
      </w:r>
      <w:r>
        <w:rPr>
          <w:rFonts w:ascii="Book Antiqua" w:eastAsia="Book Antiqua" w:hAnsi="Book Antiqua" w:cs="Book Antiqua"/>
          <w:color w:val="000000"/>
        </w:rPr>
        <w:t xml:space="preserve">, Adams PC, </w:t>
      </w:r>
      <w:proofErr w:type="spellStart"/>
      <w:r>
        <w:rPr>
          <w:rFonts w:ascii="Book Antiqua" w:eastAsia="Book Antiqua" w:hAnsi="Book Antiqua" w:cs="Book Antiqua"/>
          <w:color w:val="000000"/>
        </w:rPr>
        <w:t>Kowdley</w:t>
      </w:r>
      <w:proofErr w:type="spellEnd"/>
      <w:r>
        <w:rPr>
          <w:rFonts w:ascii="Book Antiqua" w:eastAsia="Book Antiqua" w:hAnsi="Book Antiqua" w:cs="Book Antiqua"/>
          <w:color w:val="000000"/>
        </w:rPr>
        <w:t xml:space="preserve"> KV, Powell LW, </w:t>
      </w:r>
      <w:proofErr w:type="spellStart"/>
      <w:r>
        <w:rPr>
          <w:rFonts w:ascii="Book Antiqua" w:eastAsia="Book Antiqua" w:hAnsi="Book Antiqua" w:cs="Book Antiqua"/>
          <w:color w:val="000000"/>
        </w:rPr>
        <w:t>Tavill</w:t>
      </w:r>
      <w:proofErr w:type="spellEnd"/>
      <w:r>
        <w:rPr>
          <w:rFonts w:ascii="Book Antiqua" w:eastAsia="Book Antiqua" w:hAnsi="Book Antiqua" w:cs="Book Antiqua"/>
          <w:color w:val="000000"/>
        </w:rPr>
        <w:t xml:space="preserve"> AS; American Association for the Study of Liver Diseases. Diagnosis and management of hemochromatosis: 2011 practice guideline by the American Association for the Study of Liver Diseases.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54</w:t>
      </w:r>
      <w:r>
        <w:rPr>
          <w:rFonts w:ascii="Book Antiqua" w:eastAsia="Book Antiqua" w:hAnsi="Book Antiqua" w:cs="Book Antiqua"/>
          <w:color w:val="000000"/>
        </w:rPr>
        <w:t>: 328-343 [PMID: 21452290 DOI: 10.1002/hep.24330]</w:t>
      </w:r>
    </w:p>
    <w:p w14:paraId="30F433D3"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European Association For The Study Of The Liver.</w:t>
      </w:r>
      <w:r>
        <w:rPr>
          <w:rFonts w:ascii="Book Antiqua" w:eastAsia="Book Antiqua" w:hAnsi="Book Antiqua" w:cs="Book Antiqua"/>
          <w:color w:val="000000"/>
        </w:rPr>
        <w:t xml:space="preserve">. EASL clinical practice guidelines for HFE hemochromatosis.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53</w:t>
      </w:r>
      <w:r>
        <w:rPr>
          <w:rFonts w:ascii="Book Antiqua" w:eastAsia="Book Antiqua" w:hAnsi="Book Antiqua" w:cs="Book Antiqua"/>
          <w:color w:val="000000"/>
        </w:rPr>
        <w:t>: 3-22 [PMID: 20471131 DOI: 10.1016/j.jhep.2010.03.001]</w:t>
      </w:r>
    </w:p>
    <w:p w14:paraId="2374EC9D"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Ware HM</w:t>
      </w:r>
      <w:r>
        <w:rPr>
          <w:rFonts w:ascii="Book Antiqua" w:eastAsia="Book Antiqua" w:hAnsi="Book Antiqua" w:cs="Book Antiqua"/>
          <w:color w:val="000000"/>
        </w:rPr>
        <w:t xml:space="preserve">, Kwiatkowski JL. Evaluation and treatment of </w:t>
      </w:r>
      <w:proofErr w:type="spellStart"/>
      <w:r>
        <w:rPr>
          <w:rFonts w:ascii="Book Antiqua" w:eastAsia="Book Antiqua" w:hAnsi="Book Antiqua" w:cs="Book Antiqua"/>
          <w:color w:val="000000"/>
        </w:rPr>
        <w:t>transfusional</w:t>
      </w:r>
      <w:proofErr w:type="spellEnd"/>
      <w:r>
        <w:rPr>
          <w:rFonts w:ascii="Book Antiqua" w:eastAsia="Book Antiqua" w:hAnsi="Book Antiqua" w:cs="Book Antiqua"/>
          <w:color w:val="000000"/>
        </w:rPr>
        <w:t xml:space="preserve"> iron overload in children.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Clin North Am</w:t>
      </w:r>
      <w:r>
        <w:rPr>
          <w:rFonts w:ascii="Book Antiqua" w:eastAsia="Book Antiqua" w:hAnsi="Book Antiqua" w:cs="Book Antiqua"/>
          <w:color w:val="000000"/>
        </w:rPr>
        <w:t xml:space="preserve"> 2013; </w:t>
      </w:r>
      <w:r>
        <w:rPr>
          <w:rFonts w:ascii="Book Antiqua" w:eastAsia="Book Antiqua" w:hAnsi="Book Antiqua" w:cs="Book Antiqua"/>
          <w:b/>
          <w:bCs/>
          <w:color w:val="000000"/>
        </w:rPr>
        <w:t>60</w:t>
      </w:r>
      <w:r>
        <w:rPr>
          <w:rFonts w:ascii="Book Antiqua" w:eastAsia="Book Antiqua" w:hAnsi="Book Antiqua" w:cs="Book Antiqua"/>
          <w:color w:val="000000"/>
        </w:rPr>
        <w:t>: 1393-1406 [PMID: 24237978 DOI: 10.1016/j.pcl.2013.09.003]</w:t>
      </w:r>
    </w:p>
    <w:p w14:paraId="57A5F709"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95 </w:t>
      </w:r>
      <w:proofErr w:type="spellStart"/>
      <w:r>
        <w:rPr>
          <w:rFonts w:ascii="Book Antiqua" w:eastAsia="Book Antiqua" w:hAnsi="Book Antiqua" w:cs="Book Antiqua"/>
          <w:b/>
          <w:bCs/>
          <w:color w:val="000000"/>
        </w:rPr>
        <w:t>Piga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Longo F, </w:t>
      </w:r>
      <w:proofErr w:type="spellStart"/>
      <w:r>
        <w:rPr>
          <w:rFonts w:ascii="Book Antiqua" w:eastAsia="Book Antiqua" w:hAnsi="Book Antiqua" w:cs="Book Antiqua"/>
          <w:color w:val="000000"/>
        </w:rPr>
        <w:t>Duca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Roggero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Vinciguerra</w:t>
      </w:r>
      <w:proofErr w:type="spellEnd"/>
      <w:r>
        <w:rPr>
          <w:rFonts w:ascii="Book Antiqua" w:eastAsia="Book Antiqua" w:hAnsi="Book Antiqua" w:cs="Book Antiqua"/>
          <w:color w:val="000000"/>
        </w:rPr>
        <w:t xml:space="preserve"> T, Calabrese R, Hershko C, </w:t>
      </w:r>
      <w:proofErr w:type="spellStart"/>
      <w:r>
        <w:rPr>
          <w:rFonts w:ascii="Book Antiqua" w:eastAsia="Book Antiqua" w:hAnsi="Book Antiqua" w:cs="Book Antiqua"/>
          <w:color w:val="000000"/>
        </w:rPr>
        <w:t>Cappellini</w:t>
      </w:r>
      <w:proofErr w:type="spellEnd"/>
      <w:r>
        <w:rPr>
          <w:rFonts w:ascii="Book Antiqua" w:eastAsia="Book Antiqua" w:hAnsi="Book Antiqua" w:cs="Book Antiqua"/>
          <w:color w:val="000000"/>
        </w:rPr>
        <w:t xml:space="preserve"> MD. High </w:t>
      </w:r>
      <w:proofErr w:type="spellStart"/>
      <w:r>
        <w:rPr>
          <w:rFonts w:ascii="Book Antiqua" w:eastAsia="Book Antiqua" w:hAnsi="Book Antiqua" w:cs="Book Antiqua"/>
          <w:color w:val="000000"/>
        </w:rPr>
        <w:t>nontransferrin</w:t>
      </w:r>
      <w:proofErr w:type="spellEnd"/>
      <w:r>
        <w:rPr>
          <w:rFonts w:ascii="Book Antiqua" w:eastAsia="Book Antiqua" w:hAnsi="Book Antiqua" w:cs="Book Antiqua"/>
          <w:color w:val="000000"/>
        </w:rPr>
        <w:t xml:space="preserve"> bound iron levels and heart disease in thalassemia major.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84</w:t>
      </w:r>
      <w:r>
        <w:rPr>
          <w:rFonts w:ascii="Book Antiqua" w:eastAsia="Book Antiqua" w:hAnsi="Book Antiqua" w:cs="Book Antiqua"/>
          <w:color w:val="000000"/>
        </w:rPr>
        <w:t>: 29-33 [PMID: 19006228 DOI: 10.1002/ajh.21317]</w:t>
      </w:r>
    </w:p>
    <w:p w14:paraId="1502F05C"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Jean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Terzoli</w:t>
      </w:r>
      <w:proofErr w:type="spellEnd"/>
      <w:r>
        <w:rPr>
          <w:rFonts w:ascii="Book Antiqua" w:eastAsia="Book Antiqua" w:hAnsi="Book Antiqua" w:cs="Book Antiqua"/>
          <w:color w:val="000000"/>
        </w:rPr>
        <w:t xml:space="preserve"> S, Mauri R, </w:t>
      </w:r>
      <w:proofErr w:type="spellStart"/>
      <w:r>
        <w:rPr>
          <w:rFonts w:ascii="Book Antiqua" w:eastAsia="Book Antiqua" w:hAnsi="Book Antiqua" w:cs="Book Antiqua"/>
          <w:color w:val="000000"/>
        </w:rPr>
        <w:t>Borghetti</w:t>
      </w:r>
      <w:proofErr w:type="spellEnd"/>
      <w:r>
        <w:rPr>
          <w:rFonts w:ascii="Book Antiqua" w:eastAsia="Book Antiqua" w:hAnsi="Book Antiqua" w:cs="Book Antiqua"/>
          <w:color w:val="000000"/>
        </w:rPr>
        <w:t xml:space="preserve"> L, Di Palma A, </w:t>
      </w:r>
      <w:proofErr w:type="spellStart"/>
      <w:r>
        <w:rPr>
          <w:rFonts w:ascii="Book Antiqua" w:eastAsia="Book Antiqua" w:hAnsi="Book Antiqua" w:cs="Book Antiqua"/>
          <w:color w:val="000000"/>
        </w:rPr>
        <w:t>Piga</w:t>
      </w:r>
      <w:proofErr w:type="spellEnd"/>
      <w:r>
        <w:rPr>
          <w:rFonts w:ascii="Book Antiqua" w:eastAsia="Book Antiqua" w:hAnsi="Book Antiqua" w:cs="Book Antiqua"/>
          <w:color w:val="000000"/>
        </w:rPr>
        <w:t xml:space="preserve"> A, Magliano M, </w:t>
      </w:r>
      <w:proofErr w:type="spellStart"/>
      <w:r>
        <w:rPr>
          <w:rFonts w:ascii="Book Antiqua" w:eastAsia="Book Antiqua" w:hAnsi="Book Antiqua" w:cs="Book Antiqua"/>
          <w:color w:val="000000"/>
        </w:rPr>
        <w:t>Melevendi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Cattaneo</w:t>
      </w:r>
      <w:proofErr w:type="spellEnd"/>
      <w:r>
        <w:rPr>
          <w:rFonts w:ascii="Book Antiqua" w:eastAsia="Book Antiqua" w:hAnsi="Book Antiqua" w:cs="Book Antiqua"/>
          <w:color w:val="000000"/>
        </w:rPr>
        <w:t xml:space="preserve"> M. Cirrhosis associated with multiple transfusions in </w:t>
      </w:r>
      <w:proofErr w:type="spellStart"/>
      <w:r>
        <w:rPr>
          <w:rFonts w:ascii="Book Antiqua" w:eastAsia="Book Antiqua" w:hAnsi="Book Antiqua" w:cs="Book Antiqua"/>
          <w:color w:val="000000"/>
        </w:rPr>
        <w:t>thalassaemia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Arch Dis Child</w:t>
      </w:r>
      <w:r>
        <w:rPr>
          <w:rFonts w:ascii="Book Antiqua" w:eastAsia="Book Antiqua" w:hAnsi="Book Antiqua" w:cs="Book Antiqua"/>
          <w:color w:val="000000"/>
        </w:rPr>
        <w:t xml:space="preserve"> 1984; </w:t>
      </w:r>
      <w:r>
        <w:rPr>
          <w:rFonts w:ascii="Book Antiqua" w:eastAsia="Book Antiqua" w:hAnsi="Book Antiqua" w:cs="Book Antiqua"/>
          <w:b/>
          <w:bCs/>
          <w:color w:val="000000"/>
        </w:rPr>
        <w:t>59</w:t>
      </w:r>
      <w:r>
        <w:rPr>
          <w:rFonts w:ascii="Book Antiqua" w:eastAsia="Book Antiqua" w:hAnsi="Book Antiqua" w:cs="Book Antiqua"/>
          <w:color w:val="000000"/>
        </w:rPr>
        <w:t>: 67-70 [PMID: 6696498 DOI: 10.1136/adc.59.1.67]</w:t>
      </w:r>
    </w:p>
    <w:p w14:paraId="2CCBB5F7"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97 </w:t>
      </w:r>
      <w:proofErr w:type="spellStart"/>
      <w:r>
        <w:rPr>
          <w:rFonts w:ascii="Book Antiqua" w:eastAsia="Book Antiqua" w:hAnsi="Book Antiqua" w:cs="Book Antiqua"/>
          <w:b/>
          <w:bCs/>
          <w:color w:val="000000"/>
        </w:rPr>
        <w:t>Olivieri</w:t>
      </w:r>
      <w:proofErr w:type="spellEnd"/>
      <w:r>
        <w:rPr>
          <w:rFonts w:ascii="Book Antiqua" w:eastAsia="Book Antiqua" w:hAnsi="Book Antiqua" w:cs="Book Antiqua"/>
          <w:b/>
          <w:bCs/>
          <w:color w:val="000000"/>
        </w:rPr>
        <w:t xml:space="preserve"> NF</w:t>
      </w:r>
      <w:r>
        <w:rPr>
          <w:rFonts w:ascii="Book Antiqua" w:eastAsia="Book Antiqua" w:hAnsi="Book Antiqua" w:cs="Book Antiqua"/>
          <w:color w:val="000000"/>
        </w:rPr>
        <w:t xml:space="preserve">, Nathan DG, MacMillan JH, Wayne AS, Liu PP, McGee A, Martin M, </w:t>
      </w:r>
      <w:proofErr w:type="spellStart"/>
      <w:r>
        <w:rPr>
          <w:rFonts w:ascii="Book Antiqua" w:eastAsia="Book Antiqua" w:hAnsi="Book Antiqua" w:cs="Book Antiqua"/>
          <w:color w:val="000000"/>
        </w:rPr>
        <w:t>Koren</w:t>
      </w:r>
      <w:proofErr w:type="spellEnd"/>
      <w:r>
        <w:rPr>
          <w:rFonts w:ascii="Book Antiqua" w:eastAsia="Book Antiqua" w:hAnsi="Book Antiqua" w:cs="Book Antiqua"/>
          <w:color w:val="000000"/>
        </w:rPr>
        <w:t xml:space="preserve"> G, Cohen AR. Survival in medically treated patients with homozygous beta-thalassemia.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331</w:t>
      </w:r>
      <w:r>
        <w:rPr>
          <w:rFonts w:ascii="Book Antiqua" w:eastAsia="Book Antiqua" w:hAnsi="Book Antiqua" w:cs="Book Antiqua"/>
          <w:color w:val="000000"/>
        </w:rPr>
        <w:t>: 574-578 [PMID: 8047081 DOI: 10.1056/NEJM199409013310903]</w:t>
      </w:r>
    </w:p>
    <w:p w14:paraId="1E109595"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98 </w:t>
      </w:r>
      <w:proofErr w:type="spellStart"/>
      <w:r>
        <w:rPr>
          <w:rFonts w:ascii="Book Antiqua" w:eastAsia="Book Antiqua" w:hAnsi="Book Antiqua" w:cs="Book Antiqua"/>
          <w:b/>
          <w:bCs/>
          <w:color w:val="000000"/>
        </w:rPr>
        <w:t>Brittenham</w:t>
      </w:r>
      <w:proofErr w:type="spellEnd"/>
      <w:r>
        <w:rPr>
          <w:rFonts w:ascii="Book Antiqua" w:eastAsia="Book Antiqua" w:hAnsi="Book Antiqua" w:cs="Book Antiqua"/>
          <w:b/>
          <w:bCs/>
          <w:color w:val="000000"/>
        </w:rPr>
        <w:t xml:space="preserve"> GM</w:t>
      </w:r>
      <w:r>
        <w:rPr>
          <w:rFonts w:ascii="Book Antiqua" w:eastAsia="Book Antiqua" w:hAnsi="Book Antiqua" w:cs="Book Antiqua"/>
          <w:color w:val="000000"/>
        </w:rPr>
        <w:t xml:space="preserve">, Farrell DE, Harris JW, Feldman ES, Danish EH, Muir WA, Tripp JH, </w:t>
      </w:r>
      <w:proofErr w:type="spellStart"/>
      <w:r>
        <w:rPr>
          <w:rFonts w:ascii="Book Antiqua" w:eastAsia="Book Antiqua" w:hAnsi="Book Antiqua" w:cs="Book Antiqua"/>
          <w:color w:val="000000"/>
        </w:rPr>
        <w:t>Bellon</w:t>
      </w:r>
      <w:proofErr w:type="spellEnd"/>
      <w:r>
        <w:rPr>
          <w:rFonts w:ascii="Book Antiqua" w:eastAsia="Book Antiqua" w:hAnsi="Book Antiqua" w:cs="Book Antiqua"/>
          <w:color w:val="000000"/>
        </w:rPr>
        <w:t xml:space="preserve"> EM. Magnetic-susceptibility measurement of human iron stores.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1982; </w:t>
      </w:r>
      <w:r>
        <w:rPr>
          <w:rFonts w:ascii="Book Antiqua" w:eastAsia="Book Antiqua" w:hAnsi="Book Antiqua" w:cs="Book Antiqua"/>
          <w:b/>
          <w:bCs/>
          <w:color w:val="000000"/>
        </w:rPr>
        <w:t>307</w:t>
      </w:r>
      <w:r>
        <w:rPr>
          <w:rFonts w:ascii="Book Antiqua" w:eastAsia="Book Antiqua" w:hAnsi="Book Antiqua" w:cs="Book Antiqua"/>
          <w:color w:val="000000"/>
        </w:rPr>
        <w:t>: 1671-1675 [PMID: 7144866 DOI: 10.1056/NEJM198212303072703]</w:t>
      </w:r>
    </w:p>
    <w:p w14:paraId="7D47283A"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Wood JC</w:t>
      </w:r>
      <w:r>
        <w:rPr>
          <w:rFonts w:ascii="Book Antiqua" w:eastAsia="Book Antiqua" w:hAnsi="Book Antiqua" w:cs="Book Antiqua"/>
          <w:color w:val="000000"/>
        </w:rPr>
        <w:t xml:space="preserve">, Enriquez C, </w:t>
      </w:r>
      <w:proofErr w:type="spellStart"/>
      <w:r>
        <w:rPr>
          <w:rFonts w:ascii="Book Antiqua" w:eastAsia="Book Antiqua" w:hAnsi="Book Antiqua" w:cs="Book Antiqua"/>
          <w:color w:val="000000"/>
        </w:rPr>
        <w:t>Ghugre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Tyzka</w:t>
      </w:r>
      <w:proofErr w:type="spellEnd"/>
      <w:r>
        <w:rPr>
          <w:rFonts w:ascii="Book Antiqua" w:eastAsia="Book Antiqua" w:hAnsi="Book Antiqua" w:cs="Book Antiqua"/>
          <w:color w:val="000000"/>
        </w:rPr>
        <w:t xml:space="preserve"> JM, Carson S, Nelson MD, Coates TD. MRI R2 and R2* mapping accurately estimates hepatic iron concentration in transfusion-</w:t>
      </w:r>
      <w:r>
        <w:rPr>
          <w:rFonts w:ascii="Book Antiqua" w:eastAsia="Book Antiqua" w:hAnsi="Book Antiqua" w:cs="Book Antiqua"/>
          <w:color w:val="000000"/>
        </w:rPr>
        <w:lastRenderedPageBreak/>
        <w:t xml:space="preserve">dependent thalassemia and sickle cell disease patients.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2005; </w:t>
      </w:r>
      <w:r>
        <w:rPr>
          <w:rFonts w:ascii="Book Antiqua" w:eastAsia="Book Antiqua" w:hAnsi="Book Antiqua" w:cs="Book Antiqua"/>
          <w:b/>
          <w:bCs/>
          <w:color w:val="000000"/>
        </w:rPr>
        <w:t>106</w:t>
      </w:r>
      <w:r>
        <w:rPr>
          <w:rFonts w:ascii="Book Antiqua" w:eastAsia="Book Antiqua" w:hAnsi="Book Antiqua" w:cs="Book Antiqua"/>
          <w:color w:val="000000"/>
        </w:rPr>
        <w:t>: 1460-1465 [PMID: 15860670 DOI: 10.1182/blood-2004-10-3982]</w:t>
      </w:r>
    </w:p>
    <w:p w14:paraId="2DDF34A1"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100 </w:t>
      </w:r>
      <w:proofErr w:type="spellStart"/>
      <w:r>
        <w:rPr>
          <w:rFonts w:ascii="Book Antiqua" w:eastAsia="Book Antiqua" w:hAnsi="Book Antiqua" w:cs="Book Antiqua"/>
          <w:b/>
          <w:bCs/>
          <w:color w:val="000000"/>
        </w:rPr>
        <w:t>Maira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Cassinerio</w:t>
      </w:r>
      <w:proofErr w:type="spellEnd"/>
      <w:r>
        <w:rPr>
          <w:rFonts w:ascii="Book Antiqua" w:eastAsia="Book Antiqua" w:hAnsi="Book Antiqua" w:cs="Book Antiqua"/>
          <w:color w:val="000000"/>
        </w:rPr>
        <w:t xml:space="preserve"> E, Marcon A, </w:t>
      </w:r>
      <w:proofErr w:type="spellStart"/>
      <w:r>
        <w:rPr>
          <w:rFonts w:ascii="Book Antiqua" w:eastAsia="Book Antiqua" w:hAnsi="Book Antiqua" w:cs="Book Antiqua"/>
          <w:color w:val="000000"/>
        </w:rPr>
        <w:t>Mancarella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Fraquelli</w:t>
      </w:r>
      <w:proofErr w:type="spellEnd"/>
      <w:r>
        <w:rPr>
          <w:rFonts w:ascii="Book Antiqua" w:eastAsia="Book Antiqua" w:hAnsi="Book Antiqua" w:cs="Book Antiqua"/>
          <w:color w:val="000000"/>
        </w:rPr>
        <w:t xml:space="preserve"> M, Pedrotti P, </w:t>
      </w:r>
      <w:proofErr w:type="spellStart"/>
      <w:r>
        <w:rPr>
          <w:rFonts w:ascii="Book Antiqua" w:eastAsia="Book Antiqua" w:hAnsi="Book Antiqua" w:cs="Book Antiqua"/>
          <w:color w:val="000000"/>
        </w:rPr>
        <w:t>Cappellini</w:t>
      </w:r>
      <w:proofErr w:type="spellEnd"/>
      <w:r>
        <w:rPr>
          <w:rFonts w:ascii="Book Antiqua" w:eastAsia="Book Antiqua" w:hAnsi="Book Antiqua" w:cs="Book Antiqua"/>
          <w:color w:val="000000"/>
        </w:rPr>
        <w:t xml:space="preserve"> MD. Progression of liver fibrosis can be controlled by adequate chelation in transfusion-dependent thalassemia (TDT).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1931-1936 [PMID: 28875336 DOI: 10.1007/s00277-017-3120-9]</w:t>
      </w:r>
    </w:p>
    <w:p w14:paraId="66F2CC31"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101 </w:t>
      </w:r>
      <w:proofErr w:type="spellStart"/>
      <w:r>
        <w:rPr>
          <w:rFonts w:ascii="Book Antiqua" w:eastAsia="Book Antiqua" w:hAnsi="Book Antiqua" w:cs="Book Antiqua"/>
          <w:b/>
          <w:bCs/>
          <w:color w:val="000000"/>
        </w:rPr>
        <w:t>Piga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Longo F, Musallam KM, </w:t>
      </w:r>
      <w:proofErr w:type="spellStart"/>
      <w:r>
        <w:rPr>
          <w:rFonts w:ascii="Book Antiqua" w:eastAsia="Book Antiqua" w:hAnsi="Book Antiqua" w:cs="Book Antiqua"/>
          <w:color w:val="000000"/>
        </w:rPr>
        <w:t>Cappellini</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Forni</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Quarta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Chiavilli</w:t>
      </w:r>
      <w:proofErr w:type="spellEnd"/>
      <w:r>
        <w:rPr>
          <w:rFonts w:ascii="Book Antiqua" w:eastAsia="Book Antiqua" w:hAnsi="Book Antiqua" w:cs="Book Antiqua"/>
          <w:color w:val="000000"/>
        </w:rPr>
        <w:t xml:space="preserve"> F, Commendatore F, </w:t>
      </w:r>
      <w:proofErr w:type="spellStart"/>
      <w:r>
        <w:rPr>
          <w:rFonts w:ascii="Book Antiqua" w:eastAsia="Book Antiqua" w:hAnsi="Book Antiqua" w:cs="Book Antiqua"/>
          <w:color w:val="000000"/>
        </w:rPr>
        <w:t>Mulas</w:t>
      </w:r>
      <w:proofErr w:type="spellEnd"/>
      <w:r>
        <w:rPr>
          <w:rFonts w:ascii="Book Antiqua" w:eastAsia="Book Antiqua" w:hAnsi="Book Antiqua" w:cs="Book Antiqua"/>
          <w:color w:val="000000"/>
        </w:rPr>
        <w:t xml:space="preserve"> S, Caruso V, </w:t>
      </w:r>
      <w:proofErr w:type="spellStart"/>
      <w:r>
        <w:rPr>
          <w:rFonts w:ascii="Book Antiqua" w:eastAsia="Book Antiqua" w:hAnsi="Book Antiqua" w:cs="Book Antiqua"/>
          <w:color w:val="000000"/>
        </w:rPr>
        <w:t>Galanello</w:t>
      </w:r>
      <w:proofErr w:type="spellEnd"/>
      <w:r>
        <w:rPr>
          <w:rFonts w:ascii="Book Antiqua" w:eastAsia="Book Antiqua" w:hAnsi="Book Antiqua" w:cs="Book Antiqua"/>
          <w:color w:val="000000"/>
        </w:rPr>
        <w:t xml:space="preserve"> R. Assessment and management of iron overload in β-</w:t>
      </w:r>
      <w:proofErr w:type="spellStart"/>
      <w:r>
        <w:rPr>
          <w:rFonts w:ascii="Book Antiqua" w:eastAsia="Book Antiqua" w:hAnsi="Book Antiqua" w:cs="Book Antiqua"/>
          <w:color w:val="000000"/>
        </w:rPr>
        <w:t>thalassaemia</w:t>
      </w:r>
      <w:proofErr w:type="spellEnd"/>
      <w:r>
        <w:rPr>
          <w:rFonts w:ascii="Book Antiqua" w:eastAsia="Book Antiqua" w:hAnsi="Book Antiqua" w:cs="Book Antiqua"/>
          <w:color w:val="000000"/>
        </w:rPr>
        <w:t xml:space="preserve"> major patients during the 21st century: a real-life experience from the Italian WEBTHAL project.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161</w:t>
      </w:r>
      <w:r>
        <w:rPr>
          <w:rFonts w:ascii="Book Antiqua" w:eastAsia="Book Antiqua" w:hAnsi="Book Antiqua" w:cs="Book Antiqua"/>
          <w:color w:val="000000"/>
        </w:rPr>
        <w:t>: 872-883 [PMID: 23600689 DOI: 10.1111/bjh.12340]</w:t>
      </w:r>
    </w:p>
    <w:p w14:paraId="0B906D7D"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102 </w:t>
      </w:r>
      <w:proofErr w:type="spellStart"/>
      <w:r>
        <w:rPr>
          <w:rFonts w:ascii="Book Antiqua" w:eastAsia="Book Antiqua" w:hAnsi="Book Antiqua" w:cs="Book Antiqua"/>
          <w:b/>
          <w:bCs/>
          <w:color w:val="000000"/>
        </w:rPr>
        <w:t>Angelucci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Barosi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Camaschella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Cappellini</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Cazzola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Galanello</w:t>
      </w:r>
      <w:proofErr w:type="spellEnd"/>
      <w:r>
        <w:rPr>
          <w:rFonts w:ascii="Book Antiqua" w:eastAsia="Book Antiqua" w:hAnsi="Book Antiqua" w:cs="Book Antiqua"/>
          <w:color w:val="000000"/>
        </w:rPr>
        <w:t xml:space="preserve"> R, Marchetti M, </w:t>
      </w:r>
      <w:proofErr w:type="spellStart"/>
      <w:r>
        <w:rPr>
          <w:rFonts w:ascii="Book Antiqua" w:eastAsia="Book Antiqua" w:hAnsi="Book Antiqua" w:cs="Book Antiqua"/>
          <w:color w:val="000000"/>
        </w:rPr>
        <w:t>Piga</w:t>
      </w:r>
      <w:proofErr w:type="spellEnd"/>
      <w:r>
        <w:rPr>
          <w:rFonts w:ascii="Book Antiqua" w:eastAsia="Book Antiqua" w:hAnsi="Book Antiqua" w:cs="Book Antiqua"/>
          <w:color w:val="000000"/>
        </w:rPr>
        <w:t xml:space="preserve"> A, Tura S. Italian Society of Hematology practice guidelines for the management of iron overload in thalassemia major and related disorders. </w:t>
      </w:r>
      <w:proofErr w:type="spellStart"/>
      <w:r>
        <w:rPr>
          <w:rFonts w:ascii="Book Antiqua" w:eastAsia="Book Antiqua" w:hAnsi="Book Antiqua" w:cs="Book Antiqua"/>
          <w:i/>
          <w:iCs/>
          <w:color w:val="000000"/>
        </w:rPr>
        <w:t>Haematologica</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93</w:t>
      </w:r>
      <w:r>
        <w:rPr>
          <w:rFonts w:ascii="Book Antiqua" w:eastAsia="Book Antiqua" w:hAnsi="Book Antiqua" w:cs="Book Antiqua"/>
          <w:color w:val="000000"/>
        </w:rPr>
        <w:t>: 741-752 [PMID: 18413891 DOI: 10.3324/haematol.12413]</w:t>
      </w:r>
    </w:p>
    <w:p w14:paraId="3EC50749"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103 </w:t>
      </w:r>
      <w:proofErr w:type="spellStart"/>
      <w:r>
        <w:rPr>
          <w:rFonts w:ascii="Book Antiqua" w:eastAsia="Book Antiqua" w:hAnsi="Book Antiqua" w:cs="Book Antiqua"/>
          <w:b/>
          <w:bCs/>
          <w:color w:val="000000"/>
        </w:rPr>
        <w:t>Kamble</w:t>
      </w:r>
      <w:proofErr w:type="spellEnd"/>
      <w:r>
        <w:rPr>
          <w:rFonts w:ascii="Book Antiqua" w:eastAsia="Book Antiqua" w:hAnsi="Book Antiqua" w:cs="Book Antiqua"/>
          <w:b/>
          <w:bCs/>
          <w:color w:val="000000"/>
        </w:rPr>
        <w:t xml:space="preserve"> RT</w:t>
      </w:r>
      <w:r>
        <w:rPr>
          <w:rFonts w:ascii="Book Antiqua" w:eastAsia="Book Antiqua" w:hAnsi="Book Antiqua" w:cs="Book Antiqua"/>
          <w:color w:val="000000"/>
        </w:rPr>
        <w:t xml:space="preserve">, Selby GB, Mims M, </w:t>
      </w:r>
      <w:proofErr w:type="spellStart"/>
      <w:r>
        <w:rPr>
          <w:rFonts w:ascii="Book Antiqua" w:eastAsia="Book Antiqua" w:hAnsi="Book Antiqua" w:cs="Book Antiqua"/>
          <w:color w:val="000000"/>
        </w:rPr>
        <w:t>Kharfan-Dabaja</w:t>
      </w:r>
      <w:proofErr w:type="spellEnd"/>
      <w:r>
        <w:rPr>
          <w:rFonts w:ascii="Book Antiqua" w:eastAsia="Book Antiqua" w:hAnsi="Book Antiqua" w:cs="Book Antiqua"/>
          <w:color w:val="000000"/>
        </w:rPr>
        <w:t xml:space="preserve"> MA, Ozer H, George JN. Iron overload manifesting as apparent exacerbation of hepatic graft-versus-host disease after allogeneic hematopoietic stem cell transplantation. </w:t>
      </w:r>
      <w:r>
        <w:rPr>
          <w:rFonts w:ascii="Book Antiqua" w:eastAsia="Book Antiqua" w:hAnsi="Book Antiqua" w:cs="Book Antiqua"/>
          <w:i/>
          <w:iCs/>
          <w:color w:val="000000"/>
        </w:rPr>
        <w:t>Biol Blood Marrow Transplant</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506-510 [PMID: 16635785 DOI: 10.1016/j.bbmt.2006.01.004]</w:t>
      </w:r>
    </w:p>
    <w:p w14:paraId="27B5622C"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104 </w:t>
      </w:r>
      <w:proofErr w:type="spellStart"/>
      <w:r>
        <w:rPr>
          <w:rFonts w:ascii="Book Antiqua" w:eastAsia="Book Antiqua" w:hAnsi="Book Antiqua" w:cs="Book Antiqua"/>
          <w:b/>
          <w:bCs/>
          <w:color w:val="000000"/>
        </w:rPr>
        <w:t>Majhail</w:t>
      </w:r>
      <w:proofErr w:type="spellEnd"/>
      <w:r>
        <w:rPr>
          <w:rFonts w:ascii="Book Antiqua" w:eastAsia="Book Antiqua" w:hAnsi="Book Antiqua" w:cs="Book Antiqua"/>
          <w:b/>
          <w:bCs/>
          <w:color w:val="000000"/>
        </w:rPr>
        <w:t xml:space="preserve"> NS</w:t>
      </w:r>
      <w:r>
        <w:rPr>
          <w:rFonts w:ascii="Book Antiqua" w:eastAsia="Book Antiqua" w:hAnsi="Book Antiqua" w:cs="Book Antiqua"/>
          <w:color w:val="000000"/>
        </w:rPr>
        <w:t xml:space="preserve">, Lazarus HM, Burns LJ. Iron overload in hematopoietic cell transplantation. </w:t>
      </w:r>
      <w:r>
        <w:rPr>
          <w:rFonts w:ascii="Book Antiqua" w:eastAsia="Book Antiqua" w:hAnsi="Book Antiqua" w:cs="Book Antiqua"/>
          <w:i/>
          <w:iCs/>
          <w:color w:val="000000"/>
        </w:rPr>
        <w:t>Bone Marrow Transplant</w:t>
      </w:r>
      <w:r>
        <w:rPr>
          <w:rFonts w:ascii="Book Antiqua" w:eastAsia="Book Antiqua" w:hAnsi="Book Antiqua" w:cs="Book Antiqua"/>
          <w:color w:val="000000"/>
        </w:rPr>
        <w:t xml:space="preserve"> 2008; </w:t>
      </w:r>
      <w:r>
        <w:rPr>
          <w:rFonts w:ascii="Book Antiqua" w:eastAsia="Book Antiqua" w:hAnsi="Book Antiqua" w:cs="Book Antiqua"/>
          <w:b/>
          <w:bCs/>
          <w:color w:val="000000"/>
        </w:rPr>
        <w:t>41</w:t>
      </w:r>
      <w:r>
        <w:rPr>
          <w:rFonts w:ascii="Book Antiqua" w:eastAsia="Book Antiqua" w:hAnsi="Book Antiqua" w:cs="Book Antiqua"/>
          <w:color w:val="000000"/>
        </w:rPr>
        <w:t>: 997-1003 [PMID: 18438425 DOI: 10.1038/bmt.2008.99]</w:t>
      </w:r>
    </w:p>
    <w:p w14:paraId="748405FA"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105 </w:t>
      </w:r>
      <w:proofErr w:type="spellStart"/>
      <w:r>
        <w:rPr>
          <w:rFonts w:ascii="Book Antiqua" w:eastAsia="Book Antiqua" w:hAnsi="Book Antiqua" w:cs="Book Antiqua"/>
          <w:b/>
          <w:bCs/>
          <w:color w:val="000000"/>
        </w:rPr>
        <w:t>Sivgin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Eser</w:t>
      </w:r>
      <w:proofErr w:type="spellEnd"/>
      <w:r>
        <w:rPr>
          <w:rFonts w:ascii="Book Antiqua" w:eastAsia="Book Antiqua" w:hAnsi="Book Antiqua" w:cs="Book Antiqua"/>
          <w:color w:val="000000"/>
        </w:rPr>
        <w:t xml:space="preserve"> B. The management of iron overload in allogeneic hematopoietic stem cell transplant (</w:t>
      </w:r>
      <w:proofErr w:type="spellStart"/>
      <w:r>
        <w:rPr>
          <w:rFonts w:ascii="Book Antiqua" w:eastAsia="Book Antiqua" w:hAnsi="Book Antiqua" w:cs="Book Antiqua"/>
          <w:color w:val="000000"/>
        </w:rPr>
        <w:t>alloHSCT</w:t>
      </w:r>
      <w:proofErr w:type="spellEnd"/>
      <w:r>
        <w:rPr>
          <w:rFonts w:ascii="Book Antiqua" w:eastAsia="Book Antiqua" w:hAnsi="Book Antiqua" w:cs="Book Antiqua"/>
          <w:color w:val="000000"/>
        </w:rPr>
        <w:t xml:space="preserve">) recipients: where do we stand?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92</w:t>
      </w:r>
      <w:r>
        <w:rPr>
          <w:rFonts w:ascii="Book Antiqua" w:eastAsia="Book Antiqua" w:hAnsi="Book Antiqua" w:cs="Book Antiqua"/>
          <w:color w:val="000000"/>
        </w:rPr>
        <w:t>: 577-586 [PMID: 23430087 DOI: 10.1007/s00277-013-1682-8]</w:t>
      </w:r>
    </w:p>
    <w:p w14:paraId="07E6396A"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Wang LC</w:t>
      </w:r>
      <w:r>
        <w:rPr>
          <w:rFonts w:ascii="Book Antiqua" w:eastAsia="Book Antiqua" w:hAnsi="Book Antiqua" w:cs="Book Antiqua"/>
          <w:color w:val="000000"/>
        </w:rPr>
        <w:t xml:space="preserve">, Wang JD, Tsai CR, Cheng SB, Lin CC. Clinical features and therapeutic response in Taiwanese children with Wilson's disease: 12 years of experience in a single center.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Neonatol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51</w:t>
      </w:r>
      <w:r>
        <w:rPr>
          <w:rFonts w:ascii="Book Antiqua" w:eastAsia="Book Antiqua" w:hAnsi="Book Antiqua" w:cs="Book Antiqua"/>
          <w:color w:val="000000"/>
        </w:rPr>
        <w:t>: 124-129 [PMID: 20417464 DOI: 10.1016/S1875-9572(10)60022-8]</w:t>
      </w:r>
    </w:p>
    <w:p w14:paraId="26355912"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lastRenderedPageBreak/>
        <w:t xml:space="preserve">107 </w:t>
      </w:r>
      <w:proofErr w:type="spellStart"/>
      <w:r>
        <w:rPr>
          <w:rFonts w:ascii="Book Antiqua" w:eastAsia="Book Antiqua" w:hAnsi="Book Antiqua" w:cs="Book Antiqua"/>
          <w:b/>
          <w:bCs/>
          <w:color w:val="000000"/>
        </w:rPr>
        <w:t>Arnon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Calderon JF, </w:t>
      </w:r>
      <w:proofErr w:type="spellStart"/>
      <w:r>
        <w:rPr>
          <w:rFonts w:ascii="Book Antiqua" w:eastAsia="Book Antiqua" w:hAnsi="Book Antiqua" w:cs="Book Antiqua"/>
          <w:color w:val="000000"/>
        </w:rPr>
        <w:t>Schilsky</w:t>
      </w:r>
      <w:proofErr w:type="spellEnd"/>
      <w:r>
        <w:rPr>
          <w:rFonts w:ascii="Book Antiqua" w:eastAsia="Book Antiqua" w:hAnsi="Book Antiqua" w:cs="Book Antiqua"/>
          <w:color w:val="000000"/>
        </w:rPr>
        <w:t xml:space="preserve"> M, Emre S, </w:t>
      </w:r>
      <w:proofErr w:type="spellStart"/>
      <w:r>
        <w:rPr>
          <w:rFonts w:ascii="Book Antiqua" w:eastAsia="Book Antiqua" w:hAnsi="Book Antiqua" w:cs="Book Antiqua"/>
          <w:color w:val="000000"/>
        </w:rPr>
        <w:t>Shneider</w:t>
      </w:r>
      <w:proofErr w:type="spellEnd"/>
      <w:r>
        <w:rPr>
          <w:rFonts w:ascii="Book Antiqua" w:eastAsia="Book Antiqua" w:hAnsi="Book Antiqua" w:cs="Book Antiqua"/>
          <w:color w:val="000000"/>
        </w:rPr>
        <w:t xml:space="preserve"> BL. Wilson disease in children: serum aminotransferases and urinary copper on </w:t>
      </w:r>
      <w:proofErr w:type="spellStart"/>
      <w:r>
        <w:rPr>
          <w:rFonts w:ascii="Book Antiqua" w:eastAsia="Book Antiqua" w:hAnsi="Book Antiqua" w:cs="Book Antiqua"/>
          <w:color w:val="000000"/>
        </w:rPr>
        <w:t>triethylene</w:t>
      </w:r>
      <w:proofErr w:type="spellEnd"/>
      <w:r>
        <w:rPr>
          <w:rFonts w:ascii="Book Antiqua" w:eastAsia="Book Antiqua" w:hAnsi="Book Antiqua" w:cs="Book Antiqua"/>
          <w:color w:val="000000"/>
        </w:rPr>
        <w:t xml:space="preserve"> tetramine dihydrochloride (</w:t>
      </w:r>
      <w:proofErr w:type="spellStart"/>
      <w:r>
        <w:rPr>
          <w:rFonts w:ascii="Book Antiqua" w:eastAsia="Book Antiqua" w:hAnsi="Book Antiqua" w:cs="Book Antiqua"/>
          <w:color w:val="000000"/>
        </w:rPr>
        <w:t>trientine</w:t>
      </w:r>
      <w:proofErr w:type="spellEnd"/>
      <w:r>
        <w:rPr>
          <w:rFonts w:ascii="Book Antiqua" w:eastAsia="Book Antiqua" w:hAnsi="Book Antiqua" w:cs="Book Antiqua"/>
          <w:color w:val="000000"/>
        </w:rPr>
        <w:t xml:space="preserve">) treatment.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Gastroenterol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44</w:t>
      </w:r>
      <w:r>
        <w:rPr>
          <w:rFonts w:ascii="Book Antiqua" w:eastAsia="Book Antiqua" w:hAnsi="Book Antiqua" w:cs="Book Antiqua"/>
          <w:color w:val="000000"/>
        </w:rPr>
        <w:t>: 596-602 [PMID: 17460493 DOI: 10.1097/MPG.0b013e3180467715]</w:t>
      </w:r>
    </w:p>
    <w:p w14:paraId="67A6DEE7"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Taylor RM</w:t>
      </w:r>
      <w:r>
        <w:rPr>
          <w:rFonts w:ascii="Book Antiqua" w:eastAsia="Book Antiqua" w:hAnsi="Book Antiqua" w:cs="Book Antiqua"/>
          <w:color w:val="000000"/>
        </w:rPr>
        <w:t xml:space="preserve">, Chen Y, Dhawan A; </w:t>
      </w:r>
      <w:proofErr w:type="spellStart"/>
      <w:r>
        <w:rPr>
          <w:rFonts w:ascii="Book Antiqua" w:eastAsia="Book Antiqua" w:hAnsi="Book Antiqua" w:cs="Book Antiqua"/>
          <w:color w:val="000000"/>
        </w:rPr>
        <w:t>EuroWilson</w:t>
      </w:r>
      <w:proofErr w:type="spellEnd"/>
      <w:r>
        <w:rPr>
          <w:rFonts w:ascii="Book Antiqua" w:eastAsia="Book Antiqua" w:hAnsi="Book Antiqua" w:cs="Book Antiqua"/>
          <w:color w:val="000000"/>
        </w:rPr>
        <w:t xml:space="preserve"> Consortium. </w:t>
      </w:r>
      <w:proofErr w:type="spellStart"/>
      <w:r>
        <w:rPr>
          <w:rFonts w:ascii="Book Antiqua" w:eastAsia="Book Antiqua" w:hAnsi="Book Antiqua" w:cs="Book Antiqua"/>
          <w:color w:val="000000"/>
        </w:rPr>
        <w:t>Triethylene</w:t>
      </w:r>
      <w:proofErr w:type="spellEnd"/>
      <w:r>
        <w:rPr>
          <w:rFonts w:ascii="Book Antiqua" w:eastAsia="Book Antiqua" w:hAnsi="Book Antiqua" w:cs="Book Antiqua"/>
          <w:color w:val="000000"/>
        </w:rPr>
        <w:t xml:space="preserve"> tetramine dihydrochloride (</w:t>
      </w:r>
      <w:proofErr w:type="spellStart"/>
      <w:r>
        <w:rPr>
          <w:rFonts w:ascii="Book Antiqua" w:eastAsia="Book Antiqua" w:hAnsi="Book Antiqua" w:cs="Book Antiqua"/>
          <w:color w:val="000000"/>
        </w:rPr>
        <w:t>trientine</w:t>
      </w:r>
      <w:proofErr w:type="spellEnd"/>
      <w:r>
        <w:rPr>
          <w:rFonts w:ascii="Book Antiqua" w:eastAsia="Book Antiqua" w:hAnsi="Book Antiqua" w:cs="Book Antiqua"/>
          <w:color w:val="000000"/>
        </w:rPr>
        <w:t xml:space="preserve">) in children with Wilson disease: experience at King's College Hospital and review of the literature.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168</w:t>
      </w:r>
      <w:r>
        <w:rPr>
          <w:rFonts w:ascii="Book Antiqua" w:eastAsia="Book Antiqua" w:hAnsi="Book Antiqua" w:cs="Book Antiqua"/>
          <w:color w:val="000000"/>
        </w:rPr>
        <w:t>: 1061-1068 [PMID: 19066958 DOI: 10.1007/s00431-008-0886-8]</w:t>
      </w:r>
    </w:p>
    <w:p w14:paraId="07C23C2E"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109 </w:t>
      </w:r>
      <w:proofErr w:type="spellStart"/>
      <w:r>
        <w:rPr>
          <w:rFonts w:ascii="Book Antiqua" w:eastAsia="Book Antiqua" w:hAnsi="Book Antiqua" w:cs="Book Antiqua"/>
          <w:b/>
          <w:bCs/>
          <w:color w:val="000000"/>
        </w:rPr>
        <w:t>Rodeck</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Kardoff</w:t>
      </w:r>
      <w:proofErr w:type="spellEnd"/>
      <w:r>
        <w:rPr>
          <w:rFonts w:ascii="Book Antiqua" w:eastAsia="Book Antiqua" w:hAnsi="Book Antiqua" w:cs="Book Antiqua"/>
          <w:color w:val="000000"/>
        </w:rPr>
        <w:t xml:space="preserve"> R, Melter M. Treatment of copper associated liver disease in childhood. </w:t>
      </w:r>
      <w:r>
        <w:rPr>
          <w:rFonts w:ascii="Book Antiqua" w:eastAsia="Book Antiqua" w:hAnsi="Book Antiqua" w:cs="Book Antiqua"/>
          <w:i/>
          <w:iCs/>
          <w:color w:val="000000"/>
        </w:rPr>
        <w:t>Eur J Med Res</w:t>
      </w:r>
      <w:r>
        <w:rPr>
          <w:rFonts w:ascii="Book Antiqua" w:eastAsia="Book Antiqua" w:hAnsi="Book Antiqua" w:cs="Book Antiqua"/>
          <w:color w:val="000000"/>
        </w:rPr>
        <w:t xml:space="preserve"> 1999; </w:t>
      </w:r>
      <w:r>
        <w:rPr>
          <w:rFonts w:ascii="Book Antiqua" w:eastAsia="Book Antiqua" w:hAnsi="Book Antiqua" w:cs="Book Antiqua"/>
          <w:b/>
          <w:bCs/>
          <w:color w:val="000000"/>
        </w:rPr>
        <w:t>4</w:t>
      </w:r>
      <w:r>
        <w:rPr>
          <w:rFonts w:ascii="Book Antiqua" w:eastAsia="Book Antiqua" w:hAnsi="Book Antiqua" w:cs="Book Antiqua"/>
          <w:color w:val="000000"/>
        </w:rPr>
        <w:t>: 253-256 [PMID: 10383883]</w:t>
      </w:r>
    </w:p>
    <w:p w14:paraId="418B78A4"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 xml:space="preserve">110 </w:t>
      </w:r>
      <w:proofErr w:type="spellStart"/>
      <w:r>
        <w:rPr>
          <w:rFonts w:ascii="Book Antiqua" w:eastAsia="Book Antiqua" w:hAnsi="Book Antiqua" w:cs="Book Antiqua"/>
          <w:b/>
          <w:bCs/>
          <w:color w:val="000000"/>
        </w:rPr>
        <w:t>Masera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Cattoni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Decimi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D’Apolito</w:t>
      </w:r>
      <w:proofErr w:type="spellEnd"/>
      <w:r>
        <w:rPr>
          <w:rFonts w:ascii="Book Antiqua" w:eastAsia="Book Antiqua" w:hAnsi="Book Antiqua" w:cs="Book Antiqua"/>
          <w:color w:val="000000"/>
        </w:rPr>
        <w:t xml:space="preserve"> Valeria, </w:t>
      </w:r>
      <w:proofErr w:type="spellStart"/>
      <w:r>
        <w:rPr>
          <w:rFonts w:ascii="Book Antiqua" w:eastAsia="Book Antiqua" w:hAnsi="Book Antiqua" w:cs="Book Antiqua"/>
          <w:color w:val="000000"/>
        </w:rPr>
        <w:t>Arosio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Piperno</w:t>
      </w:r>
      <w:proofErr w:type="spellEnd"/>
      <w:r>
        <w:rPr>
          <w:rFonts w:ascii="Book Antiqua" w:eastAsia="Book Antiqua" w:hAnsi="Book Antiqua" w:cs="Book Antiqua"/>
          <w:color w:val="000000"/>
        </w:rPr>
        <w:t xml:space="preserve"> A. Efficacy of </w:t>
      </w:r>
      <w:proofErr w:type="spellStart"/>
      <w:r>
        <w:rPr>
          <w:rFonts w:ascii="Book Antiqua" w:eastAsia="Book Antiqua" w:hAnsi="Book Antiqua" w:cs="Book Antiqua"/>
          <w:color w:val="000000"/>
        </w:rPr>
        <w:t>deferasirox</w:t>
      </w:r>
      <w:proofErr w:type="spellEnd"/>
      <w:r>
        <w:rPr>
          <w:rFonts w:ascii="Book Antiqua" w:eastAsia="Book Antiqua" w:hAnsi="Book Antiqua" w:cs="Book Antiqua"/>
          <w:color w:val="000000"/>
        </w:rPr>
        <w:t xml:space="preserve"> for the treatment of iron overload in a child affected by Juvenile Hemochromatosis. </w:t>
      </w:r>
      <w:r w:rsidRPr="00533F22">
        <w:rPr>
          <w:rFonts w:ascii="Book Antiqua" w:eastAsia="Book Antiqua" w:hAnsi="Book Antiqua" w:cs="Book Antiqua"/>
          <w:i/>
          <w:color w:val="000000"/>
        </w:rPr>
        <w:t>Case Rep Clin Med</w:t>
      </w:r>
      <w:r>
        <w:rPr>
          <w:rFonts w:ascii="Book Antiqua" w:eastAsia="Book Antiqua" w:hAnsi="Book Antiqua" w:cs="Book Antiqua"/>
          <w:color w:val="000000"/>
        </w:rPr>
        <w:t xml:space="preserve"> 2013; </w:t>
      </w:r>
      <w:r w:rsidRPr="00533F22">
        <w:rPr>
          <w:rFonts w:ascii="Book Antiqua" w:eastAsia="Book Antiqua" w:hAnsi="Book Antiqua" w:cs="Book Antiqua"/>
          <w:b/>
          <w:color w:val="000000"/>
        </w:rPr>
        <w:t>2</w:t>
      </w:r>
      <w:r>
        <w:rPr>
          <w:rFonts w:ascii="Book Antiqua" w:eastAsia="Book Antiqua" w:hAnsi="Book Antiqua" w:cs="Book Antiqua"/>
          <w:color w:val="000000"/>
        </w:rPr>
        <w:t>: 126-128 [DOI: 10.4236/crcm.2013.22033]</w:t>
      </w:r>
    </w:p>
    <w:bookmarkEnd w:id="11"/>
    <w:bookmarkEnd w:id="12"/>
    <w:p w14:paraId="1EA013CE" w14:textId="77777777" w:rsidR="00A77B3E" w:rsidRDefault="00A77B3E" w:rsidP="00FC1E70">
      <w:pPr>
        <w:adjustRightInd w:val="0"/>
        <w:snapToGrid w:val="0"/>
        <w:spacing w:line="360" w:lineRule="auto"/>
        <w:jc w:val="both"/>
        <w:sectPr w:rsidR="00A77B3E">
          <w:pgSz w:w="12240" w:h="15840"/>
          <w:pgMar w:top="1440" w:right="1440" w:bottom="1440" w:left="1440" w:header="720" w:footer="720" w:gutter="0"/>
          <w:cols w:space="720"/>
          <w:docGrid w:linePitch="360"/>
        </w:sectPr>
      </w:pPr>
    </w:p>
    <w:p w14:paraId="7E2492B5" w14:textId="77777777" w:rsidR="00A77B3E" w:rsidRDefault="00FC1E70" w:rsidP="00FC1E70">
      <w:pPr>
        <w:adjustRightInd w:val="0"/>
        <w:snapToGrid w:val="0"/>
        <w:spacing w:line="360" w:lineRule="auto"/>
        <w:jc w:val="both"/>
      </w:pPr>
      <w:r>
        <w:rPr>
          <w:rFonts w:ascii="Book Antiqua" w:eastAsia="Book Antiqua" w:hAnsi="Book Antiqua" w:cs="Book Antiqua"/>
          <w:b/>
          <w:color w:val="000000"/>
        </w:rPr>
        <w:lastRenderedPageBreak/>
        <w:t>Footnotes</w:t>
      </w:r>
    </w:p>
    <w:p w14:paraId="5C1D37E4" w14:textId="77777777" w:rsidR="00A77B3E" w:rsidRDefault="00FC1E70" w:rsidP="00FC1E70">
      <w:pPr>
        <w:adjustRightInd w:val="0"/>
        <w:snapToGrid w:val="0"/>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there are no conflicts of interest.</w:t>
      </w:r>
    </w:p>
    <w:p w14:paraId="67F615B2" w14:textId="77777777" w:rsidR="00A77B3E" w:rsidRDefault="00A77B3E" w:rsidP="00FC1E70">
      <w:pPr>
        <w:adjustRightInd w:val="0"/>
        <w:snapToGrid w:val="0"/>
        <w:spacing w:line="360" w:lineRule="auto"/>
        <w:jc w:val="both"/>
      </w:pPr>
    </w:p>
    <w:p w14:paraId="66AB2EC5" w14:textId="77777777" w:rsidR="00A77B3E" w:rsidRDefault="00FC1E70" w:rsidP="00FC1E70">
      <w:pPr>
        <w:adjustRightInd w:val="0"/>
        <w:snapToGrid w:val="0"/>
        <w:spacing w:line="360" w:lineRule="auto"/>
        <w:jc w:val="both"/>
      </w:pPr>
      <w:r>
        <w:rPr>
          <w:rFonts w:ascii="Book Antiqua" w:eastAsia="Book Antiqua" w:hAnsi="Book Antiqua" w:cs="Book Antiqua"/>
          <w:b/>
          <w:bCs/>
          <w:color w:val="000000"/>
        </w:rPr>
        <w:t xml:space="preserve">Open-Access: </w:t>
      </w:r>
      <w:bookmarkStart w:id="17" w:name="OLE_LINK457"/>
      <w:bookmarkStart w:id="18" w:name="OLE_LINK458"/>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7"/>
    <w:bookmarkEnd w:id="18"/>
    <w:p w14:paraId="502E24FD" w14:textId="77777777" w:rsidR="00A77B3E" w:rsidRDefault="00A77B3E" w:rsidP="00FC1E70">
      <w:pPr>
        <w:adjustRightInd w:val="0"/>
        <w:snapToGrid w:val="0"/>
        <w:spacing w:line="360" w:lineRule="auto"/>
        <w:jc w:val="both"/>
      </w:pPr>
    </w:p>
    <w:p w14:paraId="154DED8E" w14:textId="4E3BD196" w:rsidR="00A77B3E" w:rsidRDefault="00FC1E70" w:rsidP="00FC1E7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D9393B">
        <w:rPr>
          <w:rFonts w:ascii="Book Antiqua" w:eastAsia="Book Antiqua" w:hAnsi="Book Antiqua" w:cs="Book Antiqua"/>
          <w:color w:val="000000"/>
        </w:rPr>
        <w:t>m</w:t>
      </w:r>
      <w:r>
        <w:rPr>
          <w:rFonts w:ascii="Book Antiqua" w:eastAsia="Book Antiqua" w:hAnsi="Book Antiqua" w:cs="Book Antiqua"/>
          <w:color w:val="000000"/>
        </w:rPr>
        <w:t>anuscript</w:t>
      </w:r>
    </w:p>
    <w:p w14:paraId="67E43724" w14:textId="77777777" w:rsidR="00771C6F" w:rsidRDefault="00771C6F" w:rsidP="00FC1E70">
      <w:pPr>
        <w:adjustRightInd w:val="0"/>
        <w:snapToGrid w:val="0"/>
        <w:spacing w:line="360" w:lineRule="auto"/>
        <w:jc w:val="both"/>
      </w:pPr>
    </w:p>
    <w:p w14:paraId="699F2CC9" w14:textId="77777777" w:rsidR="00A77B3E" w:rsidRDefault="00FC1E70" w:rsidP="00FC1E70">
      <w:pPr>
        <w:adjustRightInd w:val="0"/>
        <w:snapToGrid w:val="0"/>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Indi</w:t>
      </w:r>
      <w:r w:rsidR="00D9393B">
        <w:rPr>
          <w:rFonts w:ascii="Book Antiqua" w:eastAsia="Book Antiqua" w:hAnsi="Book Antiqua" w:cs="Book Antiqua"/>
          <w:color w:val="000000"/>
        </w:rPr>
        <w:t>an Society of Gastroenterology</w:t>
      </w:r>
      <w:r>
        <w:rPr>
          <w:rFonts w:ascii="Book Antiqua" w:eastAsia="Book Antiqua" w:hAnsi="Book Antiqua" w:cs="Book Antiqua"/>
          <w:color w:val="000000"/>
        </w:rPr>
        <w:t>.</w:t>
      </w:r>
    </w:p>
    <w:p w14:paraId="1A8610CF" w14:textId="77777777" w:rsidR="00A77B3E" w:rsidRDefault="00A77B3E" w:rsidP="00FC1E70">
      <w:pPr>
        <w:adjustRightInd w:val="0"/>
        <w:snapToGrid w:val="0"/>
        <w:spacing w:line="360" w:lineRule="auto"/>
        <w:jc w:val="both"/>
      </w:pPr>
    </w:p>
    <w:p w14:paraId="243F9D5B" w14:textId="77777777" w:rsidR="00A77B3E" w:rsidRDefault="00FC1E70" w:rsidP="00FC1E70">
      <w:pPr>
        <w:adjustRightInd w:val="0"/>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27, 2021</w:t>
      </w:r>
    </w:p>
    <w:p w14:paraId="378482D4" w14:textId="77777777" w:rsidR="00A77B3E" w:rsidRDefault="00FC1E70" w:rsidP="00FC1E70">
      <w:pPr>
        <w:adjustRightInd w:val="0"/>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 2021</w:t>
      </w:r>
    </w:p>
    <w:p w14:paraId="719BBF87" w14:textId="77777777" w:rsidR="00A77B3E" w:rsidRDefault="00FC1E70" w:rsidP="00FC1E70">
      <w:pPr>
        <w:adjustRightInd w:val="0"/>
        <w:snapToGrid w:val="0"/>
        <w:spacing w:line="360" w:lineRule="auto"/>
        <w:jc w:val="both"/>
      </w:pPr>
      <w:r>
        <w:rPr>
          <w:rFonts w:ascii="Book Antiqua" w:eastAsia="Book Antiqua" w:hAnsi="Book Antiqua" w:cs="Book Antiqua"/>
          <w:b/>
          <w:color w:val="000000"/>
        </w:rPr>
        <w:t xml:space="preserve">Article in press: </w:t>
      </w:r>
    </w:p>
    <w:p w14:paraId="7F0F86F0" w14:textId="77777777" w:rsidR="00A77B3E" w:rsidRDefault="00A77B3E" w:rsidP="00FC1E70">
      <w:pPr>
        <w:adjustRightInd w:val="0"/>
        <w:snapToGrid w:val="0"/>
        <w:spacing w:line="360" w:lineRule="auto"/>
        <w:jc w:val="both"/>
      </w:pPr>
    </w:p>
    <w:p w14:paraId="11B8B0C8" w14:textId="77777777" w:rsidR="00A77B3E" w:rsidRDefault="00FC1E70" w:rsidP="00FC1E70">
      <w:pPr>
        <w:adjustRightInd w:val="0"/>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D9393B">
        <w:rPr>
          <w:rFonts w:ascii="Book Antiqua" w:eastAsia="Book Antiqua" w:hAnsi="Book Antiqua" w:cs="Book Antiqua"/>
          <w:color w:val="000000"/>
        </w:rPr>
        <w:t>he</w:t>
      </w:r>
      <w:r>
        <w:rPr>
          <w:rFonts w:ascii="Book Antiqua" w:eastAsia="Book Antiqua" w:hAnsi="Book Antiqua" w:cs="Book Antiqua"/>
          <w:color w:val="000000"/>
        </w:rPr>
        <w:t>patology</w:t>
      </w:r>
    </w:p>
    <w:p w14:paraId="7562AB6A" w14:textId="77777777" w:rsidR="00A77B3E" w:rsidRDefault="00FC1E70" w:rsidP="00FC1E70">
      <w:pPr>
        <w:adjustRightInd w:val="0"/>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6556FBA4" w14:textId="77777777" w:rsidR="00A77B3E" w:rsidRDefault="00FC1E70" w:rsidP="00FC1E70">
      <w:pPr>
        <w:adjustRightInd w:val="0"/>
        <w:snapToGrid w:val="0"/>
        <w:spacing w:line="360" w:lineRule="auto"/>
        <w:jc w:val="both"/>
      </w:pPr>
      <w:r>
        <w:rPr>
          <w:rFonts w:ascii="Book Antiqua" w:eastAsia="Book Antiqua" w:hAnsi="Book Antiqua" w:cs="Book Antiqua"/>
          <w:b/>
          <w:color w:val="000000"/>
        </w:rPr>
        <w:t>Peer-review report’s scientific quality classification</w:t>
      </w:r>
    </w:p>
    <w:p w14:paraId="55009F6A"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Grade A (Excellent): 0</w:t>
      </w:r>
    </w:p>
    <w:p w14:paraId="13F0815F"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Grade B (Very good): B</w:t>
      </w:r>
    </w:p>
    <w:p w14:paraId="0C9FE784"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Grade C (Good): C</w:t>
      </w:r>
    </w:p>
    <w:p w14:paraId="6D8169CC"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Grade D (Fair): 0</w:t>
      </w:r>
    </w:p>
    <w:p w14:paraId="18C4B5D1" w14:textId="77777777" w:rsidR="00A77B3E" w:rsidRDefault="00FC1E70" w:rsidP="00FC1E70">
      <w:pPr>
        <w:adjustRightInd w:val="0"/>
        <w:snapToGrid w:val="0"/>
        <w:spacing w:line="360" w:lineRule="auto"/>
        <w:jc w:val="both"/>
      </w:pPr>
      <w:r>
        <w:rPr>
          <w:rFonts w:ascii="Book Antiqua" w:eastAsia="Book Antiqua" w:hAnsi="Book Antiqua" w:cs="Book Antiqua"/>
          <w:color w:val="000000"/>
        </w:rPr>
        <w:t>Grade E (Poor): 0</w:t>
      </w:r>
    </w:p>
    <w:p w14:paraId="4D7FCC65" w14:textId="77777777" w:rsidR="00A77B3E" w:rsidRDefault="00A77B3E" w:rsidP="00FC1E70">
      <w:pPr>
        <w:adjustRightInd w:val="0"/>
        <w:snapToGrid w:val="0"/>
        <w:spacing w:line="360" w:lineRule="auto"/>
        <w:jc w:val="both"/>
      </w:pPr>
    </w:p>
    <w:p w14:paraId="3AD124BF" w14:textId="55F7F981" w:rsidR="00A77B3E" w:rsidRDefault="00FC1E70" w:rsidP="00FC1E70">
      <w:pPr>
        <w:adjustRightInd w:val="0"/>
        <w:snapToGrid w:val="0"/>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Kanda T, </w:t>
      </w:r>
      <w:proofErr w:type="spellStart"/>
      <w:r>
        <w:rPr>
          <w:rFonts w:ascii="Book Antiqua" w:eastAsia="Book Antiqua" w:hAnsi="Book Antiqua" w:cs="Book Antiqua"/>
          <w:color w:val="000000"/>
        </w:rPr>
        <w:t>Moschovi</w:t>
      </w:r>
      <w:proofErr w:type="spellEnd"/>
      <w:r>
        <w:rPr>
          <w:rFonts w:ascii="Book Antiqua" w:eastAsia="Book Antiqua" w:hAnsi="Book Antiqua" w:cs="Book Antiqua"/>
          <w:color w:val="000000"/>
        </w:rPr>
        <w:t xml:space="preserve"> MA</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034410">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 P-Editor: </w:t>
      </w:r>
    </w:p>
    <w:p w14:paraId="047B7600" w14:textId="77777777" w:rsidR="00A77B3E" w:rsidRDefault="00FC1E70" w:rsidP="00FC1E70">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F6AA3D6" w14:textId="77777777" w:rsidR="00533F22" w:rsidRPr="00533F22" w:rsidRDefault="00533F22" w:rsidP="00FC1E70">
      <w:pPr>
        <w:adjustRightInd w:val="0"/>
        <w:snapToGrid w:val="0"/>
        <w:spacing w:line="360" w:lineRule="auto"/>
        <w:jc w:val="both"/>
        <w:rPr>
          <w:lang w:eastAsia="zh-CN"/>
        </w:rPr>
      </w:pPr>
      <w:r w:rsidRPr="00533F22">
        <w:rPr>
          <w:noProof/>
          <w:lang w:eastAsia="zh-CN"/>
        </w:rPr>
        <w:drawing>
          <wp:inline distT="0" distB="0" distL="0" distR="0" wp14:anchorId="7FD3D7F3" wp14:editId="7D107092">
            <wp:extent cx="5486400" cy="3474085"/>
            <wp:effectExtent l="0" t="0" r="0" b="0"/>
            <wp:docPr id="4" name="Picture 3">
              <a:extLst xmlns:a="http://schemas.openxmlformats.org/drawingml/2006/main">
                <a:ext uri="{FF2B5EF4-FFF2-40B4-BE49-F238E27FC236}">
                  <a16:creationId xmlns:a16="http://schemas.microsoft.com/office/drawing/2014/main" id="{7058B8FB-B089-AD43-A7DD-15BF7738861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058B8FB-B089-AD43-A7DD-15BF77388617}"/>
                        </a:ext>
                      </a:extLst>
                    </pic:cNvPr>
                    <pic:cNvPicPr/>
                  </pic:nvPicPr>
                  <pic:blipFill>
                    <a:blip r:embed="rId7"/>
                    <a:stretch>
                      <a:fillRect/>
                    </a:stretch>
                  </pic:blipFill>
                  <pic:spPr>
                    <a:xfrm>
                      <a:off x="0" y="0"/>
                      <a:ext cx="5486400" cy="3474085"/>
                    </a:xfrm>
                    <a:prstGeom prst="rect">
                      <a:avLst/>
                    </a:prstGeom>
                  </pic:spPr>
                </pic:pic>
              </a:graphicData>
            </a:graphic>
          </wp:inline>
        </w:drawing>
      </w:r>
    </w:p>
    <w:p w14:paraId="091C0750" w14:textId="3ECC77B9" w:rsidR="00A77B3E" w:rsidRDefault="00FC1E70" w:rsidP="00FC1E70">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w:t>
      </w:r>
      <w:r w:rsidR="00771C6F">
        <w:rPr>
          <w:rFonts w:ascii="Book Antiqua" w:eastAsia="Book Antiqua" w:hAnsi="Book Antiqua" w:cs="Book Antiqua"/>
          <w:b/>
          <w:bCs/>
          <w:color w:val="000000"/>
        </w:rPr>
        <w:t>u</w:t>
      </w:r>
      <w:r>
        <w:rPr>
          <w:rFonts w:ascii="Book Antiqua" w:eastAsia="Book Antiqua" w:hAnsi="Book Antiqua" w:cs="Book Antiqua"/>
          <w:b/>
          <w:bCs/>
          <w:color w:val="000000"/>
        </w:rPr>
        <w:t>re 1 Pathophysiology of Wilson’s disease.</w:t>
      </w:r>
      <w:r>
        <w:rPr>
          <w:rFonts w:ascii="Book Antiqua" w:eastAsia="Book Antiqua" w:hAnsi="Book Antiqua" w:cs="Book Antiqua"/>
          <w:color w:val="000000"/>
        </w:rPr>
        <w:t xml:space="preserve"> Due to mutation in </w:t>
      </w:r>
      <w:r>
        <w:rPr>
          <w:rFonts w:ascii="Book Antiqua" w:eastAsia="Book Antiqua" w:hAnsi="Book Antiqua" w:cs="Book Antiqua"/>
          <w:i/>
          <w:iCs/>
          <w:color w:val="000000"/>
        </w:rPr>
        <w:t xml:space="preserve">ATP 7B </w:t>
      </w:r>
      <w:r>
        <w:rPr>
          <w:rFonts w:ascii="Book Antiqua" w:eastAsia="Book Antiqua" w:hAnsi="Book Antiqua" w:cs="Book Antiqua"/>
          <w:color w:val="000000"/>
        </w:rPr>
        <w:t>gene, P type ATPase is defective and copper is not incorporated in ceruloplasmin. Free copper increases in blood and is deposited in liver and extrahepatic sites (brain, kidneys, bones, cornea, RBC).</w:t>
      </w:r>
    </w:p>
    <w:p w14:paraId="13512EE1" w14:textId="77777777" w:rsidR="00533F22" w:rsidRPr="00533F22" w:rsidRDefault="00533F22" w:rsidP="00FC1E70">
      <w:pPr>
        <w:adjustRightInd w:val="0"/>
        <w:snapToGrid w:val="0"/>
        <w:spacing w:line="360" w:lineRule="auto"/>
        <w:jc w:val="both"/>
        <w:rPr>
          <w:lang w:eastAsia="zh-CN"/>
        </w:rPr>
      </w:pPr>
      <w:r>
        <w:rPr>
          <w:rFonts w:ascii="Book Antiqua" w:hAnsi="Book Antiqua" w:cs="Book Antiqua"/>
          <w:color w:val="000000"/>
          <w:lang w:eastAsia="zh-CN"/>
        </w:rPr>
        <w:br w:type="page"/>
      </w:r>
      <w:r w:rsidRPr="00533F22">
        <w:rPr>
          <w:rFonts w:ascii="Book Antiqua" w:hAnsi="Book Antiqua" w:cs="Book Antiqua"/>
          <w:noProof/>
          <w:color w:val="000000"/>
          <w:lang w:eastAsia="zh-CN"/>
        </w:rPr>
        <w:lastRenderedPageBreak/>
        <w:drawing>
          <wp:inline distT="0" distB="0" distL="0" distR="0" wp14:anchorId="7ABB956F" wp14:editId="0960C208">
            <wp:extent cx="5486400" cy="3781425"/>
            <wp:effectExtent l="0" t="0" r="0" b="9525"/>
            <wp:docPr id="2" name="Picture 1">
              <a:extLst xmlns:a="http://schemas.openxmlformats.org/drawingml/2006/main">
                <a:ext uri="{FF2B5EF4-FFF2-40B4-BE49-F238E27FC236}">
                  <a16:creationId xmlns:a16="http://schemas.microsoft.com/office/drawing/2014/main" id="{549CCCAB-3E88-8041-B73B-958FC90BB65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9CCCAB-3E88-8041-B73B-958FC90BB650}"/>
                        </a:ext>
                      </a:extLst>
                    </pic:cNvPr>
                    <pic:cNvPicPr/>
                  </pic:nvPicPr>
                  <pic:blipFill>
                    <a:blip r:embed="rId8"/>
                    <a:stretch>
                      <a:fillRect/>
                    </a:stretch>
                  </pic:blipFill>
                  <pic:spPr>
                    <a:xfrm>
                      <a:off x="0" y="0"/>
                      <a:ext cx="5486400" cy="3781425"/>
                    </a:xfrm>
                    <a:prstGeom prst="rect">
                      <a:avLst/>
                    </a:prstGeom>
                  </pic:spPr>
                </pic:pic>
              </a:graphicData>
            </a:graphic>
          </wp:inline>
        </w:drawing>
      </w:r>
    </w:p>
    <w:p w14:paraId="2C8024AA" w14:textId="77777777" w:rsidR="00A77B3E" w:rsidRDefault="00FC1E70" w:rsidP="00FC1E70">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Pathogenesis of gestational alloimmune liver disease.</w:t>
      </w:r>
      <w:r>
        <w:rPr>
          <w:rFonts w:ascii="Book Antiqua" w:eastAsia="Book Antiqua" w:hAnsi="Book Antiqua" w:cs="Book Antiqua"/>
          <w:color w:val="000000"/>
        </w:rPr>
        <w:t xml:space="preserve"> Alloimmunization of fetal liver antigen by maternal blood produces IgG antibody passively transferred through the placenta to cause fetal liver injury by complement activation. Liver injury reduces the hepatic synthesis of hepcidin resulting in uncontrolled placental iron absorption. Excess iron is deposited in liver, pancreas, heart, gonads </w:t>
      </w:r>
      <w:r>
        <w:rPr>
          <w:rFonts w:ascii="Book Antiqua" w:eastAsia="Book Antiqua" w:hAnsi="Book Antiqua" w:cs="Book Antiqua"/>
          <w:i/>
          <w:iCs/>
          <w:color w:val="000000"/>
        </w:rPr>
        <w:t>etc</w:t>
      </w:r>
      <w:r>
        <w:rPr>
          <w:rFonts w:ascii="Book Antiqua" w:eastAsia="Book Antiqua" w:hAnsi="Book Antiqua" w:cs="Book Antiqua"/>
          <w:color w:val="000000"/>
        </w:rPr>
        <w:t xml:space="preserve">. </w:t>
      </w:r>
    </w:p>
    <w:p w14:paraId="4B0B46B4" w14:textId="77777777" w:rsidR="00FC1E70" w:rsidRPr="007403CD" w:rsidRDefault="00533F22" w:rsidP="00FC1E70">
      <w:pPr>
        <w:adjustRightInd w:val="0"/>
        <w:snapToGrid w:val="0"/>
        <w:spacing w:line="360" w:lineRule="auto"/>
        <w:jc w:val="both"/>
        <w:rPr>
          <w:rFonts w:ascii="Book Antiqua" w:hAnsi="Book Antiqua" w:cs="Arial"/>
          <w:b/>
          <w:bCs/>
        </w:rPr>
      </w:pPr>
      <w:r>
        <w:rPr>
          <w:rFonts w:ascii="Book Antiqua" w:hAnsi="Book Antiqua" w:cs="Book Antiqua"/>
          <w:color w:val="000000"/>
          <w:lang w:eastAsia="zh-CN"/>
        </w:rPr>
        <w:br w:type="page"/>
      </w:r>
      <w:r w:rsidR="00FC1E70" w:rsidRPr="007403CD">
        <w:rPr>
          <w:rFonts w:ascii="Book Antiqua" w:hAnsi="Book Antiqua" w:cs="Arial"/>
          <w:b/>
          <w:bCs/>
        </w:rPr>
        <w:lastRenderedPageBreak/>
        <w:t>Table 1</w:t>
      </w:r>
      <w:r w:rsidR="00FC1E70">
        <w:rPr>
          <w:rFonts w:ascii="Book Antiqua" w:hAnsi="Book Antiqua" w:cs="Arial" w:hint="eastAsia"/>
          <w:b/>
          <w:bCs/>
          <w:lang w:eastAsia="zh-CN"/>
        </w:rPr>
        <w:t xml:space="preserve"> </w:t>
      </w:r>
      <w:r w:rsidR="00FC1E70" w:rsidRPr="007403CD">
        <w:rPr>
          <w:rFonts w:ascii="Book Antiqua" w:hAnsi="Book Antiqua" w:cs="Arial"/>
          <w:b/>
          <w:bCs/>
        </w:rPr>
        <w:t>Adverse effects of copper chelating drugs</w:t>
      </w:r>
    </w:p>
    <w:tbl>
      <w:tblPr>
        <w:tblStyle w:val="TableGrid"/>
        <w:tblpPr w:leftFromText="180" w:rightFromText="180" w:vertAnchor="page" w:horzAnchor="margin" w:tblpY="2203"/>
        <w:tblW w:w="913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160"/>
      </w:tblGrid>
      <w:tr w:rsidR="00FC1E70" w:rsidRPr="007403CD" w14:paraId="1D934094" w14:textId="77777777" w:rsidTr="00FC1E70">
        <w:trPr>
          <w:trHeight w:val="416"/>
        </w:trPr>
        <w:tc>
          <w:tcPr>
            <w:tcW w:w="2972" w:type="dxa"/>
            <w:tcBorders>
              <w:top w:val="single" w:sz="4" w:space="0" w:color="auto"/>
              <w:bottom w:val="single" w:sz="4" w:space="0" w:color="auto"/>
            </w:tcBorders>
            <w:shd w:val="clear" w:color="auto" w:fill="auto"/>
            <w:vAlign w:val="center"/>
          </w:tcPr>
          <w:p w14:paraId="0AA44308"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t>Name of the drug</w:t>
            </w:r>
          </w:p>
        </w:tc>
        <w:tc>
          <w:tcPr>
            <w:tcW w:w="6160" w:type="dxa"/>
            <w:tcBorders>
              <w:top w:val="single" w:sz="4" w:space="0" w:color="auto"/>
              <w:bottom w:val="single" w:sz="4" w:space="0" w:color="auto"/>
            </w:tcBorders>
            <w:shd w:val="clear" w:color="auto" w:fill="auto"/>
            <w:vAlign w:val="center"/>
          </w:tcPr>
          <w:p w14:paraId="5AAC4300"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t>Side effects</w:t>
            </w:r>
          </w:p>
        </w:tc>
      </w:tr>
      <w:tr w:rsidR="00FC1E70" w:rsidRPr="007403CD" w14:paraId="1C765AB7" w14:textId="77777777" w:rsidTr="00FC1E70">
        <w:trPr>
          <w:trHeight w:val="985"/>
        </w:trPr>
        <w:tc>
          <w:tcPr>
            <w:tcW w:w="2972" w:type="dxa"/>
            <w:tcBorders>
              <w:top w:val="single" w:sz="4" w:space="0" w:color="auto"/>
            </w:tcBorders>
            <w:shd w:val="clear" w:color="auto" w:fill="auto"/>
            <w:vAlign w:val="center"/>
          </w:tcPr>
          <w:p w14:paraId="35211E9F"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D-Penicillamine</w:t>
            </w:r>
          </w:p>
        </w:tc>
        <w:tc>
          <w:tcPr>
            <w:tcW w:w="6160" w:type="dxa"/>
            <w:tcBorders>
              <w:top w:val="single" w:sz="4" w:space="0" w:color="auto"/>
            </w:tcBorders>
            <w:shd w:val="clear" w:color="auto" w:fill="auto"/>
            <w:vAlign w:val="center"/>
          </w:tcPr>
          <w:p w14:paraId="52A07DB9"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bCs/>
              </w:rPr>
              <w:t xml:space="preserve">Early (1-3 </w:t>
            </w:r>
            <w:proofErr w:type="spellStart"/>
            <w:r w:rsidRPr="007403CD">
              <w:rPr>
                <w:rFonts w:ascii="Book Antiqua" w:hAnsi="Book Antiqua" w:cs="Arial"/>
                <w:bCs/>
              </w:rPr>
              <w:t>wk</w:t>
            </w:r>
            <w:proofErr w:type="spellEnd"/>
            <w:r w:rsidRPr="007403CD">
              <w:rPr>
                <w:rFonts w:ascii="Book Antiqua" w:hAnsi="Book Antiqua" w:cs="Arial"/>
                <w:bCs/>
              </w:rPr>
              <w:t>):</w:t>
            </w:r>
            <w:r w:rsidRPr="007403CD">
              <w:rPr>
                <w:rFonts w:ascii="Book Antiqua" w:hAnsi="Book Antiqua" w:cs="Arial"/>
              </w:rPr>
              <w:t xml:space="preserve"> </w:t>
            </w:r>
            <w:r w:rsidRPr="007403CD">
              <w:rPr>
                <w:rFonts w:ascii="Book Antiqua" w:hAnsi="Book Antiqua" w:cs="Arial"/>
                <w:caps/>
              </w:rPr>
              <w:t>f</w:t>
            </w:r>
            <w:r w:rsidRPr="007403CD">
              <w:rPr>
                <w:rFonts w:ascii="Book Antiqua" w:hAnsi="Book Antiqua" w:cs="Arial"/>
              </w:rPr>
              <w:t>ever, rash, arthralgia, cytopenia, proteinuria</w:t>
            </w:r>
          </w:p>
          <w:p w14:paraId="7203F261" w14:textId="77777777" w:rsidR="00FC1E70" w:rsidRPr="007403CD" w:rsidRDefault="00FC1E70" w:rsidP="00FC1E70">
            <w:pPr>
              <w:adjustRightInd w:val="0"/>
              <w:snapToGrid w:val="0"/>
              <w:spacing w:line="360" w:lineRule="auto"/>
              <w:rPr>
                <w:rFonts w:ascii="Book Antiqua" w:hAnsi="Book Antiqua" w:cs="Arial"/>
                <w:lang w:eastAsia="zh-CN"/>
              </w:rPr>
            </w:pPr>
            <w:r w:rsidRPr="007403CD">
              <w:rPr>
                <w:rFonts w:ascii="Book Antiqua" w:hAnsi="Book Antiqua" w:cs="Arial"/>
                <w:bCs/>
              </w:rPr>
              <w:t>Late</w:t>
            </w:r>
            <w:r w:rsidRPr="007403CD">
              <w:rPr>
                <w:rFonts w:ascii="Book Antiqua" w:hAnsi="Book Antiqua" w:cs="Arial"/>
              </w:rPr>
              <w:t>:</w:t>
            </w:r>
            <w:r w:rsidRPr="007403CD">
              <w:rPr>
                <w:rFonts w:ascii="Book Antiqua" w:hAnsi="Book Antiqua" w:cs="Arial" w:hint="eastAsia"/>
                <w:lang w:eastAsia="zh-CN"/>
              </w:rPr>
              <w:t xml:space="preserve"> (1) </w:t>
            </w:r>
            <w:r w:rsidRPr="007403CD">
              <w:rPr>
                <w:rFonts w:ascii="Book Antiqua" w:hAnsi="Book Antiqua" w:cs="Arial"/>
                <w:bCs/>
              </w:rPr>
              <w:t>Skin</w:t>
            </w:r>
            <w:r w:rsidRPr="007403CD">
              <w:rPr>
                <w:rFonts w:ascii="Book Antiqua" w:hAnsi="Book Antiqua" w:cs="Arial"/>
              </w:rPr>
              <w:t xml:space="preserve">: degenerative dermatoses elastosis </w:t>
            </w:r>
            <w:proofErr w:type="spellStart"/>
            <w:r w:rsidRPr="007403CD">
              <w:rPr>
                <w:rFonts w:ascii="Book Antiqua" w:hAnsi="Book Antiqua" w:cs="Arial"/>
              </w:rPr>
              <w:t>perforans</w:t>
            </w:r>
            <w:proofErr w:type="spellEnd"/>
            <w:r w:rsidRPr="007403CD">
              <w:rPr>
                <w:rFonts w:ascii="Book Antiqua" w:hAnsi="Book Antiqua" w:cs="Arial"/>
              </w:rPr>
              <w:t xml:space="preserve"> </w:t>
            </w:r>
            <w:proofErr w:type="spellStart"/>
            <w:r w:rsidRPr="007403CD">
              <w:rPr>
                <w:rFonts w:ascii="Book Antiqua" w:hAnsi="Book Antiqua" w:cs="Arial"/>
              </w:rPr>
              <w:t>serpingosa</w:t>
            </w:r>
            <w:proofErr w:type="spellEnd"/>
            <w:r w:rsidRPr="007403CD">
              <w:rPr>
                <w:rFonts w:ascii="Book Antiqua" w:hAnsi="Book Antiqua" w:cs="Arial"/>
              </w:rPr>
              <w:t xml:space="preserve">, cutis </w:t>
            </w:r>
            <w:proofErr w:type="spellStart"/>
            <w:r w:rsidRPr="007403CD">
              <w:rPr>
                <w:rFonts w:ascii="Book Antiqua" w:hAnsi="Book Antiqua" w:cs="Arial"/>
              </w:rPr>
              <w:t>laxa</w:t>
            </w:r>
            <w:proofErr w:type="spellEnd"/>
            <w:r w:rsidRPr="007403CD">
              <w:rPr>
                <w:rFonts w:ascii="Book Antiqua" w:hAnsi="Book Antiqua" w:cs="Arial"/>
              </w:rPr>
              <w:t>, pseudoxanthoma elasticum, bullous dermatoses, psoriasiform dermatoses, lichen planus, seborrheic dermatitis alopecia, aphthous ulcerations, hair loss</w:t>
            </w:r>
            <w:r w:rsidRPr="007403CD">
              <w:rPr>
                <w:rFonts w:ascii="Book Antiqua" w:hAnsi="Book Antiqua" w:cs="Arial" w:hint="eastAsia"/>
                <w:lang w:eastAsia="zh-CN"/>
              </w:rPr>
              <w:t xml:space="preserve">; (2) </w:t>
            </w:r>
            <w:r w:rsidRPr="007403CD">
              <w:rPr>
                <w:rFonts w:ascii="Book Antiqua" w:hAnsi="Book Antiqua" w:cs="Arial"/>
                <w:bCs/>
              </w:rPr>
              <w:t>Connective tissue disorders</w:t>
            </w:r>
            <w:r w:rsidRPr="007403CD">
              <w:rPr>
                <w:rFonts w:ascii="Book Antiqua" w:hAnsi="Book Antiqua" w:cs="Arial"/>
              </w:rPr>
              <w:t>: Lupus like syndrome, arthralgia, Rheumatoid arthritis, polymyositis</w:t>
            </w:r>
            <w:r w:rsidRPr="007403CD">
              <w:rPr>
                <w:rFonts w:ascii="Book Antiqua" w:hAnsi="Book Antiqua" w:cs="Arial" w:hint="eastAsia"/>
                <w:lang w:eastAsia="zh-CN"/>
              </w:rPr>
              <w:t xml:space="preserve">; (3) </w:t>
            </w:r>
            <w:r w:rsidRPr="007403CD">
              <w:rPr>
                <w:rFonts w:ascii="Book Antiqua" w:hAnsi="Book Antiqua" w:cs="Arial"/>
                <w:bCs/>
              </w:rPr>
              <w:t>Renal:</w:t>
            </w:r>
            <w:r w:rsidRPr="007403CD">
              <w:rPr>
                <w:rFonts w:ascii="Book Antiqua" w:hAnsi="Book Antiqua" w:cs="Arial"/>
              </w:rPr>
              <w:t xml:space="preserve"> proteinuria, </w:t>
            </w:r>
            <w:proofErr w:type="spellStart"/>
            <w:r w:rsidRPr="007403CD">
              <w:rPr>
                <w:rFonts w:ascii="Book Antiqua" w:hAnsi="Book Antiqua" w:cs="Arial"/>
              </w:rPr>
              <w:t>hematuria</w:t>
            </w:r>
            <w:proofErr w:type="spellEnd"/>
            <w:r w:rsidRPr="007403CD">
              <w:rPr>
                <w:rFonts w:ascii="Book Antiqua" w:hAnsi="Book Antiqua" w:cs="Arial"/>
              </w:rPr>
              <w:t>, glomerulonephritis, nephrotic syndrome, renal vasculitis, Goodpasture’s syndrome</w:t>
            </w:r>
            <w:r w:rsidRPr="007403CD">
              <w:rPr>
                <w:rFonts w:ascii="Book Antiqua" w:hAnsi="Book Antiqua" w:cs="Arial" w:hint="eastAsia"/>
                <w:lang w:eastAsia="zh-CN"/>
              </w:rPr>
              <w:t xml:space="preserve">; (4) </w:t>
            </w:r>
            <w:r w:rsidRPr="007403CD">
              <w:rPr>
                <w:rFonts w:ascii="Book Antiqua" w:hAnsi="Book Antiqua" w:cs="Arial"/>
                <w:bCs/>
              </w:rPr>
              <w:t>Nervous system</w:t>
            </w:r>
            <w:r w:rsidRPr="007403CD">
              <w:rPr>
                <w:rFonts w:ascii="Book Antiqua" w:hAnsi="Book Antiqua" w:cs="Arial"/>
              </w:rPr>
              <w:t>: paradoxical neurological worsening, neuropathies, myasthenia, hearing abnormalities, serous retinitis</w:t>
            </w:r>
            <w:r w:rsidRPr="007403CD">
              <w:rPr>
                <w:rFonts w:ascii="Book Antiqua" w:hAnsi="Book Antiqua" w:cs="Arial" w:hint="eastAsia"/>
                <w:lang w:eastAsia="zh-CN"/>
              </w:rPr>
              <w:t xml:space="preserve">; (5) </w:t>
            </w:r>
            <w:r w:rsidRPr="007403CD">
              <w:rPr>
                <w:rFonts w:ascii="Book Antiqua" w:hAnsi="Book Antiqua" w:cs="Arial"/>
                <w:bCs/>
              </w:rPr>
              <w:t>Gastrointestinal</w:t>
            </w:r>
            <w:r w:rsidRPr="007403CD">
              <w:rPr>
                <w:rFonts w:ascii="Book Antiqua" w:hAnsi="Book Antiqua" w:cs="Arial"/>
              </w:rPr>
              <w:t xml:space="preserve">: Nausea, vomiting, </w:t>
            </w:r>
            <w:proofErr w:type="spellStart"/>
            <w:r w:rsidRPr="007403CD">
              <w:rPr>
                <w:rFonts w:ascii="Book Antiqua" w:hAnsi="Book Antiqua" w:cs="Arial"/>
              </w:rPr>
              <w:t>diarrhea</w:t>
            </w:r>
            <w:proofErr w:type="spellEnd"/>
            <w:r w:rsidRPr="007403CD">
              <w:rPr>
                <w:rFonts w:ascii="Book Antiqua" w:hAnsi="Book Antiqua" w:cs="Arial"/>
              </w:rPr>
              <w:t>, elevated transaminases, cholestasis, hepatic siderosis</w:t>
            </w:r>
            <w:r w:rsidRPr="007403CD">
              <w:rPr>
                <w:rFonts w:ascii="Book Antiqua" w:hAnsi="Book Antiqua" w:cs="Arial" w:hint="eastAsia"/>
                <w:lang w:eastAsia="zh-CN"/>
              </w:rPr>
              <w:t xml:space="preserve">; (6) </w:t>
            </w:r>
            <w:r w:rsidRPr="007403CD">
              <w:rPr>
                <w:rFonts w:ascii="Book Antiqua" w:hAnsi="Book Antiqua" w:cs="Arial"/>
                <w:bCs/>
              </w:rPr>
              <w:t>Respiratory</w:t>
            </w:r>
            <w:r w:rsidRPr="007403CD">
              <w:rPr>
                <w:rFonts w:ascii="Book Antiqua" w:hAnsi="Book Antiqua" w:cs="Arial"/>
              </w:rPr>
              <w:t>: pneumonitis, pulmonary fibrosis, pleural effusion</w:t>
            </w:r>
            <w:r w:rsidRPr="007403CD">
              <w:rPr>
                <w:rFonts w:ascii="Book Antiqua" w:hAnsi="Book Antiqua" w:cs="Arial" w:hint="eastAsia"/>
                <w:lang w:eastAsia="zh-CN"/>
              </w:rPr>
              <w:t xml:space="preserve">; (7) </w:t>
            </w:r>
            <w:proofErr w:type="spellStart"/>
            <w:r w:rsidRPr="007403CD">
              <w:rPr>
                <w:rFonts w:ascii="Book Antiqua" w:hAnsi="Book Antiqua" w:cs="Arial"/>
                <w:bCs/>
              </w:rPr>
              <w:t>Hematological</w:t>
            </w:r>
            <w:proofErr w:type="spellEnd"/>
            <w:r w:rsidRPr="007403CD">
              <w:rPr>
                <w:rFonts w:ascii="Book Antiqua" w:hAnsi="Book Antiqua" w:cs="Arial"/>
                <w:bCs/>
              </w:rPr>
              <w:t xml:space="preserve">: </w:t>
            </w:r>
            <w:r w:rsidRPr="007403CD">
              <w:rPr>
                <w:rFonts w:ascii="Book Antiqua" w:hAnsi="Book Antiqua" w:cs="Arial"/>
              </w:rPr>
              <w:t xml:space="preserve">cytopenia, agranulocytosis, aplastic </w:t>
            </w:r>
            <w:proofErr w:type="spellStart"/>
            <w:r w:rsidRPr="007403CD">
              <w:rPr>
                <w:rFonts w:ascii="Book Antiqua" w:hAnsi="Book Antiqua" w:cs="Arial"/>
              </w:rPr>
              <w:t>anemia</w:t>
            </w:r>
            <w:proofErr w:type="spellEnd"/>
            <w:r w:rsidRPr="007403CD">
              <w:rPr>
                <w:rFonts w:ascii="Book Antiqua" w:hAnsi="Book Antiqua" w:cs="Arial"/>
              </w:rPr>
              <w:t xml:space="preserve">, </w:t>
            </w:r>
            <w:proofErr w:type="spellStart"/>
            <w:r w:rsidRPr="007403CD">
              <w:rPr>
                <w:rFonts w:ascii="Book Antiqua" w:hAnsi="Book Antiqua" w:cs="Arial"/>
              </w:rPr>
              <w:t>hemolytic</w:t>
            </w:r>
            <w:proofErr w:type="spellEnd"/>
            <w:r w:rsidRPr="007403CD">
              <w:rPr>
                <w:rFonts w:ascii="Book Antiqua" w:hAnsi="Book Antiqua" w:cs="Arial"/>
              </w:rPr>
              <w:t xml:space="preserve"> </w:t>
            </w:r>
            <w:proofErr w:type="spellStart"/>
            <w:r w:rsidRPr="007403CD">
              <w:rPr>
                <w:rFonts w:ascii="Book Antiqua" w:hAnsi="Book Antiqua" w:cs="Arial"/>
              </w:rPr>
              <w:t>anemia</w:t>
            </w:r>
            <w:proofErr w:type="spellEnd"/>
            <w:r w:rsidRPr="007403CD">
              <w:rPr>
                <w:rFonts w:ascii="Book Antiqua" w:hAnsi="Book Antiqua" w:cs="Arial" w:hint="eastAsia"/>
                <w:lang w:eastAsia="zh-CN"/>
              </w:rPr>
              <w:t xml:space="preserve">; and (8) </w:t>
            </w:r>
            <w:r w:rsidRPr="007403CD">
              <w:rPr>
                <w:rFonts w:ascii="Book Antiqua" w:hAnsi="Book Antiqua" w:cs="Arial"/>
                <w:bCs/>
              </w:rPr>
              <w:t>Others</w:t>
            </w:r>
            <w:r w:rsidRPr="007403CD">
              <w:rPr>
                <w:rFonts w:ascii="Book Antiqua" w:hAnsi="Book Antiqua" w:cs="Arial"/>
              </w:rPr>
              <w:t>: Immunoglobulin deficiency, breast enlargement, pyridoxine deficiency</w:t>
            </w:r>
          </w:p>
        </w:tc>
      </w:tr>
      <w:tr w:rsidR="00FC1E70" w:rsidRPr="007403CD" w14:paraId="0EB7CBCA" w14:textId="77777777" w:rsidTr="00FC1E70">
        <w:trPr>
          <w:trHeight w:val="1027"/>
        </w:trPr>
        <w:tc>
          <w:tcPr>
            <w:tcW w:w="2972" w:type="dxa"/>
            <w:shd w:val="clear" w:color="auto" w:fill="auto"/>
            <w:vAlign w:val="center"/>
          </w:tcPr>
          <w:p w14:paraId="0382F27B"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Trientine</w:t>
            </w:r>
          </w:p>
        </w:tc>
        <w:tc>
          <w:tcPr>
            <w:tcW w:w="6160" w:type="dxa"/>
            <w:shd w:val="clear" w:color="auto" w:fill="auto"/>
            <w:vAlign w:val="center"/>
          </w:tcPr>
          <w:p w14:paraId="519CFD8C"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 xml:space="preserve">Paradoxical neurological worsening (10%-50%), sideroblastic </w:t>
            </w:r>
            <w:proofErr w:type="spellStart"/>
            <w:r w:rsidRPr="007403CD">
              <w:rPr>
                <w:rFonts w:ascii="Book Antiqua" w:hAnsi="Book Antiqua" w:cs="Arial"/>
              </w:rPr>
              <w:t>anemia</w:t>
            </w:r>
            <w:proofErr w:type="spellEnd"/>
            <w:r w:rsidRPr="007403CD">
              <w:rPr>
                <w:rFonts w:ascii="Book Antiqua" w:hAnsi="Book Antiqua" w:cs="Arial"/>
              </w:rPr>
              <w:t>, bone marrow suppression, gastritis, skin rash, arthralgia, myalgia, hirsutism</w:t>
            </w:r>
          </w:p>
        </w:tc>
      </w:tr>
      <w:tr w:rsidR="00FC1E70" w:rsidRPr="007403CD" w14:paraId="568BAE37" w14:textId="77777777" w:rsidTr="00FC1E70">
        <w:trPr>
          <w:trHeight w:val="1027"/>
        </w:trPr>
        <w:tc>
          <w:tcPr>
            <w:tcW w:w="2972" w:type="dxa"/>
            <w:shd w:val="clear" w:color="auto" w:fill="auto"/>
            <w:vAlign w:val="center"/>
          </w:tcPr>
          <w:p w14:paraId="3C11B563"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Ammonium tetra thiomolybdate</w:t>
            </w:r>
          </w:p>
        </w:tc>
        <w:tc>
          <w:tcPr>
            <w:tcW w:w="6160" w:type="dxa"/>
            <w:shd w:val="clear" w:color="auto" w:fill="auto"/>
            <w:vAlign w:val="center"/>
          </w:tcPr>
          <w:p w14:paraId="0E6868DD"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Neurological dysfunction (rare), hepatotoxicity, bone marrow suppression</w:t>
            </w:r>
          </w:p>
        </w:tc>
      </w:tr>
    </w:tbl>
    <w:p w14:paraId="47A75C35" w14:textId="77777777" w:rsidR="00FC1E70" w:rsidRPr="007403CD" w:rsidRDefault="00FC1E70" w:rsidP="00FC1E70">
      <w:pPr>
        <w:adjustRightInd w:val="0"/>
        <w:snapToGrid w:val="0"/>
        <w:spacing w:line="360" w:lineRule="auto"/>
        <w:jc w:val="both"/>
        <w:rPr>
          <w:rFonts w:ascii="Book Antiqua" w:hAnsi="Book Antiqua" w:cs="Arial"/>
          <w:b/>
          <w:bCs/>
          <w:lang w:eastAsia="zh-CN"/>
        </w:rPr>
      </w:pPr>
    </w:p>
    <w:p w14:paraId="7A892A21" w14:textId="77777777" w:rsidR="00FC1E70" w:rsidRPr="007403CD" w:rsidRDefault="00FC1E70" w:rsidP="00FC1E70">
      <w:pPr>
        <w:adjustRightInd w:val="0"/>
        <w:snapToGrid w:val="0"/>
        <w:spacing w:line="360" w:lineRule="auto"/>
        <w:jc w:val="both"/>
        <w:rPr>
          <w:rFonts w:ascii="Book Antiqua" w:hAnsi="Book Antiqua" w:cs="Arial"/>
          <w:b/>
          <w:bCs/>
        </w:rPr>
      </w:pPr>
      <w:r>
        <w:rPr>
          <w:rFonts w:ascii="Book Antiqua" w:hAnsi="Book Antiqua" w:cs="Arial"/>
          <w:b/>
          <w:bCs/>
        </w:rPr>
        <w:lastRenderedPageBreak/>
        <w:t>Table 2</w:t>
      </w:r>
      <w:r w:rsidRPr="007403CD">
        <w:rPr>
          <w:rFonts w:ascii="Book Antiqua" w:hAnsi="Book Antiqua" w:cs="Arial"/>
          <w:b/>
          <w:bCs/>
        </w:rPr>
        <w:t xml:space="preserve"> </w:t>
      </w:r>
      <w:r>
        <w:rPr>
          <w:rFonts w:ascii="Book Antiqua" w:hAnsi="Book Antiqua" w:cs="Arial" w:hint="eastAsia"/>
          <w:b/>
          <w:bCs/>
          <w:lang w:eastAsia="zh-CN"/>
        </w:rPr>
        <w:t xml:space="preserve">Twenty-four </w:t>
      </w:r>
      <w:r w:rsidRPr="007403CD">
        <w:rPr>
          <w:rFonts w:ascii="Book Antiqua" w:hAnsi="Book Antiqua" w:cs="Arial"/>
          <w:b/>
          <w:bCs/>
        </w:rPr>
        <w:t>hour</w:t>
      </w:r>
      <w:r>
        <w:rPr>
          <w:rFonts w:ascii="Book Antiqua" w:hAnsi="Book Antiqua" w:cs="Arial" w:hint="eastAsia"/>
          <w:b/>
          <w:bCs/>
          <w:lang w:eastAsia="zh-CN"/>
        </w:rPr>
        <w:t>s</w:t>
      </w:r>
      <w:r w:rsidRPr="007403CD">
        <w:rPr>
          <w:rFonts w:ascii="Book Antiqua" w:hAnsi="Book Antiqua" w:cs="Arial"/>
          <w:b/>
          <w:bCs/>
        </w:rPr>
        <w:t xml:space="preserve"> urine copper and non-ceruloplasmin copper in various stages of Wilson’s disease treatment</w:t>
      </w:r>
    </w:p>
    <w:tbl>
      <w:tblPr>
        <w:tblStyle w:val="TableGrid"/>
        <w:tblW w:w="0" w:type="auto"/>
        <w:tblInd w:w="96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402"/>
      </w:tblGrid>
      <w:tr w:rsidR="00FC1E70" w:rsidRPr="007403CD" w14:paraId="021CB039" w14:textId="77777777" w:rsidTr="00FC1E70">
        <w:trPr>
          <w:trHeight w:val="721"/>
        </w:trPr>
        <w:tc>
          <w:tcPr>
            <w:tcW w:w="3681" w:type="dxa"/>
            <w:vAlign w:val="center"/>
          </w:tcPr>
          <w:p w14:paraId="7B221BC3"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rPr>
              <w:t>Ea</w:t>
            </w:r>
            <w:r>
              <w:rPr>
                <w:rFonts w:ascii="Book Antiqua" w:hAnsi="Book Antiqua" w:cs="Arial"/>
              </w:rPr>
              <w:t xml:space="preserve">rly stages of treatment (&lt; 1 </w:t>
            </w:r>
            <w:proofErr w:type="spellStart"/>
            <w:r>
              <w:rPr>
                <w:rFonts w:ascii="Book Antiqua" w:hAnsi="Book Antiqua" w:cs="Arial"/>
              </w:rPr>
              <w:t>y</w:t>
            </w:r>
            <w:r w:rsidRPr="007403CD">
              <w:rPr>
                <w:rFonts w:ascii="Book Antiqua" w:hAnsi="Book Antiqua" w:cs="Arial"/>
              </w:rPr>
              <w:t>r</w:t>
            </w:r>
            <w:proofErr w:type="spellEnd"/>
            <w:r w:rsidRPr="007403CD">
              <w:rPr>
                <w:rFonts w:ascii="Book Antiqua" w:hAnsi="Book Antiqua" w:cs="Arial"/>
              </w:rPr>
              <w:t>)</w:t>
            </w:r>
          </w:p>
        </w:tc>
        <w:tc>
          <w:tcPr>
            <w:tcW w:w="3402" w:type="dxa"/>
            <w:vAlign w:val="center"/>
          </w:tcPr>
          <w:p w14:paraId="668FF7B5" w14:textId="77777777" w:rsidR="00FC1E70" w:rsidRPr="007403CD" w:rsidRDefault="00FC1E70" w:rsidP="00FC1E70">
            <w:pPr>
              <w:adjustRightInd w:val="0"/>
              <w:snapToGrid w:val="0"/>
              <w:spacing w:line="360" w:lineRule="auto"/>
              <w:jc w:val="center"/>
              <w:rPr>
                <w:rFonts w:ascii="Book Antiqua" w:hAnsi="Book Antiqua" w:cs="Arial"/>
              </w:rPr>
            </w:pPr>
            <w:proofErr w:type="spellStart"/>
            <w:r w:rsidRPr="007403CD">
              <w:rPr>
                <w:rFonts w:ascii="Book Antiqua" w:hAnsi="Book Antiqua" w:cs="Arial"/>
              </w:rPr>
              <w:t>UCu</w:t>
            </w:r>
            <w:proofErr w:type="spellEnd"/>
            <w:r w:rsidRPr="007403CD">
              <w:rPr>
                <w:rFonts w:ascii="Book Antiqua" w:hAnsi="Book Antiqua" w:cs="Arial"/>
              </w:rPr>
              <w:t xml:space="preserve"> &gt; 5</w:t>
            </w:r>
            <w:r>
              <w:rPr>
                <w:rFonts w:ascii="Book Antiqua" w:hAnsi="Book Antiqua" w:cs="Arial"/>
              </w:rPr>
              <w:t xml:space="preserve">00 </w:t>
            </w:r>
            <w:proofErr w:type="spellStart"/>
            <w:r>
              <w:rPr>
                <w:rFonts w:ascii="Book Antiqua" w:hAnsi="Book Antiqua" w:cs="Arial"/>
              </w:rPr>
              <w:t>μg</w:t>
            </w:r>
            <w:proofErr w:type="spellEnd"/>
            <w:r>
              <w:rPr>
                <w:rFonts w:ascii="Book Antiqua" w:hAnsi="Book Antiqua" w:cs="Arial"/>
              </w:rPr>
              <w:t>/</w:t>
            </w:r>
            <w:r w:rsidRPr="007403CD">
              <w:rPr>
                <w:rFonts w:ascii="Book Antiqua" w:hAnsi="Book Antiqua" w:cs="Arial"/>
              </w:rPr>
              <w:t>d</w:t>
            </w:r>
          </w:p>
          <w:p w14:paraId="3C1EBBF0" w14:textId="77777777" w:rsidR="00FC1E70" w:rsidRPr="007403CD" w:rsidRDefault="00FC1E70" w:rsidP="00FC1E70">
            <w:pPr>
              <w:adjustRightInd w:val="0"/>
              <w:snapToGrid w:val="0"/>
              <w:spacing w:line="360" w:lineRule="auto"/>
              <w:jc w:val="center"/>
              <w:rPr>
                <w:rFonts w:ascii="Book Antiqua" w:hAnsi="Book Antiqua" w:cs="Arial"/>
                <w:b/>
                <w:bCs/>
              </w:rPr>
            </w:pPr>
            <w:r>
              <w:rPr>
                <w:rFonts w:ascii="Book Antiqua" w:hAnsi="Book Antiqua" w:cs="Arial"/>
              </w:rPr>
              <w:t xml:space="preserve">NCC &gt; 25 </w:t>
            </w:r>
            <w:proofErr w:type="spellStart"/>
            <w:r>
              <w:rPr>
                <w:rFonts w:ascii="Book Antiqua" w:hAnsi="Book Antiqua" w:cs="Arial"/>
              </w:rPr>
              <w:t>μg</w:t>
            </w:r>
            <w:proofErr w:type="spellEnd"/>
            <w:r>
              <w:rPr>
                <w:rFonts w:ascii="Book Antiqua" w:hAnsi="Book Antiqua" w:cs="Arial"/>
              </w:rPr>
              <w:t>/dL</w:t>
            </w:r>
          </w:p>
        </w:tc>
      </w:tr>
      <w:tr w:rsidR="00FC1E70" w:rsidRPr="007403CD" w14:paraId="2450DADB" w14:textId="77777777" w:rsidTr="00FC1E70">
        <w:trPr>
          <w:trHeight w:val="689"/>
        </w:trPr>
        <w:tc>
          <w:tcPr>
            <w:tcW w:w="3681" w:type="dxa"/>
            <w:vAlign w:val="center"/>
          </w:tcPr>
          <w:p w14:paraId="21A11981"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rPr>
              <w:t xml:space="preserve">Good control (treatment </w:t>
            </w:r>
            <w:r>
              <w:rPr>
                <w:rFonts w:ascii="Book Antiqua" w:hAnsi="Book Antiqua" w:cs="Arial"/>
              </w:rPr>
              <w:t xml:space="preserve">&gt; 1 </w:t>
            </w:r>
            <w:proofErr w:type="spellStart"/>
            <w:r>
              <w:rPr>
                <w:rFonts w:ascii="Book Antiqua" w:hAnsi="Book Antiqua" w:cs="Arial"/>
              </w:rPr>
              <w:t>y</w:t>
            </w:r>
            <w:r w:rsidRPr="007403CD">
              <w:rPr>
                <w:rFonts w:ascii="Book Antiqua" w:hAnsi="Book Antiqua" w:cs="Arial"/>
              </w:rPr>
              <w:t>r</w:t>
            </w:r>
            <w:proofErr w:type="spellEnd"/>
            <w:r w:rsidRPr="007403CD">
              <w:rPr>
                <w:rFonts w:ascii="Book Antiqua" w:hAnsi="Book Antiqua" w:cs="Arial"/>
              </w:rPr>
              <w:t>)</w:t>
            </w:r>
          </w:p>
        </w:tc>
        <w:tc>
          <w:tcPr>
            <w:tcW w:w="3402" w:type="dxa"/>
            <w:vAlign w:val="center"/>
          </w:tcPr>
          <w:p w14:paraId="3C5C3671" w14:textId="77777777" w:rsidR="00FC1E70" w:rsidRPr="007403CD" w:rsidRDefault="00FC1E70" w:rsidP="00FC1E70">
            <w:pPr>
              <w:adjustRightInd w:val="0"/>
              <w:snapToGrid w:val="0"/>
              <w:spacing w:line="360" w:lineRule="auto"/>
              <w:jc w:val="center"/>
              <w:rPr>
                <w:rFonts w:ascii="Book Antiqua" w:hAnsi="Book Antiqua" w:cs="Arial"/>
              </w:rPr>
            </w:pPr>
            <w:proofErr w:type="spellStart"/>
            <w:r>
              <w:rPr>
                <w:rFonts w:ascii="Book Antiqua" w:hAnsi="Book Antiqua" w:cs="Arial"/>
              </w:rPr>
              <w:t>UCu</w:t>
            </w:r>
            <w:proofErr w:type="spellEnd"/>
            <w:r>
              <w:rPr>
                <w:rFonts w:ascii="Book Antiqua" w:hAnsi="Book Antiqua" w:cs="Arial"/>
              </w:rPr>
              <w:t xml:space="preserve"> 200-</w:t>
            </w:r>
            <w:r w:rsidRPr="007403CD">
              <w:rPr>
                <w:rFonts w:ascii="Book Antiqua" w:hAnsi="Book Antiqua" w:cs="Arial"/>
              </w:rPr>
              <w:t xml:space="preserve">500 </w:t>
            </w:r>
            <w:proofErr w:type="spellStart"/>
            <w:r w:rsidRPr="007403CD">
              <w:rPr>
                <w:rFonts w:ascii="Book Antiqua" w:hAnsi="Book Antiqua" w:cs="Arial"/>
              </w:rPr>
              <w:t>μg</w:t>
            </w:r>
            <w:proofErr w:type="spellEnd"/>
            <w:r>
              <w:rPr>
                <w:rFonts w:ascii="Book Antiqua" w:hAnsi="Book Antiqua" w:cs="Arial"/>
              </w:rPr>
              <w:t>/d</w:t>
            </w:r>
          </w:p>
          <w:p w14:paraId="38A16FF5"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rPr>
              <w:t xml:space="preserve">NCC &lt; 15 </w:t>
            </w:r>
            <w:proofErr w:type="spellStart"/>
            <w:r w:rsidRPr="007403CD">
              <w:rPr>
                <w:rFonts w:ascii="Book Antiqua" w:hAnsi="Book Antiqua" w:cs="Arial"/>
              </w:rPr>
              <w:t>μg</w:t>
            </w:r>
            <w:proofErr w:type="spellEnd"/>
            <w:r>
              <w:rPr>
                <w:rFonts w:ascii="Book Antiqua" w:hAnsi="Book Antiqua" w:cs="Arial"/>
              </w:rPr>
              <w:t>/dL</w:t>
            </w:r>
          </w:p>
        </w:tc>
      </w:tr>
      <w:tr w:rsidR="00FC1E70" w:rsidRPr="007403CD" w14:paraId="5DA545C3" w14:textId="77777777" w:rsidTr="00FC1E70">
        <w:trPr>
          <w:trHeight w:val="712"/>
        </w:trPr>
        <w:tc>
          <w:tcPr>
            <w:tcW w:w="3681" w:type="dxa"/>
            <w:vAlign w:val="center"/>
          </w:tcPr>
          <w:p w14:paraId="4CE8B6A9" w14:textId="77777777" w:rsidR="00FC1E70" w:rsidRPr="007403CD" w:rsidRDefault="00FC1E70" w:rsidP="00FC1E70">
            <w:pPr>
              <w:adjustRightInd w:val="0"/>
              <w:snapToGrid w:val="0"/>
              <w:spacing w:line="360" w:lineRule="auto"/>
              <w:jc w:val="center"/>
              <w:rPr>
                <w:rFonts w:ascii="Book Antiqua" w:hAnsi="Book Antiqua" w:cs="Arial"/>
                <w:b/>
                <w:bCs/>
              </w:rPr>
            </w:pPr>
            <w:r>
              <w:rPr>
                <w:rFonts w:ascii="Book Antiqua" w:hAnsi="Book Antiqua" w:cs="Arial"/>
              </w:rPr>
              <w:t>Poor compliance/</w:t>
            </w:r>
            <w:r w:rsidRPr="007403CD">
              <w:rPr>
                <w:rFonts w:ascii="Book Antiqua" w:hAnsi="Book Antiqua" w:cs="Arial"/>
              </w:rPr>
              <w:t>uncontrolled disease</w:t>
            </w:r>
          </w:p>
        </w:tc>
        <w:tc>
          <w:tcPr>
            <w:tcW w:w="3402" w:type="dxa"/>
            <w:vAlign w:val="center"/>
          </w:tcPr>
          <w:p w14:paraId="16B44697" w14:textId="77777777" w:rsidR="00FC1E70" w:rsidRPr="007403CD" w:rsidRDefault="00FC1E70" w:rsidP="00FC1E70">
            <w:pPr>
              <w:adjustRightInd w:val="0"/>
              <w:snapToGrid w:val="0"/>
              <w:spacing w:line="360" w:lineRule="auto"/>
              <w:jc w:val="center"/>
              <w:rPr>
                <w:rFonts w:ascii="Book Antiqua" w:hAnsi="Book Antiqua" w:cs="Arial"/>
              </w:rPr>
            </w:pPr>
            <w:proofErr w:type="spellStart"/>
            <w:r w:rsidRPr="007403CD">
              <w:rPr>
                <w:rFonts w:ascii="Book Antiqua" w:hAnsi="Book Antiqua" w:cs="Arial"/>
              </w:rPr>
              <w:t>UCu</w:t>
            </w:r>
            <w:proofErr w:type="spellEnd"/>
            <w:r w:rsidRPr="007403CD">
              <w:rPr>
                <w:rFonts w:ascii="Book Antiqua" w:hAnsi="Book Antiqua" w:cs="Arial"/>
              </w:rPr>
              <w:t xml:space="preserve"> &gt; 500 </w:t>
            </w:r>
            <w:proofErr w:type="spellStart"/>
            <w:r w:rsidRPr="007403CD">
              <w:rPr>
                <w:rFonts w:ascii="Book Antiqua" w:hAnsi="Book Antiqua" w:cs="Arial"/>
              </w:rPr>
              <w:t>μg</w:t>
            </w:r>
            <w:proofErr w:type="spellEnd"/>
            <w:r>
              <w:rPr>
                <w:rFonts w:ascii="Book Antiqua" w:hAnsi="Book Antiqua" w:cs="Arial"/>
              </w:rPr>
              <w:t>/d</w:t>
            </w:r>
          </w:p>
          <w:p w14:paraId="1D04D67D"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rPr>
              <w:t xml:space="preserve">NCC &gt; 15 </w:t>
            </w:r>
            <w:proofErr w:type="spellStart"/>
            <w:r w:rsidRPr="007403CD">
              <w:rPr>
                <w:rFonts w:ascii="Book Antiqua" w:hAnsi="Book Antiqua" w:cs="Arial"/>
              </w:rPr>
              <w:t>μg</w:t>
            </w:r>
            <w:proofErr w:type="spellEnd"/>
            <w:r>
              <w:rPr>
                <w:rFonts w:ascii="Book Antiqua" w:hAnsi="Book Antiqua" w:cs="Arial"/>
              </w:rPr>
              <w:t>/dL</w:t>
            </w:r>
          </w:p>
        </w:tc>
      </w:tr>
      <w:tr w:rsidR="00FC1E70" w:rsidRPr="007403CD" w14:paraId="77B49787" w14:textId="77777777" w:rsidTr="00FC1E70">
        <w:trPr>
          <w:trHeight w:val="694"/>
        </w:trPr>
        <w:tc>
          <w:tcPr>
            <w:tcW w:w="3681" w:type="dxa"/>
            <w:vAlign w:val="center"/>
          </w:tcPr>
          <w:p w14:paraId="28722734"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Inadequate dose</w:t>
            </w:r>
          </w:p>
        </w:tc>
        <w:tc>
          <w:tcPr>
            <w:tcW w:w="3402" w:type="dxa"/>
            <w:vAlign w:val="center"/>
          </w:tcPr>
          <w:p w14:paraId="3E56B5CE" w14:textId="77777777" w:rsidR="00FC1E70" w:rsidRPr="007403CD" w:rsidRDefault="00FC1E70" w:rsidP="00FC1E70">
            <w:pPr>
              <w:adjustRightInd w:val="0"/>
              <w:snapToGrid w:val="0"/>
              <w:spacing w:line="360" w:lineRule="auto"/>
              <w:jc w:val="center"/>
              <w:rPr>
                <w:rFonts w:ascii="Book Antiqua" w:hAnsi="Book Antiqua" w:cs="Arial"/>
              </w:rPr>
            </w:pPr>
            <w:proofErr w:type="spellStart"/>
            <w:r w:rsidRPr="007403CD">
              <w:rPr>
                <w:rFonts w:ascii="Book Antiqua" w:hAnsi="Book Antiqua" w:cs="Arial"/>
              </w:rPr>
              <w:t>UCu</w:t>
            </w:r>
            <w:proofErr w:type="spellEnd"/>
            <w:r w:rsidRPr="007403CD">
              <w:rPr>
                <w:rFonts w:ascii="Book Antiqua" w:hAnsi="Book Antiqua" w:cs="Arial"/>
              </w:rPr>
              <w:t xml:space="preserve"> &lt; 200 </w:t>
            </w:r>
            <w:proofErr w:type="spellStart"/>
            <w:r w:rsidRPr="007403CD">
              <w:rPr>
                <w:rFonts w:ascii="Book Antiqua" w:hAnsi="Book Antiqua" w:cs="Arial"/>
              </w:rPr>
              <w:t>μg</w:t>
            </w:r>
            <w:proofErr w:type="spellEnd"/>
            <w:r>
              <w:rPr>
                <w:rFonts w:ascii="Book Antiqua" w:hAnsi="Book Antiqua" w:cs="Arial"/>
              </w:rPr>
              <w:t>/d</w:t>
            </w:r>
          </w:p>
          <w:p w14:paraId="1F89775B"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NCC &gt; 15 </w:t>
            </w:r>
            <w:proofErr w:type="spellStart"/>
            <w:r w:rsidRPr="007403CD">
              <w:rPr>
                <w:rFonts w:ascii="Book Antiqua" w:hAnsi="Book Antiqua" w:cs="Arial"/>
              </w:rPr>
              <w:t>μg</w:t>
            </w:r>
            <w:proofErr w:type="spellEnd"/>
            <w:r>
              <w:rPr>
                <w:rFonts w:ascii="Book Antiqua" w:hAnsi="Book Antiqua" w:cs="Arial"/>
              </w:rPr>
              <w:t>/dL</w:t>
            </w:r>
          </w:p>
        </w:tc>
      </w:tr>
      <w:tr w:rsidR="00FC1E70" w:rsidRPr="007403CD" w14:paraId="3DBD5FD9" w14:textId="77777777" w:rsidTr="00FC1E70">
        <w:trPr>
          <w:trHeight w:val="704"/>
        </w:trPr>
        <w:tc>
          <w:tcPr>
            <w:tcW w:w="3681" w:type="dxa"/>
            <w:vAlign w:val="center"/>
          </w:tcPr>
          <w:p w14:paraId="6625FC18" w14:textId="77777777" w:rsidR="00FC1E70" w:rsidRPr="007403CD" w:rsidRDefault="00FC1E70" w:rsidP="00FC1E70">
            <w:pPr>
              <w:adjustRightInd w:val="0"/>
              <w:snapToGrid w:val="0"/>
              <w:spacing w:line="360" w:lineRule="auto"/>
              <w:jc w:val="center"/>
              <w:rPr>
                <w:rFonts w:ascii="Book Antiqua" w:hAnsi="Book Antiqua" w:cs="Arial"/>
                <w:b/>
                <w:bCs/>
              </w:rPr>
            </w:pPr>
            <w:r>
              <w:rPr>
                <w:rFonts w:ascii="Book Antiqua" w:hAnsi="Book Antiqua" w:cs="Arial"/>
              </w:rPr>
              <w:t>Over-</w:t>
            </w:r>
            <w:r w:rsidRPr="007403CD">
              <w:rPr>
                <w:rFonts w:ascii="Book Antiqua" w:hAnsi="Book Antiqua" w:cs="Arial"/>
              </w:rPr>
              <w:t>treatment</w:t>
            </w:r>
          </w:p>
        </w:tc>
        <w:tc>
          <w:tcPr>
            <w:tcW w:w="3402" w:type="dxa"/>
            <w:vAlign w:val="center"/>
          </w:tcPr>
          <w:p w14:paraId="5A450DD8" w14:textId="77777777" w:rsidR="00FC1E70" w:rsidRPr="007403CD" w:rsidRDefault="00FC1E70" w:rsidP="00FC1E70">
            <w:pPr>
              <w:adjustRightInd w:val="0"/>
              <w:snapToGrid w:val="0"/>
              <w:spacing w:line="360" w:lineRule="auto"/>
              <w:jc w:val="center"/>
              <w:rPr>
                <w:rFonts w:ascii="Book Antiqua" w:hAnsi="Book Antiqua" w:cs="Arial"/>
              </w:rPr>
            </w:pPr>
            <w:proofErr w:type="spellStart"/>
            <w:r w:rsidRPr="007403CD">
              <w:rPr>
                <w:rFonts w:ascii="Book Antiqua" w:hAnsi="Book Antiqua" w:cs="Arial"/>
              </w:rPr>
              <w:t>UCu</w:t>
            </w:r>
            <w:proofErr w:type="spellEnd"/>
            <w:r w:rsidRPr="007403CD">
              <w:rPr>
                <w:rFonts w:ascii="Book Antiqua" w:hAnsi="Book Antiqua" w:cs="Arial"/>
              </w:rPr>
              <w:t xml:space="preserve"> &lt; 200 </w:t>
            </w:r>
            <w:proofErr w:type="spellStart"/>
            <w:r w:rsidRPr="007403CD">
              <w:rPr>
                <w:rFonts w:ascii="Book Antiqua" w:hAnsi="Book Antiqua" w:cs="Arial"/>
              </w:rPr>
              <w:t>μg</w:t>
            </w:r>
            <w:proofErr w:type="spellEnd"/>
            <w:r>
              <w:rPr>
                <w:rFonts w:ascii="Book Antiqua" w:hAnsi="Book Antiqua" w:cs="Arial"/>
              </w:rPr>
              <w:t>/d</w:t>
            </w:r>
          </w:p>
          <w:p w14:paraId="2630EB3E"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rPr>
              <w:t xml:space="preserve">NCC &lt; 5 </w:t>
            </w:r>
            <w:proofErr w:type="spellStart"/>
            <w:r w:rsidRPr="007403CD">
              <w:rPr>
                <w:rFonts w:ascii="Book Antiqua" w:hAnsi="Book Antiqua" w:cs="Arial"/>
              </w:rPr>
              <w:t>μg</w:t>
            </w:r>
            <w:proofErr w:type="spellEnd"/>
            <w:r>
              <w:rPr>
                <w:rFonts w:ascii="Book Antiqua" w:hAnsi="Book Antiqua" w:cs="Arial"/>
              </w:rPr>
              <w:t>/dL</w:t>
            </w:r>
          </w:p>
        </w:tc>
      </w:tr>
    </w:tbl>
    <w:p w14:paraId="2512D5C2" w14:textId="77777777" w:rsidR="00FC1E70" w:rsidRPr="007403CD" w:rsidRDefault="00FC1E70" w:rsidP="00FC1E70">
      <w:pPr>
        <w:adjustRightInd w:val="0"/>
        <w:snapToGrid w:val="0"/>
        <w:spacing w:line="360" w:lineRule="auto"/>
        <w:jc w:val="both"/>
        <w:rPr>
          <w:rFonts w:ascii="Book Antiqua" w:hAnsi="Book Antiqua" w:cs="Arial"/>
          <w:bCs/>
        </w:rPr>
      </w:pPr>
      <w:r w:rsidRPr="007403CD">
        <w:rPr>
          <w:rFonts w:ascii="Book Antiqua" w:hAnsi="Book Antiqua" w:cs="Arial"/>
          <w:bCs/>
        </w:rPr>
        <w:t>UCu: Twenty-four hours urinary copper; NCC: Non ceruloplasmin copper.</w:t>
      </w:r>
    </w:p>
    <w:p w14:paraId="5E9F49B8" w14:textId="77777777" w:rsidR="00FC1E70" w:rsidRPr="007403CD" w:rsidRDefault="00FC1E70" w:rsidP="00FC1E70">
      <w:pPr>
        <w:adjustRightInd w:val="0"/>
        <w:snapToGrid w:val="0"/>
        <w:spacing w:line="360" w:lineRule="auto"/>
        <w:rPr>
          <w:rFonts w:ascii="Book Antiqua" w:hAnsi="Book Antiqua" w:cs="Arial"/>
          <w:b/>
          <w:bCs/>
          <w:lang w:eastAsia="zh-CN"/>
        </w:rPr>
      </w:pPr>
    </w:p>
    <w:p w14:paraId="1FDBF44F" w14:textId="77777777" w:rsidR="00FC1E70" w:rsidRPr="007403CD" w:rsidRDefault="00FC1E70" w:rsidP="00FC1E70">
      <w:pPr>
        <w:adjustRightInd w:val="0"/>
        <w:snapToGrid w:val="0"/>
        <w:spacing w:line="360" w:lineRule="auto"/>
        <w:rPr>
          <w:rFonts w:ascii="Book Antiqua" w:hAnsi="Book Antiqua" w:cs="Arial"/>
          <w:b/>
          <w:bCs/>
          <w:lang w:eastAsia="zh-CN"/>
        </w:rPr>
      </w:pPr>
      <w:r>
        <w:rPr>
          <w:rFonts w:ascii="Book Antiqua" w:hAnsi="Book Antiqua" w:cs="Arial"/>
          <w:b/>
          <w:bCs/>
          <w:lang w:eastAsia="zh-CN"/>
        </w:rPr>
        <w:br w:type="page"/>
      </w:r>
      <w:r>
        <w:rPr>
          <w:rFonts w:ascii="Book Antiqua" w:hAnsi="Book Antiqua" w:cs="Arial"/>
          <w:b/>
          <w:bCs/>
        </w:rPr>
        <w:lastRenderedPageBreak/>
        <w:t>Table 3</w:t>
      </w:r>
      <w:r w:rsidRPr="007403CD">
        <w:rPr>
          <w:rFonts w:ascii="Book Antiqua" w:hAnsi="Book Antiqua" w:cs="Arial"/>
          <w:b/>
          <w:bCs/>
        </w:rPr>
        <w:t xml:space="preserve"> Pediatric studies of chelation in liver diseases</w:t>
      </w:r>
    </w:p>
    <w:tbl>
      <w:tblPr>
        <w:tblStyle w:val="TableGrid"/>
        <w:tblW w:w="1077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2101"/>
        <w:gridCol w:w="1434"/>
        <w:gridCol w:w="1983"/>
        <w:gridCol w:w="2060"/>
        <w:gridCol w:w="1736"/>
      </w:tblGrid>
      <w:tr w:rsidR="00FC1E70" w:rsidRPr="007403CD" w14:paraId="78378603" w14:textId="77777777" w:rsidTr="00FC1E70">
        <w:trPr>
          <w:trHeight w:val="631"/>
          <w:jc w:val="center"/>
        </w:trPr>
        <w:tc>
          <w:tcPr>
            <w:tcW w:w="1463" w:type="dxa"/>
            <w:tcBorders>
              <w:top w:val="single" w:sz="4" w:space="0" w:color="auto"/>
              <w:bottom w:val="single" w:sz="4" w:space="0" w:color="auto"/>
            </w:tcBorders>
            <w:vAlign w:val="center"/>
          </w:tcPr>
          <w:p w14:paraId="543833B8" w14:textId="77777777" w:rsidR="00FC1E70" w:rsidRPr="007403CD" w:rsidRDefault="00FC1E70" w:rsidP="00FC1E70">
            <w:pPr>
              <w:adjustRightInd w:val="0"/>
              <w:snapToGrid w:val="0"/>
              <w:spacing w:line="360" w:lineRule="auto"/>
              <w:jc w:val="center"/>
              <w:rPr>
                <w:rFonts w:ascii="Book Antiqua" w:hAnsi="Book Antiqua" w:cs="Arial"/>
                <w:b/>
                <w:bCs/>
                <w:lang w:eastAsia="zh-CN"/>
              </w:rPr>
            </w:pPr>
            <w:r>
              <w:rPr>
                <w:rFonts w:ascii="Book Antiqua" w:hAnsi="Book Antiqua" w:cs="Arial" w:hint="eastAsia"/>
                <w:b/>
                <w:bCs/>
                <w:lang w:eastAsia="zh-CN"/>
              </w:rPr>
              <w:t>Ref.</w:t>
            </w:r>
          </w:p>
        </w:tc>
        <w:tc>
          <w:tcPr>
            <w:tcW w:w="2101" w:type="dxa"/>
            <w:tcBorders>
              <w:top w:val="single" w:sz="4" w:space="0" w:color="auto"/>
              <w:bottom w:val="single" w:sz="4" w:space="0" w:color="auto"/>
            </w:tcBorders>
            <w:vAlign w:val="center"/>
          </w:tcPr>
          <w:p w14:paraId="0B24FC74"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t>Disease</w:t>
            </w:r>
          </w:p>
        </w:tc>
        <w:tc>
          <w:tcPr>
            <w:tcW w:w="1434" w:type="dxa"/>
            <w:tcBorders>
              <w:top w:val="single" w:sz="4" w:space="0" w:color="auto"/>
              <w:bottom w:val="single" w:sz="4" w:space="0" w:color="auto"/>
            </w:tcBorders>
            <w:vAlign w:val="center"/>
          </w:tcPr>
          <w:p w14:paraId="24F5A31E"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t>Drug</w:t>
            </w:r>
          </w:p>
        </w:tc>
        <w:tc>
          <w:tcPr>
            <w:tcW w:w="1983" w:type="dxa"/>
            <w:tcBorders>
              <w:top w:val="single" w:sz="4" w:space="0" w:color="auto"/>
              <w:bottom w:val="single" w:sz="4" w:space="0" w:color="auto"/>
            </w:tcBorders>
            <w:vAlign w:val="center"/>
          </w:tcPr>
          <w:p w14:paraId="7E7F797B"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t>Follow up duration</w:t>
            </w:r>
          </w:p>
        </w:tc>
        <w:tc>
          <w:tcPr>
            <w:tcW w:w="2060" w:type="dxa"/>
            <w:tcBorders>
              <w:top w:val="single" w:sz="4" w:space="0" w:color="auto"/>
              <w:bottom w:val="single" w:sz="4" w:space="0" w:color="auto"/>
            </w:tcBorders>
            <w:vAlign w:val="center"/>
          </w:tcPr>
          <w:p w14:paraId="7B645DBD"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t>Response</w:t>
            </w:r>
          </w:p>
        </w:tc>
        <w:tc>
          <w:tcPr>
            <w:tcW w:w="1736" w:type="dxa"/>
            <w:tcBorders>
              <w:top w:val="single" w:sz="4" w:space="0" w:color="auto"/>
              <w:bottom w:val="single" w:sz="4" w:space="0" w:color="auto"/>
            </w:tcBorders>
            <w:vAlign w:val="center"/>
          </w:tcPr>
          <w:p w14:paraId="546D17D1"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t>Adverse effects</w:t>
            </w:r>
          </w:p>
        </w:tc>
      </w:tr>
      <w:tr w:rsidR="00FC1E70" w:rsidRPr="007403CD" w14:paraId="0531CBA9" w14:textId="77777777" w:rsidTr="00FC1E70">
        <w:trPr>
          <w:trHeight w:val="628"/>
          <w:jc w:val="center"/>
        </w:trPr>
        <w:tc>
          <w:tcPr>
            <w:tcW w:w="1463" w:type="dxa"/>
            <w:tcBorders>
              <w:top w:val="single" w:sz="4" w:space="0" w:color="auto"/>
            </w:tcBorders>
            <w:vAlign w:val="center"/>
          </w:tcPr>
          <w:p w14:paraId="051D202C"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Dhawan </w:t>
            </w:r>
            <w:r w:rsidRPr="007403CD">
              <w:rPr>
                <w:rFonts w:ascii="Book Antiqua" w:hAnsi="Book Antiqua" w:cs="Arial"/>
                <w:i/>
              </w:rPr>
              <w:t>et al</w:t>
            </w:r>
            <w:r w:rsidRPr="007403CD">
              <w:rPr>
                <w:rFonts w:ascii="Book Antiqua" w:hAnsi="Book Antiqua" w:cs="Arial"/>
                <w:vertAlign w:val="superscript"/>
              </w:rPr>
              <w:t>[</w:t>
            </w:r>
            <w:r w:rsidRPr="007403CD">
              <w:rPr>
                <w:rFonts w:ascii="Book Antiqua" w:hAnsi="Book Antiqua" w:cs="Arial"/>
              </w:rPr>
              <w:fldChar w:fldCharType="begin" w:fldLock="1"/>
            </w:r>
            <w:r w:rsidRPr="007403CD">
              <w:rPr>
                <w:rFonts w:ascii="Book Antiqua" w:hAnsi="Book Antiqua" w:cs="Arial"/>
              </w:rPr>
              <w:instrText>ADDIN CSL_CITATION {"citationItems":[{"id":"ITEM-1","itemData":{"DOI":"10.1002/lt.20352","ISSN":"15276465","PMID":"15776453","abstract":"Wilson's disease (WD) is a rare liver-based disorder of copper metabolism. Prognostic criteria described by our group in 1986 to predict death without transplantation have not been universally validated. The clinical features of 88 children were reviewed, retrospectively in 74 and prospectively in 14. Data from the retrospectively recruited patients that died or survived on long-term chelation were used to evaluate the validity of our old scoring system and to devise a new prognostic index, then assessed in the 14 prospectively recruited patients. Using the old scoring system, 5 children scoring ≥ 7, the cutoff value for death without transplantation, survived, whereas 4 scoring ≤ 7 died (sensitivity 87% and specificity 90%). A new index based on serum bilirubin, international normalized ratio, aspartate aminotransferase (AST), and white cell count (WCC) at presentation identified a cutoff score of 11 for death and proved to be 93% sensitive and 98% specific, with a positive predictive value of 88%. When the new index was evaluated prospectively in 14 patients, it predicted the need for transplantation in only the 4 who required it, although 1 child with a score of 11 survived on medical treatment. In conclusion, the new Wilson Index is more sensitive and specific in predicting mortality without transplantation than the old scoring system, but needs to be validated in a larger number of patients. Copyright © 2005 by the American Association for the Study of Liver Diseases.","author":[{"dropping-particle":"","family":"Dhawan","given":"Anil","non-dropping-particle":"","parse-names":false,"suffix":""},{"dropping-particle":"","family":"Taylor","given":"Rachel M.","non-dropping-particle":"","parse-names":false,"suffix":""},{"dropping-particle":"","family":"Cheeseman","given":"Paul","non-dropping-particle":"","parse-names":false,"suffix":""},{"dropping-particle":"","family":"Silva","given":"Pamela","non-dropping-particle":"De","parse-names":false,"suffix":""},{"dropping-particle":"","family":"Katsiyiannakis","given":"Leah","non-dropping-particle":"","parse-names":false,"suffix":""},{"dropping-particle":"","family":"Mieli-Vergani","given":"Giorgina","non-dropping-particle":"","parse-names":false,"suffix":""}],"container-title":"Liver Transplantation","id":"ITEM-1","issued":{"date-parts":[["2005"]]},"title":"Wilson's disease in children: 37-year experience and revised King's for liver transplantation","type":"article-journal"},"uris":["http://www.mendeley.com/documents/?uuid=5b888e09-1818-4ccd-bc1b-65f1d8ed6ccb"]}],"mendeley":{"formattedCitation":"&lt;sup&gt;60&lt;/sup&gt;","plainTextFormattedCitation":"60","previouslyFormattedCitation":"&lt;sup&gt;60&lt;/sup&gt;"},"properties":{"noteIndex":0},"schema":"https://github.com/citation-style-language/schema/raw/master/csl-citation.json"}</w:instrText>
            </w:r>
            <w:r w:rsidRPr="007403CD">
              <w:rPr>
                <w:rFonts w:ascii="Book Antiqua" w:hAnsi="Book Antiqua" w:cs="Arial"/>
              </w:rPr>
              <w:fldChar w:fldCharType="separate"/>
            </w:r>
            <w:r w:rsidRPr="007403CD">
              <w:rPr>
                <w:rFonts w:ascii="Book Antiqua" w:hAnsi="Book Antiqua" w:cs="Arial"/>
                <w:noProof/>
                <w:vertAlign w:val="superscript"/>
              </w:rPr>
              <w:t>60</w:t>
            </w:r>
            <w:r w:rsidRPr="007403CD">
              <w:rPr>
                <w:rFonts w:ascii="Book Antiqua" w:hAnsi="Book Antiqua" w:cs="Arial"/>
              </w:rPr>
              <w:fldChar w:fldCharType="end"/>
            </w:r>
            <w:r w:rsidRPr="007403CD">
              <w:rPr>
                <w:rFonts w:ascii="Book Antiqua" w:hAnsi="Book Antiqua" w:cs="Arial"/>
                <w:vertAlign w:val="superscript"/>
              </w:rPr>
              <w:t>]</w:t>
            </w:r>
          </w:p>
        </w:tc>
        <w:tc>
          <w:tcPr>
            <w:tcW w:w="2101" w:type="dxa"/>
            <w:tcBorders>
              <w:top w:val="single" w:sz="4" w:space="0" w:color="auto"/>
            </w:tcBorders>
            <w:vAlign w:val="center"/>
          </w:tcPr>
          <w:p w14:paraId="4967EDDC"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WD</w:t>
            </w:r>
          </w:p>
        </w:tc>
        <w:tc>
          <w:tcPr>
            <w:tcW w:w="1434" w:type="dxa"/>
            <w:tcBorders>
              <w:top w:val="single" w:sz="4" w:space="0" w:color="auto"/>
            </w:tcBorders>
            <w:vAlign w:val="center"/>
          </w:tcPr>
          <w:p w14:paraId="331CDB67"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DPA (</w:t>
            </w:r>
            <w:r w:rsidRPr="007403CD">
              <w:rPr>
                <w:rFonts w:ascii="Book Antiqua" w:hAnsi="Book Antiqua" w:cs="Arial"/>
                <w:i/>
              </w:rPr>
              <w:t xml:space="preserve">n = </w:t>
            </w:r>
            <w:r w:rsidRPr="007403CD">
              <w:rPr>
                <w:rFonts w:ascii="Book Antiqua" w:hAnsi="Book Antiqua" w:cs="Arial"/>
              </w:rPr>
              <w:t>32)</w:t>
            </w:r>
          </w:p>
        </w:tc>
        <w:tc>
          <w:tcPr>
            <w:tcW w:w="1983" w:type="dxa"/>
            <w:tcBorders>
              <w:top w:val="single" w:sz="4" w:space="0" w:color="auto"/>
            </w:tcBorders>
            <w:vAlign w:val="center"/>
          </w:tcPr>
          <w:p w14:paraId="7519C705" w14:textId="77777777" w:rsidR="00FC1E70" w:rsidRPr="007403CD" w:rsidRDefault="00FC1E70" w:rsidP="00FC1E70">
            <w:pPr>
              <w:adjustRightInd w:val="0"/>
              <w:snapToGrid w:val="0"/>
              <w:spacing w:line="360" w:lineRule="auto"/>
              <w:jc w:val="center"/>
              <w:rPr>
                <w:rFonts w:ascii="Book Antiqua" w:hAnsi="Book Antiqua" w:cs="Arial"/>
                <w:lang w:eastAsia="zh-CN"/>
              </w:rPr>
            </w:pPr>
            <w:r>
              <w:rPr>
                <w:rFonts w:ascii="Book Antiqua" w:hAnsi="Book Antiqua" w:cs="Arial"/>
              </w:rPr>
              <w:t xml:space="preserve">Median:11.78 (1.45-34.2) </w:t>
            </w:r>
            <w:proofErr w:type="spellStart"/>
            <w:r>
              <w:rPr>
                <w:rFonts w:ascii="Book Antiqua" w:hAnsi="Book Antiqua" w:cs="Arial"/>
              </w:rPr>
              <w:t>yr</w:t>
            </w:r>
            <w:proofErr w:type="spellEnd"/>
          </w:p>
        </w:tc>
        <w:tc>
          <w:tcPr>
            <w:tcW w:w="2060" w:type="dxa"/>
            <w:tcBorders>
              <w:top w:val="single" w:sz="4" w:space="0" w:color="auto"/>
            </w:tcBorders>
            <w:vAlign w:val="center"/>
          </w:tcPr>
          <w:p w14:paraId="78F50B64"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20/32 (62.5%)</w:t>
            </w:r>
          </w:p>
        </w:tc>
        <w:tc>
          <w:tcPr>
            <w:tcW w:w="1736" w:type="dxa"/>
            <w:tcBorders>
              <w:top w:val="single" w:sz="4" w:space="0" w:color="auto"/>
            </w:tcBorders>
            <w:vAlign w:val="center"/>
          </w:tcPr>
          <w:p w14:paraId="6BC2EFD7"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Minor- 6.3%</w:t>
            </w:r>
          </w:p>
          <w:p w14:paraId="3077F654"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Major- 21.9%</w:t>
            </w:r>
          </w:p>
        </w:tc>
      </w:tr>
      <w:tr w:rsidR="00FC1E70" w:rsidRPr="007403CD" w14:paraId="58059E74" w14:textId="77777777" w:rsidTr="00FC1E70">
        <w:trPr>
          <w:trHeight w:val="565"/>
          <w:jc w:val="center"/>
        </w:trPr>
        <w:tc>
          <w:tcPr>
            <w:tcW w:w="1463" w:type="dxa"/>
            <w:vAlign w:val="center"/>
          </w:tcPr>
          <w:p w14:paraId="625ECF62" w14:textId="77777777" w:rsidR="00FC1E70" w:rsidRPr="007403CD" w:rsidRDefault="00FC1E70" w:rsidP="00FC1E70">
            <w:pPr>
              <w:adjustRightInd w:val="0"/>
              <w:snapToGrid w:val="0"/>
              <w:spacing w:line="360" w:lineRule="auto"/>
              <w:jc w:val="center"/>
              <w:rPr>
                <w:rFonts w:ascii="Book Antiqua" w:hAnsi="Book Antiqua" w:cs="Arial"/>
                <w:lang w:eastAsia="zh-CN"/>
              </w:rPr>
            </w:pPr>
            <w:r w:rsidRPr="007403CD">
              <w:rPr>
                <w:rFonts w:ascii="Book Antiqua" w:hAnsi="Book Antiqua" w:cs="Arial"/>
              </w:rPr>
              <w:t xml:space="preserve">Wang </w:t>
            </w:r>
            <w:r w:rsidRPr="007403CD">
              <w:rPr>
                <w:rFonts w:ascii="Book Antiqua" w:hAnsi="Book Antiqua" w:cs="Arial"/>
                <w:i/>
              </w:rPr>
              <w:t>et al</w:t>
            </w:r>
            <w:r w:rsidRPr="007403CD">
              <w:rPr>
                <w:rFonts w:ascii="Book Antiqua" w:hAnsi="Book Antiqua" w:cs="Arial"/>
                <w:vertAlign w:val="superscript"/>
              </w:rPr>
              <w:t>[</w:t>
            </w:r>
            <w:r w:rsidRPr="007403CD">
              <w:rPr>
                <w:rFonts w:ascii="Book Antiqua" w:hAnsi="Book Antiqua" w:cs="Arial"/>
              </w:rPr>
              <w:fldChar w:fldCharType="begin" w:fldLock="1"/>
            </w:r>
            <w:r w:rsidRPr="007403CD">
              <w:rPr>
                <w:rFonts w:ascii="Book Antiqua" w:hAnsi="Book Antiqua" w:cs="Arial"/>
              </w:rPr>
              <w:instrText>ADDIN CSL_CITATION {"citationItems":[{"id":"ITEM-1","itemData":{"DOI":"10.1016/S1875-9572(10)60022-8","ISSN":"18759572","PMID":"20417464","abstract":"Wilson's disease (WD) is an autosomal recessive defect of cellular copper export. Early diagnosis in children is difficult due to its obscure clinical presentations. The efficacy of zinc salts is well documented, although there are limited data concerning zinc use in pediatric patients with WD. We performed a retrospective analysis of clinical features, laboratory results and treatment responses in children with WD diagnosed at Taichung Veterans General Hospital between 1996 and 2008. Diagnosis was established by low serum ceruloplasmin, high 24-hour urinary copper excretion, presence of Kayser-Fleischer rings, and mutation analysis. Eleven children were included in this study. The main initial presentations were impaired liver function tests (6/11) and hemolytic anemia (2/11). Gene studies in seven children showed six different mutations (G934D, R778Q, C490X, 304insC, IVS4-1 G &gt; C, P992I) and one possible novel mutation (L1181P). All patients had improved liver function tests and hemoglobin levels after treatment with D-penicillamine, trientine and zinc supplement therapy. During a mean period of 3.4 ± 2.1 years with zinc therapy, six patients had serum zinc levels above the normal limit, and seven patients had serum copper levels below the normal range. Serum ceruloplasmin and 24-hour urinary copper examinations could be used to rule out WD in children with chronic hepatitis and hemolytic anemia. Gene analysis is helpful for prompt diagnosis of asymptomatic siblings and patients with atypical features. Zinc treatment is generally safe in pediatric patients with WD. However, its adverse effects should be monitored. © 2010 Taiwan Pediatric Association.","author":[{"dropping-particle":"","family":"Wang","given":"Li Ching","non-dropping-particle":"","parse-names":false,"suffix":""},{"dropping-particle":"Der","family":"Wang","given":"Jiaan","non-dropping-particle":"","parse-names":false,"suffix":""},{"dropping-particle":"","family":"Tsai","given":"Chi Ren","non-dropping-particle":"","parse-names":false,"suffix":""},{"dropping-particle":"Bin","family":"Cheng","given":"Shao","non-dropping-particle":"","parse-names":false,"suffix":""},{"dropping-particle":"","family":"Lin","given":"Chieh Chung","non-dropping-particle":"","parse-names":false,"suffix":""}],"container-title":"Pediatrics and Neonatology","id":"ITEM-1","issue":"2","issued":{"date-parts":[["2010"]]},"page":"124-129","publisher":"Taiwan Pediatric Association","title":"Clinical features and therapeutic response in Taiwanese children with wilson's disease: 12 years of experience in a single center","type":"article-journal","volume":"51"},"uris":["http://www.mendeley.com/documents/?uuid=4e84ed43-f5de-4a36-8e64-9b06df17c84d"]}],"mendeley":{"formattedCitation":"&lt;sup&gt;106&lt;/sup&gt;","plainTextFormattedCitation":"106","previouslyFormattedCitation":"&lt;sup&gt;106&lt;/sup&gt;"},"properties":{"noteIndex":0},"schema":"https://github.com/citation-style-language/schema/raw/master/csl-citation.json"}</w:instrText>
            </w:r>
            <w:r w:rsidRPr="007403CD">
              <w:rPr>
                <w:rFonts w:ascii="Book Antiqua" w:hAnsi="Book Antiqua" w:cs="Arial"/>
              </w:rPr>
              <w:fldChar w:fldCharType="separate"/>
            </w:r>
            <w:r w:rsidRPr="007403CD">
              <w:rPr>
                <w:rFonts w:ascii="Book Antiqua" w:hAnsi="Book Antiqua" w:cs="Arial"/>
                <w:noProof/>
                <w:vertAlign w:val="superscript"/>
              </w:rPr>
              <w:t>106</w:t>
            </w:r>
            <w:r w:rsidRPr="007403CD">
              <w:rPr>
                <w:rFonts w:ascii="Book Antiqua" w:hAnsi="Book Antiqua" w:cs="Arial"/>
              </w:rPr>
              <w:fldChar w:fldCharType="end"/>
            </w:r>
            <w:r w:rsidRPr="007403CD">
              <w:rPr>
                <w:rFonts w:ascii="Book Antiqua" w:hAnsi="Book Antiqua" w:cs="Arial"/>
                <w:vertAlign w:val="superscript"/>
              </w:rPr>
              <w:t>]</w:t>
            </w:r>
          </w:p>
        </w:tc>
        <w:tc>
          <w:tcPr>
            <w:tcW w:w="2101" w:type="dxa"/>
            <w:vAlign w:val="center"/>
          </w:tcPr>
          <w:p w14:paraId="6A46DD42"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WD</w:t>
            </w:r>
          </w:p>
        </w:tc>
        <w:tc>
          <w:tcPr>
            <w:tcW w:w="1434" w:type="dxa"/>
            <w:vAlign w:val="center"/>
          </w:tcPr>
          <w:p w14:paraId="3BA31414"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DPA/TA (</w:t>
            </w:r>
            <w:r w:rsidRPr="007403CD">
              <w:rPr>
                <w:rFonts w:ascii="Book Antiqua" w:hAnsi="Book Antiqua" w:cs="Arial"/>
                <w:i/>
              </w:rPr>
              <w:t xml:space="preserve">n = </w:t>
            </w:r>
            <w:r w:rsidRPr="007403CD">
              <w:rPr>
                <w:rFonts w:ascii="Book Antiqua" w:hAnsi="Book Antiqua" w:cs="Arial"/>
              </w:rPr>
              <w:t>9)</w:t>
            </w:r>
          </w:p>
        </w:tc>
        <w:tc>
          <w:tcPr>
            <w:tcW w:w="1983" w:type="dxa"/>
            <w:vAlign w:val="center"/>
          </w:tcPr>
          <w:p w14:paraId="7A461AB4" w14:textId="77777777" w:rsidR="00FC1E70" w:rsidRPr="007403CD" w:rsidRDefault="00FC1E70" w:rsidP="00FC1E70">
            <w:pPr>
              <w:adjustRightInd w:val="0"/>
              <w:snapToGrid w:val="0"/>
              <w:spacing w:line="360" w:lineRule="auto"/>
              <w:jc w:val="center"/>
              <w:rPr>
                <w:rFonts w:ascii="Book Antiqua" w:hAnsi="Book Antiqua" w:cs="Arial"/>
                <w:lang w:eastAsia="zh-CN"/>
              </w:rPr>
            </w:pPr>
            <w:r w:rsidRPr="007403CD">
              <w:rPr>
                <w:rFonts w:ascii="Book Antiqua" w:hAnsi="Book Antiqua" w:cs="Arial"/>
              </w:rPr>
              <w:t>Mean: 5.1</w:t>
            </w:r>
            <w:r>
              <w:rPr>
                <w:rFonts w:ascii="Book Antiqua" w:hAnsi="Book Antiqua" w:cs="Arial" w:hint="eastAsia"/>
                <w:lang w:eastAsia="zh-CN"/>
              </w:rPr>
              <w:t xml:space="preserve"> </w:t>
            </w:r>
            <w:r w:rsidRPr="007403CD">
              <w:rPr>
                <w:rFonts w:ascii="Book Antiqua" w:hAnsi="Book Antiqua" w:cs="Arial"/>
              </w:rPr>
              <w:sym w:font="Symbol" w:char="F0B1"/>
            </w:r>
            <w:r>
              <w:rPr>
                <w:rFonts w:ascii="Book Antiqua" w:hAnsi="Book Antiqua" w:cs="Arial"/>
              </w:rPr>
              <w:t xml:space="preserve"> 4.1 </w:t>
            </w:r>
            <w:proofErr w:type="spellStart"/>
            <w:r>
              <w:rPr>
                <w:rFonts w:ascii="Book Antiqua" w:hAnsi="Book Antiqua" w:cs="Arial"/>
              </w:rPr>
              <w:t>yr</w:t>
            </w:r>
            <w:proofErr w:type="spellEnd"/>
          </w:p>
        </w:tc>
        <w:tc>
          <w:tcPr>
            <w:tcW w:w="2060" w:type="dxa"/>
            <w:vAlign w:val="center"/>
          </w:tcPr>
          <w:p w14:paraId="6E7B6A9E"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All responded</w:t>
            </w:r>
          </w:p>
        </w:tc>
        <w:tc>
          <w:tcPr>
            <w:tcW w:w="1736" w:type="dxa"/>
            <w:vAlign w:val="center"/>
          </w:tcPr>
          <w:p w14:paraId="0FB619BA"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Not mentioned</w:t>
            </w:r>
          </w:p>
        </w:tc>
      </w:tr>
      <w:tr w:rsidR="00FC1E70" w:rsidRPr="007403CD" w14:paraId="3B6C343C" w14:textId="77777777" w:rsidTr="00FC1E70">
        <w:trPr>
          <w:trHeight w:val="794"/>
          <w:jc w:val="center"/>
        </w:trPr>
        <w:tc>
          <w:tcPr>
            <w:tcW w:w="1463" w:type="dxa"/>
            <w:vAlign w:val="center"/>
          </w:tcPr>
          <w:p w14:paraId="6A9CB695"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Das </w:t>
            </w:r>
            <w:r w:rsidRPr="007403CD">
              <w:rPr>
                <w:rFonts w:ascii="Book Antiqua" w:hAnsi="Book Antiqua" w:cs="Arial"/>
                <w:i/>
              </w:rPr>
              <w:t>et al</w:t>
            </w:r>
            <w:r w:rsidRPr="007403CD">
              <w:rPr>
                <w:rFonts w:ascii="Book Antiqua" w:hAnsi="Book Antiqua" w:cs="Arial"/>
                <w:vertAlign w:val="superscript"/>
              </w:rPr>
              <w:t>[</w:t>
            </w:r>
            <w:r w:rsidRPr="007403CD">
              <w:rPr>
                <w:rFonts w:ascii="Book Antiqua" w:hAnsi="Book Antiqua" w:cs="Arial"/>
              </w:rPr>
              <w:fldChar w:fldCharType="begin" w:fldLock="1"/>
            </w:r>
            <w:r w:rsidRPr="007403CD">
              <w:rPr>
                <w:rFonts w:ascii="Book Antiqua" w:hAnsi="Book Antiqua" w:cs="Arial"/>
              </w:rPr>
              <w:instrText>ADDIN CSL_CITATION {"citationItems":[{"id":"ITEM-1","itemData":{"DOI":"10.1002/jhbp.812","ISSN":"18686982","PMID":"32745371","abstract":"Background: As there is paucity of exclusive literature on pediatric hepatic Wilson's disease (WD), this study was undertaken to evaluate the efficacy of chelation on hepatocellular function and portal hypertension in WD. Methods: Wilson's disease patients with ≥9 months of follow-up were evaluated for response to chelation therapy in the following categories: (a) complete remission, (b) partial remission (c) progression of disease; (d) drug toxicity. Pediatric end-stage liver disease (PELD), Nazar and New Wilson Index scores were compared. Hemodynamically stable patients underwent esophagogastroduodenoscopy (baseline and surveillance) and received prophylaxis (primary or secondary). Endoscopic outcome was assessed at follow-up. Results: Of the 111 WD children (aged 9 [3–15] years; PELD score 16 [−11 to 60]), 65 with follow-up of 3.6 (0.8–12) years on chelation (83% D-penicillamine monotherapy, 17% D-penicillamine and zinc) were analyzed. 81% had severe disease at presentation. Favorable outcome (complete and or partial remission), progression of disease and drug toxicity were seen in 71%, 29% and 10.8%, respectively. Two-thirds had esophageal varices which did not show progression. Large esophageal varices (16%) were effectively downgraded in 3 (2–6) therapeutic endoscopic sessions. Nazar score and PELD score at baseline were independent predictors of outcome with favorable correlation with each other (r =.864, P &lt;.001). PELD cutoff 9.45 (AUC: 71%, sensitivity: 87%, specificity: 50%; P =.009) and Nazar score cut off 3.5 (AUC: 68%, sensitivity: 83%, specificity: 50%; P =.02) were associated with poor prognosis. Conclusions: Despite severe liver disease, the majority of hepatic WD can be managed on D-penicillamine monotherapy. PELD score and Nazar score effectively determine the outcome.","author":[{"dropping-particle":"","family":"Das","given":"Mridul Chandra","non-dropping-particle":"","parse-names":false,"suffix":""},{"dropping-particle":"","family":"Sarma","given":"Moinak","non-dropping-particle":"Sen","parse-names":false,"suffix":""},{"dropping-particle":"","family":"Srivastava","given":"Anshu","non-dropping-particle":"","parse-names":false,"suffix":""},{"dropping-particle":"","family":"Yachha","given":"Surender Kumar","non-dropping-particle":"","parse-names":false,"suffix":""},{"dropping-particle":"","family":"Poddar","given":"Ujjal","non-dropping-particle":"","parse-names":false,"suffix":""}],"container-title":"Journal of Hepato-Biliary-Pancreatic Sciences","id":"ITEM-1","issued":{"date-parts":[["2020"]]},"title":"Effect of chelation therapy in pediatric Wilson’s disease: Liver and endoscopic outcome","type":"article-journal"},"uris":["http://www.mendeley.com/documents/?uuid=f0b3bd43-e4c7-4b5b-8263-8dcc284e0a2f"]}],"mendeley":{"formattedCitation":"&lt;sup&gt;50&lt;/sup&gt;","plainTextFormattedCitation":"50","previouslyFormattedCitation":"&lt;sup&gt;50&lt;/sup&gt;"},"properties":{"noteIndex":0},"schema":"https://github.com/citation-style-language/schema/raw/master/csl-citation.json"}</w:instrText>
            </w:r>
            <w:r w:rsidRPr="007403CD">
              <w:rPr>
                <w:rFonts w:ascii="Book Antiqua" w:hAnsi="Book Antiqua" w:cs="Arial"/>
              </w:rPr>
              <w:fldChar w:fldCharType="separate"/>
            </w:r>
            <w:r w:rsidRPr="007403CD">
              <w:rPr>
                <w:rFonts w:ascii="Book Antiqua" w:hAnsi="Book Antiqua" w:cs="Arial"/>
                <w:noProof/>
                <w:vertAlign w:val="superscript"/>
              </w:rPr>
              <w:t>50</w:t>
            </w:r>
            <w:r w:rsidRPr="007403CD">
              <w:rPr>
                <w:rFonts w:ascii="Book Antiqua" w:hAnsi="Book Antiqua" w:cs="Arial"/>
              </w:rPr>
              <w:fldChar w:fldCharType="end"/>
            </w:r>
            <w:r w:rsidRPr="007403CD">
              <w:rPr>
                <w:rFonts w:ascii="Book Antiqua" w:hAnsi="Book Antiqua" w:cs="Arial"/>
                <w:vertAlign w:val="superscript"/>
              </w:rPr>
              <w:t>]</w:t>
            </w:r>
          </w:p>
        </w:tc>
        <w:tc>
          <w:tcPr>
            <w:tcW w:w="2101" w:type="dxa"/>
            <w:vAlign w:val="center"/>
          </w:tcPr>
          <w:p w14:paraId="1915684B"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WD</w:t>
            </w:r>
          </w:p>
        </w:tc>
        <w:tc>
          <w:tcPr>
            <w:tcW w:w="1434" w:type="dxa"/>
            <w:vAlign w:val="center"/>
          </w:tcPr>
          <w:p w14:paraId="654EC9E1"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DPA (</w:t>
            </w:r>
            <w:r w:rsidRPr="007403CD">
              <w:rPr>
                <w:rFonts w:ascii="Book Antiqua" w:hAnsi="Book Antiqua" w:cs="Arial"/>
                <w:i/>
              </w:rPr>
              <w:t xml:space="preserve">n = </w:t>
            </w:r>
            <w:r w:rsidRPr="007403CD">
              <w:rPr>
                <w:rFonts w:ascii="Book Antiqua" w:hAnsi="Book Antiqua" w:cs="Arial"/>
              </w:rPr>
              <w:t>65), TA(</w:t>
            </w:r>
            <w:r w:rsidRPr="007403CD">
              <w:rPr>
                <w:rFonts w:ascii="Book Antiqua" w:hAnsi="Book Antiqua" w:cs="Arial"/>
                <w:i/>
              </w:rPr>
              <w:t xml:space="preserve">n = </w:t>
            </w:r>
            <w:r w:rsidRPr="007403CD">
              <w:rPr>
                <w:rFonts w:ascii="Book Antiqua" w:hAnsi="Book Antiqua" w:cs="Arial"/>
              </w:rPr>
              <w:t>4)</w:t>
            </w:r>
          </w:p>
        </w:tc>
        <w:tc>
          <w:tcPr>
            <w:tcW w:w="1983" w:type="dxa"/>
            <w:vAlign w:val="center"/>
          </w:tcPr>
          <w:p w14:paraId="1AA3A544" w14:textId="77777777" w:rsidR="00FC1E70" w:rsidRPr="007403CD" w:rsidRDefault="00FC1E70" w:rsidP="00FC1E70">
            <w:pPr>
              <w:adjustRightInd w:val="0"/>
              <w:snapToGrid w:val="0"/>
              <w:spacing w:line="360" w:lineRule="auto"/>
              <w:jc w:val="center"/>
              <w:rPr>
                <w:rFonts w:ascii="Book Antiqua" w:hAnsi="Book Antiqua" w:cs="Arial"/>
                <w:lang w:eastAsia="zh-CN"/>
              </w:rPr>
            </w:pPr>
            <w:r>
              <w:rPr>
                <w:rFonts w:ascii="Book Antiqua" w:hAnsi="Book Antiqua" w:cs="Arial"/>
              </w:rPr>
              <w:t xml:space="preserve">Median: 3.6 (0.8-12) </w:t>
            </w:r>
            <w:proofErr w:type="spellStart"/>
            <w:r>
              <w:rPr>
                <w:rFonts w:ascii="Book Antiqua" w:hAnsi="Book Antiqua" w:cs="Arial"/>
              </w:rPr>
              <w:t>yr</w:t>
            </w:r>
            <w:proofErr w:type="spellEnd"/>
          </w:p>
        </w:tc>
        <w:tc>
          <w:tcPr>
            <w:tcW w:w="2060" w:type="dxa"/>
            <w:vAlign w:val="center"/>
          </w:tcPr>
          <w:p w14:paraId="1307E418"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DPA (42/65)</w:t>
            </w:r>
            <w:r>
              <w:rPr>
                <w:rFonts w:ascii="Book Antiqua" w:hAnsi="Book Antiqua" w:cs="Arial" w:hint="eastAsia"/>
                <w:lang w:eastAsia="zh-CN"/>
              </w:rPr>
              <w:t xml:space="preserve"> </w:t>
            </w:r>
            <w:r w:rsidRPr="007403CD">
              <w:rPr>
                <w:rFonts w:ascii="Book Antiqua" w:hAnsi="Book Antiqua" w:cs="Arial"/>
              </w:rPr>
              <w:t>64.6%, TA (3/4) 75%</w:t>
            </w:r>
          </w:p>
        </w:tc>
        <w:tc>
          <w:tcPr>
            <w:tcW w:w="1736" w:type="dxa"/>
            <w:vAlign w:val="center"/>
          </w:tcPr>
          <w:p w14:paraId="30C61DA6"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DPA 10.8%</w:t>
            </w:r>
          </w:p>
        </w:tc>
      </w:tr>
      <w:tr w:rsidR="00FC1E70" w:rsidRPr="007403CD" w14:paraId="48DD8E9D" w14:textId="77777777" w:rsidTr="00FC1E70">
        <w:trPr>
          <w:trHeight w:val="840"/>
          <w:jc w:val="center"/>
        </w:trPr>
        <w:tc>
          <w:tcPr>
            <w:tcW w:w="1463" w:type="dxa"/>
            <w:vAlign w:val="center"/>
          </w:tcPr>
          <w:p w14:paraId="411CADD9" w14:textId="77777777" w:rsidR="00FC1E70" w:rsidRPr="007403CD" w:rsidRDefault="00FC1E70" w:rsidP="00FC1E70">
            <w:pPr>
              <w:adjustRightInd w:val="0"/>
              <w:snapToGrid w:val="0"/>
              <w:spacing w:line="360" w:lineRule="auto"/>
              <w:jc w:val="center"/>
              <w:rPr>
                <w:rFonts w:ascii="Book Antiqua" w:hAnsi="Book Antiqua" w:cs="Arial"/>
              </w:rPr>
            </w:pPr>
            <w:proofErr w:type="spellStart"/>
            <w:r w:rsidRPr="007403CD">
              <w:rPr>
                <w:rFonts w:ascii="Book Antiqua" w:hAnsi="Book Antiqua" w:cs="Arial"/>
              </w:rPr>
              <w:t>Arnon</w:t>
            </w:r>
            <w:proofErr w:type="spellEnd"/>
            <w:r w:rsidRPr="007403CD">
              <w:rPr>
                <w:rFonts w:ascii="Book Antiqua" w:hAnsi="Book Antiqua" w:cs="Arial"/>
              </w:rPr>
              <w:t xml:space="preserve"> </w:t>
            </w:r>
            <w:r w:rsidRPr="007403CD">
              <w:rPr>
                <w:rFonts w:ascii="Book Antiqua" w:hAnsi="Book Antiqua" w:cs="Arial"/>
                <w:i/>
              </w:rPr>
              <w:t>et al</w:t>
            </w:r>
            <w:r w:rsidRPr="007403CD">
              <w:rPr>
                <w:rFonts w:ascii="Book Antiqua" w:hAnsi="Book Antiqua" w:cs="Arial"/>
                <w:vertAlign w:val="superscript"/>
              </w:rPr>
              <w:t>[</w:t>
            </w:r>
            <w:r w:rsidRPr="007403CD">
              <w:rPr>
                <w:rFonts w:ascii="Book Antiqua" w:hAnsi="Book Antiqua" w:cs="Arial"/>
              </w:rPr>
              <w:fldChar w:fldCharType="begin" w:fldLock="1"/>
            </w:r>
            <w:r w:rsidRPr="007403CD">
              <w:rPr>
                <w:rFonts w:ascii="Book Antiqua" w:hAnsi="Book Antiqua" w:cs="Arial"/>
              </w:rPr>
              <w:instrText>ADDIN CSL_CITATION {"citationItems":[{"id":"ITEM-1","itemData":{"DOI":"10.1097/MPG.0b013e3180467715","ISSN":"02772116","PMID":"17460493","abstract":"OBJECTIVES: To evaluate the efficacy of and adherence to trientine and/or zinc therapy in children with Wilson disease (WD). MATERIALS AND METHODS: We retrospectively reviewed the clinical records of all children with WD in the pediatric liver/liver transplant program at our institution between 1998 and 2006. RESULTS: A total of 22 children with WD were evaluated and treated. Seven with fulminant disease required liver transplantation and 15 were treated with trientine and/or zinc. Ten of those 15 had follow-up for 12 to 60 months and 6 of the latter 10 were followed for 12 to 18 months. All 10 patients were started on a trientine treatment regimen. Mean alanine aminotransferase (ALT) levels decreased from 183 ± 103 IU at presentation (n = 10) to 80 ± 46 IU at 12 months (n = 10) and 66 ± 40 IU at 18 months (n = 7). Mean 24-hour urinary copper levels increased from 156 μg at presentation to 494 μg at 1 to 2 months, then decreased to 71 μg after 21 to 24 months of treatment. Three of 10 patients had normalized ALT levels and 1 patient with cirrhosis continued with normal ALT levels since presentation. Four of 10 patients were documented to be nonadherent, as manifested by increased ALT levels (99 ± 31 IU); 1 patient had previously normalized ALT levels. In 3 of 10 patients, ALT level decreased but remained at an abnormal level (93 ± 53 IU). CONCLUSIONS: Trientine and/or zinc therapy is effective for children with WD. Nonadherence is a common cause of increased aminotransferase levels in patients with WD. © 2007 Lippincott Williams &amp; Wilkins, Inc.","author":[{"dropping-particle":"","family":"Arnon","given":"Ronen","non-dropping-particle":"","parse-names":false,"suffix":""},{"dropping-particle":"","family":"Calderon","given":"Judith Flores","non-dropping-particle":"","parse-names":false,"suffix":""},{"dropping-particle":"","family":"Schilsky","given":"Michael","non-dropping-particle":"","parse-names":false,"suffix":""},{"dropping-particle":"","family":"Emre","given":"Sukru","non-dropping-particle":"","parse-names":false,"suffix":""},{"dropping-particle":"","family":"Shneider","given":"Benjamin L.","non-dropping-particle":"","parse-names":false,"suffix":""}],"container-title":"Journal of Pediatric Gastroenterology and Nutrition","id":"ITEM-1","issue":"5","issued":{"date-parts":[["2007"]]},"page":"596-602","title":"Wilson disease in children: Serum aminotransferases and urinary copper on triethylene tetramine dihydrochloride (trientine) treatment","type":"article-journal","volume":"44"},"uris":["http://www.mendeley.com/documents/?uuid=4410e0d4-d03e-4fad-b4ae-3a2055feb3d7"]}],"mendeley":{"formattedCitation":"&lt;sup&gt;107&lt;/sup&gt;","plainTextFormattedCitation":"107","previouslyFormattedCitation":"&lt;sup&gt;107&lt;/sup&gt;"},"properties":{"noteIndex":0},"schema":"https://github.com/citation-style-language/schema/raw/master/csl-citation.json"}</w:instrText>
            </w:r>
            <w:r w:rsidRPr="007403CD">
              <w:rPr>
                <w:rFonts w:ascii="Book Antiqua" w:hAnsi="Book Antiqua" w:cs="Arial"/>
              </w:rPr>
              <w:fldChar w:fldCharType="separate"/>
            </w:r>
            <w:r w:rsidRPr="007403CD">
              <w:rPr>
                <w:rFonts w:ascii="Book Antiqua" w:hAnsi="Book Antiqua" w:cs="Arial"/>
                <w:noProof/>
                <w:vertAlign w:val="superscript"/>
              </w:rPr>
              <w:t>107</w:t>
            </w:r>
            <w:r w:rsidRPr="007403CD">
              <w:rPr>
                <w:rFonts w:ascii="Book Antiqua" w:hAnsi="Book Antiqua" w:cs="Arial"/>
              </w:rPr>
              <w:fldChar w:fldCharType="end"/>
            </w:r>
            <w:r w:rsidRPr="007403CD">
              <w:rPr>
                <w:rFonts w:ascii="Book Antiqua" w:hAnsi="Book Antiqua" w:cs="Arial"/>
                <w:vertAlign w:val="superscript"/>
              </w:rPr>
              <w:t>]</w:t>
            </w:r>
          </w:p>
        </w:tc>
        <w:tc>
          <w:tcPr>
            <w:tcW w:w="2101" w:type="dxa"/>
            <w:vAlign w:val="center"/>
          </w:tcPr>
          <w:p w14:paraId="044645B0"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WD</w:t>
            </w:r>
          </w:p>
        </w:tc>
        <w:tc>
          <w:tcPr>
            <w:tcW w:w="1434" w:type="dxa"/>
            <w:vAlign w:val="center"/>
          </w:tcPr>
          <w:p w14:paraId="16EC1AFA"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TA (</w:t>
            </w:r>
            <w:r w:rsidRPr="007403CD">
              <w:rPr>
                <w:rFonts w:ascii="Book Antiqua" w:hAnsi="Book Antiqua" w:cs="Arial"/>
                <w:i/>
              </w:rPr>
              <w:t xml:space="preserve">n = </w:t>
            </w:r>
            <w:r w:rsidRPr="007403CD">
              <w:rPr>
                <w:rFonts w:ascii="Book Antiqua" w:hAnsi="Book Antiqua" w:cs="Arial"/>
              </w:rPr>
              <w:t>10)</w:t>
            </w:r>
          </w:p>
        </w:tc>
        <w:tc>
          <w:tcPr>
            <w:tcW w:w="1983" w:type="dxa"/>
            <w:vAlign w:val="center"/>
          </w:tcPr>
          <w:p w14:paraId="7AD39879"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Treatment duration: 18 mo. Follow up:12-60 </w:t>
            </w:r>
            <w:proofErr w:type="spellStart"/>
            <w:r w:rsidRPr="007403CD">
              <w:rPr>
                <w:rFonts w:ascii="Book Antiqua" w:hAnsi="Book Antiqua" w:cs="Arial"/>
              </w:rPr>
              <w:t>mo</w:t>
            </w:r>
            <w:proofErr w:type="spellEnd"/>
          </w:p>
        </w:tc>
        <w:tc>
          <w:tcPr>
            <w:tcW w:w="2060" w:type="dxa"/>
            <w:vAlign w:val="center"/>
          </w:tcPr>
          <w:p w14:paraId="228D47E1"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All responded</w:t>
            </w:r>
          </w:p>
        </w:tc>
        <w:tc>
          <w:tcPr>
            <w:tcW w:w="1736" w:type="dxa"/>
            <w:vAlign w:val="center"/>
          </w:tcPr>
          <w:p w14:paraId="210B4833"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1/10 (10%) reported hepatotoxicity</w:t>
            </w:r>
          </w:p>
        </w:tc>
      </w:tr>
      <w:tr w:rsidR="00FC1E70" w:rsidRPr="007403CD" w14:paraId="050CB47F" w14:textId="77777777" w:rsidTr="00FC1E70">
        <w:trPr>
          <w:trHeight w:val="597"/>
          <w:jc w:val="center"/>
        </w:trPr>
        <w:tc>
          <w:tcPr>
            <w:tcW w:w="1463" w:type="dxa"/>
            <w:vAlign w:val="center"/>
          </w:tcPr>
          <w:p w14:paraId="76B4FED0" w14:textId="77777777" w:rsidR="00FC1E70" w:rsidRPr="007403CD" w:rsidRDefault="00FC1E70" w:rsidP="00FC1E70">
            <w:pPr>
              <w:adjustRightInd w:val="0"/>
              <w:snapToGrid w:val="0"/>
              <w:spacing w:line="360" w:lineRule="auto"/>
              <w:jc w:val="center"/>
              <w:rPr>
                <w:rFonts w:ascii="Book Antiqua" w:hAnsi="Book Antiqua" w:cs="Arial"/>
                <w:lang w:eastAsia="zh-CN"/>
              </w:rPr>
            </w:pPr>
            <w:r w:rsidRPr="007403CD">
              <w:rPr>
                <w:rFonts w:ascii="Book Antiqua" w:hAnsi="Book Antiqua" w:cs="Arial"/>
              </w:rPr>
              <w:t xml:space="preserve">Taylor </w:t>
            </w:r>
            <w:r w:rsidRPr="007403CD">
              <w:rPr>
                <w:rFonts w:ascii="Book Antiqua" w:hAnsi="Book Antiqua" w:cs="Arial"/>
                <w:i/>
              </w:rPr>
              <w:t>et al</w:t>
            </w:r>
            <w:r w:rsidRPr="007403CD">
              <w:rPr>
                <w:rFonts w:ascii="Book Antiqua" w:hAnsi="Book Antiqua" w:cs="Arial"/>
                <w:vertAlign w:val="superscript"/>
              </w:rPr>
              <w:t>[</w:t>
            </w:r>
            <w:r w:rsidRPr="007403CD">
              <w:rPr>
                <w:rFonts w:ascii="Book Antiqua" w:hAnsi="Book Antiqua" w:cs="Arial"/>
              </w:rPr>
              <w:fldChar w:fldCharType="begin" w:fldLock="1"/>
            </w:r>
            <w:r w:rsidRPr="007403CD">
              <w:rPr>
                <w:rFonts w:ascii="Book Antiqua" w:hAnsi="Book Antiqua" w:cs="Arial"/>
              </w:rPr>
              <w:instrText>ADDIN CSL_CITATION {"citationItems":[{"id":"ITEM-1","itemData":{"DOI":"10.1007/s00431-008-0886-8","ISSN":"14321076","PMID":"19066958","abstract":"Our aim was to review our experience of trientine as chelation therapy in children with Wilson disease (WD) and compare to that reported in the literature. We made a retrospective review of the medical notes of 16 of 96 (17%) children diagnosed with WD between 1981 and 2006. Children were 6.6 to 15 years old. Only three received trientine as initial therapy [parental choice (two), allergic reactions to penicillamine (one) during the penicillamine challenge], 13 of 16 were converted from penicillamine to trientine because of reactions to penicillamine: haematuria in four, bone marrow suppression in three, neutropenia in three. Trientine was discontinued in three due to allergic rash, low copper excretion and one with compliance problems requiring transplantation. Seventy-five per cent of children presented with chronic liver disease. Kayser-Fleischer rings were noticed in eight of 16, Wilson Ferenci score range was between 4 and 10 (nl&lt;4). Laboratory indices remained relatively stable. In line with previous reports, trientine was used mainly as secondary treatment when there were severe side effects with penicillamine. Whilst the current evidence is low quality, it appears that trientine is as efficacious as penicillamine and small population studies show a lower side effect profile. © Springer-Verlag 2008.","author":[{"dropping-particle":"","family":"Taylor","given":"Rachel M.","non-dropping-particle":"","parse-names":false,"suffix":""},{"dropping-particle":"","family":"Chen","given":"Yuan","non-dropping-particle":"","parse-names":false,"suffix":""},{"dropping-particle":"","family":"Dhawan","given":"Anil","non-dropping-particle":"","parse-names":false,"suffix":""}],"container-title":"European Journal of Pediatrics","id":"ITEM-1","issue":"9","issued":{"date-parts":[["2009"]]},"page":"1061-1068","title":"Triethylene tetramine dihydrochloride (trientine) in children with Wilson disease: Experience at King's College Hospital and review of the literature","type":"article-journal","volume":"168"},"uris":["http://www.mendeley.com/documents/?uuid=bd067e04-1f05-4d9e-8a67-9aac7edc2fe6"]}],"mendeley":{"formattedCitation":"&lt;sup&gt;108&lt;/sup&gt;","plainTextFormattedCitation":"108","previouslyFormattedCitation":"&lt;sup&gt;108&lt;/sup&gt;"},"properties":{"noteIndex":0},"schema":"https://github.com/citation-style-language/schema/raw/master/csl-citation.json"}</w:instrText>
            </w:r>
            <w:r w:rsidRPr="007403CD">
              <w:rPr>
                <w:rFonts w:ascii="Book Antiqua" w:hAnsi="Book Antiqua" w:cs="Arial"/>
              </w:rPr>
              <w:fldChar w:fldCharType="separate"/>
            </w:r>
            <w:r w:rsidRPr="007403CD">
              <w:rPr>
                <w:rFonts w:ascii="Book Antiqua" w:hAnsi="Book Antiqua" w:cs="Arial"/>
                <w:noProof/>
                <w:vertAlign w:val="superscript"/>
              </w:rPr>
              <w:t>108</w:t>
            </w:r>
            <w:r w:rsidRPr="007403CD">
              <w:rPr>
                <w:rFonts w:ascii="Book Antiqua" w:hAnsi="Book Antiqua" w:cs="Arial"/>
              </w:rPr>
              <w:fldChar w:fldCharType="end"/>
            </w:r>
            <w:r w:rsidRPr="007403CD">
              <w:rPr>
                <w:rFonts w:ascii="Book Antiqua" w:hAnsi="Book Antiqua" w:cs="Arial"/>
                <w:vertAlign w:val="superscript"/>
              </w:rPr>
              <w:t>]</w:t>
            </w:r>
          </w:p>
        </w:tc>
        <w:tc>
          <w:tcPr>
            <w:tcW w:w="2101" w:type="dxa"/>
            <w:vAlign w:val="center"/>
          </w:tcPr>
          <w:p w14:paraId="18A07357"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WD</w:t>
            </w:r>
          </w:p>
        </w:tc>
        <w:tc>
          <w:tcPr>
            <w:tcW w:w="1434" w:type="dxa"/>
            <w:vAlign w:val="center"/>
          </w:tcPr>
          <w:p w14:paraId="5E759B28"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TA (</w:t>
            </w:r>
            <w:r w:rsidRPr="007403CD">
              <w:rPr>
                <w:rFonts w:ascii="Book Antiqua" w:hAnsi="Book Antiqua" w:cs="Arial"/>
                <w:i/>
              </w:rPr>
              <w:t xml:space="preserve">n = </w:t>
            </w:r>
            <w:r w:rsidRPr="007403CD">
              <w:rPr>
                <w:rFonts w:ascii="Book Antiqua" w:hAnsi="Book Antiqua" w:cs="Arial"/>
              </w:rPr>
              <w:t>16)</w:t>
            </w:r>
          </w:p>
        </w:tc>
        <w:tc>
          <w:tcPr>
            <w:tcW w:w="1983" w:type="dxa"/>
            <w:vAlign w:val="center"/>
          </w:tcPr>
          <w:p w14:paraId="60CE4377" w14:textId="77777777" w:rsidR="00FC1E70" w:rsidRPr="007403CD" w:rsidRDefault="00FC1E70" w:rsidP="00FC1E70">
            <w:pPr>
              <w:adjustRightInd w:val="0"/>
              <w:snapToGrid w:val="0"/>
              <w:spacing w:line="360" w:lineRule="auto"/>
              <w:jc w:val="center"/>
              <w:rPr>
                <w:rFonts w:ascii="Book Antiqua" w:hAnsi="Book Antiqua" w:cs="Arial"/>
                <w:lang w:eastAsia="zh-CN"/>
              </w:rPr>
            </w:pPr>
            <w:r w:rsidRPr="007403CD">
              <w:rPr>
                <w:rFonts w:ascii="Book Antiqua" w:hAnsi="Book Antiqua" w:cs="Arial"/>
              </w:rPr>
              <w:t>6.4 (0.</w:t>
            </w:r>
            <w:r>
              <w:rPr>
                <w:rFonts w:ascii="Book Antiqua" w:hAnsi="Book Antiqua" w:cs="Arial"/>
              </w:rPr>
              <w:t xml:space="preserve">78-18.6) </w:t>
            </w:r>
            <w:proofErr w:type="spellStart"/>
            <w:r>
              <w:rPr>
                <w:rFonts w:ascii="Book Antiqua" w:hAnsi="Book Antiqua" w:cs="Arial"/>
              </w:rPr>
              <w:t>yr</w:t>
            </w:r>
            <w:proofErr w:type="spellEnd"/>
          </w:p>
        </w:tc>
        <w:tc>
          <w:tcPr>
            <w:tcW w:w="2060" w:type="dxa"/>
            <w:vAlign w:val="center"/>
          </w:tcPr>
          <w:p w14:paraId="63FF28AF"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14/16 (87.5%)</w:t>
            </w:r>
          </w:p>
        </w:tc>
        <w:tc>
          <w:tcPr>
            <w:tcW w:w="1736" w:type="dxa"/>
            <w:vAlign w:val="center"/>
          </w:tcPr>
          <w:p w14:paraId="4EC8B676"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1 had allergic reaction</w:t>
            </w:r>
          </w:p>
        </w:tc>
      </w:tr>
      <w:tr w:rsidR="00FC1E70" w:rsidRPr="007403CD" w14:paraId="6CC92A9A" w14:textId="77777777" w:rsidTr="00FC1E70">
        <w:trPr>
          <w:trHeight w:val="840"/>
          <w:jc w:val="center"/>
        </w:trPr>
        <w:tc>
          <w:tcPr>
            <w:tcW w:w="1463" w:type="dxa"/>
            <w:vAlign w:val="center"/>
          </w:tcPr>
          <w:p w14:paraId="537527A1"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Santos Silva </w:t>
            </w:r>
            <w:r w:rsidRPr="007403CD">
              <w:rPr>
                <w:rFonts w:ascii="Book Antiqua" w:hAnsi="Book Antiqua" w:cs="Arial"/>
                <w:i/>
              </w:rPr>
              <w:t>et al</w:t>
            </w:r>
            <w:r w:rsidRPr="007403CD">
              <w:rPr>
                <w:rFonts w:ascii="Book Antiqua" w:hAnsi="Book Antiqua" w:cs="Arial"/>
                <w:vertAlign w:val="superscript"/>
              </w:rPr>
              <w:t>[</w:t>
            </w:r>
            <w:r w:rsidRPr="007403CD">
              <w:rPr>
                <w:rFonts w:ascii="Book Antiqua" w:hAnsi="Book Antiqua" w:cs="Arial"/>
              </w:rPr>
              <w:fldChar w:fldCharType="begin" w:fldLock="1"/>
            </w:r>
            <w:r w:rsidRPr="007403CD">
              <w:rPr>
                <w:rFonts w:ascii="Book Antiqua" w:hAnsi="Book Antiqua" w:cs="Arial"/>
              </w:rPr>
              <w:instrText>ADDIN CSL_CITATION {"citationItems":[{"id":"ITEM-1","itemData":{"DOI":"10.1016/S0022-3476(96)70412-2","ISSN":"00223476","PMID":"8636833","abstract":"Delayed response to medical treatment sometimes leads to unnecessary liver transplantation in patients with severely decompensated Wilson disease. We report the course of five patients (mean age 13.4 years, range 11 to 15 years) with severely decompensated Wilson disease who were successfully treated medically. Prothrombin time improved after a minimum of 1 month and returned to normal within 3 months to 1 year or more.","author":[{"dropping-particle":"","family":"Silva","given":"E. E.S.","non-dropping-particle":"","parse-names":false,"suffix":""},{"dropping-particle":"","family":"Sarles","given":"J.","non-dropping-particle":"","parse-names":false,"suffix":""},{"dropping-particle":"","family":"Buts","given":"J. P.","non-dropping-particle":"","parse-names":false,"suffix":""},{"dropping-particle":"","family":"Sokal","given":"E. M.","non-dropping-particle":"","parse-names":false,"suffix":""}],"container-title":"Journal of Pediatrics","id":"ITEM-1","issued":{"date-parts":[["1996"]]},"title":"Successful medical treatment of severely decompensated Wilson disease","type":"article-journal"},"uris":["http://www.mendeley.com/documents/?uuid=69270cbe-22fe-4a93-a83d-93fb4de36bb6"]}],"mendeley":{"formattedCitation":"&lt;sup&gt;59&lt;/sup&gt;","plainTextFormattedCitation":"59","previouslyFormattedCitation":"&lt;sup&gt;59&lt;/sup&gt;"},"properties":{"noteIndex":0},"schema":"https://github.com/citation-style-language/schema/raw/master/csl-citation.json"}</w:instrText>
            </w:r>
            <w:r w:rsidRPr="007403CD">
              <w:rPr>
                <w:rFonts w:ascii="Book Antiqua" w:hAnsi="Book Antiqua" w:cs="Arial"/>
              </w:rPr>
              <w:fldChar w:fldCharType="separate"/>
            </w:r>
            <w:r w:rsidRPr="007403CD">
              <w:rPr>
                <w:rFonts w:ascii="Book Antiqua" w:hAnsi="Book Antiqua" w:cs="Arial"/>
                <w:noProof/>
                <w:vertAlign w:val="superscript"/>
              </w:rPr>
              <w:t>59</w:t>
            </w:r>
            <w:r w:rsidRPr="007403CD">
              <w:rPr>
                <w:rFonts w:ascii="Book Antiqua" w:hAnsi="Book Antiqua" w:cs="Arial"/>
              </w:rPr>
              <w:fldChar w:fldCharType="end"/>
            </w:r>
            <w:r w:rsidRPr="007403CD">
              <w:rPr>
                <w:rFonts w:ascii="Book Antiqua" w:hAnsi="Book Antiqua" w:cs="Arial"/>
                <w:vertAlign w:val="superscript"/>
              </w:rPr>
              <w:t>]</w:t>
            </w:r>
          </w:p>
        </w:tc>
        <w:tc>
          <w:tcPr>
            <w:tcW w:w="2101" w:type="dxa"/>
            <w:vAlign w:val="center"/>
          </w:tcPr>
          <w:p w14:paraId="507E2DDE"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WD</w:t>
            </w:r>
          </w:p>
          <w:p w14:paraId="13B28A73"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All decompensated liver disease</w:t>
            </w:r>
          </w:p>
        </w:tc>
        <w:tc>
          <w:tcPr>
            <w:tcW w:w="1434" w:type="dxa"/>
            <w:vAlign w:val="center"/>
          </w:tcPr>
          <w:p w14:paraId="4376075D"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DPA (</w:t>
            </w:r>
            <w:r w:rsidRPr="007403CD">
              <w:rPr>
                <w:rFonts w:ascii="Book Antiqua" w:hAnsi="Book Antiqua" w:cs="Arial"/>
                <w:i/>
              </w:rPr>
              <w:t xml:space="preserve">n = </w:t>
            </w:r>
            <w:r w:rsidRPr="007403CD">
              <w:rPr>
                <w:rFonts w:ascii="Book Antiqua" w:hAnsi="Book Antiqua" w:cs="Arial"/>
              </w:rPr>
              <w:t>1)</w:t>
            </w:r>
          </w:p>
          <w:p w14:paraId="22054D5C"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TA (</w:t>
            </w:r>
            <w:r w:rsidRPr="007403CD">
              <w:rPr>
                <w:rFonts w:ascii="Book Antiqua" w:hAnsi="Book Antiqua" w:cs="Arial"/>
                <w:i/>
              </w:rPr>
              <w:t xml:space="preserve">n = </w:t>
            </w:r>
            <w:r w:rsidRPr="007403CD">
              <w:rPr>
                <w:rFonts w:ascii="Book Antiqua" w:hAnsi="Book Antiqua" w:cs="Arial"/>
              </w:rPr>
              <w:t>4)</w:t>
            </w:r>
          </w:p>
        </w:tc>
        <w:tc>
          <w:tcPr>
            <w:tcW w:w="1983" w:type="dxa"/>
            <w:vAlign w:val="center"/>
          </w:tcPr>
          <w:p w14:paraId="40757C57"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18-60 </w:t>
            </w:r>
            <w:proofErr w:type="spellStart"/>
            <w:r w:rsidRPr="007403CD">
              <w:rPr>
                <w:rFonts w:ascii="Book Antiqua" w:hAnsi="Book Antiqua" w:cs="Arial"/>
              </w:rPr>
              <w:t>mo</w:t>
            </w:r>
            <w:proofErr w:type="spellEnd"/>
          </w:p>
        </w:tc>
        <w:tc>
          <w:tcPr>
            <w:tcW w:w="2060" w:type="dxa"/>
            <w:vAlign w:val="center"/>
          </w:tcPr>
          <w:p w14:paraId="762FFF1A"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All responded one still had raised transaminase</w:t>
            </w:r>
          </w:p>
        </w:tc>
        <w:tc>
          <w:tcPr>
            <w:tcW w:w="1736" w:type="dxa"/>
            <w:vAlign w:val="center"/>
          </w:tcPr>
          <w:p w14:paraId="2A5A7F0F"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3/4 (75%) on DPA developed cytopenia</w:t>
            </w:r>
          </w:p>
        </w:tc>
      </w:tr>
      <w:tr w:rsidR="00FC1E70" w:rsidRPr="007403CD" w14:paraId="4406E8CE" w14:textId="77777777" w:rsidTr="00FC1E70">
        <w:trPr>
          <w:trHeight w:val="677"/>
          <w:jc w:val="center"/>
        </w:trPr>
        <w:tc>
          <w:tcPr>
            <w:tcW w:w="1463" w:type="dxa"/>
            <w:vAlign w:val="center"/>
          </w:tcPr>
          <w:p w14:paraId="7C745312" w14:textId="77777777" w:rsidR="00FC1E70" w:rsidRPr="007403CD" w:rsidRDefault="00FC1E70" w:rsidP="00FC1E70">
            <w:pPr>
              <w:adjustRightInd w:val="0"/>
              <w:snapToGrid w:val="0"/>
              <w:spacing w:line="360" w:lineRule="auto"/>
              <w:jc w:val="center"/>
              <w:rPr>
                <w:rFonts w:ascii="Book Antiqua" w:hAnsi="Book Antiqua" w:cs="Arial"/>
                <w:lang w:eastAsia="zh-CN"/>
              </w:rPr>
            </w:pPr>
            <w:proofErr w:type="spellStart"/>
            <w:r w:rsidRPr="007403CD">
              <w:rPr>
                <w:rFonts w:ascii="Book Antiqua" w:hAnsi="Book Antiqua" w:cs="Arial"/>
              </w:rPr>
              <w:t>Bavdekar</w:t>
            </w:r>
            <w:proofErr w:type="spellEnd"/>
            <w:r w:rsidRPr="007403CD">
              <w:rPr>
                <w:rFonts w:ascii="Book Antiqua" w:hAnsi="Book Antiqua" w:cs="Arial"/>
              </w:rPr>
              <w:t xml:space="preserve"> </w:t>
            </w:r>
            <w:r w:rsidRPr="007403CD">
              <w:rPr>
                <w:rFonts w:ascii="Book Antiqua" w:hAnsi="Book Antiqua" w:cs="Arial"/>
                <w:i/>
              </w:rPr>
              <w:t>et al</w:t>
            </w:r>
            <w:r w:rsidRPr="007403CD">
              <w:rPr>
                <w:rFonts w:ascii="Book Antiqua" w:hAnsi="Book Antiqua" w:cs="Arial"/>
                <w:vertAlign w:val="superscript"/>
              </w:rPr>
              <w:t>[</w:t>
            </w:r>
            <w:r w:rsidRPr="007403CD">
              <w:rPr>
                <w:rFonts w:ascii="Book Antiqua" w:hAnsi="Book Antiqua" w:cs="Arial"/>
              </w:rPr>
              <w:fldChar w:fldCharType="begin" w:fldLock="1"/>
            </w:r>
            <w:r w:rsidRPr="007403CD">
              <w:rPr>
                <w:rFonts w:ascii="Book Antiqua" w:hAnsi="Book Antiqua" w:cs="Arial"/>
              </w:rPr>
              <w:instrText>ADDIN CSL_CITATION {"citationItems":[{"id":"ITEM-1","itemData":{"DOI":"10.1136/adc.74.1.32","ISSN":"14682044","abstract":"Indian childhood cirrhosis (ICC) is an almost uniformly fatal disease whose outcome may be modified with penicillamine if given at a sufficiently early stage. Twenty nine children with ICC seen in Pune, India, in 1980-7, who had survived at least five years from onset of penicillamine treatment, were reviewed aged 6.3 to 13 years. They were assessed clinically, biochemically, histologically, and by duplex Doppler ultrasound examination. None had symptoms suggestive of liver disease. There were no toxic effects of penicillamine other than asymptomatic proteinuria. Hepatosplenomegaly reduced significantly and liver function tests returned to normal in all. In four children, significant hepatosplenomegaly was associated with an abnormal duplex Doppler hepatic vein flow pattern and micronodular cirrhosis on biopsy. Clinical findings, growth and development, and ultrasound examination were normal in the remainder. Review of serial liver biopsy specimens showed a sequence of recovery from ICC through inactive micronodular cirrhosis to virtually normal histological appearances. The four children who still have micronodular cirrhosis beyond four years from onset remain on penicillamine treatment. In the others penicillamine was stopped after 1-7 (mean 3.5) years without relapse, strong evidence that ICC is not due to an inborn error of copper metabolism.","author":[{"dropping-particle":"","family":"Bavdekar","given":"A. R.","non-dropping-particle":"","parse-names":false,"suffix":""},{"dropping-particle":"","family":"Bhave","given":"S. A.","non-dropping-particle":"","parse-names":false,"suffix":""},{"dropping-particle":"","family":"Pradhan","given":"A. M.","non-dropping-particle":"","parse-names":false,"suffix":""},{"dropping-particle":"","family":"Pandit","given":"A. N.","non-dropping-particle":"","parse-names":false,"suffix":""},{"dropping-particle":"","family":"Tanner","given":"M. S.","non-dropping-particle":"","parse-names":false,"suffix":""}],"container-title":"Archives of Disease in Childhood","id":"ITEM-1","issue":"1","issued":{"date-parts":[["1996"]]},"page":"32-35","title":"Long term survival in Indian childhood cirrhosis treated with D-penicillamine","type":"article-journal","volume":"74"},"uris":["http://www.mendeley.com/documents/?uuid=6428ca57-9356-4564-9cd7-388268f4e5b3"]}],"mendeley":{"formattedCitation":"&lt;sup&gt;109&lt;/sup&gt;","plainTextFormattedCitation":"109","previouslyFormattedCitation":"&lt;sup&gt;109&lt;/sup&gt;"},"properties":{"noteIndex":0},"schema":"https://github.com/citation-style-language/schema/raw/master/csl-citation.json"}</w:instrText>
            </w:r>
            <w:r w:rsidRPr="007403CD">
              <w:rPr>
                <w:rFonts w:ascii="Book Antiqua" w:hAnsi="Book Antiqua" w:cs="Arial"/>
              </w:rPr>
              <w:fldChar w:fldCharType="separate"/>
            </w:r>
            <w:r w:rsidRPr="007403CD">
              <w:rPr>
                <w:rFonts w:ascii="Book Antiqua" w:hAnsi="Book Antiqua" w:cs="Arial"/>
                <w:noProof/>
                <w:vertAlign w:val="superscript"/>
              </w:rPr>
              <w:t>109</w:t>
            </w:r>
            <w:r w:rsidRPr="007403CD">
              <w:rPr>
                <w:rFonts w:ascii="Book Antiqua" w:hAnsi="Book Antiqua" w:cs="Arial"/>
              </w:rPr>
              <w:fldChar w:fldCharType="end"/>
            </w:r>
            <w:r w:rsidRPr="007403CD">
              <w:rPr>
                <w:rFonts w:ascii="Book Antiqua" w:hAnsi="Book Antiqua" w:cs="Arial"/>
                <w:vertAlign w:val="superscript"/>
              </w:rPr>
              <w:t>]</w:t>
            </w:r>
          </w:p>
        </w:tc>
        <w:tc>
          <w:tcPr>
            <w:tcW w:w="2101" w:type="dxa"/>
            <w:vAlign w:val="center"/>
          </w:tcPr>
          <w:p w14:paraId="15A3E6EF"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ICC</w:t>
            </w:r>
          </w:p>
        </w:tc>
        <w:tc>
          <w:tcPr>
            <w:tcW w:w="1434" w:type="dxa"/>
            <w:vAlign w:val="center"/>
          </w:tcPr>
          <w:p w14:paraId="4BDF0902"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DPA (</w:t>
            </w:r>
            <w:r w:rsidRPr="007403CD">
              <w:rPr>
                <w:rFonts w:ascii="Book Antiqua" w:hAnsi="Book Antiqua" w:cs="Arial"/>
                <w:i/>
              </w:rPr>
              <w:t xml:space="preserve">n = </w:t>
            </w:r>
            <w:r w:rsidRPr="007403CD">
              <w:rPr>
                <w:rFonts w:ascii="Book Antiqua" w:hAnsi="Book Antiqua" w:cs="Arial"/>
              </w:rPr>
              <w:t>68)</w:t>
            </w:r>
          </w:p>
        </w:tc>
        <w:tc>
          <w:tcPr>
            <w:tcW w:w="1983" w:type="dxa"/>
            <w:vAlign w:val="center"/>
          </w:tcPr>
          <w:p w14:paraId="466975AE" w14:textId="77777777" w:rsidR="00FC1E70" w:rsidRPr="007403CD" w:rsidRDefault="00FC1E70" w:rsidP="00FC1E70">
            <w:pPr>
              <w:adjustRightInd w:val="0"/>
              <w:snapToGrid w:val="0"/>
              <w:spacing w:line="360" w:lineRule="auto"/>
              <w:jc w:val="center"/>
              <w:rPr>
                <w:rFonts w:ascii="Book Antiqua" w:hAnsi="Book Antiqua" w:cs="Arial"/>
                <w:lang w:eastAsia="zh-CN"/>
              </w:rPr>
            </w:pPr>
            <w:r>
              <w:rPr>
                <w:rFonts w:ascii="Book Antiqua" w:hAnsi="Book Antiqua" w:cs="Arial"/>
              </w:rPr>
              <w:t xml:space="preserve">3.5 (1-7) </w:t>
            </w:r>
            <w:proofErr w:type="spellStart"/>
            <w:r>
              <w:rPr>
                <w:rFonts w:ascii="Book Antiqua" w:hAnsi="Book Antiqua" w:cs="Arial"/>
              </w:rPr>
              <w:t>yr</w:t>
            </w:r>
            <w:proofErr w:type="spellEnd"/>
          </w:p>
        </w:tc>
        <w:tc>
          <w:tcPr>
            <w:tcW w:w="2060" w:type="dxa"/>
            <w:vAlign w:val="center"/>
          </w:tcPr>
          <w:p w14:paraId="56D479E3"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29/68 (42.6%) alive after follow up</w:t>
            </w:r>
          </w:p>
        </w:tc>
        <w:tc>
          <w:tcPr>
            <w:tcW w:w="1736" w:type="dxa"/>
            <w:vAlign w:val="center"/>
          </w:tcPr>
          <w:p w14:paraId="3054E5F6"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5 children had proteinuria</w:t>
            </w:r>
          </w:p>
        </w:tc>
      </w:tr>
      <w:tr w:rsidR="00FC1E70" w:rsidRPr="007403CD" w14:paraId="0026FC38" w14:textId="77777777" w:rsidTr="00FC1E70">
        <w:trPr>
          <w:trHeight w:val="559"/>
          <w:jc w:val="center"/>
        </w:trPr>
        <w:tc>
          <w:tcPr>
            <w:tcW w:w="1463" w:type="dxa"/>
            <w:vAlign w:val="center"/>
          </w:tcPr>
          <w:p w14:paraId="581E09E4" w14:textId="77777777" w:rsidR="00FC1E70" w:rsidRPr="007403CD" w:rsidRDefault="00FC1E70" w:rsidP="00FC1E70">
            <w:pPr>
              <w:adjustRightInd w:val="0"/>
              <w:snapToGrid w:val="0"/>
              <w:spacing w:line="360" w:lineRule="auto"/>
              <w:jc w:val="center"/>
              <w:rPr>
                <w:rFonts w:ascii="Book Antiqua" w:hAnsi="Book Antiqua" w:cs="Arial"/>
              </w:rPr>
            </w:pPr>
            <w:proofErr w:type="spellStart"/>
            <w:r w:rsidRPr="007403CD">
              <w:rPr>
                <w:rFonts w:ascii="Book Antiqua" w:hAnsi="Book Antiqua" w:cs="Arial"/>
              </w:rPr>
              <w:t>Tomar</w:t>
            </w:r>
            <w:proofErr w:type="spellEnd"/>
            <w:r w:rsidRPr="007403CD">
              <w:rPr>
                <w:rFonts w:ascii="Book Antiqua" w:hAnsi="Book Antiqua" w:cs="Arial"/>
              </w:rPr>
              <w:t xml:space="preserve"> </w:t>
            </w:r>
            <w:r w:rsidRPr="007403CD">
              <w:rPr>
                <w:rFonts w:ascii="Book Antiqua" w:hAnsi="Book Antiqua" w:cs="Arial"/>
                <w:i/>
              </w:rPr>
              <w:t>et al</w:t>
            </w:r>
            <w:r w:rsidRPr="007403CD">
              <w:rPr>
                <w:rFonts w:ascii="Book Antiqua" w:hAnsi="Book Antiqua" w:cs="Arial"/>
                <w:vertAlign w:val="superscript"/>
              </w:rPr>
              <w:t>[</w:t>
            </w:r>
            <w:r w:rsidRPr="007403CD">
              <w:rPr>
                <w:rFonts w:ascii="Book Antiqua" w:hAnsi="Book Antiqua" w:cs="Arial"/>
              </w:rPr>
              <w:fldChar w:fldCharType="begin" w:fldLock="1"/>
            </w:r>
            <w:r w:rsidRPr="007403CD">
              <w:rPr>
                <w:rFonts w:ascii="Book Antiqua" w:hAnsi="Book Antiqua" w:cs="Arial"/>
              </w:rPr>
              <w:instrText>ADDIN CSL_CITATION {"citationItems":[{"id":"ITEM-1","itemData":{"DOI":"10.1007/BF02957727","ISSN":"00195456","PMID":"6680110","abstract":"A longitudinal study was carried out for evaluating the effect of D-penicillamine in the treatment of 85 biopsy proven cases of Indian childhood cirrhosis. The drug significantly (P&lt; 0.002) reduced the serum and hepatic copper content and simultaneously there was improvement in clinical and symptomatic aspects. This therapy was compared with the conventional corticosteroid therapy. The D-penicillamine therapy was found to be superior (P&lt; 0.002). © 1983 Dr. K C Chaudhuri Foundation.","author":[{"dropping-particle":"","family":"Tomar","given":"B. S.","non-dropping-particle":"","parse-names":false,"suffix":""},{"dropping-particle":"","family":"Saxena","given":"S.","non-dropping-particle":"","parse-names":false,"suffix":""},{"dropping-particle":"","family":"Prakash","given":"P.","non-dropping-particle":"","parse-names":false,"suffix":""},{"dropping-particle":"","family":"Tomar","given":"S.","non-dropping-particle":"","parse-names":false,"suffix":""},{"dropping-particle":"","family":"Verma","given":"C.","non-dropping-particle":"","parse-names":false,"suffix":""}],"container-title":"The Indian Journal of Pediatrics","id":"ITEM-1","issue":"6","issued":{"date-parts":[["1983"]]},"page":"613-618","title":"D-penicillamine in the treatment of Indian childhood cirrhosis-a preliminary report","type":"article-journal","volume":"50"},"uris":["http://www.mendeley.com/documents/?uuid=abebc6e1-6724-4362-9195-d1efa2979460"]}],"mendeley":{"formattedCitation":"&lt;sup&gt;75&lt;/sup&gt;","plainTextFormattedCitation":"75","previouslyFormattedCitation":"&lt;sup&gt;75&lt;/sup&gt;"},"properties":{"noteIndex":0},"schema":"https://github.com/citation-style-language/schema/raw/master/csl-citation.json"}</w:instrText>
            </w:r>
            <w:r w:rsidRPr="007403CD">
              <w:rPr>
                <w:rFonts w:ascii="Book Antiqua" w:hAnsi="Book Antiqua" w:cs="Arial"/>
              </w:rPr>
              <w:fldChar w:fldCharType="separate"/>
            </w:r>
            <w:r w:rsidRPr="007403CD">
              <w:rPr>
                <w:rFonts w:ascii="Book Antiqua" w:hAnsi="Book Antiqua" w:cs="Arial"/>
                <w:noProof/>
                <w:vertAlign w:val="superscript"/>
              </w:rPr>
              <w:t>75</w:t>
            </w:r>
            <w:r w:rsidRPr="007403CD">
              <w:rPr>
                <w:rFonts w:ascii="Book Antiqua" w:hAnsi="Book Antiqua" w:cs="Arial"/>
              </w:rPr>
              <w:fldChar w:fldCharType="end"/>
            </w:r>
            <w:r w:rsidRPr="007403CD">
              <w:rPr>
                <w:rFonts w:ascii="Book Antiqua" w:hAnsi="Book Antiqua" w:cs="Arial"/>
                <w:vertAlign w:val="superscript"/>
              </w:rPr>
              <w:t>]</w:t>
            </w:r>
          </w:p>
        </w:tc>
        <w:tc>
          <w:tcPr>
            <w:tcW w:w="2101" w:type="dxa"/>
            <w:vAlign w:val="center"/>
          </w:tcPr>
          <w:p w14:paraId="136E4E9E"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ICC</w:t>
            </w:r>
          </w:p>
        </w:tc>
        <w:tc>
          <w:tcPr>
            <w:tcW w:w="1434" w:type="dxa"/>
            <w:vAlign w:val="center"/>
          </w:tcPr>
          <w:p w14:paraId="09CAAE43"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DPA (</w:t>
            </w:r>
            <w:r w:rsidRPr="007403CD">
              <w:rPr>
                <w:rFonts w:ascii="Book Antiqua" w:hAnsi="Book Antiqua" w:cs="Arial"/>
                <w:i/>
              </w:rPr>
              <w:t xml:space="preserve">n = </w:t>
            </w:r>
            <w:r w:rsidRPr="007403CD">
              <w:rPr>
                <w:rFonts w:ascii="Book Antiqua" w:hAnsi="Book Antiqua" w:cs="Arial"/>
              </w:rPr>
              <w:t>60)</w:t>
            </w:r>
          </w:p>
        </w:tc>
        <w:tc>
          <w:tcPr>
            <w:tcW w:w="1983" w:type="dxa"/>
            <w:vAlign w:val="center"/>
          </w:tcPr>
          <w:p w14:paraId="3F8BEFEB"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12 </w:t>
            </w:r>
            <w:proofErr w:type="spellStart"/>
            <w:r w:rsidRPr="007403CD">
              <w:rPr>
                <w:rFonts w:ascii="Book Antiqua" w:hAnsi="Book Antiqua" w:cs="Arial"/>
              </w:rPr>
              <w:t>mo</w:t>
            </w:r>
            <w:proofErr w:type="spellEnd"/>
            <w:r w:rsidRPr="007403CD">
              <w:rPr>
                <w:rFonts w:ascii="Book Antiqua" w:hAnsi="Book Antiqua" w:cs="Arial"/>
              </w:rPr>
              <w:t xml:space="preserve"> duration</w:t>
            </w:r>
          </w:p>
        </w:tc>
        <w:tc>
          <w:tcPr>
            <w:tcW w:w="2060" w:type="dxa"/>
            <w:vAlign w:val="center"/>
          </w:tcPr>
          <w:p w14:paraId="767FF152"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13/17 (76.5%) of grade III survived</w:t>
            </w:r>
          </w:p>
        </w:tc>
        <w:tc>
          <w:tcPr>
            <w:tcW w:w="1736" w:type="dxa"/>
            <w:vAlign w:val="center"/>
          </w:tcPr>
          <w:p w14:paraId="2559C6A9"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11.8% drug rash, 5.9% fever</w:t>
            </w:r>
          </w:p>
        </w:tc>
      </w:tr>
      <w:tr w:rsidR="00FC1E70" w:rsidRPr="007403CD" w14:paraId="538400F3" w14:textId="77777777" w:rsidTr="00FC1E70">
        <w:trPr>
          <w:trHeight w:val="840"/>
          <w:jc w:val="center"/>
        </w:trPr>
        <w:tc>
          <w:tcPr>
            <w:tcW w:w="1463" w:type="dxa"/>
            <w:vAlign w:val="center"/>
          </w:tcPr>
          <w:p w14:paraId="72A69402"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Tanner </w:t>
            </w:r>
            <w:r w:rsidRPr="007403CD">
              <w:rPr>
                <w:rFonts w:ascii="Book Antiqua" w:hAnsi="Book Antiqua" w:cs="Arial"/>
                <w:i/>
              </w:rPr>
              <w:t>et al</w:t>
            </w:r>
            <w:r w:rsidRPr="007403CD">
              <w:rPr>
                <w:rFonts w:ascii="Book Antiqua" w:hAnsi="Book Antiqua" w:cs="Arial"/>
                <w:vertAlign w:val="superscript"/>
              </w:rPr>
              <w:t>[</w:t>
            </w:r>
            <w:r w:rsidRPr="007403CD">
              <w:rPr>
                <w:rFonts w:ascii="Book Antiqua" w:hAnsi="Book Antiqua" w:cs="Arial"/>
              </w:rPr>
              <w:fldChar w:fldCharType="begin" w:fldLock="1"/>
            </w:r>
            <w:r w:rsidRPr="007403CD">
              <w:rPr>
                <w:rFonts w:ascii="Book Antiqua" w:hAnsi="Book Antiqua" w:cs="Arial"/>
              </w:rPr>
              <w:instrText>ADDIN CSL_CITATION {"citationItems":[{"id":"ITEM-1","itemData":{"DOI":"10.1136/adc.62.11.1118","ISSN":"00039888","PMID":"3318711","abstract":"The outcome in 15 children with advanced Indian childhood cirrhosis (ICC) treated with penicillamine 20 mg/kg/day was not significantly different from that in untreated children. Among children admitted to a further double blind trial who had ICC but who had not yet developed jaundice or ascites 10 treated with penicillamine and 10 treated with penicillamine plus prednisolone had a significantly improved survival. Fourteen of 29 treated cases made a clinical recovery and were alive 489 to 1460 days from the start of treatment. Biopsy specimens in survivors showed a return to normal liver histology in three, residual fibrosis in six, and inactive micronodular cirrhosis in five. Thus penicillamine, while not shown to be beneficial in advanced ICC, lowered mortality from 93% to 52% in preicteric cases of ICC.","author":[{"dropping-particle":"","family":"Tanner","given":"M. S.","non-dropping-particle":"","parse-names":false,"suffix":""},{"dropping-particle":"","family":"Bhave","given":"S. A.","non-dropping-particle":"","parse-names":false,"suffix":""},{"dropping-particle":"","family":"Pradhan","given":"A. M.","non-dropping-particle":"","parse-names":false,"suffix":""},{"dropping-particle":"","family":"Pandit","given":"A. N.","non-dropping-particle":"","parse-names":false,"suffix":""}],"container-title":"Archives of Disease in Childhood","id":"ITEM-1","issued":{"date-parts":[["1987"]]},"title":"Clinical trials of penicillamine in indian childhood cirrhosis","type":"article-journal"},"uris":["http://www.mendeley.com/documents/?uuid=7d1415ac-e817-4e7a-9018-5c0c2f126250"]}],"mendeley":{"formattedCitation":"&lt;sup&gt;74&lt;/sup&gt;","plainTextFormattedCitation":"74","previouslyFormattedCitation":"&lt;sup&gt;74&lt;/sup&gt;"},"properties":{"noteIndex":0},"schema":"https://github.com/citation-style-language/schema/raw/master/csl-citation.json"}</w:instrText>
            </w:r>
            <w:r w:rsidRPr="007403CD">
              <w:rPr>
                <w:rFonts w:ascii="Book Antiqua" w:hAnsi="Book Antiqua" w:cs="Arial"/>
              </w:rPr>
              <w:fldChar w:fldCharType="separate"/>
            </w:r>
            <w:r w:rsidRPr="007403CD">
              <w:rPr>
                <w:rFonts w:ascii="Book Antiqua" w:hAnsi="Book Antiqua" w:cs="Arial"/>
                <w:noProof/>
                <w:vertAlign w:val="superscript"/>
              </w:rPr>
              <w:t>74</w:t>
            </w:r>
            <w:r w:rsidRPr="007403CD">
              <w:rPr>
                <w:rFonts w:ascii="Book Antiqua" w:hAnsi="Book Antiqua" w:cs="Arial"/>
              </w:rPr>
              <w:fldChar w:fldCharType="end"/>
            </w:r>
            <w:r w:rsidRPr="007403CD">
              <w:rPr>
                <w:rFonts w:ascii="Book Antiqua" w:hAnsi="Book Antiqua" w:cs="Arial"/>
                <w:vertAlign w:val="superscript"/>
              </w:rPr>
              <w:t>]</w:t>
            </w:r>
          </w:p>
        </w:tc>
        <w:tc>
          <w:tcPr>
            <w:tcW w:w="2101" w:type="dxa"/>
            <w:vAlign w:val="center"/>
          </w:tcPr>
          <w:p w14:paraId="7B88FC3F"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ICC (15 children treated with DPA </w:t>
            </w:r>
            <w:r w:rsidRPr="007403CD">
              <w:rPr>
                <w:rFonts w:ascii="Book Antiqua" w:hAnsi="Book Antiqua" w:cs="Arial"/>
              </w:rPr>
              <w:lastRenderedPageBreak/>
              <w:t>in both trials together)</w:t>
            </w:r>
          </w:p>
        </w:tc>
        <w:tc>
          <w:tcPr>
            <w:tcW w:w="1434" w:type="dxa"/>
            <w:vAlign w:val="center"/>
          </w:tcPr>
          <w:p w14:paraId="5141FE4A"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lastRenderedPageBreak/>
              <w:t>DPA (</w:t>
            </w:r>
            <w:r w:rsidRPr="007403CD">
              <w:rPr>
                <w:rFonts w:ascii="Book Antiqua" w:hAnsi="Book Antiqua" w:cs="Arial"/>
                <w:i/>
              </w:rPr>
              <w:t xml:space="preserve">n = </w:t>
            </w:r>
            <w:r w:rsidRPr="007403CD">
              <w:rPr>
                <w:rFonts w:ascii="Book Antiqua" w:hAnsi="Book Antiqua" w:cs="Arial"/>
              </w:rPr>
              <w:t>15)</w:t>
            </w:r>
          </w:p>
        </w:tc>
        <w:tc>
          <w:tcPr>
            <w:tcW w:w="1983" w:type="dxa"/>
            <w:vAlign w:val="center"/>
          </w:tcPr>
          <w:p w14:paraId="6BC52B08" w14:textId="77777777" w:rsidR="00FC1E70" w:rsidRPr="007403CD" w:rsidRDefault="00FC1E70" w:rsidP="00FC1E70">
            <w:pPr>
              <w:adjustRightInd w:val="0"/>
              <w:snapToGrid w:val="0"/>
              <w:spacing w:line="360" w:lineRule="auto"/>
              <w:jc w:val="center"/>
              <w:rPr>
                <w:rFonts w:ascii="Book Antiqua" w:hAnsi="Book Antiqua" w:cs="Arial"/>
                <w:lang w:eastAsia="zh-CN"/>
              </w:rPr>
            </w:pPr>
            <w:r w:rsidRPr="007403CD">
              <w:rPr>
                <w:rFonts w:ascii="Book Antiqua" w:hAnsi="Book Antiqua" w:cs="Arial"/>
              </w:rPr>
              <w:t xml:space="preserve">6 </w:t>
            </w:r>
            <w:proofErr w:type="spellStart"/>
            <w:r>
              <w:rPr>
                <w:rFonts w:ascii="Book Antiqua" w:hAnsi="Book Antiqua" w:cs="Arial"/>
              </w:rPr>
              <w:t>yr</w:t>
            </w:r>
            <w:proofErr w:type="spellEnd"/>
          </w:p>
        </w:tc>
        <w:tc>
          <w:tcPr>
            <w:tcW w:w="2060" w:type="dxa"/>
            <w:vAlign w:val="center"/>
          </w:tcPr>
          <w:p w14:paraId="0610BD0F"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Trial </w:t>
            </w:r>
            <w:r>
              <w:rPr>
                <w:rFonts w:ascii="Book Antiqua" w:hAnsi="Book Antiqua" w:cs="Arial"/>
              </w:rPr>
              <w:t xml:space="preserve">I: 1/15 (6.7%) survived in 6 </w:t>
            </w:r>
            <w:proofErr w:type="spellStart"/>
            <w:r>
              <w:rPr>
                <w:rFonts w:ascii="Book Antiqua" w:hAnsi="Book Antiqua" w:cs="Arial"/>
              </w:rPr>
              <w:t>yr</w:t>
            </w:r>
            <w:proofErr w:type="spellEnd"/>
            <w:r w:rsidRPr="007403CD">
              <w:rPr>
                <w:rFonts w:ascii="Book Antiqua" w:hAnsi="Book Antiqua" w:cs="Arial"/>
              </w:rPr>
              <w:t>,</w:t>
            </w:r>
          </w:p>
          <w:p w14:paraId="4B319255" w14:textId="77777777" w:rsidR="00FC1E70" w:rsidRPr="007403CD" w:rsidRDefault="00FC1E70" w:rsidP="00FC1E70">
            <w:pPr>
              <w:adjustRightInd w:val="0"/>
              <w:snapToGrid w:val="0"/>
              <w:spacing w:line="360" w:lineRule="auto"/>
              <w:jc w:val="center"/>
              <w:rPr>
                <w:rFonts w:ascii="Book Antiqua" w:hAnsi="Book Antiqua" w:cs="Arial"/>
                <w:lang w:eastAsia="zh-CN"/>
              </w:rPr>
            </w:pPr>
            <w:r w:rsidRPr="007403CD">
              <w:rPr>
                <w:rFonts w:ascii="Book Antiqua" w:hAnsi="Book Antiqua" w:cs="Arial"/>
              </w:rPr>
              <w:lastRenderedPageBreak/>
              <w:t>Trial II: 5/10</w:t>
            </w:r>
            <w:r>
              <w:rPr>
                <w:rFonts w:ascii="Book Antiqua" w:hAnsi="Book Antiqua" w:cs="Arial" w:hint="eastAsia"/>
                <w:lang w:eastAsia="zh-CN"/>
              </w:rPr>
              <w:t xml:space="preserve"> </w:t>
            </w:r>
            <w:r>
              <w:rPr>
                <w:rFonts w:ascii="Book Antiqua" w:hAnsi="Book Antiqua" w:cs="Arial"/>
              </w:rPr>
              <w:t xml:space="preserve">(50%) survived in 6 </w:t>
            </w:r>
            <w:proofErr w:type="spellStart"/>
            <w:r>
              <w:rPr>
                <w:rFonts w:ascii="Book Antiqua" w:hAnsi="Book Antiqua" w:cs="Arial"/>
              </w:rPr>
              <w:t>yr</w:t>
            </w:r>
            <w:proofErr w:type="spellEnd"/>
          </w:p>
        </w:tc>
        <w:tc>
          <w:tcPr>
            <w:tcW w:w="1736" w:type="dxa"/>
            <w:vAlign w:val="center"/>
          </w:tcPr>
          <w:p w14:paraId="47C7B553"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lastRenderedPageBreak/>
              <w:t>Not mentioned</w:t>
            </w:r>
          </w:p>
        </w:tc>
      </w:tr>
      <w:tr w:rsidR="00FC1E70" w:rsidRPr="007403CD" w14:paraId="55F4F28B" w14:textId="77777777" w:rsidTr="00FC1E70">
        <w:trPr>
          <w:trHeight w:val="525"/>
          <w:jc w:val="center"/>
        </w:trPr>
        <w:tc>
          <w:tcPr>
            <w:tcW w:w="1463" w:type="dxa"/>
            <w:vAlign w:val="center"/>
          </w:tcPr>
          <w:p w14:paraId="0A255547" w14:textId="77777777" w:rsidR="00FC1E70" w:rsidRPr="007403CD" w:rsidRDefault="00FC1E70" w:rsidP="00FC1E70">
            <w:pPr>
              <w:adjustRightInd w:val="0"/>
              <w:snapToGrid w:val="0"/>
              <w:spacing w:line="360" w:lineRule="auto"/>
              <w:jc w:val="center"/>
              <w:rPr>
                <w:rFonts w:ascii="Book Antiqua" w:hAnsi="Book Antiqua" w:cs="Arial"/>
              </w:rPr>
            </w:pPr>
            <w:proofErr w:type="spellStart"/>
            <w:r w:rsidRPr="007403CD">
              <w:rPr>
                <w:rFonts w:ascii="Book Antiqua" w:hAnsi="Book Antiqua" w:cs="Arial"/>
              </w:rPr>
              <w:t>Horselen</w:t>
            </w:r>
            <w:proofErr w:type="spellEnd"/>
            <w:r w:rsidRPr="007403CD">
              <w:rPr>
                <w:rFonts w:ascii="Book Antiqua" w:hAnsi="Book Antiqua" w:cs="Arial"/>
              </w:rPr>
              <w:t xml:space="preserve"> </w:t>
            </w:r>
            <w:r w:rsidRPr="007403CD">
              <w:rPr>
                <w:rFonts w:ascii="Book Antiqua" w:hAnsi="Book Antiqua" w:cs="Arial"/>
                <w:i/>
              </w:rPr>
              <w:t>et al</w:t>
            </w:r>
            <w:r w:rsidRPr="007403CD">
              <w:rPr>
                <w:rFonts w:ascii="Book Antiqua" w:hAnsi="Book Antiqua" w:cs="Arial"/>
                <w:vertAlign w:val="superscript"/>
              </w:rPr>
              <w:t>[</w:t>
            </w:r>
            <w:r w:rsidRPr="007403CD">
              <w:rPr>
                <w:rFonts w:ascii="Book Antiqua" w:hAnsi="Book Antiqua" w:cs="Arial"/>
              </w:rPr>
              <w:fldChar w:fldCharType="begin" w:fldLock="1"/>
            </w:r>
            <w:r w:rsidRPr="007403CD">
              <w:rPr>
                <w:rFonts w:ascii="Book Antiqua" w:hAnsi="Book Antiqua" w:cs="Arial"/>
              </w:rPr>
              <w:instrText>ADDIN CSL_CITATION {"citationItems":[{"id":"ITEM-1","itemData":{"DOI":"10.1136/gut.35.10.1497","ISSN":"00175749","PMID":"7959213","abstract":"Several papers have reported severe liver disease in association with massive hepatic copper accumulation, which do not seem to be either of the recognised copper associated liver diseases, namely Wilson's disease and Indian childhood cirrhosis. A further case is reported in which novel copper kinetic studies were carried out using the stable isotope 65CU, showing that this patient did not suffer from Wilson's disease. It is suggested that these cases can be divided into two groups on the basis of age, clinical course, and history of excessive copper ingestion. The benefits of using 65CU for in vivo studies of copper metabolism is discussed.","author":[{"dropping-particle":"","family":"Horslen","given":"S. P.","non-dropping-particle":"","parse-names":false,"suffix":""},{"dropping-particle":"","family":"Tanner","given":"M. S.","non-dropping-particle":"","parse-names":false,"suffix":""},{"dropping-particle":"","family":"Lyon","given":"T. D.B.","non-dropping-particle":"","parse-names":false,"suffix":""},{"dropping-particle":"","family":"Fell","given":"G. S.","non-dropping-particle":"","parse-names":false,"suffix":""},{"dropping-particle":"","family":"Lowry","given":"M. F.","non-dropping-particle":"","parse-names":false,"suffix":""}],"container-title":"Gut","id":"ITEM-1","issued":{"date-parts":[["1994"]]},"title":"Copper associated childhood cirrhosis","type":"article-journal"},"uris":["http://www.mendeley.com/documents/?uuid=f5370697-cb04-4654-b0b2-3f2c200fc7a5"]}],"mendeley":{"formattedCitation":"&lt;sup&gt;77&lt;/sup&gt;","plainTextFormattedCitation":"77","previouslyFormattedCitation":"&lt;sup&gt;77&lt;/sup&gt;"},"properties":{"noteIndex":0},"schema":"https://github.com/citation-style-language/schema/raw/master/csl-citation.json"}</w:instrText>
            </w:r>
            <w:r w:rsidRPr="007403CD">
              <w:rPr>
                <w:rFonts w:ascii="Book Antiqua" w:hAnsi="Book Antiqua" w:cs="Arial"/>
              </w:rPr>
              <w:fldChar w:fldCharType="separate"/>
            </w:r>
            <w:r w:rsidRPr="007403CD">
              <w:rPr>
                <w:rFonts w:ascii="Book Antiqua" w:hAnsi="Book Antiqua" w:cs="Arial"/>
                <w:noProof/>
                <w:vertAlign w:val="superscript"/>
              </w:rPr>
              <w:t>77</w:t>
            </w:r>
            <w:r w:rsidRPr="007403CD">
              <w:rPr>
                <w:rFonts w:ascii="Book Antiqua" w:hAnsi="Book Antiqua" w:cs="Arial"/>
              </w:rPr>
              <w:fldChar w:fldCharType="end"/>
            </w:r>
            <w:r w:rsidRPr="007403CD">
              <w:rPr>
                <w:rFonts w:ascii="Book Antiqua" w:hAnsi="Book Antiqua" w:cs="Arial"/>
                <w:vertAlign w:val="superscript"/>
              </w:rPr>
              <w:t>]</w:t>
            </w:r>
          </w:p>
        </w:tc>
        <w:tc>
          <w:tcPr>
            <w:tcW w:w="2101" w:type="dxa"/>
            <w:vAlign w:val="center"/>
          </w:tcPr>
          <w:p w14:paraId="554546F4" w14:textId="77777777" w:rsidR="00FC1E70" w:rsidRPr="007403CD" w:rsidRDefault="00FC1E70" w:rsidP="00FC1E70">
            <w:pPr>
              <w:adjustRightInd w:val="0"/>
              <w:snapToGrid w:val="0"/>
              <w:spacing w:line="360" w:lineRule="auto"/>
              <w:jc w:val="center"/>
              <w:rPr>
                <w:rFonts w:ascii="Book Antiqua" w:hAnsi="Book Antiqua" w:cs="Arial"/>
              </w:rPr>
            </w:pPr>
            <w:r>
              <w:rPr>
                <w:rFonts w:ascii="Book Antiqua" w:hAnsi="Book Antiqua" w:cs="Arial"/>
              </w:rPr>
              <w:t xml:space="preserve">Case report CACC (age 7 </w:t>
            </w:r>
            <w:proofErr w:type="spellStart"/>
            <w:r>
              <w:rPr>
                <w:rFonts w:ascii="Book Antiqua" w:hAnsi="Book Antiqua" w:cs="Arial"/>
              </w:rPr>
              <w:t>yr</w:t>
            </w:r>
            <w:proofErr w:type="spellEnd"/>
            <w:r w:rsidRPr="007403CD">
              <w:rPr>
                <w:rFonts w:ascii="Book Antiqua" w:hAnsi="Book Antiqua" w:cs="Arial"/>
              </w:rPr>
              <w:t>)</w:t>
            </w:r>
          </w:p>
        </w:tc>
        <w:tc>
          <w:tcPr>
            <w:tcW w:w="1434" w:type="dxa"/>
            <w:vAlign w:val="center"/>
          </w:tcPr>
          <w:p w14:paraId="5DBFE764"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DPA</w:t>
            </w:r>
          </w:p>
        </w:tc>
        <w:tc>
          <w:tcPr>
            <w:tcW w:w="1983" w:type="dxa"/>
            <w:vAlign w:val="center"/>
          </w:tcPr>
          <w:p w14:paraId="261CBE9F"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19 </w:t>
            </w:r>
            <w:proofErr w:type="spellStart"/>
            <w:r w:rsidRPr="007403CD">
              <w:rPr>
                <w:rFonts w:ascii="Book Antiqua" w:hAnsi="Book Antiqua" w:cs="Arial"/>
              </w:rPr>
              <w:t>mo</w:t>
            </w:r>
            <w:proofErr w:type="spellEnd"/>
          </w:p>
        </w:tc>
        <w:tc>
          <w:tcPr>
            <w:tcW w:w="2060" w:type="dxa"/>
            <w:vAlign w:val="center"/>
          </w:tcPr>
          <w:p w14:paraId="37C9A4B1"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Hepatic copper normalized</w:t>
            </w:r>
          </w:p>
        </w:tc>
        <w:tc>
          <w:tcPr>
            <w:tcW w:w="1736" w:type="dxa"/>
            <w:vAlign w:val="center"/>
          </w:tcPr>
          <w:p w14:paraId="4DBFE65A"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none</w:t>
            </w:r>
          </w:p>
        </w:tc>
      </w:tr>
      <w:tr w:rsidR="00FC1E70" w:rsidRPr="007403CD" w14:paraId="03808445" w14:textId="77777777" w:rsidTr="00FC1E70">
        <w:trPr>
          <w:trHeight w:val="840"/>
          <w:jc w:val="center"/>
        </w:trPr>
        <w:tc>
          <w:tcPr>
            <w:tcW w:w="1463" w:type="dxa"/>
            <w:vAlign w:val="center"/>
          </w:tcPr>
          <w:p w14:paraId="3109B542"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Maggiore </w:t>
            </w:r>
            <w:r w:rsidRPr="007403CD">
              <w:rPr>
                <w:rFonts w:ascii="Book Antiqua" w:hAnsi="Book Antiqua" w:cs="Arial"/>
                <w:i/>
              </w:rPr>
              <w:t>et al</w:t>
            </w:r>
            <w:r w:rsidRPr="007403CD">
              <w:rPr>
                <w:rFonts w:ascii="Book Antiqua" w:hAnsi="Book Antiqua" w:cs="Arial"/>
                <w:vertAlign w:val="superscript"/>
              </w:rPr>
              <w:t>[</w:t>
            </w:r>
            <w:r w:rsidRPr="007403CD">
              <w:rPr>
                <w:rFonts w:ascii="Book Antiqua" w:hAnsi="Book Antiqua" w:cs="Arial"/>
              </w:rPr>
              <w:fldChar w:fldCharType="begin" w:fldLock="1"/>
            </w:r>
            <w:r w:rsidRPr="007403CD">
              <w:rPr>
                <w:rFonts w:ascii="Book Antiqua" w:hAnsi="Book Antiqua" w:cs="Arial"/>
              </w:rPr>
              <w:instrText>ADDIN CSL_CITATION {"citationItems":[{"id":"ITEM-1","itemData":{"DOI":"10.1097/00005176-198711000-00028","ISSN":"15364801","PMID":"3681585","abstract":"A 10-year-old Italian boy with chronic liver disease and copper overload is described. Biological and histopathological findings are similar to those described in children with Indian childhood cirrhosis. This report suggest that a disease akin to Indian childhood cirrhosis but different from Wilson disease can be found in non-Indian children probably representing a new, possibly inherited, disease of copper metabolism leading to copper overload in the liver. © 1987 Raven Press. Ltd., New York.","author":[{"dropping-particle":"","family":"Maggiore","given":"Giuseppe","non-dropping-particle":"","parse-names":false,"suffix":""},{"dropping-particle":"","family":"Giacomo","given":"Costantino","non-dropping-particle":"De","parse-names":false,"suffix":""},{"dropping-particle":"","family":"Sessa","given":"Fausto","non-dropping-particle":"","parse-names":false,"suffix":""},{"dropping-particle":"","family":"Burgio","given":"G. Roberto","non-dropping-particle":"","parse-names":false,"suffix":""}],"container-title":"Journal of Pediatric Gastroenterology and Nutrition","id":"ITEM-1","issued":{"date-parts":[["1987"]]},"title":"Idiopathic hepatic copper toxicosis in a child","type":"article-journal"},"uris":["http://www.mendeley.com/documents/?uuid=dbb5bf2d-7c5c-40de-8a09-8ad6d1edfe39"]}],"mendeley":{"formattedCitation":"&lt;sup&gt;78&lt;/sup&gt;","plainTextFormattedCitation":"78","previouslyFormattedCitation":"&lt;sup&gt;78&lt;/sup&gt;"},"properties":{"noteIndex":0},"schema":"https://github.com/citation-style-language/schema/raw/master/csl-citation.json"}</w:instrText>
            </w:r>
            <w:r w:rsidRPr="007403CD">
              <w:rPr>
                <w:rFonts w:ascii="Book Antiqua" w:hAnsi="Book Antiqua" w:cs="Arial"/>
              </w:rPr>
              <w:fldChar w:fldCharType="separate"/>
            </w:r>
            <w:r w:rsidRPr="007403CD">
              <w:rPr>
                <w:rFonts w:ascii="Book Antiqua" w:hAnsi="Book Antiqua" w:cs="Arial"/>
                <w:noProof/>
                <w:vertAlign w:val="superscript"/>
              </w:rPr>
              <w:t>78</w:t>
            </w:r>
            <w:r w:rsidRPr="007403CD">
              <w:rPr>
                <w:rFonts w:ascii="Book Antiqua" w:hAnsi="Book Antiqua" w:cs="Arial"/>
              </w:rPr>
              <w:fldChar w:fldCharType="end"/>
            </w:r>
            <w:r w:rsidRPr="007403CD">
              <w:rPr>
                <w:rFonts w:ascii="Book Antiqua" w:hAnsi="Book Antiqua" w:cs="Arial"/>
                <w:vertAlign w:val="superscript"/>
              </w:rPr>
              <w:t>]</w:t>
            </w:r>
          </w:p>
        </w:tc>
        <w:tc>
          <w:tcPr>
            <w:tcW w:w="2101" w:type="dxa"/>
            <w:vAlign w:val="center"/>
          </w:tcPr>
          <w:p w14:paraId="5C7B7AFE" w14:textId="77777777" w:rsidR="00FC1E70" w:rsidRPr="007403CD" w:rsidRDefault="00FC1E70" w:rsidP="00FC1E70">
            <w:pPr>
              <w:adjustRightInd w:val="0"/>
              <w:snapToGrid w:val="0"/>
              <w:spacing w:line="360" w:lineRule="auto"/>
              <w:jc w:val="center"/>
              <w:rPr>
                <w:rFonts w:ascii="Book Antiqua" w:hAnsi="Book Antiqua" w:cs="Arial"/>
              </w:rPr>
            </w:pPr>
            <w:r>
              <w:rPr>
                <w:rFonts w:ascii="Book Antiqua" w:hAnsi="Book Antiqua" w:cs="Arial"/>
              </w:rPr>
              <w:t xml:space="preserve">Case report CACC (age 10 </w:t>
            </w:r>
            <w:proofErr w:type="spellStart"/>
            <w:r>
              <w:rPr>
                <w:rFonts w:ascii="Book Antiqua" w:hAnsi="Book Antiqua" w:cs="Arial"/>
              </w:rPr>
              <w:t>yr</w:t>
            </w:r>
            <w:proofErr w:type="spellEnd"/>
            <w:r w:rsidRPr="007403CD">
              <w:rPr>
                <w:rFonts w:ascii="Book Antiqua" w:hAnsi="Book Antiqua" w:cs="Arial"/>
              </w:rPr>
              <w:t>)</w:t>
            </w:r>
          </w:p>
        </w:tc>
        <w:tc>
          <w:tcPr>
            <w:tcW w:w="1434" w:type="dxa"/>
            <w:vAlign w:val="center"/>
          </w:tcPr>
          <w:p w14:paraId="082A5032"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DPA</w:t>
            </w:r>
          </w:p>
        </w:tc>
        <w:tc>
          <w:tcPr>
            <w:tcW w:w="1983" w:type="dxa"/>
            <w:vAlign w:val="center"/>
          </w:tcPr>
          <w:p w14:paraId="5A53538C"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24 </w:t>
            </w:r>
            <w:proofErr w:type="spellStart"/>
            <w:r w:rsidRPr="007403CD">
              <w:rPr>
                <w:rFonts w:ascii="Book Antiqua" w:hAnsi="Book Antiqua" w:cs="Arial"/>
              </w:rPr>
              <w:t>mo</w:t>
            </w:r>
            <w:proofErr w:type="spellEnd"/>
          </w:p>
        </w:tc>
        <w:tc>
          <w:tcPr>
            <w:tcW w:w="2060" w:type="dxa"/>
            <w:vAlign w:val="center"/>
          </w:tcPr>
          <w:p w14:paraId="49B90357"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No improvement</w:t>
            </w:r>
          </w:p>
        </w:tc>
        <w:tc>
          <w:tcPr>
            <w:tcW w:w="1736" w:type="dxa"/>
            <w:vAlign w:val="center"/>
          </w:tcPr>
          <w:p w14:paraId="59C20682"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Not mentioned</w:t>
            </w:r>
          </w:p>
        </w:tc>
      </w:tr>
      <w:tr w:rsidR="00FC1E70" w:rsidRPr="007403CD" w14:paraId="48552324" w14:textId="77777777" w:rsidTr="00FC1E70">
        <w:trPr>
          <w:trHeight w:val="840"/>
          <w:jc w:val="center"/>
        </w:trPr>
        <w:tc>
          <w:tcPr>
            <w:tcW w:w="1463" w:type="dxa"/>
            <w:vAlign w:val="center"/>
          </w:tcPr>
          <w:p w14:paraId="745EF2C7" w14:textId="77777777" w:rsidR="00FC1E70" w:rsidRPr="007403CD" w:rsidRDefault="00FC1E70" w:rsidP="00FC1E70">
            <w:pPr>
              <w:adjustRightInd w:val="0"/>
              <w:snapToGrid w:val="0"/>
              <w:spacing w:line="360" w:lineRule="auto"/>
              <w:jc w:val="center"/>
              <w:rPr>
                <w:rFonts w:ascii="Book Antiqua" w:hAnsi="Book Antiqua" w:cs="Arial"/>
              </w:rPr>
            </w:pPr>
            <w:proofErr w:type="spellStart"/>
            <w:r w:rsidRPr="007403CD">
              <w:rPr>
                <w:rFonts w:ascii="Book Antiqua" w:hAnsi="Book Antiqua" w:cs="Arial"/>
              </w:rPr>
              <w:t>Rodeck</w:t>
            </w:r>
            <w:proofErr w:type="spellEnd"/>
            <w:r>
              <w:rPr>
                <w:rFonts w:ascii="Book Antiqua" w:hAnsi="Book Antiqua" w:cs="Arial"/>
                <w:i/>
              </w:rPr>
              <w:t xml:space="preserve"> et</w:t>
            </w:r>
            <w:r>
              <w:rPr>
                <w:rFonts w:ascii="Book Antiqua" w:hAnsi="Book Antiqua" w:cs="Arial" w:hint="eastAsia"/>
                <w:i/>
                <w:lang w:eastAsia="zh-CN"/>
              </w:rPr>
              <w:t xml:space="preserve"> </w:t>
            </w:r>
            <w:r w:rsidRPr="007403CD">
              <w:rPr>
                <w:rFonts w:ascii="Book Antiqua" w:hAnsi="Book Antiqua" w:cs="Arial"/>
                <w:i/>
              </w:rPr>
              <w:t>al</w:t>
            </w:r>
            <w:r w:rsidRPr="007403CD">
              <w:rPr>
                <w:rFonts w:ascii="Book Antiqua" w:hAnsi="Book Antiqua" w:cs="Arial"/>
                <w:vertAlign w:val="superscript"/>
              </w:rPr>
              <w:t>[</w:t>
            </w:r>
            <w:r w:rsidRPr="007403CD">
              <w:rPr>
                <w:rFonts w:ascii="Book Antiqua" w:hAnsi="Book Antiqua" w:cs="Arial"/>
              </w:rPr>
              <w:fldChar w:fldCharType="begin" w:fldLock="1"/>
            </w:r>
            <w:r w:rsidRPr="007403CD">
              <w:rPr>
                <w:rFonts w:ascii="Book Antiqua" w:hAnsi="Book Antiqua" w:cs="Arial"/>
              </w:rPr>
              <w:instrText>ADDIN CSL_CITATION {"citationItems":[{"id":"ITEM-1","itemData":{"ISSN":"09492321","PMID":"10383883","abstract":"BACKGROUND / AIMS: Copper associated liver disease is accompanied with high liver copper concentrations and progressive liver disease in infancy or childhood. The disease is thought to be due to excessive dietary copper overload (copper-enriched water supply) and in addition to be based on a genetic predisposition. Treatment with penicillamine in Indian childhood disease, which probable has the same etiology, is effective when it is started early enough as well as in Wilson's disease. We aimed to describe the clinical features of copper associated liver disease and report our experience with different treatment options in German children. METHODS / RESULTS: Two boys presented at the age of 6 and 10 months with abdominal distension due to hepatosplenomegaly. The diagnosis of copper associated liver disease was made based on feeding history, standard liver function parameters, liver biopsy and assessment of dry weight copper concentration and urinary excretion of copper. Both had micronodular cirrhosis, ballooning of hepatocytes and Mallory bodies. In child A improvement of liver function was observed after introduction of penicillamine therapy and copper-reduced diet. The treatment was stopped after 18 months, when normalisation of copper concentration in the liver had occured. In child B acute liver failure developed despite initiation of treatment. The boy was transplanted successfully. Both children are presently healthy 10 years after transplantation and 4 years after begin of chelating therapy, respectively. CONCLUSIONS: We conclude, that early chelating therapy with penicillamine can be successful in children with copper associated liver disease. In case of delayed diagnosis and acute liver failure liver transplantation is necessary. Our case reports highlight the urgent need of rapid diagnosis of copper associated liver disease in order to initiate early chelating therapy. Copper associated liver disease should obviously be considered in liver disease of unknown origin. Possible causes of excessive dietary copper intake should be ascertained.","author":[{"dropping-particle":"","family":"Rodeck","given":"B.","non-dropping-particle":"","parse-names":false,"suffix":""},{"dropping-particle":"","family":"Kardoff","given":"R.","non-dropping-particle":"","parse-names":false,"suffix":""},{"dropping-particle":"","family":"Melter","given":"M.","non-dropping-particle":"","parse-names":false,"suffix":""}],"container-title":"European journal of medical research","id":"ITEM-1","issued":{"date-parts":[["1999"]]},"title":"Treatment of copper associated liver disease in childhood.","type":"article-journal"},"uris":["http://www.mendeley.com/documents/?uuid=01b7dd35-a8d4-4fd4-98f1-f22657385900"]}],"mendeley":{"formattedCitation":"&lt;sup&gt;110&lt;/sup&gt;","plainTextFormattedCitation":"110","previouslyFormattedCitation":"&lt;sup&gt;110&lt;/sup&gt;"},"properties":{"noteIndex":0},"schema":"https://github.com/citation-style-language/schema/raw/master/csl-citation.json"}</w:instrText>
            </w:r>
            <w:r w:rsidRPr="007403CD">
              <w:rPr>
                <w:rFonts w:ascii="Book Antiqua" w:hAnsi="Book Antiqua" w:cs="Arial"/>
              </w:rPr>
              <w:fldChar w:fldCharType="separate"/>
            </w:r>
            <w:r w:rsidRPr="007403CD">
              <w:rPr>
                <w:rFonts w:ascii="Book Antiqua" w:hAnsi="Book Antiqua" w:cs="Arial"/>
                <w:noProof/>
                <w:vertAlign w:val="superscript"/>
              </w:rPr>
              <w:t>110</w:t>
            </w:r>
            <w:r w:rsidRPr="007403CD">
              <w:rPr>
                <w:rFonts w:ascii="Book Antiqua" w:hAnsi="Book Antiqua" w:cs="Arial"/>
              </w:rPr>
              <w:fldChar w:fldCharType="end"/>
            </w:r>
            <w:r w:rsidRPr="007403CD">
              <w:rPr>
                <w:rFonts w:ascii="Book Antiqua" w:hAnsi="Book Antiqua" w:cs="Arial"/>
                <w:vertAlign w:val="superscript"/>
              </w:rPr>
              <w:t>]</w:t>
            </w:r>
          </w:p>
        </w:tc>
        <w:tc>
          <w:tcPr>
            <w:tcW w:w="2101" w:type="dxa"/>
            <w:vAlign w:val="center"/>
          </w:tcPr>
          <w:p w14:paraId="7994A078"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CACC (age 6 and 10 </w:t>
            </w:r>
            <w:proofErr w:type="spellStart"/>
            <w:r w:rsidRPr="007403CD">
              <w:rPr>
                <w:rFonts w:ascii="Book Antiqua" w:hAnsi="Book Antiqua" w:cs="Arial"/>
              </w:rPr>
              <w:t>mo</w:t>
            </w:r>
            <w:proofErr w:type="spellEnd"/>
            <w:r w:rsidRPr="007403CD">
              <w:rPr>
                <w:rFonts w:ascii="Book Antiqua" w:hAnsi="Book Antiqua" w:cs="Arial"/>
              </w:rPr>
              <w:t>)</w:t>
            </w:r>
          </w:p>
        </w:tc>
        <w:tc>
          <w:tcPr>
            <w:tcW w:w="1434" w:type="dxa"/>
            <w:vAlign w:val="center"/>
          </w:tcPr>
          <w:p w14:paraId="55DD1640"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DPA</w:t>
            </w:r>
          </w:p>
        </w:tc>
        <w:tc>
          <w:tcPr>
            <w:tcW w:w="1983" w:type="dxa"/>
            <w:vAlign w:val="center"/>
          </w:tcPr>
          <w:p w14:paraId="1DAB7C6E"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18 </w:t>
            </w:r>
            <w:proofErr w:type="spellStart"/>
            <w:r w:rsidRPr="007403CD">
              <w:rPr>
                <w:rFonts w:ascii="Book Antiqua" w:hAnsi="Book Antiqua" w:cs="Arial"/>
              </w:rPr>
              <w:t>mo</w:t>
            </w:r>
            <w:proofErr w:type="spellEnd"/>
            <w:r w:rsidRPr="007403CD">
              <w:rPr>
                <w:rFonts w:ascii="Book Antiqua" w:hAnsi="Book Antiqua" w:cs="Arial"/>
              </w:rPr>
              <w:t>, other child deteriorated immediately following DPA initiation</w:t>
            </w:r>
          </w:p>
        </w:tc>
        <w:tc>
          <w:tcPr>
            <w:tcW w:w="2060" w:type="dxa"/>
            <w:vAlign w:val="center"/>
          </w:tcPr>
          <w:p w14:paraId="56D14002"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One child improved and other developed acute liver failure requiring liver transplantation</w:t>
            </w:r>
          </w:p>
        </w:tc>
        <w:tc>
          <w:tcPr>
            <w:tcW w:w="1736" w:type="dxa"/>
            <w:vAlign w:val="center"/>
          </w:tcPr>
          <w:p w14:paraId="34916179" w14:textId="77777777" w:rsidR="00FC1E70" w:rsidRPr="007403CD" w:rsidRDefault="00FC1E70" w:rsidP="00FC1E70">
            <w:pPr>
              <w:adjustRightInd w:val="0"/>
              <w:snapToGrid w:val="0"/>
              <w:spacing w:line="360" w:lineRule="auto"/>
              <w:jc w:val="center"/>
              <w:rPr>
                <w:rFonts w:ascii="Book Antiqua" w:hAnsi="Book Antiqua" w:cs="Arial"/>
              </w:rPr>
            </w:pPr>
            <w:r w:rsidRPr="001C7B3F">
              <w:rPr>
                <w:rFonts w:ascii="Book Antiqua" w:hAnsi="Book Antiqua" w:cs="Arial"/>
                <w:caps/>
              </w:rPr>
              <w:t>n</w:t>
            </w:r>
            <w:r w:rsidRPr="007403CD">
              <w:rPr>
                <w:rFonts w:ascii="Book Antiqua" w:hAnsi="Book Antiqua" w:cs="Arial"/>
              </w:rPr>
              <w:t>one</w:t>
            </w:r>
          </w:p>
        </w:tc>
      </w:tr>
      <w:tr w:rsidR="00FC1E70" w:rsidRPr="007403CD" w14:paraId="4C34D18E" w14:textId="77777777" w:rsidTr="00FC1E70">
        <w:trPr>
          <w:trHeight w:val="840"/>
          <w:jc w:val="center"/>
        </w:trPr>
        <w:tc>
          <w:tcPr>
            <w:tcW w:w="1463" w:type="dxa"/>
            <w:vAlign w:val="center"/>
          </w:tcPr>
          <w:p w14:paraId="05320129" w14:textId="77777777" w:rsidR="00FC1E70" w:rsidRPr="007403CD" w:rsidRDefault="00FC1E70" w:rsidP="00FC1E70">
            <w:pPr>
              <w:adjustRightInd w:val="0"/>
              <w:snapToGrid w:val="0"/>
              <w:spacing w:line="360" w:lineRule="auto"/>
              <w:jc w:val="center"/>
              <w:rPr>
                <w:rFonts w:ascii="Book Antiqua" w:hAnsi="Book Antiqua" w:cs="Arial"/>
                <w:vertAlign w:val="superscript"/>
              </w:rPr>
            </w:pPr>
            <w:r w:rsidRPr="007403CD">
              <w:rPr>
                <w:rFonts w:ascii="Book Antiqua" w:hAnsi="Book Antiqua" w:cs="Arial"/>
              </w:rPr>
              <w:t xml:space="preserve">Flynn </w:t>
            </w:r>
            <w:r w:rsidRPr="007403CD">
              <w:rPr>
                <w:rFonts w:ascii="Book Antiqua" w:hAnsi="Book Antiqua" w:cs="Arial"/>
                <w:i/>
              </w:rPr>
              <w:t>et al</w:t>
            </w:r>
            <w:r w:rsidRPr="007403CD">
              <w:rPr>
                <w:rFonts w:ascii="Book Antiqua" w:hAnsi="Book Antiqua" w:cs="Arial"/>
                <w:vertAlign w:val="superscript"/>
              </w:rPr>
              <w:t>[</w:t>
            </w:r>
            <w:r w:rsidRPr="007403CD">
              <w:rPr>
                <w:rFonts w:ascii="Book Antiqua" w:hAnsi="Book Antiqua" w:cs="Arial"/>
              </w:rPr>
              <w:fldChar w:fldCharType="begin" w:fldLock="1"/>
            </w:r>
            <w:r w:rsidRPr="007403CD">
              <w:rPr>
                <w:rFonts w:ascii="Book Antiqua" w:hAnsi="Book Antiqua" w:cs="Arial"/>
              </w:rPr>
              <w:instrText>ADDIN CSL_CITATION {"citationItems":[{"id":"ITEM-1","itemData":{"DOI":"10.1136/fn.88.2.f124","ISSN":"14682052","PMID":"12598501","abstract":"Aim: To evaluate the role of antioxidant treatment and liver transplantation in the management of neonatal haemochromatosis. Methods: A retrospective review was performed of eight infants with acute liver failure and raised ferritin levels between 1990 and 1998. From 1994, treatment with an antioxidant cocktail (vitamin E, N-acetylcysteine, selenium, prostaglandin E1, and desferrioxamine) was begun once the diagnosis was suspected. Pathological and other findings were reviewed, and outcome before and after antioxidant treatment was evaluated. Results: Median age at presentation was 4 days with median ferritin levels of 4180 μg/l (range 1650-40 000 μg/l; normal range 110-503 μg/l). Three infants presented before 1994. One infant died before liver transplantation from acute liver failure and one from neurological damage after transplantation. The third patient underwent successful transplantation at day 13 and remains well on follow up 8 years later. From 1994, five patients received antioxidant treatment, of whom two responded: both responders started antioxidants earlier (by day 5) than non-responders and had lower peak ferritin levels (&lt; 4200 μg/l) and a milder phenotype. Treatment was continued until ferritin levels were &lt; 500 μg/l. Both children remain well with mean follow up of 42 months, with no recurrence of iron overload. One child showed a partial response to treatment and survived long enough for a liver transplant, but died from graft failure after the transplant. Two children did not respond to antioxidant treatment; both had multiorgan failure and were not listed for transplantation. Only three of the eight patients survived (37.5%) over this time period. Conclusion: Neonatal haemochromatosis can be a fatal disease with &gt; 60% mortality. Early treatment with antioxidant cocktail is beneficial and may be curative in those who present with milder phenotype. Liver transplantation should always be considered at an early stage in non-responders and in children with more severe acute liver failure.","author":[{"dropping-particle":"","family":"Flynn","given":"D. M.","non-dropping-particle":"","parse-names":false,"suffix":""},{"dropping-particle":"","family":"Mohan","given":"N.","non-dropping-particle":"","parse-names":false,"suffix":""},{"dropping-particle":"","family":"McKiernan","given":"P.","non-dropping-particle":"","parse-names":false,"suffix":""},{"dropping-particle":"","family":"Beath","given":"S.","non-dropping-particle":"","parse-names":false,"suffix":""},{"dropping-particle":"","family":"Buckels","given":"J.","non-dropping-particle":"","parse-names":false,"suffix":""},{"dropping-particle":"","family":"Mayer","given":"D.","non-dropping-particle":"","parse-names":false,"suffix":""},{"dropping-particle":"","family":"Kelly","given":"D. A.","non-dropping-particle":"","parse-names":false,"suffix":""}],"container-title":"Archives of Disease in Childhood: Fetal and Neonatal Edition","id":"ITEM-1","issued":{"date-parts":[["2003"]]},"title":"Progress in treatment and outcome for children with neonatal haemochromatosis","type":"article-journal"},"uris":["http://www.mendeley.com/documents/?uuid=13bbf53a-74c3-4ac0-9514-4b57e6db69be"]}],"mendeley":{"formattedCitation":"&lt;sup&gt;83&lt;/sup&gt;","plainTextFormattedCitation":"83","previouslyFormattedCitation":"&lt;sup&gt;83&lt;/sup&gt;"},"properties":{"noteIndex":0},"schema":"https://github.com/citation-style-language/schema/raw/master/csl-citation.json"}</w:instrText>
            </w:r>
            <w:r w:rsidRPr="007403CD">
              <w:rPr>
                <w:rFonts w:ascii="Book Antiqua" w:hAnsi="Book Antiqua" w:cs="Arial"/>
              </w:rPr>
              <w:fldChar w:fldCharType="separate"/>
            </w:r>
            <w:r w:rsidRPr="007403CD">
              <w:rPr>
                <w:rFonts w:ascii="Book Antiqua" w:hAnsi="Book Antiqua" w:cs="Arial"/>
                <w:noProof/>
                <w:vertAlign w:val="superscript"/>
              </w:rPr>
              <w:t>83</w:t>
            </w:r>
            <w:r w:rsidRPr="007403CD">
              <w:rPr>
                <w:rFonts w:ascii="Book Antiqua" w:hAnsi="Book Antiqua" w:cs="Arial"/>
              </w:rPr>
              <w:fldChar w:fldCharType="end"/>
            </w:r>
            <w:r w:rsidRPr="007403CD">
              <w:rPr>
                <w:rFonts w:ascii="Book Antiqua" w:hAnsi="Book Antiqua" w:cs="Arial"/>
                <w:vertAlign w:val="superscript"/>
              </w:rPr>
              <w:t>]</w:t>
            </w:r>
          </w:p>
          <w:p w14:paraId="6A6336A4"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2002</w:t>
            </w:r>
          </w:p>
        </w:tc>
        <w:tc>
          <w:tcPr>
            <w:tcW w:w="2101" w:type="dxa"/>
            <w:vAlign w:val="center"/>
          </w:tcPr>
          <w:p w14:paraId="7B342CFB"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NH</w:t>
            </w:r>
          </w:p>
        </w:tc>
        <w:tc>
          <w:tcPr>
            <w:tcW w:w="1434" w:type="dxa"/>
            <w:vAlign w:val="center"/>
          </w:tcPr>
          <w:p w14:paraId="1BAE9F9C"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DFO (</w:t>
            </w:r>
            <w:r w:rsidRPr="007403CD">
              <w:rPr>
                <w:rFonts w:ascii="Book Antiqua" w:hAnsi="Book Antiqua" w:cs="Arial"/>
                <w:i/>
              </w:rPr>
              <w:t xml:space="preserve">n = </w:t>
            </w:r>
            <w:r w:rsidRPr="007403CD">
              <w:rPr>
                <w:rFonts w:ascii="Book Antiqua" w:hAnsi="Book Antiqua" w:cs="Arial"/>
              </w:rPr>
              <w:t>5) with antioxidant</w:t>
            </w:r>
          </w:p>
        </w:tc>
        <w:tc>
          <w:tcPr>
            <w:tcW w:w="1983" w:type="dxa"/>
            <w:vAlign w:val="center"/>
          </w:tcPr>
          <w:p w14:paraId="152DD20E"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Follow up at 48 </w:t>
            </w:r>
            <w:proofErr w:type="spellStart"/>
            <w:r w:rsidRPr="007403CD">
              <w:rPr>
                <w:rFonts w:ascii="Book Antiqua" w:hAnsi="Book Antiqua" w:cs="Arial"/>
              </w:rPr>
              <w:t>mo</w:t>
            </w:r>
            <w:proofErr w:type="spellEnd"/>
          </w:p>
        </w:tc>
        <w:tc>
          <w:tcPr>
            <w:tcW w:w="2060" w:type="dxa"/>
            <w:vAlign w:val="center"/>
          </w:tcPr>
          <w:p w14:paraId="19E02746"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2/5 (40%) survived without transplantation</w:t>
            </w:r>
          </w:p>
        </w:tc>
        <w:tc>
          <w:tcPr>
            <w:tcW w:w="1736" w:type="dxa"/>
            <w:vAlign w:val="center"/>
          </w:tcPr>
          <w:p w14:paraId="474F6725"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Not mentioned</w:t>
            </w:r>
          </w:p>
        </w:tc>
      </w:tr>
      <w:tr w:rsidR="00FC1E70" w:rsidRPr="007403CD" w14:paraId="0E98D6E1" w14:textId="77777777" w:rsidTr="00FC1E70">
        <w:trPr>
          <w:trHeight w:val="840"/>
          <w:jc w:val="center"/>
        </w:trPr>
        <w:tc>
          <w:tcPr>
            <w:tcW w:w="1463" w:type="dxa"/>
            <w:vAlign w:val="center"/>
          </w:tcPr>
          <w:p w14:paraId="215809A2"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Rodrigues </w:t>
            </w:r>
            <w:r w:rsidRPr="007403CD">
              <w:rPr>
                <w:rFonts w:ascii="Book Antiqua" w:hAnsi="Book Antiqua" w:cs="Arial"/>
                <w:i/>
              </w:rPr>
              <w:t>et al</w:t>
            </w:r>
            <w:r w:rsidRPr="007403CD">
              <w:rPr>
                <w:rFonts w:ascii="Book Antiqua" w:hAnsi="Book Antiqua" w:cs="Arial"/>
                <w:vertAlign w:val="superscript"/>
              </w:rPr>
              <w:t>[</w:t>
            </w:r>
            <w:r w:rsidRPr="007403CD">
              <w:rPr>
                <w:rFonts w:ascii="Book Antiqua" w:hAnsi="Book Antiqua" w:cs="Arial"/>
              </w:rPr>
              <w:fldChar w:fldCharType="begin" w:fldLock="1"/>
            </w:r>
            <w:r w:rsidRPr="007403CD">
              <w:rPr>
                <w:rFonts w:ascii="Book Antiqua" w:hAnsi="Book Antiqua" w:cs="Arial"/>
              </w:rPr>
              <w:instrText>ADDIN CSL_CITATION {"citationItems":[{"id":"ITEM-1","itemData":{"DOI":"10.1002/lt.20497","ISSN":"15276465","PMID":"16237701","abstract":"The aim of our study was to compare the outcome of medical treatment vs. liver transplantation in infants with neonatal hemochromatosis (NH) referred to King's College Hospital from 1990-2002. We conducted a retrospective review of 19 children from 14 families. Fifteen children presented at birth and 4 during the first week of life. One child was diagnosed by cordocentesis at 30 weeks of gestation. NH recurred in 7 of 9 families with further children. In one family, 2 children from different fathers were affected. All patients had elevated ferritin levels, hypoalbuminemia, and coagulopathy. Liver histology showed parenchymal collapse, diffuse fibrosis, and moderate to severe hepatocyte hemosiderin deposition. Extrahepatic siderosis was demonstrated by magnetic resonance in 2 patients, lip biopsy in 3, and autopsy in 10. Ten patients received a chelation-antioxidant cocktail: 1 survived, 4 died, and 5 required liver transplantation, of whom 2 died. One of the 9 infants who did not receive the cocktail survived with medical support, 3 died, and 5 required transplantation, of whom 3 died. Seven children are alive, 5 after transplantation, at a median follow-up of 5.6 years, with excellent quality of life and no recurrence of the disease. In conclusion, chelation-antioxidant treatment does not appear to modify the prognosis of NH, at least in severe cases. Liver transplantation, with 50% long-term survival, remains the treatment of choice and should be promptly offered to those infants who do not improve with supportive medical treatment. Copyright © 2005 by the American Association for the Study of Liver Diseases.","author":[{"dropping-particle":"","family":"Rodrigues","given":"Fernanda","non-dropping-particle":"","parse-names":false,"suffix":""},{"dropping-particle":"","family":"Kallas","given":"Marcia","non-dropping-particle":"","parse-names":false,"suffix":""},{"dropping-particle":"","family":"Nash","given":"Ruth","non-dropping-particle":"","parse-names":false,"suffix":""},{"dropping-particle":"","family":"Cheeseman","given":"Paul","non-dropping-particle":"","parse-names":false,"suffix":""},{"dropping-particle":"","family":"D'Antiga","given":"Lorenzo","non-dropping-particle":"","parse-names":false,"suffix":""},{"dropping-particle":"","family":"Rela","given":"Mohamed","non-dropping-particle":"","parse-names":false,"suffix":""},{"dropping-particle":"","family":"Heaton","given":"Nigel D.","non-dropping-particle":"","parse-names":false,"suffix":""},{"dropping-particle":"","family":"Mieli-Vergani","given":"Giorgina","non-dropping-particle":"","parse-names":false,"suffix":""}],"container-title":"Liver Transplantation","id":"ITEM-1","issued":{"date-parts":[["2005"]]},"title":"Neonatal hemochromatosis - Medical treatment vs. transplantation: The King's experience","type":"article"},"uris":["http://www.mendeley.com/documents/?uuid=e653d53c-004f-44d9-bd7b-2831f8f099eb"]}],"mendeley":{"formattedCitation":"&lt;sup&gt;84&lt;/sup&gt;","plainTextFormattedCitation":"84","previouslyFormattedCitation":"&lt;sup&gt;84&lt;/sup&gt;"},"properties":{"noteIndex":0},"schema":"https://github.com/citation-style-language/schema/raw/master/csl-citation.json"}</w:instrText>
            </w:r>
            <w:r w:rsidRPr="007403CD">
              <w:rPr>
                <w:rFonts w:ascii="Book Antiqua" w:hAnsi="Book Antiqua" w:cs="Arial"/>
              </w:rPr>
              <w:fldChar w:fldCharType="separate"/>
            </w:r>
            <w:r w:rsidRPr="007403CD">
              <w:rPr>
                <w:rFonts w:ascii="Book Antiqua" w:hAnsi="Book Antiqua" w:cs="Arial"/>
                <w:noProof/>
                <w:vertAlign w:val="superscript"/>
              </w:rPr>
              <w:t>84</w:t>
            </w:r>
            <w:r w:rsidRPr="007403CD">
              <w:rPr>
                <w:rFonts w:ascii="Book Antiqua" w:hAnsi="Book Antiqua" w:cs="Arial"/>
              </w:rPr>
              <w:fldChar w:fldCharType="end"/>
            </w:r>
            <w:r w:rsidRPr="007403CD">
              <w:rPr>
                <w:rFonts w:ascii="Book Antiqua" w:hAnsi="Book Antiqua" w:cs="Arial"/>
                <w:vertAlign w:val="superscript"/>
              </w:rPr>
              <w:t>]</w:t>
            </w:r>
            <w:r w:rsidRPr="007403CD">
              <w:rPr>
                <w:rFonts w:ascii="Book Antiqua" w:hAnsi="Book Antiqua" w:cs="Arial"/>
              </w:rPr>
              <w:t xml:space="preserve"> 2005</w:t>
            </w:r>
          </w:p>
        </w:tc>
        <w:tc>
          <w:tcPr>
            <w:tcW w:w="2101" w:type="dxa"/>
            <w:vAlign w:val="center"/>
          </w:tcPr>
          <w:p w14:paraId="4976458C"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NH</w:t>
            </w:r>
          </w:p>
        </w:tc>
        <w:tc>
          <w:tcPr>
            <w:tcW w:w="1434" w:type="dxa"/>
            <w:vAlign w:val="center"/>
          </w:tcPr>
          <w:p w14:paraId="5956E074"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DFO with antioxidant (</w:t>
            </w:r>
            <w:r w:rsidRPr="007403CD">
              <w:rPr>
                <w:rFonts w:ascii="Book Antiqua" w:hAnsi="Book Antiqua" w:cs="Arial"/>
                <w:i/>
              </w:rPr>
              <w:t xml:space="preserve">n = </w:t>
            </w:r>
            <w:r w:rsidRPr="007403CD">
              <w:rPr>
                <w:rFonts w:ascii="Book Antiqua" w:hAnsi="Book Antiqua" w:cs="Arial"/>
              </w:rPr>
              <w:t>9)</w:t>
            </w:r>
          </w:p>
        </w:tc>
        <w:tc>
          <w:tcPr>
            <w:tcW w:w="1983" w:type="dxa"/>
            <w:vAlign w:val="center"/>
          </w:tcPr>
          <w:p w14:paraId="74ED9EC0" w14:textId="77777777" w:rsidR="00FC1E70" w:rsidRPr="007403CD" w:rsidRDefault="00FC1E70" w:rsidP="00FC1E70">
            <w:pPr>
              <w:adjustRightInd w:val="0"/>
              <w:snapToGrid w:val="0"/>
              <w:spacing w:line="360" w:lineRule="auto"/>
              <w:jc w:val="center"/>
              <w:rPr>
                <w:rFonts w:ascii="Book Antiqua" w:hAnsi="Book Antiqua" w:cs="Arial"/>
                <w:lang w:eastAsia="zh-CN"/>
              </w:rPr>
            </w:pPr>
            <w:r>
              <w:rPr>
                <w:rFonts w:ascii="Book Antiqua" w:hAnsi="Book Antiqua" w:cs="Arial"/>
              </w:rPr>
              <w:t xml:space="preserve">Follow up 3-9.8 </w:t>
            </w:r>
            <w:proofErr w:type="spellStart"/>
            <w:r>
              <w:rPr>
                <w:rFonts w:ascii="Book Antiqua" w:hAnsi="Book Antiqua" w:cs="Arial"/>
              </w:rPr>
              <w:t>yr</w:t>
            </w:r>
            <w:proofErr w:type="spellEnd"/>
          </w:p>
        </w:tc>
        <w:tc>
          <w:tcPr>
            <w:tcW w:w="2060" w:type="dxa"/>
            <w:vAlign w:val="center"/>
          </w:tcPr>
          <w:p w14:paraId="5AF01912"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1/9 (11.1%) survived without transplantation</w:t>
            </w:r>
          </w:p>
        </w:tc>
        <w:tc>
          <w:tcPr>
            <w:tcW w:w="1736" w:type="dxa"/>
            <w:vAlign w:val="center"/>
          </w:tcPr>
          <w:p w14:paraId="47FEA1FA"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Not mentioned</w:t>
            </w:r>
          </w:p>
        </w:tc>
      </w:tr>
      <w:tr w:rsidR="00FC1E70" w:rsidRPr="007403CD" w14:paraId="29F848D0" w14:textId="77777777" w:rsidTr="00FC1E70">
        <w:trPr>
          <w:trHeight w:val="840"/>
          <w:jc w:val="center"/>
        </w:trPr>
        <w:tc>
          <w:tcPr>
            <w:tcW w:w="1463" w:type="dxa"/>
            <w:vAlign w:val="center"/>
          </w:tcPr>
          <w:p w14:paraId="18782E29" w14:textId="77777777" w:rsidR="00FC1E70" w:rsidRPr="007403CD" w:rsidRDefault="00FC1E70" w:rsidP="00FC1E70">
            <w:pPr>
              <w:adjustRightInd w:val="0"/>
              <w:snapToGrid w:val="0"/>
              <w:spacing w:line="360" w:lineRule="auto"/>
              <w:jc w:val="center"/>
              <w:rPr>
                <w:rFonts w:ascii="Book Antiqua" w:hAnsi="Book Antiqua" w:cs="Arial"/>
              </w:rPr>
            </w:pPr>
            <w:proofErr w:type="spellStart"/>
            <w:r w:rsidRPr="007403CD">
              <w:rPr>
                <w:rFonts w:ascii="Book Antiqua" w:hAnsi="Book Antiqua" w:cs="Arial"/>
              </w:rPr>
              <w:t>Sigurrdson</w:t>
            </w:r>
            <w:proofErr w:type="spellEnd"/>
            <w:r w:rsidRPr="007403CD">
              <w:rPr>
                <w:rFonts w:ascii="Book Antiqua" w:hAnsi="Book Antiqua" w:cs="Arial"/>
              </w:rPr>
              <w:t xml:space="preserve"> </w:t>
            </w:r>
            <w:r w:rsidRPr="007403CD">
              <w:rPr>
                <w:rFonts w:ascii="Book Antiqua" w:hAnsi="Book Antiqua" w:cs="Arial"/>
                <w:i/>
              </w:rPr>
              <w:t>et al</w:t>
            </w:r>
            <w:r w:rsidRPr="007403CD">
              <w:rPr>
                <w:rFonts w:ascii="Book Antiqua" w:hAnsi="Book Antiqua" w:cs="Arial"/>
                <w:vertAlign w:val="superscript"/>
              </w:rPr>
              <w:t>[</w:t>
            </w:r>
            <w:r w:rsidRPr="007403CD">
              <w:rPr>
                <w:rFonts w:ascii="Book Antiqua" w:hAnsi="Book Antiqua" w:cs="Arial"/>
              </w:rPr>
              <w:fldChar w:fldCharType="begin" w:fldLock="1"/>
            </w:r>
            <w:r w:rsidRPr="007403CD">
              <w:rPr>
                <w:rFonts w:ascii="Book Antiqua" w:hAnsi="Book Antiqua" w:cs="Arial"/>
              </w:rPr>
              <w:instrText>ADDIN CSL_CITATION {"citationItems":[{"id":"ITEM-1","itemData":{"DOI":"10.1097/00005176-199801000-00015","ISSN":"02772116","PMID":"9443126","abstract":"Background: Neonatal hemochromatosis (NH), also known as perinatal hemochromatosis or neonatal iron storage disease, is a disorder in fetuses and newborn infants. A retrospective study was conducted to report management of patients with NH. Methods: Retrospective analysis was conducted by chart review and by review of histologic material from patients with NH. Results: Neonatal hamochromatosis was diagnosed in 14 patients between 1985 and 1995. All were considered for orthotopic liver transplantation (OLTX). From 1993 onward, all patients were treated with an antioxidant-chelation 'cocktail,' consisting of deferoxamine, vitamin E, N-acetylcysteine, selenium, and prostaglandin-E1. Of 6 patients with NH diagnosed before 1993, 4 underwent OLTX; only 1 is still alive. Of 8 patients with NH diagnosed after 1993 and treated with the cocktail, 7 expired before OLTX. One stabilized on therapy, but having never recovered full synthetic liver function, underwent OLTX and is now alive and well. Conclusion: Neonatal hemochromatosis carries a grim prognosis; however, successful OLTX is curative. The use of an antioxidant- chelation cocktail did not improve outcome in the patients studied. Earlier (perinatal) diagnosis may be required for optimal results. Further study of other interventions, including antenatal diagnosis and earlier institution or modification of cocktail therapy appears warranted.","author":[{"dropping-particle":"","family":"Sigurdsson","given":"Luther","non-dropping-particle":"","parse-names":false,"suffix":""},{"dropping-particle":"","family":"Reyes","given":"Jorge","non-dropping-particle":"","parse-names":false,"suffix":""},{"dropping-particle":"","family":"Kocoshis","given":"Samuel A.","non-dropping-particle":"","parse-names":false,"suffix":""},{"dropping-particle":"","family":"Hansen","given":"Thor W.R.","non-dropping-particle":"","parse-names":false,"suffix":""},{"dropping-particle":"","family":"Rosh","given":"Joel","non-dropping-particle":"","parse-names":false,"suffix":""},{"dropping-particle":"","family":"Knisely","given":"A. S.","non-dropping-particle":"","parse-names":false,"suffix":""}],"container-title":"Journal of Pediatric Gastroenterology and Nutrition","id":"ITEM-1","issued":{"date-parts":[["1998"]]},"title":"Neonatal hemochromatosis: Outcomes of pharmacologic and surgical therapies","type":"article-journal"},"uris":["http://www.mendeley.com/documents/?uuid=ba7cd6b5-f7a0-4ef8-b90c-798ef78f978c"]}],"mendeley":{"formattedCitation":"&lt;sup&gt;85&lt;/sup&gt;","plainTextFormattedCitation":"85","previouslyFormattedCitation":"&lt;sup&gt;85&lt;/sup&gt;"},"properties":{"noteIndex":0},"schema":"https://github.com/citation-style-language/schema/raw/master/csl-citation.json"}</w:instrText>
            </w:r>
            <w:r w:rsidRPr="007403CD">
              <w:rPr>
                <w:rFonts w:ascii="Book Antiqua" w:hAnsi="Book Antiqua" w:cs="Arial"/>
              </w:rPr>
              <w:fldChar w:fldCharType="separate"/>
            </w:r>
            <w:r w:rsidRPr="007403CD">
              <w:rPr>
                <w:rFonts w:ascii="Book Antiqua" w:hAnsi="Book Antiqua" w:cs="Arial"/>
                <w:noProof/>
                <w:vertAlign w:val="superscript"/>
              </w:rPr>
              <w:t>85</w:t>
            </w:r>
            <w:r w:rsidRPr="007403CD">
              <w:rPr>
                <w:rFonts w:ascii="Book Antiqua" w:hAnsi="Book Antiqua" w:cs="Arial"/>
              </w:rPr>
              <w:fldChar w:fldCharType="end"/>
            </w:r>
            <w:r w:rsidRPr="007403CD">
              <w:rPr>
                <w:rFonts w:ascii="Book Antiqua" w:hAnsi="Book Antiqua" w:cs="Arial"/>
                <w:vertAlign w:val="superscript"/>
              </w:rPr>
              <w:t>]</w:t>
            </w:r>
            <w:r w:rsidRPr="007403CD">
              <w:rPr>
                <w:rFonts w:ascii="Book Antiqua" w:hAnsi="Book Antiqua" w:cs="Arial"/>
              </w:rPr>
              <w:t xml:space="preserve"> 1998</w:t>
            </w:r>
          </w:p>
        </w:tc>
        <w:tc>
          <w:tcPr>
            <w:tcW w:w="2101" w:type="dxa"/>
            <w:vAlign w:val="center"/>
          </w:tcPr>
          <w:p w14:paraId="558FAC1E"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NH</w:t>
            </w:r>
          </w:p>
        </w:tc>
        <w:tc>
          <w:tcPr>
            <w:tcW w:w="1434" w:type="dxa"/>
            <w:vAlign w:val="center"/>
          </w:tcPr>
          <w:p w14:paraId="03CAD0D8"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DFO with antioxidant (</w:t>
            </w:r>
            <w:r w:rsidRPr="007403CD">
              <w:rPr>
                <w:rFonts w:ascii="Book Antiqua" w:hAnsi="Book Antiqua" w:cs="Arial"/>
                <w:i/>
              </w:rPr>
              <w:t xml:space="preserve">n = </w:t>
            </w:r>
            <w:r w:rsidRPr="007403CD">
              <w:rPr>
                <w:rFonts w:ascii="Book Antiqua" w:hAnsi="Book Antiqua" w:cs="Arial"/>
              </w:rPr>
              <w:t>8)</w:t>
            </w:r>
          </w:p>
        </w:tc>
        <w:tc>
          <w:tcPr>
            <w:tcW w:w="1983" w:type="dxa"/>
            <w:vAlign w:val="center"/>
          </w:tcPr>
          <w:p w14:paraId="16BAAF0F"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Not mentioned</w:t>
            </w:r>
          </w:p>
        </w:tc>
        <w:tc>
          <w:tcPr>
            <w:tcW w:w="2060" w:type="dxa"/>
            <w:vAlign w:val="center"/>
          </w:tcPr>
          <w:p w14:paraId="12DA9BF5"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None survived without transplantation</w:t>
            </w:r>
          </w:p>
        </w:tc>
        <w:tc>
          <w:tcPr>
            <w:tcW w:w="1736" w:type="dxa"/>
            <w:vAlign w:val="center"/>
          </w:tcPr>
          <w:p w14:paraId="679DC0BF"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Not mentioned</w:t>
            </w:r>
          </w:p>
        </w:tc>
      </w:tr>
      <w:tr w:rsidR="00FC1E70" w:rsidRPr="007403CD" w14:paraId="7A1747B7" w14:textId="77777777" w:rsidTr="00FC1E70">
        <w:trPr>
          <w:trHeight w:val="840"/>
          <w:jc w:val="center"/>
        </w:trPr>
        <w:tc>
          <w:tcPr>
            <w:tcW w:w="1463" w:type="dxa"/>
            <w:vAlign w:val="center"/>
          </w:tcPr>
          <w:p w14:paraId="350E1CD8" w14:textId="77777777" w:rsidR="00FC1E70" w:rsidRPr="007403CD" w:rsidRDefault="00FC1E70" w:rsidP="00FC1E70">
            <w:pPr>
              <w:adjustRightInd w:val="0"/>
              <w:snapToGrid w:val="0"/>
              <w:spacing w:line="360" w:lineRule="auto"/>
              <w:jc w:val="center"/>
              <w:rPr>
                <w:rFonts w:ascii="Book Antiqua" w:hAnsi="Book Antiqua" w:cs="Arial"/>
              </w:rPr>
            </w:pPr>
            <w:proofErr w:type="spellStart"/>
            <w:r w:rsidRPr="007403CD">
              <w:rPr>
                <w:rFonts w:ascii="Book Antiqua" w:hAnsi="Book Antiqua" w:cs="Arial"/>
              </w:rPr>
              <w:t>Masera</w:t>
            </w:r>
            <w:proofErr w:type="spellEnd"/>
            <w:r w:rsidRPr="007403CD">
              <w:rPr>
                <w:rFonts w:ascii="Book Antiqua" w:hAnsi="Book Antiqua" w:cs="Arial"/>
              </w:rPr>
              <w:t xml:space="preserve"> </w:t>
            </w:r>
            <w:r w:rsidRPr="007403CD">
              <w:rPr>
                <w:rFonts w:ascii="Book Antiqua" w:hAnsi="Book Antiqua" w:cs="Arial"/>
                <w:i/>
              </w:rPr>
              <w:t>et al</w:t>
            </w:r>
            <w:r w:rsidRPr="007403CD">
              <w:rPr>
                <w:rFonts w:ascii="Book Antiqua" w:hAnsi="Book Antiqua" w:cs="Arial"/>
                <w:vertAlign w:val="superscript"/>
              </w:rPr>
              <w:t>[</w:t>
            </w:r>
            <w:r w:rsidRPr="007403CD">
              <w:rPr>
                <w:rFonts w:ascii="Book Antiqua" w:hAnsi="Book Antiqua" w:cs="Arial"/>
              </w:rPr>
              <w:fldChar w:fldCharType="begin" w:fldLock="1"/>
            </w:r>
            <w:r w:rsidRPr="007403CD">
              <w:rPr>
                <w:rFonts w:ascii="Book Antiqua" w:hAnsi="Book Antiqua" w:cs="Arial"/>
              </w:rPr>
              <w:instrText>ADDIN CSL_CITATION {"citationItems":[{"id":"ITEM-1","itemData":{"DOI":"10.4236/crcm.2013.22033","ISSN":"2325-7075","author":[{"dropping-particle":"","family":"Masera","given":"Nicoletta","non-dropping-particle":"","parse-names":false,"suffix":""},{"dropping-particle":"","family":"Cattoni","given":"Alessandro","non-dropping-particle":"","parse-names":false,"suffix":""},{"dropping-particle":"","family":"Decimi","given":"Valentina","non-dropping-particle":"","parse-names":false,"suffix":""},{"dropping-particle":"","family":"D’Apolito","given":"Valeria","non-dropping-particle":"","parse-names":false,"suffix":""},{"dropping-particle":"","family":"Arosio","given":"Cristina","non-dropping-particle":"","parse-names":false,"suffix":""},{"dropping-particle":"","family":"Mariani","given":"Raffaella","non-dropping-particle":"","parse-names":false,"suffix":""},{"dropping-particle":"","family":"Piperno","given":"Alberto","non-dropping-particle":"","parse-names":false,"suffix":""}],"container-title":"Case Reports in Clinical Medicine","id":"ITEM-1","issue":"02","issued":{"date-parts":[["2013"]]},"page":"126-128","title":"Efficacy of deferasirox for the treatment of iron overload in a child affected by Juvenile Hemochromatosis","type":"article-journal","volume":"02"},"uris":["http://www.mendeley.com/documents/?uuid=539808d6-6188-4686-8d19-53114a2260ba"]}],"mendeley":{"formattedCitation":"&lt;sup&gt;111&lt;/sup&gt;","plainTextFormattedCitation":"111","previouslyFormattedCitation":"&lt;sup&gt;111&lt;/sup&gt;"},"properties":{"noteIndex":0},"schema":"https://github.com/citation-style-language/schema/raw/master/csl-citation.json"}</w:instrText>
            </w:r>
            <w:r w:rsidRPr="007403CD">
              <w:rPr>
                <w:rFonts w:ascii="Book Antiqua" w:hAnsi="Book Antiqua" w:cs="Arial"/>
              </w:rPr>
              <w:fldChar w:fldCharType="separate"/>
            </w:r>
            <w:r w:rsidRPr="007403CD">
              <w:rPr>
                <w:rFonts w:ascii="Book Antiqua" w:hAnsi="Book Antiqua" w:cs="Arial"/>
                <w:noProof/>
                <w:vertAlign w:val="superscript"/>
              </w:rPr>
              <w:t>111</w:t>
            </w:r>
            <w:r w:rsidRPr="007403CD">
              <w:rPr>
                <w:rFonts w:ascii="Book Antiqua" w:hAnsi="Book Antiqua" w:cs="Arial"/>
              </w:rPr>
              <w:fldChar w:fldCharType="end"/>
            </w:r>
            <w:r w:rsidRPr="007403CD">
              <w:rPr>
                <w:rFonts w:ascii="Book Antiqua" w:hAnsi="Book Antiqua" w:cs="Arial"/>
                <w:vertAlign w:val="superscript"/>
              </w:rPr>
              <w:t>]</w:t>
            </w:r>
            <w:r w:rsidRPr="007403CD">
              <w:rPr>
                <w:rFonts w:ascii="Book Antiqua" w:hAnsi="Book Antiqua" w:cs="Arial"/>
              </w:rPr>
              <w:t xml:space="preserve"> 2013</w:t>
            </w:r>
          </w:p>
        </w:tc>
        <w:tc>
          <w:tcPr>
            <w:tcW w:w="2101" w:type="dxa"/>
            <w:vAlign w:val="center"/>
          </w:tcPr>
          <w:p w14:paraId="797556AB"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HJV hemochromatosis</w:t>
            </w:r>
          </w:p>
          <w:p w14:paraId="258AD3E9"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Case report</w:t>
            </w:r>
            <w:r>
              <w:rPr>
                <w:rFonts w:ascii="Book Antiqua" w:hAnsi="Book Antiqua" w:cs="Arial" w:hint="eastAsia"/>
                <w:lang w:eastAsia="zh-CN"/>
              </w:rPr>
              <w:t xml:space="preserve"> </w:t>
            </w:r>
            <w:r w:rsidRPr="007403CD">
              <w:rPr>
                <w:rFonts w:ascii="Book Antiqua" w:hAnsi="Book Antiqua" w:cs="Arial"/>
              </w:rPr>
              <w:t>(7/F)</w:t>
            </w:r>
          </w:p>
        </w:tc>
        <w:tc>
          <w:tcPr>
            <w:tcW w:w="1434" w:type="dxa"/>
            <w:vAlign w:val="center"/>
          </w:tcPr>
          <w:p w14:paraId="59F059CD"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DFX</w:t>
            </w:r>
          </w:p>
        </w:tc>
        <w:tc>
          <w:tcPr>
            <w:tcW w:w="1983" w:type="dxa"/>
            <w:vAlign w:val="center"/>
          </w:tcPr>
          <w:p w14:paraId="74B1E43D"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 xml:space="preserve">12 </w:t>
            </w:r>
            <w:proofErr w:type="spellStart"/>
            <w:r w:rsidRPr="007403CD">
              <w:rPr>
                <w:rFonts w:ascii="Book Antiqua" w:hAnsi="Book Antiqua" w:cs="Arial"/>
              </w:rPr>
              <w:t>mo</w:t>
            </w:r>
            <w:proofErr w:type="spellEnd"/>
            <w:r w:rsidRPr="007403CD">
              <w:rPr>
                <w:rFonts w:ascii="Book Antiqua" w:hAnsi="Book Antiqua" w:cs="Arial"/>
              </w:rPr>
              <w:t xml:space="preserve"> of treatment</w:t>
            </w:r>
          </w:p>
        </w:tc>
        <w:tc>
          <w:tcPr>
            <w:tcW w:w="2060" w:type="dxa"/>
            <w:vAlign w:val="center"/>
          </w:tcPr>
          <w:p w14:paraId="678DDF09" w14:textId="77777777" w:rsidR="00FC1E70" w:rsidRPr="007403CD" w:rsidRDefault="00FC1E70" w:rsidP="00FC1E70">
            <w:pPr>
              <w:adjustRightInd w:val="0"/>
              <w:snapToGrid w:val="0"/>
              <w:spacing w:line="360" w:lineRule="auto"/>
              <w:jc w:val="center"/>
              <w:rPr>
                <w:rFonts w:ascii="Book Antiqua" w:hAnsi="Book Antiqua" w:cs="Arial"/>
              </w:rPr>
            </w:pPr>
            <w:r>
              <w:rPr>
                <w:rFonts w:ascii="Book Antiqua" w:hAnsi="Book Antiqua" w:cs="Arial"/>
              </w:rPr>
              <w:t>Iron indices improved on 12</w:t>
            </w:r>
            <w:r>
              <w:rPr>
                <w:rFonts w:ascii="Book Antiqua" w:hAnsi="Book Antiqua" w:cs="Arial" w:hint="eastAsia"/>
                <w:lang w:eastAsia="zh-CN"/>
              </w:rPr>
              <w:t xml:space="preserve"> </w:t>
            </w:r>
            <w:proofErr w:type="spellStart"/>
            <w:r w:rsidRPr="007403CD">
              <w:rPr>
                <w:rFonts w:ascii="Book Antiqua" w:hAnsi="Book Antiqua" w:cs="Arial"/>
              </w:rPr>
              <w:t>mo</w:t>
            </w:r>
            <w:proofErr w:type="spellEnd"/>
            <w:r w:rsidRPr="007403CD">
              <w:rPr>
                <w:rFonts w:ascii="Book Antiqua" w:hAnsi="Book Antiqua" w:cs="Arial"/>
              </w:rPr>
              <w:t xml:space="preserve"> treatment</w:t>
            </w:r>
          </w:p>
        </w:tc>
        <w:tc>
          <w:tcPr>
            <w:tcW w:w="1736" w:type="dxa"/>
            <w:vAlign w:val="center"/>
          </w:tcPr>
          <w:p w14:paraId="48B2453E"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Not mentioned</w:t>
            </w:r>
          </w:p>
        </w:tc>
      </w:tr>
    </w:tbl>
    <w:p w14:paraId="6A2742C5" w14:textId="77777777" w:rsidR="00FC1E70" w:rsidRPr="001C7B3F" w:rsidRDefault="00FC1E70" w:rsidP="00FC1E70">
      <w:pPr>
        <w:adjustRightInd w:val="0"/>
        <w:snapToGrid w:val="0"/>
        <w:spacing w:line="360" w:lineRule="auto"/>
        <w:rPr>
          <w:rFonts w:ascii="Book Antiqua" w:hAnsi="Book Antiqua" w:cs="Arial"/>
          <w:lang w:eastAsia="zh-CN"/>
        </w:rPr>
      </w:pPr>
      <w:r w:rsidRPr="007403CD">
        <w:rPr>
          <w:rFonts w:ascii="Book Antiqua" w:hAnsi="Book Antiqua" w:cs="Arial"/>
        </w:rPr>
        <w:lastRenderedPageBreak/>
        <w:t>DPA</w:t>
      </w:r>
      <w:r>
        <w:rPr>
          <w:rFonts w:ascii="Book Antiqua" w:hAnsi="Book Antiqua" w:cs="Arial" w:hint="eastAsia"/>
          <w:lang w:eastAsia="zh-CN"/>
        </w:rPr>
        <w:t xml:space="preserve">: </w:t>
      </w:r>
      <w:r w:rsidRPr="007403CD">
        <w:rPr>
          <w:rFonts w:ascii="Book Antiqua" w:hAnsi="Book Antiqua" w:cs="Arial"/>
        </w:rPr>
        <w:t>D-Penicillamine</w:t>
      </w:r>
      <w:r>
        <w:rPr>
          <w:rFonts w:ascii="Book Antiqua" w:hAnsi="Book Antiqua" w:cs="Arial" w:hint="eastAsia"/>
          <w:lang w:eastAsia="zh-CN"/>
        </w:rPr>
        <w:t xml:space="preserve">; </w:t>
      </w:r>
      <w:r w:rsidRPr="007403CD">
        <w:rPr>
          <w:rFonts w:ascii="Book Antiqua" w:hAnsi="Book Antiqua" w:cs="Arial"/>
        </w:rPr>
        <w:t>TA</w:t>
      </w:r>
      <w:r>
        <w:rPr>
          <w:rFonts w:ascii="Book Antiqua" w:hAnsi="Book Antiqua" w:cs="Arial" w:hint="eastAsia"/>
          <w:lang w:eastAsia="zh-CN"/>
        </w:rPr>
        <w:t>:</w:t>
      </w:r>
      <w:r w:rsidRPr="007403CD">
        <w:rPr>
          <w:rFonts w:ascii="Book Antiqua" w:hAnsi="Book Antiqua" w:cs="Arial"/>
        </w:rPr>
        <w:t xml:space="preserve"> Trientine</w:t>
      </w:r>
      <w:r>
        <w:rPr>
          <w:rFonts w:ascii="Book Antiqua" w:hAnsi="Book Antiqua" w:cs="Arial" w:hint="eastAsia"/>
          <w:lang w:eastAsia="zh-CN"/>
        </w:rPr>
        <w:t>;</w:t>
      </w:r>
      <w:r w:rsidRPr="007403CD">
        <w:rPr>
          <w:rFonts w:ascii="Book Antiqua" w:hAnsi="Book Antiqua" w:cs="Arial"/>
        </w:rPr>
        <w:t xml:space="preserve"> WD</w:t>
      </w:r>
      <w:r>
        <w:rPr>
          <w:rFonts w:ascii="Book Antiqua" w:hAnsi="Book Antiqua" w:cs="Arial" w:hint="eastAsia"/>
          <w:lang w:eastAsia="zh-CN"/>
        </w:rPr>
        <w:t>:</w:t>
      </w:r>
      <w:r w:rsidRPr="007403CD">
        <w:rPr>
          <w:rFonts w:ascii="Book Antiqua" w:hAnsi="Book Antiqua" w:cs="Arial"/>
        </w:rPr>
        <w:t xml:space="preserve"> Wilson’s disease</w:t>
      </w:r>
      <w:r>
        <w:rPr>
          <w:rFonts w:ascii="Book Antiqua" w:hAnsi="Book Antiqua" w:cs="Arial" w:hint="eastAsia"/>
          <w:lang w:eastAsia="zh-CN"/>
        </w:rPr>
        <w:t>;</w:t>
      </w:r>
      <w:r w:rsidRPr="007403CD">
        <w:rPr>
          <w:rFonts w:ascii="Book Antiqua" w:hAnsi="Book Antiqua" w:cs="Arial"/>
        </w:rPr>
        <w:t xml:space="preserve"> ICC</w:t>
      </w:r>
      <w:r>
        <w:rPr>
          <w:rFonts w:ascii="Book Antiqua" w:hAnsi="Book Antiqua" w:cs="Arial" w:hint="eastAsia"/>
          <w:lang w:eastAsia="zh-CN"/>
        </w:rPr>
        <w:t xml:space="preserve">: </w:t>
      </w:r>
      <w:r w:rsidRPr="007403CD">
        <w:rPr>
          <w:rFonts w:ascii="Book Antiqua" w:hAnsi="Book Antiqua" w:cs="Arial"/>
        </w:rPr>
        <w:t>Indian childhood cirrhosis</w:t>
      </w:r>
      <w:r>
        <w:rPr>
          <w:rFonts w:ascii="Book Antiqua" w:hAnsi="Book Antiqua" w:cs="Arial" w:hint="eastAsia"/>
          <w:lang w:eastAsia="zh-CN"/>
        </w:rPr>
        <w:t>;</w:t>
      </w:r>
      <w:r w:rsidRPr="007403CD">
        <w:rPr>
          <w:rFonts w:ascii="Book Antiqua" w:hAnsi="Book Antiqua" w:cs="Arial"/>
        </w:rPr>
        <w:t xml:space="preserve"> NH</w:t>
      </w:r>
      <w:r>
        <w:rPr>
          <w:rFonts w:ascii="Book Antiqua" w:hAnsi="Book Antiqua" w:cs="Arial" w:hint="eastAsia"/>
          <w:lang w:eastAsia="zh-CN"/>
        </w:rPr>
        <w:t>:</w:t>
      </w:r>
      <w:r w:rsidRPr="007403CD">
        <w:rPr>
          <w:rFonts w:ascii="Book Antiqua" w:hAnsi="Book Antiqua" w:cs="Arial"/>
        </w:rPr>
        <w:t xml:space="preserve"> Neonatal Hemochromatosis</w:t>
      </w:r>
      <w:r>
        <w:rPr>
          <w:rFonts w:ascii="Book Antiqua" w:hAnsi="Book Antiqua" w:cs="Arial" w:hint="eastAsia"/>
          <w:lang w:eastAsia="zh-CN"/>
        </w:rPr>
        <w:t>;</w:t>
      </w:r>
      <w:r w:rsidRPr="007403CD">
        <w:rPr>
          <w:rFonts w:ascii="Book Antiqua" w:hAnsi="Book Antiqua" w:cs="Arial"/>
        </w:rPr>
        <w:t xml:space="preserve"> DFO</w:t>
      </w:r>
      <w:r>
        <w:rPr>
          <w:rFonts w:ascii="Book Antiqua" w:hAnsi="Book Antiqua" w:cs="Arial" w:hint="eastAsia"/>
          <w:lang w:eastAsia="zh-CN"/>
        </w:rPr>
        <w:t>:</w:t>
      </w:r>
      <w:r w:rsidRPr="007403CD">
        <w:rPr>
          <w:rFonts w:ascii="Book Antiqua" w:hAnsi="Book Antiqua" w:cs="Arial"/>
        </w:rPr>
        <w:t xml:space="preserve"> Deferoxamine</w:t>
      </w:r>
      <w:r>
        <w:rPr>
          <w:rFonts w:ascii="Book Antiqua" w:hAnsi="Book Antiqua" w:cs="Arial" w:hint="eastAsia"/>
          <w:lang w:eastAsia="zh-CN"/>
        </w:rPr>
        <w:t>;</w:t>
      </w:r>
      <w:r w:rsidRPr="007403CD">
        <w:rPr>
          <w:rFonts w:ascii="Book Antiqua" w:hAnsi="Book Antiqua" w:cs="Arial"/>
        </w:rPr>
        <w:t xml:space="preserve"> DFX</w:t>
      </w:r>
      <w:r>
        <w:rPr>
          <w:rFonts w:ascii="Book Antiqua" w:hAnsi="Book Antiqua" w:cs="Arial" w:hint="eastAsia"/>
          <w:lang w:eastAsia="zh-CN"/>
        </w:rPr>
        <w:t>:</w:t>
      </w:r>
      <w:r w:rsidRPr="007403CD">
        <w:rPr>
          <w:rFonts w:ascii="Book Antiqua" w:hAnsi="Book Antiqua" w:cs="Arial"/>
        </w:rPr>
        <w:t xml:space="preserve"> </w:t>
      </w:r>
      <w:proofErr w:type="spellStart"/>
      <w:r w:rsidRPr="007403CD">
        <w:rPr>
          <w:rFonts w:ascii="Book Antiqua" w:hAnsi="Book Antiqua" w:cs="Arial"/>
        </w:rPr>
        <w:t>Deferasirox</w:t>
      </w:r>
      <w:proofErr w:type="spellEnd"/>
      <w:r>
        <w:rPr>
          <w:rFonts w:ascii="Book Antiqua" w:hAnsi="Book Antiqua" w:cs="Arial" w:hint="eastAsia"/>
          <w:lang w:eastAsia="zh-CN"/>
        </w:rPr>
        <w:t>;</w:t>
      </w:r>
      <w:r w:rsidRPr="007403CD">
        <w:rPr>
          <w:rFonts w:ascii="Book Antiqua" w:hAnsi="Book Antiqua" w:cs="Arial"/>
        </w:rPr>
        <w:t xml:space="preserve"> CACC</w:t>
      </w:r>
      <w:r>
        <w:rPr>
          <w:rFonts w:ascii="Book Antiqua" w:hAnsi="Book Antiqua" w:cs="Arial" w:hint="eastAsia"/>
          <w:lang w:eastAsia="zh-CN"/>
        </w:rPr>
        <w:t>:</w:t>
      </w:r>
      <w:r w:rsidRPr="007403CD">
        <w:rPr>
          <w:rFonts w:ascii="Book Antiqua" w:hAnsi="Book Antiqua" w:cs="Arial"/>
        </w:rPr>
        <w:t xml:space="preserve"> </w:t>
      </w:r>
      <w:r w:rsidRPr="001C7B3F">
        <w:rPr>
          <w:rFonts w:ascii="Book Antiqua" w:hAnsi="Book Antiqua" w:cs="Arial"/>
          <w:caps/>
        </w:rPr>
        <w:t>c</w:t>
      </w:r>
      <w:r w:rsidRPr="007403CD">
        <w:rPr>
          <w:rFonts w:ascii="Book Antiqua" w:hAnsi="Book Antiqua" w:cs="Arial"/>
        </w:rPr>
        <w:t>opper associated childhood cirrhosis</w:t>
      </w:r>
      <w:r>
        <w:rPr>
          <w:rFonts w:ascii="Book Antiqua" w:hAnsi="Book Antiqua" w:cs="Arial" w:hint="eastAsia"/>
          <w:lang w:eastAsia="zh-CN"/>
        </w:rPr>
        <w:t>.</w:t>
      </w:r>
    </w:p>
    <w:p w14:paraId="7F39732D" w14:textId="77777777" w:rsidR="00FC1E70" w:rsidRPr="007403CD" w:rsidRDefault="00FC1E70" w:rsidP="00FC1E70">
      <w:pPr>
        <w:adjustRightInd w:val="0"/>
        <w:snapToGrid w:val="0"/>
        <w:spacing w:line="360" w:lineRule="auto"/>
        <w:rPr>
          <w:rFonts w:ascii="Book Antiqua" w:hAnsi="Book Antiqua" w:cs="Arial"/>
          <w:b/>
          <w:bCs/>
        </w:rPr>
      </w:pPr>
      <w:r>
        <w:rPr>
          <w:rFonts w:ascii="Book Antiqua" w:hAnsi="Book Antiqua" w:cs="Arial"/>
          <w:b/>
          <w:bCs/>
        </w:rPr>
        <w:br w:type="page"/>
      </w:r>
      <w:r>
        <w:rPr>
          <w:rFonts w:ascii="Book Antiqua" w:hAnsi="Book Antiqua" w:cs="Arial"/>
          <w:b/>
          <w:bCs/>
        </w:rPr>
        <w:lastRenderedPageBreak/>
        <w:t>Table 4</w:t>
      </w:r>
      <w:r w:rsidRPr="007403CD">
        <w:rPr>
          <w:rFonts w:ascii="Book Antiqua" w:hAnsi="Book Antiqua" w:cs="Arial"/>
          <w:b/>
          <w:bCs/>
        </w:rPr>
        <w:t xml:space="preserve"> Properties of iron-chelators</w:t>
      </w:r>
    </w:p>
    <w:tbl>
      <w:tblPr>
        <w:tblStyle w:val="TableGrid"/>
        <w:tblW w:w="937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2460"/>
        <w:gridCol w:w="2324"/>
        <w:gridCol w:w="2133"/>
      </w:tblGrid>
      <w:tr w:rsidR="00FC1E70" w:rsidRPr="007403CD" w14:paraId="3FD46240" w14:textId="77777777" w:rsidTr="00771C6F">
        <w:trPr>
          <w:trHeight w:val="424"/>
        </w:trPr>
        <w:tc>
          <w:tcPr>
            <w:tcW w:w="2456" w:type="dxa"/>
            <w:tcBorders>
              <w:top w:val="single" w:sz="4" w:space="0" w:color="auto"/>
              <w:bottom w:val="single" w:sz="4" w:space="0" w:color="auto"/>
            </w:tcBorders>
            <w:vAlign w:val="center"/>
          </w:tcPr>
          <w:p w14:paraId="5A048FF7"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t>Properties</w:t>
            </w:r>
          </w:p>
        </w:tc>
        <w:tc>
          <w:tcPr>
            <w:tcW w:w="2460" w:type="dxa"/>
            <w:tcBorders>
              <w:top w:val="single" w:sz="4" w:space="0" w:color="auto"/>
              <w:bottom w:val="single" w:sz="4" w:space="0" w:color="auto"/>
            </w:tcBorders>
            <w:vAlign w:val="center"/>
          </w:tcPr>
          <w:p w14:paraId="7C13D211"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t>Deferoxamine (DFO)</w:t>
            </w:r>
          </w:p>
        </w:tc>
        <w:tc>
          <w:tcPr>
            <w:tcW w:w="2324" w:type="dxa"/>
            <w:tcBorders>
              <w:top w:val="single" w:sz="4" w:space="0" w:color="auto"/>
              <w:bottom w:val="single" w:sz="4" w:space="0" w:color="auto"/>
            </w:tcBorders>
            <w:vAlign w:val="center"/>
          </w:tcPr>
          <w:p w14:paraId="1F6EC020" w14:textId="77777777" w:rsidR="00FC1E70" w:rsidRPr="007403CD" w:rsidRDefault="00FC1E70" w:rsidP="00FC1E70">
            <w:pPr>
              <w:adjustRightInd w:val="0"/>
              <w:snapToGrid w:val="0"/>
              <w:spacing w:line="360" w:lineRule="auto"/>
              <w:jc w:val="center"/>
              <w:rPr>
                <w:rFonts w:ascii="Book Antiqua" w:hAnsi="Book Antiqua" w:cs="Arial"/>
                <w:b/>
                <w:bCs/>
              </w:rPr>
            </w:pPr>
            <w:proofErr w:type="spellStart"/>
            <w:r w:rsidRPr="007403CD">
              <w:rPr>
                <w:rFonts w:ascii="Book Antiqua" w:hAnsi="Book Antiqua" w:cs="Arial"/>
                <w:b/>
                <w:bCs/>
              </w:rPr>
              <w:t>Deferasirox</w:t>
            </w:r>
            <w:proofErr w:type="spellEnd"/>
            <w:r w:rsidRPr="007403CD">
              <w:rPr>
                <w:rFonts w:ascii="Book Antiqua" w:hAnsi="Book Antiqua" w:cs="Arial"/>
                <w:b/>
                <w:bCs/>
              </w:rPr>
              <w:t xml:space="preserve"> (DFX)</w:t>
            </w:r>
          </w:p>
        </w:tc>
        <w:tc>
          <w:tcPr>
            <w:tcW w:w="2133" w:type="dxa"/>
            <w:tcBorders>
              <w:top w:val="single" w:sz="4" w:space="0" w:color="auto"/>
              <w:bottom w:val="single" w:sz="4" w:space="0" w:color="auto"/>
            </w:tcBorders>
            <w:vAlign w:val="center"/>
          </w:tcPr>
          <w:p w14:paraId="76CD5F77"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t>Deferiprone (DFP)</w:t>
            </w:r>
          </w:p>
        </w:tc>
      </w:tr>
      <w:tr w:rsidR="00FC1E70" w:rsidRPr="007403CD" w14:paraId="49EB433F" w14:textId="77777777" w:rsidTr="00771C6F">
        <w:trPr>
          <w:trHeight w:val="266"/>
        </w:trPr>
        <w:tc>
          <w:tcPr>
            <w:tcW w:w="2456" w:type="dxa"/>
            <w:tcBorders>
              <w:top w:val="single" w:sz="4" w:space="0" w:color="auto"/>
            </w:tcBorders>
            <w:vAlign w:val="center"/>
          </w:tcPr>
          <w:p w14:paraId="51C9FB34"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t>Chelator: Iron ratio</w:t>
            </w:r>
          </w:p>
        </w:tc>
        <w:tc>
          <w:tcPr>
            <w:tcW w:w="2460" w:type="dxa"/>
            <w:tcBorders>
              <w:top w:val="single" w:sz="4" w:space="0" w:color="auto"/>
            </w:tcBorders>
            <w:vAlign w:val="center"/>
          </w:tcPr>
          <w:p w14:paraId="4CB6DE72"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1:1</w:t>
            </w:r>
          </w:p>
        </w:tc>
        <w:tc>
          <w:tcPr>
            <w:tcW w:w="2324" w:type="dxa"/>
            <w:tcBorders>
              <w:top w:val="single" w:sz="4" w:space="0" w:color="auto"/>
            </w:tcBorders>
            <w:vAlign w:val="center"/>
          </w:tcPr>
          <w:p w14:paraId="1E808C1D"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2:1</w:t>
            </w:r>
          </w:p>
        </w:tc>
        <w:tc>
          <w:tcPr>
            <w:tcW w:w="2133" w:type="dxa"/>
            <w:tcBorders>
              <w:top w:val="single" w:sz="4" w:space="0" w:color="auto"/>
            </w:tcBorders>
            <w:vAlign w:val="center"/>
          </w:tcPr>
          <w:p w14:paraId="448C0010"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3:1</w:t>
            </w:r>
          </w:p>
        </w:tc>
      </w:tr>
      <w:tr w:rsidR="00FC1E70" w:rsidRPr="007403CD" w14:paraId="4C931232" w14:textId="77777777" w:rsidTr="00771C6F">
        <w:trPr>
          <w:trHeight w:val="396"/>
        </w:trPr>
        <w:tc>
          <w:tcPr>
            <w:tcW w:w="2456" w:type="dxa"/>
            <w:vAlign w:val="center"/>
          </w:tcPr>
          <w:p w14:paraId="617FB521" w14:textId="77777777" w:rsidR="00FC1E70" w:rsidRPr="007403CD" w:rsidRDefault="00FC1E70" w:rsidP="00FC1E70">
            <w:pPr>
              <w:adjustRightInd w:val="0"/>
              <w:snapToGrid w:val="0"/>
              <w:spacing w:line="360" w:lineRule="auto"/>
              <w:jc w:val="center"/>
              <w:rPr>
                <w:rFonts w:ascii="Book Antiqua" w:hAnsi="Book Antiqua" w:cs="Arial"/>
                <w:b/>
                <w:bCs/>
                <w:vertAlign w:val="subscript"/>
              </w:rPr>
            </w:pPr>
            <w:r w:rsidRPr="007403CD">
              <w:rPr>
                <w:rFonts w:ascii="Book Antiqua" w:hAnsi="Book Antiqua" w:cs="Arial"/>
                <w:b/>
                <w:bCs/>
              </w:rPr>
              <w:t>Plasma t</w:t>
            </w:r>
            <w:r w:rsidRPr="007403CD">
              <w:rPr>
                <w:rFonts w:ascii="Book Antiqua" w:hAnsi="Book Antiqua" w:cs="Arial"/>
                <w:b/>
                <w:bCs/>
                <w:vertAlign w:val="subscript"/>
              </w:rPr>
              <w:t>1/2</w:t>
            </w:r>
          </w:p>
        </w:tc>
        <w:tc>
          <w:tcPr>
            <w:tcW w:w="2460" w:type="dxa"/>
            <w:vAlign w:val="center"/>
          </w:tcPr>
          <w:p w14:paraId="7B54ACBE"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30 min</w:t>
            </w:r>
          </w:p>
        </w:tc>
        <w:tc>
          <w:tcPr>
            <w:tcW w:w="2324" w:type="dxa"/>
            <w:vAlign w:val="center"/>
          </w:tcPr>
          <w:p w14:paraId="7A73FB97"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12-16 h</w:t>
            </w:r>
          </w:p>
        </w:tc>
        <w:tc>
          <w:tcPr>
            <w:tcW w:w="2133" w:type="dxa"/>
            <w:vAlign w:val="center"/>
          </w:tcPr>
          <w:p w14:paraId="4E87D8C0"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2-3 h</w:t>
            </w:r>
          </w:p>
        </w:tc>
      </w:tr>
      <w:tr w:rsidR="00FC1E70" w:rsidRPr="007403CD" w14:paraId="49BADE89" w14:textId="77777777" w:rsidTr="00771C6F">
        <w:trPr>
          <w:trHeight w:val="568"/>
        </w:trPr>
        <w:tc>
          <w:tcPr>
            <w:tcW w:w="2456" w:type="dxa"/>
            <w:vAlign w:val="center"/>
          </w:tcPr>
          <w:p w14:paraId="412DD6D7"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t>Usual dose</w:t>
            </w:r>
          </w:p>
        </w:tc>
        <w:tc>
          <w:tcPr>
            <w:tcW w:w="2460" w:type="dxa"/>
            <w:vAlign w:val="center"/>
          </w:tcPr>
          <w:p w14:paraId="1697C54F"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20-50</w:t>
            </w:r>
            <w:r>
              <w:rPr>
                <w:rFonts w:ascii="Book Antiqua" w:hAnsi="Book Antiqua" w:cs="Arial" w:hint="eastAsia"/>
                <w:lang w:eastAsia="zh-CN"/>
              </w:rPr>
              <w:t xml:space="preserve"> </w:t>
            </w:r>
            <w:r w:rsidRPr="007403CD">
              <w:rPr>
                <w:rFonts w:ascii="Book Antiqua" w:hAnsi="Book Antiqua" w:cs="Arial"/>
              </w:rPr>
              <w:t>mg/kg</w:t>
            </w:r>
            <w:r>
              <w:rPr>
                <w:rFonts w:ascii="Book Antiqua" w:hAnsi="Book Antiqua" w:cs="Arial" w:hint="eastAsia"/>
                <w:lang w:eastAsia="zh-CN"/>
              </w:rPr>
              <w:t xml:space="preserve"> per </w:t>
            </w:r>
            <w:r w:rsidRPr="007403CD">
              <w:rPr>
                <w:rFonts w:ascii="Book Antiqua" w:hAnsi="Book Antiqua" w:cs="Arial"/>
              </w:rPr>
              <w:t>day over 8-24 h</w:t>
            </w:r>
          </w:p>
        </w:tc>
        <w:tc>
          <w:tcPr>
            <w:tcW w:w="2324" w:type="dxa"/>
            <w:vAlign w:val="center"/>
          </w:tcPr>
          <w:p w14:paraId="57791AF3"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20-40 mg/kg</w:t>
            </w:r>
            <w:r>
              <w:rPr>
                <w:rFonts w:ascii="Book Antiqua" w:hAnsi="Book Antiqua" w:cs="Arial" w:hint="eastAsia"/>
                <w:lang w:eastAsia="zh-CN"/>
              </w:rPr>
              <w:t xml:space="preserve"> per </w:t>
            </w:r>
            <w:r w:rsidRPr="007403CD">
              <w:rPr>
                <w:rFonts w:ascii="Book Antiqua" w:hAnsi="Book Antiqua" w:cs="Arial"/>
              </w:rPr>
              <w:t>day once daily</w:t>
            </w:r>
          </w:p>
        </w:tc>
        <w:tc>
          <w:tcPr>
            <w:tcW w:w="2133" w:type="dxa"/>
            <w:vAlign w:val="center"/>
          </w:tcPr>
          <w:p w14:paraId="5C0BBF68"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75-100 mg/kg</w:t>
            </w:r>
            <w:r>
              <w:rPr>
                <w:rFonts w:ascii="Book Antiqua" w:hAnsi="Book Antiqua" w:cs="Arial" w:hint="eastAsia"/>
                <w:lang w:eastAsia="zh-CN"/>
              </w:rPr>
              <w:t xml:space="preserve"> per </w:t>
            </w:r>
            <w:r w:rsidRPr="007403CD">
              <w:rPr>
                <w:rFonts w:ascii="Book Antiqua" w:hAnsi="Book Antiqua" w:cs="Arial"/>
              </w:rPr>
              <w:t>day in 3 divided doses</w:t>
            </w:r>
          </w:p>
        </w:tc>
      </w:tr>
      <w:tr w:rsidR="00FC1E70" w:rsidRPr="007403CD" w14:paraId="50934454" w14:textId="77777777" w:rsidTr="00771C6F">
        <w:trPr>
          <w:trHeight w:val="534"/>
        </w:trPr>
        <w:tc>
          <w:tcPr>
            <w:tcW w:w="2456" w:type="dxa"/>
            <w:vAlign w:val="center"/>
          </w:tcPr>
          <w:p w14:paraId="20F7FADF"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t>Route of administration</w:t>
            </w:r>
          </w:p>
        </w:tc>
        <w:tc>
          <w:tcPr>
            <w:tcW w:w="2460" w:type="dxa"/>
            <w:vAlign w:val="center"/>
          </w:tcPr>
          <w:p w14:paraId="64601354"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Subcutaneous, intravenous</w:t>
            </w:r>
          </w:p>
        </w:tc>
        <w:tc>
          <w:tcPr>
            <w:tcW w:w="2324" w:type="dxa"/>
            <w:vAlign w:val="center"/>
          </w:tcPr>
          <w:p w14:paraId="54D260F2"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Oral</w:t>
            </w:r>
          </w:p>
        </w:tc>
        <w:tc>
          <w:tcPr>
            <w:tcW w:w="2133" w:type="dxa"/>
            <w:vAlign w:val="center"/>
          </w:tcPr>
          <w:p w14:paraId="25DDFF2E"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Oral</w:t>
            </w:r>
          </w:p>
        </w:tc>
      </w:tr>
      <w:tr w:rsidR="00FC1E70" w:rsidRPr="007403CD" w14:paraId="0082A2C6" w14:textId="77777777" w:rsidTr="00771C6F">
        <w:trPr>
          <w:trHeight w:val="262"/>
        </w:trPr>
        <w:tc>
          <w:tcPr>
            <w:tcW w:w="2456" w:type="dxa"/>
            <w:vAlign w:val="center"/>
          </w:tcPr>
          <w:p w14:paraId="3CB12255"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t>Clearance</w:t>
            </w:r>
          </w:p>
        </w:tc>
        <w:tc>
          <w:tcPr>
            <w:tcW w:w="2460" w:type="dxa"/>
            <w:vAlign w:val="center"/>
          </w:tcPr>
          <w:p w14:paraId="727EEC38"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Renal, hepatic</w:t>
            </w:r>
          </w:p>
        </w:tc>
        <w:tc>
          <w:tcPr>
            <w:tcW w:w="2324" w:type="dxa"/>
            <w:vAlign w:val="center"/>
          </w:tcPr>
          <w:p w14:paraId="0A391C47"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Hepatic</w:t>
            </w:r>
          </w:p>
        </w:tc>
        <w:tc>
          <w:tcPr>
            <w:tcW w:w="2133" w:type="dxa"/>
            <w:vAlign w:val="center"/>
          </w:tcPr>
          <w:p w14:paraId="4BFE940D"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Renal</w:t>
            </w:r>
          </w:p>
        </w:tc>
      </w:tr>
      <w:tr w:rsidR="00FC1E70" w:rsidRPr="007403CD" w14:paraId="6293DA9A" w14:textId="77777777" w:rsidTr="00771C6F">
        <w:trPr>
          <w:trHeight w:val="532"/>
        </w:trPr>
        <w:tc>
          <w:tcPr>
            <w:tcW w:w="2456" w:type="dxa"/>
            <w:vAlign w:val="center"/>
          </w:tcPr>
          <w:p w14:paraId="2EAB368F"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t>Efficacy in removing liver iron stores</w:t>
            </w:r>
          </w:p>
        </w:tc>
        <w:tc>
          <w:tcPr>
            <w:tcW w:w="2460" w:type="dxa"/>
            <w:vAlign w:val="center"/>
          </w:tcPr>
          <w:p w14:paraId="7958E15E"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Good</w:t>
            </w:r>
          </w:p>
        </w:tc>
        <w:tc>
          <w:tcPr>
            <w:tcW w:w="2324" w:type="dxa"/>
            <w:vAlign w:val="center"/>
          </w:tcPr>
          <w:p w14:paraId="61CABB2F"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Good</w:t>
            </w:r>
          </w:p>
        </w:tc>
        <w:tc>
          <w:tcPr>
            <w:tcW w:w="2133" w:type="dxa"/>
            <w:vAlign w:val="center"/>
          </w:tcPr>
          <w:p w14:paraId="397BEF30"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Moderate</w:t>
            </w:r>
          </w:p>
        </w:tc>
      </w:tr>
      <w:tr w:rsidR="00FC1E70" w:rsidRPr="007403CD" w14:paraId="772C1251" w14:textId="77777777" w:rsidTr="00771C6F">
        <w:trPr>
          <w:trHeight w:val="540"/>
        </w:trPr>
        <w:tc>
          <w:tcPr>
            <w:tcW w:w="2456" w:type="dxa"/>
            <w:vAlign w:val="center"/>
          </w:tcPr>
          <w:p w14:paraId="5D3641CD"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t>Efficacy in removing cardiac iron</w:t>
            </w:r>
          </w:p>
        </w:tc>
        <w:tc>
          <w:tcPr>
            <w:tcW w:w="2460" w:type="dxa"/>
            <w:vAlign w:val="center"/>
          </w:tcPr>
          <w:p w14:paraId="058738FB"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Moderate</w:t>
            </w:r>
          </w:p>
        </w:tc>
        <w:tc>
          <w:tcPr>
            <w:tcW w:w="2324" w:type="dxa"/>
            <w:vAlign w:val="center"/>
          </w:tcPr>
          <w:p w14:paraId="2FA1B10D"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Moderate</w:t>
            </w:r>
          </w:p>
        </w:tc>
        <w:tc>
          <w:tcPr>
            <w:tcW w:w="2133" w:type="dxa"/>
            <w:vAlign w:val="center"/>
          </w:tcPr>
          <w:p w14:paraId="69121E94"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Good</w:t>
            </w:r>
          </w:p>
        </w:tc>
      </w:tr>
      <w:tr w:rsidR="00FC1E70" w:rsidRPr="007403CD" w14:paraId="4FE13B8C" w14:textId="77777777" w:rsidTr="00771C6F">
        <w:trPr>
          <w:trHeight w:val="828"/>
        </w:trPr>
        <w:tc>
          <w:tcPr>
            <w:tcW w:w="2456" w:type="dxa"/>
            <w:vAlign w:val="center"/>
          </w:tcPr>
          <w:p w14:paraId="70C7A59C"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t>Advantages</w:t>
            </w:r>
          </w:p>
        </w:tc>
        <w:tc>
          <w:tcPr>
            <w:tcW w:w="2460" w:type="dxa"/>
            <w:vAlign w:val="center"/>
          </w:tcPr>
          <w:p w14:paraId="36293900"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Long safety data available, strongest chelator on molar basis</w:t>
            </w:r>
          </w:p>
        </w:tc>
        <w:tc>
          <w:tcPr>
            <w:tcW w:w="2324" w:type="dxa"/>
            <w:vAlign w:val="center"/>
          </w:tcPr>
          <w:p w14:paraId="667C7B0E"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Oral once daily dose is sufficient</w:t>
            </w:r>
          </w:p>
        </w:tc>
        <w:tc>
          <w:tcPr>
            <w:tcW w:w="2133" w:type="dxa"/>
            <w:vAlign w:val="center"/>
          </w:tcPr>
          <w:p w14:paraId="5089C1EB" w14:textId="77777777" w:rsidR="00FC1E70" w:rsidRPr="007403CD" w:rsidRDefault="00FC1E70" w:rsidP="00FC1E70">
            <w:pPr>
              <w:adjustRightInd w:val="0"/>
              <w:snapToGrid w:val="0"/>
              <w:spacing w:line="360" w:lineRule="auto"/>
              <w:jc w:val="center"/>
              <w:rPr>
                <w:rFonts w:ascii="Book Antiqua" w:hAnsi="Book Antiqua" w:cs="Arial"/>
              </w:rPr>
            </w:pPr>
            <w:r w:rsidRPr="007403CD">
              <w:rPr>
                <w:rFonts w:ascii="Book Antiqua" w:hAnsi="Book Antiqua" w:cs="Arial"/>
              </w:rPr>
              <w:t>Oral, effective in removing cardiac iron</w:t>
            </w:r>
          </w:p>
        </w:tc>
      </w:tr>
      <w:tr w:rsidR="00FC1E70" w:rsidRPr="007403CD" w14:paraId="6B86763F" w14:textId="77777777" w:rsidTr="00771C6F">
        <w:trPr>
          <w:trHeight w:val="3988"/>
        </w:trPr>
        <w:tc>
          <w:tcPr>
            <w:tcW w:w="2456" w:type="dxa"/>
            <w:vAlign w:val="center"/>
          </w:tcPr>
          <w:p w14:paraId="0EB64846" w14:textId="77777777" w:rsidR="00FC1E70" w:rsidRPr="007403CD" w:rsidRDefault="00FC1E70" w:rsidP="00FC1E70">
            <w:pPr>
              <w:adjustRightInd w:val="0"/>
              <w:snapToGrid w:val="0"/>
              <w:spacing w:line="360" w:lineRule="auto"/>
              <w:jc w:val="center"/>
              <w:rPr>
                <w:rFonts w:ascii="Book Antiqua" w:hAnsi="Book Antiqua" w:cs="Arial"/>
                <w:b/>
                <w:bCs/>
              </w:rPr>
            </w:pPr>
            <w:r w:rsidRPr="007403CD">
              <w:rPr>
                <w:rFonts w:ascii="Book Antiqua" w:hAnsi="Book Antiqua" w:cs="Arial"/>
                <w:b/>
                <w:bCs/>
              </w:rPr>
              <w:lastRenderedPageBreak/>
              <w:t>Adverse effects</w:t>
            </w:r>
          </w:p>
        </w:tc>
        <w:tc>
          <w:tcPr>
            <w:tcW w:w="2460" w:type="dxa"/>
            <w:vAlign w:val="center"/>
          </w:tcPr>
          <w:p w14:paraId="01FF53D0"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Local reactions</w:t>
            </w:r>
          </w:p>
          <w:p w14:paraId="3B3F16BF"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Sensorineural hearing loss</w:t>
            </w:r>
          </w:p>
          <w:p w14:paraId="7E588277"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Bone abnormalities</w:t>
            </w:r>
          </w:p>
          <w:p w14:paraId="24920159"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Retinopathy</w:t>
            </w:r>
          </w:p>
          <w:p w14:paraId="104A7F63"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Pulmonary disease</w:t>
            </w:r>
          </w:p>
          <w:p w14:paraId="1505BA75"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Allergic reaction</w:t>
            </w:r>
          </w:p>
          <w:p w14:paraId="17CEC48B"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Bacterial infections (</w:t>
            </w:r>
            <w:r w:rsidRPr="001C7B3F">
              <w:rPr>
                <w:rFonts w:ascii="Book Antiqua" w:hAnsi="Book Antiqua" w:cs="Arial"/>
                <w:i/>
              </w:rPr>
              <w:t>e</w:t>
            </w:r>
            <w:r w:rsidRPr="001C7B3F">
              <w:rPr>
                <w:rFonts w:ascii="Book Antiqua" w:hAnsi="Book Antiqua" w:cs="Arial" w:hint="eastAsia"/>
                <w:i/>
                <w:lang w:eastAsia="zh-CN"/>
              </w:rPr>
              <w:t>.</w:t>
            </w:r>
            <w:r w:rsidRPr="001C7B3F">
              <w:rPr>
                <w:rFonts w:ascii="Book Antiqua" w:hAnsi="Book Antiqua" w:cs="Arial"/>
                <w:i/>
              </w:rPr>
              <w:t>g.</w:t>
            </w:r>
            <w:r>
              <w:rPr>
                <w:rFonts w:ascii="Book Antiqua" w:hAnsi="Book Antiqua" w:cs="Arial" w:hint="eastAsia"/>
                <w:lang w:eastAsia="zh-CN"/>
              </w:rPr>
              <w:t>,</w:t>
            </w:r>
            <w:r w:rsidRPr="007403CD">
              <w:rPr>
                <w:rFonts w:ascii="Book Antiqua" w:hAnsi="Book Antiqua" w:cs="Arial"/>
              </w:rPr>
              <w:t xml:space="preserve"> </w:t>
            </w:r>
            <w:r w:rsidRPr="007403CD">
              <w:rPr>
                <w:rFonts w:ascii="Book Antiqua" w:hAnsi="Book Antiqua" w:cs="Arial"/>
                <w:i/>
                <w:iCs/>
              </w:rPr>
              <w:t>Listeria, Klebsiella</w:t>
            </w:r>
            <w:r w:rsidRPr="007403CD">
              <w:rPr>
                <w:rFonts w:ascii="Book Antiqua" w:hAnsi="Book Antiqua" w:cs="Arial"/>
              </w:rPr>
              <w:t>)</w:t>
            </w:r>
          </w:p>
        </w:tc>
        <w:tc>
          <w:tcPr>
            <w:tcW w:w="2324" w:type="dxa"/>
            <w:vAlign w:val="center"/>
          </w:tcPr>
          <w:p w14:paraId="7256B826"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Gastric intolerance</w:t>
            </w:r>
          </w:p>
          <w:p w14:paraId="03E377BA"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Rash</w:t>
            </w:r>
          </w:p>
          <w:p w14:paraId="4874E007" w14:textId="77777777" w:rsidR="00FC1E70" w:rsidRPr="007403CD" w:rsidRDefault="00FC1E70" w:rsidP="00FC1E70">
            <w:pPr>
              <w:adjustRightInd w:val="0"/>
              <w:snapToGrid w:val="0"/>
              <w:spacing w:line="360" w:lineRule="auto"/>
              <w:rPr>
                <w:rFonts w:ascii="Book Antiqua" w:hAnsi="Book Antiqua" w:cs="Arial"/>
              </w:rPr>
            </w:pPr>
            <w:proofErr w:type="spellStart"/>
            <w:r w:rsidRPr="007403CD">
              <w:rPr>
                <w:rFonts w:ascii="Book Antiqua" w:hAnsi="Book Antiqua" w:cs="Arial"/>
              </w:rPr>
              <w:t>Diarrhea</w:t>
            </w:r>
            <w:proofErr w:type="spellEnd"/>
          </w:p>
          <w:p w14:paraId="46C354FE"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Elevation in creatinine</w:t>
            </w:r>
          </w:p>
          <w:p w14:paraId="4EA0760E"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Elevation in transaminases</w:t>
            </w:r>
          </w:p>
          <w:p w14:paraId="7CDDD27F"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Peptic ulcer</w:t>
            </w:r>
          </w:p>
          <w:p w14:paraId="64E1430D"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Renal dysfunction</w:t>
            </w:r>
          </w:p>
          <w:p w14:paraId="30D63FBC"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Hepatic dysfunction</w:t>
            </w:r>
          </w:p>
        </w:tc>
        <w:tc>
          <w:tcPr>
            <w:tcW w:w="2133" w:type="dxa"/>
            <w:vAlign w:val="center"/>
          </w:tcPr>
          <w:p w14:paraId="2657EC5C"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Nausea</w:t>
            </w:r>
          </w:p>
          <w:p w14:paraId="16134FD4"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Vomiting</w:t>
            </w:r>
          </w:p>
          <w:p w14:paraId="7DEA39A6" w14:textId="77777777" w:rsidR="00FC1E70" w:rsidRPr="007403CD" w:rsidRDefault="00FC1E70" w:rsidP="00FC1E70">
            <w:pPr>
              <w:adjustRightInd w:val="0"/>
              <w:snapToGrid w:val="0"/>
              <w:spacing w:line="360" w:lineRule="auto"/>
              <w:rPr>
                <w:rFonts w:ascii="Book Antiqua" w:hAnsi="Book Antiqua" w:cs="Arial"/>
              </w:rPr>
            </w:pPr>
            <w:proofErr w:type="spellStart"/>
            <w:r w:rsidRPr="007403CD">
              <w:rPr>
                <w:rFonts w:ascii="Book Antiqua" w:hAnsi="Book Antiqua" w:cs="Arial"/>
              </w:rPr>
              <w:t>Diarrhea</w:t>
            </w:r>
            <w:proofErr w:type="spellEnd"/>
          </w:p>
          <w:p w14:paraId="1DB29A01"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Arthralgia</w:t>
            </w:r>
          </w:p>
          <w:p w14:paraId="67CAE636"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Elevated liver enzymes</w:t>
            </w:r>
          </w:p>
          <w:p w14:paraId="6DEE9B41" w14:textId="77777777" w:rsidR="00FC1E70" w:rsidRPr="007403CD" w:rsidRDefault="00FC1E70" w:rsidP="00FC1E70">
            <w:pPr>
              <w:adjustRightInd w:val="0"/>
              <w:snapToGrid w:val="0"/>
              <w:spacing w:line="360" w:lineRule="auto"/>
              <w:rPr>
                <w:rFonts w:ascii="Book Antiqua" w:hAnsi="Book Antiqua" w:cs="Arial"/>
              </w:rPr>
            </w:pPr>
            <w:r w:rsidRPr="007403CD">
              <w:rPr>
                <w:rFonts w:ascii="Book Antiqua" w:hAnsi="Book Antiqua" w:cs="Arial"/>
              </w:rPr>
              <w:t>Agranulocytosis</w:t>
            </w:r>
          </w:p>
          <w:p w14:paraId="75C6ED31" w14:textId="77777777" w:rsidR="00FC1E70" w:rsidRPr="007403CD" w:rsidRDefault="00FC1E70" w:rsidP="00FC1E70">
            <w:pPr>
              <w:adjustRightInd w:val="0"/>
              <w:snapToGrid w:val="0"/>
              <w:spacing w:line="360" w:lineRule="auto"/>
              <w:rPr>
                <w:rFonts w:ascii="Book Antiqua" w:hAnsi="Book Antiqua" w:cs="Arial"/>
              </w:rPr>
            </w:pPr>
          </w:p>
        </w:tc>
      </w:tr>
    </w:tbl>
    <w:p w14:paraId="20733C0F" w14:textId="77777777" w:rsidR="00533F22" w:rsidRPr="00533F22" w:rsidRDefault="00533F22" w:rsidP="00771C6F">
      <w:pPr>
        <w:adjustRightInd w:val="0"/>
        <w:snapToGrid w:val="0"/>
        <w:spacing w:line="360" w:lineRule="auto"/>
        <w:jc w:val="both"/>
        <w:rPr>
          <w:lang w:eastAsia="zh-CN"/>
        </w:rPr>
      </w:pPr>
    </w:p>
    <w:sectPr w:rsidR="00533F22" w:rsidRPr="00533F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A194C" w14:textId="77777777" w:rsidR="001C30E0" w:rsidRDefault="001C30E0" w:rsidP="00BC43EB">
      <w:r>
        <w:separator/>
      </w:r>
    </w:p>
  </w:endnote>
  <w:endnote w:type="continuationSeparator" w:id="0">
    <w:p w14:paraId="02AE01DF" w14:textId="77777777" w:rsidR="001C30E0" w:rsidRDefault="001C30E0" w:rsidP="00BC4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727269"/>
      <w:docPartObj>
        <w:docPartGallery w:val="Page Numbers (Bottom of Page)"/>
        <w:docPartUnique/>
      </w:docPartObj>
    </w:sdtPr>
    <w:sdtEndPr/>
    <w:sdtContent>
      <w:sdt>
        <w:sdtPr>
          <w:id w:val="98381352"/>
          <w:docPartObj>
            <w:docPartGallery w:val="Page Numbers (Top of Page)"/>
            <w:docPartUnique/>
          </w:docPartObj>
        </w:sdtPr>
        <w:sdtEndPr/>
        <w:sdtContent>
          <w:p w14:paraId="1CB3E1E3" w14:textId="77777777" w:rsidR="00940DED" w:rsidRDefault="00940DED" w:rsidP="00BC43EB">
            <w:pPr>
              <w:pStyle w:val="Footer"/>
              <w:jc w:val="right"/>
            </w:pPr>
            <w:r w:rsidRPr="00BC43EB">
              <w:rPr>
                <w:rFonts w:ascii="Book Antiqua" w:hAnsi="Book Antiqua"/>
                <w:sz w:val="24"/>
                <w:szCs w:val="24"/>
                <w:lang w:val="zh-CN" w:eastAsia="zh-CN"/>
              </w:rPr>
              <w:t xml:space="preserve"> </w:t>
            </w:r>
            <w:r w:rsidRPr="00BC43EB">
              <w:rPr>
                <w:rFonts w:ascii="Book Antiqua" w:hAnsi="Book Antiqua"/>
                <w:b/>
                <w:bCs/>
                <w:sz w:val="24"/>
                <w:szCs w:val="24"/>
              </w:rPr>
              <w:fldChar w:fldCharType="begin"/>
            </w:r>
            <w:r w:rsidRPr="00BC43EB">
              <w:rPr>
                <w:rFonts w:ascii="Book Antiqua" w:hAnsi="Book Antiqua"/>
                <w:b/>
                <w:bCs/>
                <w:sz w:val="24"/>
                <w:szCs w:val="24"/>
              </w:rPr>
              <w:instrText>PAGE</w:instrText>
            </w:r>
            <w:r w:rsidRPr="00BC43EB">
              <w:rPr>
                <w:rFonts w:ascii="Book Antiqua" w:hAnsi="Book Antiqua"/>
                <w:b/>
                <w:bCs/>
                <w:sz w:val="24"/>
                <w:szCs w:val="24"/>
              </w:rPr>
              <w:fldChar w:fldCharType="separate"/>
            </w:r>
            <w:r w:rsidR="00D43049">
              <w:rPr>
                <w:rFonts w:ascii="Book Antiqua" w:hAnsi="Book Antiqua"/>
                <w:b/>
                <w:bCs/>
                <w:noProof/>
                <w:sz w:val="24"/>
                <w:szCs w:val="24"/>
              </w:rPr>
              <w:t>19</w:t>
            </w:r>
            <w:r w:rsidRPr="00BC43EB">
              <w:rPr>
                <w:rFonts w:ascii="Book Antiqua" w:hAnsi="Book Antiqua"/>
                <w:b/>
                <w:bCs/>
                <w:sz w:val="24"/>
                <w:szCs w:val="24"/>
              </w:rPr>
              <w:fldChar w:fldCharType="end"/>
            </w:r>
            <w:r w:rsidRPr="00BC43EB">
              <w:rPr>
                <w:rFonts w:ascii="Book Antiqua" w:hAnsi="Book Antiqua"/>
                <w:sz w:val="24"/>
                <w:szCs w:val="24"/>
                <w:lang w:val="zh-CN" w:eastAsia="zh-CN"/>
              </w:rPr>
              <w:t xml:space="preserve"> / </w:t>
            </w:r>
            <w:r w:rsidRPr="00BC43EB">
              <w:rPr>
                <w:rFonts w:ascii="Book Antiqua" w:hAnsi="Book Antiqua"/>
                <w:b/>
                <w:bCs/>
                <w:sz w:val="24"/>
                <w:szCs w:val="24"/>
              </w:rPr>
              <w:fldChar w:fldCharType="begin"/>
            </w:r>
            <w:r w:rsidRPr="00BC43EB">
              <w:rPr>
                <w:rFonts w:ascii="Book Antiqua" w:hAnsi="Book Antiqua"/>
                <w:b/>
                <w:bCs/>
                <w:sz w:val="24"/>
                <w:szCs w:val="24"/>
              </w:rPr>
              <w:instrText>NUMPAGES</w:instrText>
            </w:r>
            <w:r w:rsidRPr="00BC43EB">
              <w:rPr>
                <w:rFonts w:ascii="Book Antiqua" w:hAnsi="Book Antiqua"/>
                <w:b/>
                <w:bCs/>
                <w:sz w:val="24"/>
                <w:szCs w:val="24"/>
              </w:rPr>
              <w:fldChar w:fldCharType="separate"/>
            </w:r>
            <w:r w:rsidR="00D43049">
              <w:rPr>
                <w:rFonts w:ascii="Book Antiqua" w:hAnsi="Book Antiqua"/>
                <w:b/>
                <w:bCs/>
                <w:noProof/>
                <w:sz w:val="24"/>
                <w:szCs w:val="24"/>
              </w:rPr>
              <w:t>41</w:t>
            </w:r>
            <w:r w:rsidRPr="00BC43EB">
              <w:rPr>
                <w:rFonts w:ascii="Book Antiqua" w:hAnsi="Book Antiqua"/>
                <w:b/>
                <w:bCs/>
                <w:sz w:val="24"/>
                <w:szCs w:val="24"/>
              </w:rPr>
              <w:fldChar w:fldCharType="end"/>
            </w:r>
          </w:p>
        </w:sdtContent>
      </w:sdt>
    </w:sdtContent>
  </w:sdt>
  <w:p w14:paraId="3BED7A90" w14:textId="77777777" w:rsidR="00940DED" w:rsidRDefault="00940D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A2091" w14:textId="77777777" w:rsidR="001C30E0" w:rsidRDefault="001C30E0" w:rsidP="00BC43EB">
      <w:r>
        <w:separator/>
      </w:r>
    </w:p>
  </w:footnote>
  <w:footnote w:type="continuationSeparator" w:id="0">
    <w:p w14:paraId="77E6D7BF" w14:textId="77777777" w:rsidR="001C30E0" w:rsidRDefault="001C30E0" w:rsidP="00BC43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519"/>
    <w:rsid w:val="00034410"/>
    <w:rsid w:val="00081526"/>
    <w:rsid w:val="001C30E0"/>
    <w:rsid w:val="00207CDC"/>
    <w:rsid w:val="00281B5B"/>
    <w:rsid w:val="002E39E2"/>
    <w:rsid w:val="00334FEA"/>
    <w:rsid w:val="0036755F"/>
    <w:rsid w:val="0048678D"/>
    <w:rsid w:val="004E0A64"/>
    <w:rsid w:val="00533F22"/>
    <w:rsid w:val="00771C6F"/>
    <w:rsid w:val="00890D4B"/>
    <w:rsid w:val="009160BA"/>
    <w:rsid w:val="00940DED"/>
    <w:rsid w:val="00A77B3E"/>
    <w:rsid w:val="00BC43EB"/>
    <w:rsid w:val="00CA2A55"/>
    <w:rsid w:val="00CA7B92"/>
    <w:rsid w:val="00D43049"/>
    <w:rsid w:val="00D9393B"/>
    <w:rsid w:val="00FC1E70"/>
    <w:rsid w:val="00FE23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FCD734"/>
  <w15:docId w15:val="{20E9917F-8367-434A-964D-9EE85F9FB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33F22"/>
    <w:rPr>
      <w:sz w:val="18"/>
      <w:szCs w:val="18"/>
    </w:rPr>
  </w:style>
  <w:style w:type="character" w:customStyle="1" w:styleId="BalloonTextChar">
    <w:name w:val="Balloon Text Char"/>
    <w:basedOn w:val="DefaultParagraphFont"/>
    <w:link w:val="BalloonText"/>
    <w:rsid w:val="00533F22"/>
    <w:rPr>
      <w:sz w:val="18"/>
      <w:szCs w:val="18"/>
    </w:rPr>
  </w:style>
  <w:style w:type="table" w:styleId="TableGrid">
    <w:name w:val="Table Grid"/>
    <w:basedOn w:val="TableNormal"/>
    <w:uiPriority w:val="39"/>
    <w:qFormat/>
    <w:rsid w:val="00FC1E70"/>
    <w:rPr>
      <w:rFonts w:eastAsia="SimSun"/>
      <w:lang w:val="en-I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C43E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C43EB"/>
    <w:rPr>
      <w:sz w:val="18"/>
      <w:szCs w:val="18"/>
    </w:rPr>
  </w:style>
  <w:style w:type="paragraph" w:styleId="Footer">
    <w:name w:val="footer"/>
    <w:basedOn w:val="Normal"/>
    <w:link w:val="FooterChar"/>
    <w:uiPriority w:val="99"/>
    <w:rsid w:val="00BC43E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C43E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912353">
      <w:bodyDiv w:val="1"/>
      <w:marLeft w:val="0"/>
      <w:marRight w:val="0"/>
      <w:marTop w:val="0"/>
      <w:marBottom w:val="0"/>
      <w:divBdr>
        <w:top w:val="none" w:sz="0" w:space="0" w:color="auto"/>
        <w:left w:val="none" w:sz="0" w:space="0" w:color="auto"/>
        <w:bottom w:val="none" w:sz="0" w:space="0" w:color="auto"/>
        <w:right w:val="none" w:sz="0" w:space="0" w:color="auto"/>
      </w:divBdr>
    </w:div>
    <w:div w:id="1561361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16783</Words>
  <Characters>95666</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2021-10-03T21:50:00Z</dcterms:created>
  <dcterms:modified xsi:type="dcterms:W3CDTF">2021-10-03T21:50:00Z</dcterms:modified>
</cp:coreProperties>
</file>