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D2C9" w14:textId="77777777" w:rsidR="00A77B3E" w:rsidRDefault="00650E2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81244F6" w14:textId="77777777" w:rsidR="00A77B3E" w:rsidRDefault="00650E2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65176</w:t>
      </w:r>
    </w:p>
    <w:p w14:paraId="0FEC3FFA" w14:textId="77777777" w:rsidR="00A77B3E" w:rsidRDefault="00650E2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55F0C8B" w14:textId="77777777" w:rsidR="00A77B3E" w:rsidRDefault="00A77B3E">
      <w:pPr>
        <w:spacing w:line="360" w:lineRule="auto"/>
        <w:jc w:val="both"/>
      </w:pPr>
    </w:p>
    <w:p w14:paraId="5A712F93" w14:textId="77777777" w:rsidR="00A77B3E" w:rsidRDefault="00650E21">
      <w:pPr>
        <w:spacing w:line="360" w:lineRule="auto"/>
        <w:jc w:val="both"/>
      </w:pPr>
      <w:r>
        <w:rPr>
          <w:rFonts w:ascii="Book Antiqua" w:eastAsia="Book Antiqua" w:hAnsi="Book Antiqua" w:cs="Book Antiqua"/>
          <w:b/>
          <w:bCs/>
          <w:color w:val="000000"/>
          <w:szCs w:val="22"/>
        </w:rPr>
        <w:t>Liver disease in the era of COVID-19: Is the worst yet to come?</w:t>
      </w:r>
    </w:p>
    <w:p w14:paraId="433AF6A4" w14:textId="77777777" w:rsidR="00A77B3E" w:rsidRDefault="00A77B3E">
      <w:pPr>
        <w:spacing w:line="360" w:lineRule="auto"/>
        <w:jc w:val="both"/>
      </w:pPr>
    </w:p>
    <w:p w14:paraId="4814BC0F" w14:textId="77777777" w:rsidR="00A77B3E" w:rsidRDefault="004B0049">
      <w:pPr>
        <w:spacing w:line="360" w:lineRule="auto"/>
        <w:jc w:val="both"/>
      </w:pPr>
      <w:r>
        <w:rPr>
          <w:rFonts w:ascii="Book Antiqua" w:eastAsia="Book Antiqua" w:hAnsi="Book Antiqua" w:cs="Book Antiqua"/>
          <w:color w:val="000000"/>
        </w:rPr>
        <w:t>Mikolasevic</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I </w:t>
      </w:r>
      <w:r w:rsidRPr="004B0049">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sidR="00650E21">
        <w:rPr>
          <w:rFonts w:ascii="Book Antiqua" w:eastAsia="Book Antiqua" w:hAnsi="Book Antiqua" w:cs="Book Antiqua"/>
          <w:color w:val="000000"/>
          <w:szCs w:val="22"/>
        </w:rPr>
        <w:t>Liver disease and COVID-19</w:t>
      </w:r>
    </w:p>
    <w:p w14:paraId="5E7F540E" w14:textId="77777777" w:rsidR="00A77B3E" w:rsidRDefault="00A77B3E">
      <w:pPr>
        <w:spacing w:line="360" w:lineRule="auto"/>
        <w:jc w:val="both"/>
      </w:pPr>
    </w:p>
    <w:p w14:paraId="55C8774C" w14:textId="77777777" w:rsidR="00A77B3E" w:rsidRDefault="00650E21">
      <w:pPr>
        <w:spacing w:line="360" w:lineRule="auto"/>
        <w:jc w:val="both"/>
      </w:pPr>
      <w:r>
        <w:rPr>
          <w:rFonts w:ascii="Book Antiqua" w:eastAsia="Book Antiqua" w:hAnsi="Book Antiqua" w:cs="Book Antiqua"/>
          <w:color w:val="000000"/>
        </w:rPr>
        <w:t>Ivana Mikolasevic, Dorotea Bozic, Tajana Pavić, Alen Ruzic, Goran Hauser, Marija Radic, Delfa Radic-Kristo, Melanija Razov-Radas, Zeljko Puljiz, Sandra Milic</w:t>
      </w:r>
    </w:p>
    <w:p w14:paraId="06959320" w14:textId="77777777" w:rsidR="00A77B3E" w:rsidRDefault="00A77B3E">
      <w:pPr>
        <w:spacing w:line="360" w:lineRule="auto"/>
        <w:jc w:val="both"/>
      </w:pPr>
    </w:p>
    <w:p w14:paraId="3339F769" w14:textId="77777777" w:rsidR="00A77B3E" w:rsidRDefault="00650E21">
      <w:pPr>
        <w:spacing w:line="360" w:lineRule="auto"/>
        <w:jc w:val="both"/>
      </w:pPr>
      <w:r>
        <w:rPr>
          <w:rFonts w:ascii="Book Antiqua" w:eastAsia="Book Antiqua" w:hAnsi="Book Antiqua" w:cs="Book Antiqua"/>
          <w:b/>
          <w:bCs/>
          <w:color w:val="000000"/>
        </w:rPr>
        <w:t xml:space="preserve">Ivana Mikolasevic, Goran Hauser, Sandra Milic, </w:t>
      </w:r>
      <w:r>
        <w:rPr>
          <w:rFonts w:ascii="Book Antiqua" w:eastAsia="Book Antiqua" w:hAnsi="Book Antiqua" w:cs="Book Antiqua"/>
          <w:color w:val="000000"/>
        </w:rPr>
        <w:t>Department of Gastroenterology, Clinical Hospital Center Rijeka, Rijeka 51000, Croatia</w:t>
      </w:r>
    </w:p>
    <w:p w14:paraId="51D5473E" w14:textId="77777777" w:rsidR="00A77B3E" w:rsidRDefault="00A77B3E">
      <w:pPr>
        <w:spacing w:line="360" w:lineRule="auto"/>
        <w:jc w:val="both"/>
      </w:pPr>
    </w:p>
    <w:p w14:paraId="7E1AF607" w14:textId="77777777" w:rsidR="00A77B3E" w:rsidRDefault="00650E21">
      <w:pPr>
        <w:spacing w:line="360" w:lineRule="auto"/>
        <w:jc w:val="both"/>
      </w:pPr>
      <w:r>
        <w:rPr>
          <w:rFonts w:ascii="Book Antiqua" w:eastAsia="Book Antiqua" w:hAnsi="Book Antiqua" w:cs="Book Antiqua"/>
          <w:b/>
          <w:bCs/>
          <w:color w:val="000000"/>
        </w:rPr>
        <w:t xml:space="preserve">Ivana Mikolasevic, </w:t>
      </w:r>
      <w:r>
        <w:rPr>
          <w:rFonts w:ascii="Book Antiqua" w:eastAsia="Book Antiqua" w:hAnsi="Book Antiqua" w:cs="Book Antiqua"/>
          <w:color w:val="000000"/>
        </w:rPr>
        <w:t>Department of Gastroenterology, University Hospital Merkur, Zagreb 10000, Croatia</w:t>
      </w:r>
    </w:p>
    <w:p w14:paraId="6B5D68F2" w14:textId="77777777" w:rsidR="00A77B3E" w:rsidRDefault="00A77B3E">
      <w:pPr>
        <w:spacing w:line="360" w:lineRule="auto"/>
        <w:jc w:val="both"/>
      </w:pPr>
    </w:p>
    <w:p w14:paraId="798FF63C" w14:textId="77777777" w:rsidR="00A77B3E" w:rsidRDefault="00650E21">
      <w:pPr>
        <w:spacing w:line="360" w:lineRule="auto"/>
        <w:jc w:val="both"/>
      </w:pPr>
      <w:r>
        <w:rPr>
          <w:rFonts w:ascii="Book Antiqua" w:eastAsia="Book Antiqua" w:hAnsi="Book Antiqua" w:cs="Book Antiqua"/>
          <w:b/>
          <w:bCs/>
          <w:color w:val="000000"/>
        </w:rPr>
        <w:t xml:space="preserve">Ivana Mikolasevic, Alen Ruzic, Goran Hauser, Sandra Milic, </w:t>
      </w:r>
      <w:r>
        <w:rPr>
          <w:rFonts w:ascii="Book Antiqua" w:eastAsia="Book Antiqua" w:hAnsi="Book Antiqua" w:cs="Book Antiqua"/>
          <w:color w:val="000000"/>
        </w:rPr>
        <w:t>Faculty of Medicine, University of Rijeka, Rijeka 51000, Croatia</w:t>
      </w:r>
    </w:p>
    <w:p w14:paraId="22E65269" w14:textId="77777777" w:rsidR="00A77B3E" w:rsidRDefault="00A77B3E">
      <w:pPr>
        <w:spacing w:line="360" w:lineRule="auto"/>
        <w:jc w:val="both"/>
      </w:pPr>
    </w:p>
    <w:p w14:paraId="78F44E4C" w14:textId="77777777" w:rsidR="00A77B3E" w:rsidRDefault="00650E21">
      <w:pPr>
        <w:spacing w:line="360" w:lineRule="auto"/>
        <w:jc w:val="both"/>
      </w:pPr>
      <w:r>
        <w:rPr>
          <w:rFonts w:ascii="Book Antiqua" w:eastAsia="Book Antiqua" w:hAnsi="Book Antiqua" w:cs="Book Antiqua"/>
          <w:b/>
          <w:bCs/>
          <w:color w:val="000000"/>
        </w:rPr>
        <w:t xml:space="preserve">Dorotea Bozic, Zeljko Puljiz, </w:t>
      </w:r>
      <w:r>
        <w:rPr>
          <w:rFonts w:ascii="Book Antiqua" w:eastAsia="Book Antiqua" w:hAnsi="Book Antiqua" w:cs="Book Antiqua"/>
          <w:color w:val="000000"/>
        </w:rPr>
        <w:t>Department for Gastroenterology and Hepatology, University Hospital Center Split, Split 21000, Croatia</w:t>
      </w:r>
    </w:p>
    <w:p w14:paraId="4F6CB6BD" w14:textId="77777777" w:rsidR="00A77B3E" w:rsidRDefault="00A77B3E">
      <w:pPr>
        <w:spacing w:line="360" w:lineRule="auto"/>
        <w:jc w:val="both"/>
      </w:pPr>
    </w:p>
    <w:p w14:paraId="18AB57B0" w14:textId="77777777" w:rsidR="00A77B3E" w:rsidRDefault="00650E21">
      <w:pPr>
        <w:spacing w:line="360" w:lineRule="auto"/>
        <w:jc w:val="both"/>
      </w:pPr>
      <w:r>
        <w:rPr>
          <w:rFonts w:ascii="Book Antiqua" w:eastAsia="Book Antiqua" w:hAnsi="Book Antiqua" w:cs="Book Antiqua"/>
          <w:b/>
          <w:bCs/>
          <w:color w:val="000000"/>
        </w:rPr>
        <w:t xml:space="preserve">Tajana Pavić, </w:t>
      </w:r>
      <w:r>
        <w:rPr>
          <w:rFonts w:ascii="Book Antiqua" w:eastAsia="Book Antiqua" w:hAnsi="Book Antiqua" w:cs="Book Antiqua"/>
          <w:color w:val="000000"/>
        </w:rPr>
        <w:t>Department of Gastroenterology and Hepatology, Faculty of Medicine, Sestre Milosrdnice University Hospital Center, Zagreb 10000, Croatia</w:t>
      </w:r>
    </w:p>
    <w:p w14:paraId="004FCB6A" w14:textId="77777777" w:rsidR="00A77B3E" w:rsidRDefault="00A77B3E">
      <w:pPr>
        <w:spacing w:line="360" w:lineRule="auto"/>
        <w:jc w:val="both"/>
      </w:pPr>
    </w:p>
    <w:p w14:paraId="103B5822" w14:textId="77777777" w:rsidR="00A77B3E" w:rsidRDefault="00650E21">
      <w:pPr>
        <w:spacing w:line="360" w:lineRule="auto"/>
        <w:jc w:val="both"/>
      </w:pPr>
      <w:r>
        <w:rPr>
          <w:rFonts w:ascii="Book Antiqua" w:eastAsia="Book Antiqua" w:hAnsi="Book Antiqua" w:cs="Book Antiqua"/>
          <w:b/>
          <w:bCs/>
          <w:color w:val="000000"/>
        </w:rPr>
        <w:t xml:space="preserve">Alen Ruzic, </w:t>
      </w:r>
      <w:r>
        <w:rPr>
          <w:rFonts w:ascii="Book Antiqua" w:eastAsia="Book Antiqua" w:hAnsi="Book Antiqua" w:cs="Book Antiqua"/>
          <w:color w:val="000000"/>
        </w:rPr>
        <w:t>Clinic for Cardiology, University Hospital Center Rijeka, Rijeka 51000, Croatia</w:t>
      </w:r>
    </w:p>
    <w:p w14:paraId="4FB0D3CA" w14:textId="77777777" w:rsidR="00A77B3E" w:rsidRDefault="00A77B3E">
      <w:pPr>
        <w:spacing w:line="360" w:lineRule="auto"/>
        <w:jc w:val="both"/>
      </w:pPr>
    </w:p>
    <w:p w14:paraId="4DB9C082" w14:textId="77777777" w:rsidR="00A77B3E" w:rsidRDefault="00650E21">
      <w:pPr>
        <w:spacing w:line="360" w:lineRule="auto"/>
        <w:jc w:val="both"/>
      </w:pPr>
      <w:r>
        <w:rPr>
          <w:rFonts w:ascii="Book Antiqua" w:eastAsia="Book Antiqua" w:hAnsi="Book Antiqua" w:cs="Book Antiqua"/>
          <w:b/>
          <w:bCs/>
          <w:color w:val="000000"/>
        </w:rPr>
        <w:t xml:space="preserve">Goran Hauser, </w:t>
      </w:r>
      <w:r>
        <w:rPr>
          <w:rFonts w:ascii="Book Antiqua" w:eastAsia="Book Antiqua" w:hAnsi="Book Antiqua" w:cs="Book Antiqua"/>
          <w:color w:val="000000"/>
        </w:rPr>
        <w:t>Faculty of Health Studies, University of Rijeka, Rijeka 51000, Croatia</w:t>
      </w:r>
    </w:p>
    <w:p w14:paraId="6A1B1C42" w14:textId="77777777" w:rsidR="00A77B3E" w:rsidRDefault="00A77B3E">
      <w:pPr>
        <w:spacing w:line="360" w:lineRule="auto"/>
        <w:jc w:val="both"/>
      </w:pPr>
    </w:p>
    <w:p w14:paraId="2D17F26F" w14:textId="77777777" w:rsidR="00A77B3E" w:rsidRDefault="00650E21">
      <w:pPr>
        <w:spacing w:line="360" w:lineRule="auto"/>
        <w:jc w:val="both"/>
      </w:pPr>
      <w:r>
        <w:rPr>
          <w:rFonts w:ascii="Book Antiqua" w:eastAsia="Book Antiqua" w:hAnsi="Book Antiqua" w:cs="Book Antiqua"/>
          <w:b/>
          <w:bCs/>
          <w:color w:val="000000"/>
        </w:rPr>
        <w:t xml:space="preserve">Marija Radic, Delfa Radic-Kristo, </w:t>
      </w:r>
      <w:r>
        <w:rPr>
          <w:rFonts w:ascii="Book Antiqua" w:eastAsia="Book Antiqua" w:hAnsi="Book Antiqua" w:cs="Book Antiqua"/>
          <w:color w:val="000000"/>
        </w:rPr>
        <w:t>Faculty of Medicine, Zagreb 10000, Croatia</w:t>
      </w:r>
    </w:p>
    <w:p w14:paraId="0ABC59BB" w14:textId="77777777" w:rsidR="00A77B3E" w:rsidRDefault="00A77B3E">
      <w:pPr>
        <w:spacing w:line="360" w:lineRule="auto"/>
        <w:jc w:val="both"/>
      </w:pPr>
    </w:p>
    <w:p w14:paraId="76CB0065" w14:textId="77777777" w:rsidR="00A77B3E" w:rsidRDefault="00650E21">
      <w:pPr>
        <w:spacing w:line="360" w:lineRule="auto"/>
        <w:jc w:val="both"/>
      </w:pPr>
      <w:r>
        <w:rPr>
          <w:rFonts w:ascii="Book Antiqua" w:eastAsia="Book Antiqua" w:hAnsi="Book Antiqua" w:cs="Book Antiqua"/>
          <w:b/>
          <w:bCs/>
          <w:color w:val="000000"/>
        </w:rPr>
        <w:t xml:space="preserve">Delfa Radic-Kristo, </w:t>
      </w:r>
      <w:r>
        <w:rPr>
          <w:rFonts w:ascii="Book Antiqua" w:eastAsia="Book Antiqua" w:hAnsi="Book Antiqua" w:cs="Book Antiqua"/>
          <w:color w:val="000000"/>
        </w:rPr>
        <w:t>Department of Hematology, University Hospital Merkur, Zagreb 10000, Croatia</w:t>
      </w:r>
    </w:p>
    <w:p w14:paraId="64DB1C00" w14:textId="77777777" w:rsidR="00A77B3E" w:rsidRDefault="00A77B3E">
      <w:pPr>
        <w:spacing w:line="360" w:lineRule="auto"/>
        <w:jc w:val="both"/>
      </w:pPr>
    </w:p>
    <w:p w14:paraId="44CE08D6" w14:textId="77777777" w:rsidR="00A77B3E" w:rsidRDefault="00650E21">
      <w:pPr>
        <w:spacing w:line="360" w:lineRule="auto"/>
        <w:jc w:val="both"/>
      </w:pPr>
      <w:r>
        <w:rPr>
          <w:rFonts w:ascii="Book Antiqua" w:eastAsia="Book Antiqua" w:hAnsi="Book Antiqua" w:cs="Book Antiqua"/>
          <w:b/>
          <w:bCs/>
          <w:color w:val="000000"/>
        </w:rPr>
        <w:t xml:space="preserve">Melanija Razov-Radas, </w:t>
      </w:r>
      <w:r>
        <w:rPr>
          <w:rFonts w:ascii="Book Antiqua" w:eastAsia="Book Antiqua" w:hAnsi="Book Antiqua" w:cs="Book Antiqua"/>
          <w:color w:val="000000"/>
        </w:rPr>
        <w:t>Division of Gastroenterology, General Hospital Zadar, Zadar 23000, Croatia</w:t>
      </w:r>
    </w:p>
    <w:p w14:paraId="2F35D59B" w14:textId="77777777" w:rsidR="00A77B3E" w:rsidRDefault="00A77B3E">
      <w:pPr>
        <w:spacing w:line="360" w:lineRule="auto"/>
        <w:jc w:val="both"/>
      </w:pPr>
    </w:p>
    <w:p w14:paraId="3F50694F" w14:textId="77777777" w:rsidR="00A77B3E" w:rsidRDefault="00650E21">
      <w:pPr>
        <w:spacing w:line="360" w:lineRule="auto"/>
        <w:jc w:val="both"/>
      </w:pPr>
      <w:r>
        <w:rPr>
          <w:rFonts w:ascii="Book Antiqua" w:eastAsia="Book Antiqua" w:hAnsi="Book Antiqua" w:cs="Book Antiqua"/>
          <w:b/>
          <w:bCs/>
          <w:color w:val="000000"/>
        </w:rPr>
        <w:t xml:space="preserve">Zeljko Puljiz, </w:t>
      </w:r>
      <w:r>
        <w:rPr>
          <w:rFonts w:ascii="Book Antiqua" w:eastAsia="Book Antiqua" w:hAnsi="Book Antiqua" w:cs="Book Antiqua"/>
          <w:color w:val="000000"/>
        </w:rPr>
        <w:t>University of Split, School of Medicine, Split 21000, Croatia</w:t>
      </w:r>
    </w:p>
    <w:p w14:paraId="0AE4D8EA" w14:textId="77777777" w:rsidR="00A77B3E" w:rsidRDefault="00A77B3E">
      <w:pPr>
        <w:spacing w:line="360" w:lineRule="auto"/>
        <w:jc w:val="both"/>
      </w:pPr>
    </w:p>
    <w:p w14:paraId="08623AFD" w14:textId="77777777" w:rsidR="00A77B3E" w:rsidRDefault="00650E21">
      <w:pPr>
        <w:spacing w:line="360" w:lineRule="auto"/>
        <w:jc w:val="both"/>
      </w:pPr>
      <w:r>
        <w:rPr>
          <w:rFonts w:ascii="Book Antiqua" w:eastAsia="Book Antiqua" w:hAnsi="Book Antiqua" w:cs="Book Antiqua"/>
          <w:b/>
          <w:bCs/>
          <w:color w:val="000000"/>
          <w:szCs w:val="22"/>
        </w:rPr>
        <w:t xml:space="preserve">Author contributions: </w:t>
      </w:r>
      <w:r w:rsidR="004B0049">
        <w:rPr>
          <w:rFonts w:ascii="Book Antiqua" w:eastAsia="Book Antiqua" w:hAnsi="Book Antiqua" w:cs="Book Antiqua"/>
          <w:color w:val="000000"/>
        </w:rPr>
        <w:t>Mikolasevic I</w:t>
      </w:r>
      <w:r>
        <w:rPr>
          <w:rFonts w:ascii="Book Antiqua" w:eastAsia="Book Antiqua" w:hAnsi="Book Antiqua" w:cs="Book Antiqua"/>
          <w:color w:val="000000"/>
          <w:szCs w:val="22"/>
        </w:rPr>
        <w:t xml:space="preserve"> researched</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database, wrote the manuscript and is the guarantor of this work</w:t>
      </w:r>
      <w:r w:rsidR="004B004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4B0049">
        <w:rPr>
          <w:rFonts w:ascii="Book Antiqua" w:eastAsia="Book Antiqua" w:hAnsi="Book Antiqua" w:cs="Book Antiqua"/>
          <w:color w:val="000000"/>
        </w:rPr>
        <w:t>Bozic D, Pavić T, Ruzic A, Hauser G</w:t>
      </w:r>
      <w:r w:rsidR="004B0049">
        <w:rPr>
          <w:rFonts w:ascii="Book Antiqua" w:hAnsi="Book Antiqua" w:cs="Book Antiqua" w:hint="eastAsia"/>
          <w:color w:val="000000"/>
          <w:lang w:eastAsia="zh-CN"/>
        </w:rPr>
        <w:t>,</w:t>
      </w:r>
      <w:r>
        <w:rPr>
          <w:rFonts w:ascii="Book Antiqua" w:eastAsia="Book Antiqua" w:hAnsi="Book Antiqua" w:cs="Book Antiqua"/>
          <w:color w:val="000000"/>
          <w:szCs w:val="22"/>
        </w:rPr>
        <w:t xml:space="preserve"> </w:t>
      </w:r>
      <w:r w:rsidR="004B0049">
        <w:rPr>
          <w:rFonts w:ascii="Book Antiqua" w:eastAsia="Book Antiqua" w:hAnsi="Book Antiqua" w:cs="Book Antiqua"/>
          <w:color w:val="000000"/>
        </w:rPr>
        <w:t>Milic S</w:t>
      </w:r>
      <w:r>
        <w:rPr>
          <w:rFonts w:ascii="Book Antiqua" w:eastAsia="Book Antiqua" w:hAnsi="Book Antiqua" w:cs="Book Antiqua"/>
          <w:color w:val="000000"/>
          <w:szCs w:val="22"/>
        </w:rPr>
        <w:t xml:space="preserve">, </w:t>
      </w:r>
      <w:r w:rsidR="004B0049">
        <w:rPr>
          <w:rFonts w:ascii="Book Antiqua" w:eastAsia="Book Antiqua" w:hAnsi="Book Antiqua" w:cs="Book Antiqua"/>
          <w:color w:val="000000"/>
        </w:rPr>
        <w:t>Radic M, Radic-Kristo D, Razov-Radas M</w:t>
      </w:r>
      <w:r w:rsidR="004B0049">
        <w:rPr>
          <w:rFonts w:ascii="Book Antiqua" w:hAnsi="Book Antiqua" w:cs="Book Antiqua" w:hint="eastAsia"/>
          <w:color w:val="000000"/>
          <w:lang w:eastAsia="zh-CN"/>
        </w:rPr>
        <w:t xml:space="preserve"> and</w:t>
      </w:r>
      <w:r w:rsidR="004B0049">
        <w:rPr>
          <w:rFonts w:ascii="Book Antiqua" w:eastAsia="Book Antiqua" w:hAnsi="Book Antiqua" w:cs="Book Antiqua"/>
          <w:color w:val="000000"/>
        </w:rPr>
        <w:t xml:space="preserve"> Puljiz Z</w:t>
      </w:r>
      <w:r>
        <w:rPr>
          <w:rFonts w:ascii="Book Antiqua" w:eastAsia="Book Antiqua" w:hAnsi="Book Antiqua" w:cs="Book Antiqua"/>
          <w:color w:val="000000"/>
          <w:szCs w:val="22"/>
        </w:rPr>
        <w:t xml:space="preserve"> contributed</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to</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discussion</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reviewed/edited</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manuscript.</w:t>
      </w:r>
    </w:p>
    <w:p w14:paraId="3B7DB54E" w14:textId="77777777" w:rsidR="004B0049" w:rsidRDefault="004B0049">
      <w:pPr>
        <w:spacing w:line="360" w:lineRule="auto"/>
        <w:jc w:val="both"/>
        <w:rPr>
          <w:rFonts w:ascii="Book Antiqua" w:hAnsi="Book Antiqua" w:cs="Book Antiqua"/>
          <w:b/>
          <w:bCs/>
          <w:color w:val="000000"/>
          <w:lang w:eastAsia="zh-CN"/>
        </w:rPr>
      </w:pPr>
    </w:p>
    <w:p w14:paraId="60A1506B" w14:textId="77777777" w:rsidR="00A77B3E" w:rsidRDefault="00650E21">
      <w:pPr>
        <w:spacing w:line="360" w:lineRule="auto"/>
        <w:jc w:val="both"/>
      </w:pPr>
      <w:r>
        <w:rPr>
          <w:rFonts w:ascii="Book Antiqua" w:eastAsia="Book Antiqua" w:hAnsi="Book Antiqua" w:cs="Book Antiqua"/>
          <w:b/>
          <w:bCs/>
          <w:color w:val="000000"/>
        </w:rPr>
        <w:t xml:space="preserve">Corresponding author: Ivana Mikolasevic, PhD, Professor, </w:t>
      </w:r>
      <w:r>
        <w:rPr>
          <w:rFonts w:ascii="Book Antiqua" w:eastAsia="Book Antiqua" w:hAnsi="Book Antiqua" w:cs="Book Antiqua"/>
          <w:color w:val="000000"/>
        </w:rPr>
        <w:t>Department of Gastroenterology, Clinical Hospital Center Rijeka, Kresimirova 42, Rijeka 51000, Croatia. ivana.mikolasevic@gmail.com</w:t>
      </w:r>
    </w:p>
    <w:p w14:paraId="279705F8" w14:textId="77777777" w:rsidR="00A77B3E" w:rsidRDefault="00A77B3E">
      <w:pPr>
        <w:spacing w:line="360" w:lineRule="auto"/>
        <w:jc w:val="both"/>
      </w:pPr>
    </w:p>
    <w:p w14:paraId="67CCC08D" w14:textId="77777777" w:rsidR="00A77B3E" w:rsidRDefault="00650E2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3503C9AC" w14:textId="77777777" w:rsidR="00A77B3E" w:rsidRDefault="00650E2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18, 2021</w:t>
      </w:r>
    </w:p>
    <w:p w14:paraId="6D5CAD43" w14:textId="5BDA5685" w:rsidR="00A77B3E" w:rsidRPr="00164D00" w:rsidRDefault="00650E21">
      <w:pPr>
        <w:spacing w:line="360" w:lineRule="auto"/>
        <w:jc w:val="both"/>
      </w:pPr>
      <w:r>
        <w:rPr>
          <w:rFonts w:ascii="Book Antiqua" w:eastAsia="Book Antiqua" w:hAnsi="Book Antiqua" w:cs="Book Antiqua"/>
          <w:b/>
          <w:bCs/>
          <w:color w:val="000000"/>
        </w:rPr>
        <w:t xml:space="preserve">Accepted: </w:t>
      </w:r>
      <w:r w:rsidR="00164D00" w:rsidRPr="00164D00">
        <w:rPr>
          <w:rFonts w:ascii="Book Antiqua" w:eastAsia="Book Antiqua" w:hAnsi="Book Antiqua" w:cs="Book Antiqua"/>
          <w:color w:val="000000"/>
        </w:rPr>
        <w:t>September 1, 2021</w:t>
      </w:r>
    </w:p>
    <w:p w14:paraId="176FE51E" w14:textId="3E5E8833" w:rsidR="00A77B3E" w:rsidRDefault="00650E21">
      <w:pPr>
        <w:spacing w:line="360" w:lineRule="auto"/>
        <w:jc w:val="both"/>
      </w:pPr>
      <w:r>
        <w:rPr>
          <w:rFonts w:ascii="Book Antiqua" w:eastAsia="Book Antiqua" w:hAnsi="Book Antiqua" w:cs="Book Antiqua"/>
          <w:b/>
          <w:bCs/>
          <w:color w:val="000000"/>
        </w:rPr>
        <w:t xml:space="preserve">Published online: </w:t>
      </w:r>
      <w:r w:rsidR="00FB005E" w:rsidRPr="00FB005E">
        <w:rPr>
          <w:rFonts w:ascii="Book Antiqua" w:eastAsia="Book Antiqua" w:hAnsi="Book Antiqua" w:cs="Book Antiqua"/>
          <w:bCs/>
          <w:color w:val="000000"/>
        </w:rPr>
        <w:t xml:space="preserve">September </w:t>
      </w:r>
      <w:r w:rsidR="00965845">
        <w:rPr>
          <w:rFonts w:ascii="Book Antiqua" w:hAnsi="Book Antiqua" w:cs="Book Antiqua" w:hint="eastAsia"/>
          <w:bCs/>
          <w:color w:val="000000"/>
          <w:lang w:eastAsia="zh-CN"/>
        </w:rPr>
        <w:t>28</w:t>
      </w:r>
      <w:r w:rsidR="00FB005E" w:rsidRPr="00FB005E">
        <w:rPr>
          <w:rFonts w:ascii="Book Antiqua" w:eastAsia="Book Antiqua" w:hAnsi="Book Antiqua" w:cs="Book Antiqua"/>
          <w:bCs/>
          <w:color w:val="000000"/>
        </w:rPr>
        <w:t>, 2021</w:t>
      </w:r>
    </w:p>
    <w:p w14:paraId="3AB57A7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2783B7" w14:textId="77777777" w:rsidR="00A77B3E" w:rsidRDefault="00650E21">
      <w:pPr>
        <w:spacing w:line="360" w:lineRule="auto"/>
        <w:jc w:val="both"/>
      </w:pPr>
      <w:r>
        <w:rPr>
          <w:rFonts w:ascii="Book Antiqua" w:eastAsia="Book Antiqua" w:hAnsi="Book Antiqua" w:cs="Book Antiqua"/>
          <w:b/>
          <w:color w:val="000000"/>
        </w:rPr>
        <w:lastRenderedPageBreak/>
        <w:t>Abstract</w:t>
      </w:r>
    </w:p>
    <w:p w14:paraId="09F4D994" w14:textId="77777777" w:rsidR="00A77B3E" w:rsidRDefault="00650E21">
      <w:pPr>
        <w:spacing w:line="360" w:lineRule="auto"/>
        <w:jc w:val="both"/>
      </w:pPr>
      <w:r>
        <w:rPr>
          <w:rFonts w:ascii="Book Antiqua" w:eastAsia="Book Antiqua" w:hAnsi="Book Antiqua" w:cs="Book Antiqua"/>
          <w:color w:val="000000"/>
          <w:szCs w:val="22"/>
        </w:rPr>
        <w:t>The global social, economic and political crises related to coronavirus disease 2019 (COVID-19) presumably had more indirect than direct negative impacts on health systems. Drastic lifestyle changes, social isolation and distancing, and individual and global financial crises resulted in robust populations forfeiting healthy habits and seeking comfort in alcoholic beverages, drugs and unhealthy diets. The inevitable consequences are increases in the incidence of nonalcoholic fatty liver disease, viral hepatitis, acute alcoholic hepatitis, liver cirrhosis decompensation and ultimately liver-related mortality. The inaccessibility of regular clinical and sonographic monitoring systems has caused difficulties in the treatment of patients with chronic liver disease (CLD) and has prevented prompt hepatocellular carcinoma detection and treatment. A dramatic reduction in the number of liver donors and the transformation of numerous transplantation centers into COVID-19 units drastically decreased the rate of orthotopic liver transplantation. The indirect, unavoidable effects of the COVID-19 pandemic in the following years have yet to be determined. Substantial efforts in the management of patients with liver disease in order to overcome the inevitable COVID-19-related morbidity and mortality that will follow have yet to be initiated. Several questions regarding the impact of the COVID-19 pandemic on liver disease remain. The most important question for general CLD patients is: How will the modification of clinical practice during this pandemic affect the outcomes of CLD patients? This article reviews the influence of COVID-19 on patients with liver disease during the pandemic, with particular emphasis on the disease course associated with pandemic resolution.</w:t>
      </w:r>
    </w:p>
    <w:p w14:paraId="114BAAEE" w14:textId="77777777" w:rsidR="00A77B3E" w:rsidRDefault="00A77B3E">
      <w:pPr>
        <w:spacing w:line="360" w:lineRule="auto"/>
        <w:jc w:val="both"/>
      </w:pPr>
    </w:p>
    <w:p w14:paraId="1EE92DBA" w14:textId="77777777" w:rsidR="00A77B3E" w:rsidRDefault="00650E2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COVID-19; </w:t>
      </w:r>
      <w:r w:rsidR="004B0049">
        <w:rPr>
          <w:rFonts w:ascii="Book Antiqua" w:hAnsi="Book Antiqua" w:cs="Book Antiqua" w:hint="eastAsia"/>
          <w:color w:val="000000"/>
          <w:szCs w:val="22"/>
          <w:lang w:eastAsia="zh-CN"/>
        </w:rPr>
        <w:t>P</w:t>
      </w:r>
      <w:r>
        <w:rPr>
          <w:rFonts w:ascii="Book Antiqua" w:eastAsia="Book Antiqua" w:hAnsi="Book Antiqua" w:cs="Book Antiqua"/>
          <w:color w:val="000000"/>
          <w:szCs w:val="22"/>
        </w:rPr>
        <w:t xml:space="preserve">andemic; </w:t>
      </w:r>
      <w:r w:rsidR="004B0049">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hronic liver disease; </w:t>
      </w:r>
      <w:r w:rsidR="004B0049">
        <w:rPr>
          <w:rFonts w:ascii="Book Antiqua" w:hAnsi="Book Antiqua" w:cs="Book Antiqua" w:hint="eastAsia"/>
          <w:color w:val="000000"/>
          <w:szCs w:val="22"/>
          <w:lang w:eastAsia="zh-CN"/>
        </w:rPr>
        <w:t>M</w:t>
      </w:r>
      <w:r>
        <w:rPr>
          <w:rFonts w:ascii="Book Antiqua" w:eastAsia="Book Antiqua" w:hAnsi="Book Antiqua" w:cs="Book Antiqua"/>
          <w:color w:val="000000"/>
          <w:szCs w:val="22"/>
        </w:rPr>
        <w:t xml:space="preserve">anagement; </w:t>
      </w:r>
      <w:r w:rsidR="004B0049">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mpact; </w:t>
      </w:r>
      <w:r w:rsidR="004B0049">
        <w:rPr>
          <w:rFonts w:ascii="Book Antiqua" w:hAnsi="Book Antiqua" w:cs="Book Antiqua" w:hint="eastAsia"/>
          <w:color w:val="000000"/>
          <w:szCs w:val="22"/>
          <w:lang w:eastAsia="zh-CN"/>
        </w:rPr>
        <w:t>L</w:t>
      </w:r>
      <w:r>
        <w:rPr>
          <w:rFonts w:ascii="Book Antiqua" w:eastAsia="Book Antiqua" w:hAnsi="Book Antiqua" w:cs="Book Antiqua"/>
          <w:color w:val="000000"/>
          <w:szCs w:val="22"/>
        </w:rPr>
        <w:t>iver-related mortality</w:t>
      </w:r>
    </w:p>
    <w:p w14:paraId="126534D4" w14:textId="77777777" w:rsidR="00F95B00" w:rsidRDefault="00F95B00" w:rsidP="00F95B00">
      <w:pPr>
        <w:spacing w:line="360" w:lineRule="auto"/>
        <w:jc w:val="both"/>
        <w:rPr>
          <w:lang w:eastAsia="zh-CN"/>
        </w:rPr>
      </w:pPr>
    </w:p>
    <w:p w14:paraId="4FA86A47" w14:textId="77777777" w:rsidR="00F95B00" w:rsidRDefault="00F95B00" w:rsidP="00F95B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B0207A7" w14:textId="77777777" w:rsidR="00F95B00" w:rsidRDefault="00F95B00" w:rsidP="00F95B00">
      <w:pPr>
        <w:spacing w:line="360" w:lineRule="auto"/>
        <w:jc w:val="both"/>
        <w:rPr>
          <w:lang w:eastAsia="zh-CN"/>
        </w:rPr>
      </w:pPr>
    </w:p>
    <w:p w14:paraId="49E02151" w14:textId="401B48BE" w:rsidR="0001353C" w:rsidRDefault="00F95B00">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650E21">
        <w:rPr>
          <w:rFonts w:ascii="Book Antiqua" w:eastAsia="Book Antiqua" w:hAnsi="Book Antiqua" w:cs="Book Antiqua"/>
          <w:color w:val="000000"/>
        </w:rPr>
        <w:t xml:space="preserve">Mikolasevic I, Bozic D, Pavić T, Ruzic A, Hauser G, Radic M, Radic-Kristo D, Razov-Radas M, Puljiz Z, Milic S. Liver disease in the era of COVID-19: Is the worst yet to come? </w:t>
      </w:r>
      <w:r w:rsidR="00650E21">
        <w:rPr>
          <w:rFonts w:ascii="Book Antiqua" w:eastAsia="Book Antiqua" w:hAnsi="Book Antiqua" w:cs="Book Antiqua"/>
          <w:i/>
          <w:iCs/>
          <w:color w:val="000000"/>
        </w:rPr>
        <w:t>World J Gastroenterol</w:t>
      </w:r>
      <w:r w:rsidR="00650E21">
        <w:rPr>
          <w:rFonts w:ascii="Book Antiqua" w:eastAsia="Book Antiqua" w:hAnsi="Book Antiqua" w:cs="Book Antiqua"/>
          <w:color w:val="000000"/>
        </w:rPr>
        <w:t xml:space="preserve"> 2021;</w:t>
      </w:r>
      <w:r w:rsidR="00FB005E" w:rsidRPr="00FB005E">
        <w:rPr>
          <w:rFonts w:ascii="Book Antiqua" w:eastAsia="Book Antiqua" w:hAnsi="Book Antiqua" w:cs="Book Antiqua"/>
          <w:color w:val="000000"/>
        </w:rPr>
        <w:t xml:space="preserve"> 27(36): </w:t>
      </w:r>
      <w:r w:rsidR="0001353C">
        <w:rPr>
          <w:rFonts w:ascii="Book Antiqua" w:hAnsi="Book Antiqua"/>
        </w:rPr>
        <w:t>6039-6052</w:t>
      </w:r>
    </w:p>
    <w:p w14:paraId="414F1188" w14:textId="3034DA72" w:rsidR="0001353C" w:rsidRDefault="00FB005E">
      <w:pPr>
        <w:spacing w:line="360" w:lineRule="auto"/>
        <w:jc w:val="both"/>
        <w:rPr>
          <w:rFonts w:ascii="Book Antiqua" w:eastAsia="Book Antiqua" w:hAnsi="Book Antiqua" w:cs="Book Antiqua"/>
          <w:color w:val="000000"/>
        </w:rPr>
      </w:pPr>
      <w:r w:rsidRPr="00FB005E">
        <w:rPr>
          <w:rFonts w:ascii="Book Antiqua" w:eastAsia="Book Antiqua" w:hAnsi="Book Antiqua" w:cs="Book Antiqua"/>
          <w:color w:val="000000"/>
        </w:rPr>
        <w:t>URL: https://www.wjgnet.com/1007-9327/full/v27/i36/</w:t>
      </w:r>
      <w:r w:rsidR="00CF3377">
        <w:rPr>
          <w:rFonts w:ascii="Book Antiqua" w:hAnsi="Book Antiqua"/>
        </w:rPr>
        <w:t>6039</w:t>
      </w:r>
      <w:r w:rsidRPr="00FB005E">
        <w:rPr>
          <w:rFonts w:ascii="Book Antiqua" w:eastAsia="Book Antiqua" w:hAnsi="Book Antiqua" w:cs="Book Antiqua"/>
          <w:color w:val="000000"/>
        </w:rPr>
        <w:t xml:space="preserve">.htm  </w:t>
      </w:r>
    </w:p>
    <w:p w14:paraId="7E1EEC31" w14:textId="525CD147" w:rsidR="00A77B3E" w:rsidRDefault="00FB005E">
      <w:pPr>
        <w:spacing w:line="360" w:lineRule="auto"/>
        <w:jc w:val="both"/>
      </w:pPr>
      <w:r w:rsidRPr="00FB005E">
        <w:rPr>
          <w:rFonts w:ascii="Book Antiqua" w:eastAsia="Book Antiqua" w:hAnsi="Book Antiqua" w:cs="Book Antiqua"/>
          <w:color w:val="000000"/>
        </w:rPr>
        <w:t>DOI: https://dx.doi.org/10.3748/wjg.v27.i36.</w:t>
      </w:r>
      <w:r w:rsidR="00CF3377">
        <w:rPr>
          <w:rFonts w:ascii="Book Antiqua" w:hAnsi="Book Antiqua"/>
        </w:rPr>
        <w:t>6039</w:t>
      </w:r>
    </w:p>
    <w:p w14:paraId="035800AD" w14:textId="77777777" w:rsidR="00A77B3E" w:rsidRDefault="00A77B3E">
      <w:pPr>
        <w:spacing w:line="360" w:lineRule="auto"/>
        <w:jc w:val="both"/>
      </w:pPr>
    </w:p>
    <w:p w14:paraId="621E9D79" w14:textId="77777777" w:rsidR="00A77B3E" w:rsidRDefault="00650E2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The global social, economic and political crises related to </w:t>
      </w:r>
      <w:r w:rsidR="00A04D88">
        <w:rPr>
          <w:rFonts w:ascii="Book Antiqua" w:eastAsia="Book Antiqua" w:hAnsi="Book Antiqua" w:cs="Book Antiqua"/>
          <w:color w:val="000000"/>
          <w:szCs w:val="22"/>
        </w:rPr>
        <w:t>coronavirus disease 2019 (COVID-19)</w:t>
      </w:r>
      <w:r>
        <w:rPr>
          <w:rFonts w:ascii="Book Antiqua" w:eastAsia="Book Antiqua" w:hAnsi="Book Antiqua" w:cs="Book Antiqua"/>
          <w:color w:val="000000"/>
          <w:szCs w:val="22"/>
        </w:rPr>
        <w:t xml:space="preserve"> presumably cause more indirect than direct negative impacts on the health system. Drastic lifestyle changes, social isolation and distancing, and individual and global financial crises resulted in a robust population forfeiting healthy habits and seeking comfort in alcoholic beverages, drugs and unhealthy diets. The inevitable consequence is the increasing incidence of liver disease, liver cirrhosis decompensation and ultimately liver-related mortality. The indirect unavoidable effects of the COVID-19 pandemic in the following years have yet to be determined.</w:t>
      </w:r>
    </w:p>
    <w:p w14:paraId="4B8C26BD" w14:textId="77777777" w:rsidR="00A77B3E" w:rsidRDefault="00A77B3E">
      <w:pPr>
        <w:spacing w:line="360" w:lineRule="auto"/>
        <w:jc w:val="both"/>
      </w:pPr>
    </w:p>
    <w:p w14:paraId="5AB6FD32" w14:textId="77777777" w:rsidR="00A77B3E" w:rsidRDefault="00650E21">
      <w:pPr>
        <w:spacing w:line="360" w:lineRule="auto"/>
        <w:jc w:val="both"/>
      </w:pPr>
      <w:r>
        <w:rPr>
          <w:rFonts w:ascii="Book Antiqua" w:eastAsia="Book Antiqua" w:hAnsi="Book Antiqua" w:cs="Book Antiqua"/>
          <w:b/>
          <w:caps/>
          <w:color w:val="000000"/>
          <w:u w:val="single"/>
        </w:rPr>
        <w:t>INTRODUCTION</w:t>
      </w:r>
    </w:p>
    <w:p w14:paraId="391C4D84" w14:textId="77777777" w:rsidR="00A77B3E" w:rsidRDefault="00650E21">
      <w:pPr>
        <w:spacing w:line="360" w:lineRule="auto"/>
        <w:jc w:val="both"/>
      </w:pPr>
      <w:r>
        <w:rPr>
          <w:rFonts w:ascii="Book Antiqua" w:eastAsia="Book Antiqua" w:hAnsi="Book Antiqua" w:cs="Book Antiqua"/>
          <w:color w:val="000000"/>
        </w:rPr>
        <w:t>The coronavirus disease 2019 (COVID-19) pandemic has spread rapidly worldwide and poses a serious threat to healthcare systems globally. It is common to encounter patients with both COVID-19 and abnormal liver function. Because COVID-19 is a newly discovered disease, additional data are needed to improve our understanding of its impact on the liver and of the appropriate management of such patients</w:t>
      </w:r>
      <w:r>
        <w:rPr>
          <w:rFonts w:ascii="Book Antiqua" w:eastAsia="Book Antiqua" w:hAnsi="Book Antiqua" w:cs="Book Antiqua"/>
          <w:color w:val="000000"/>
          <w:vertAlign w:val="superscript"/>
        </w:rPr>
        <w:t>[1-15]</w:t>
      </w:r>
      <w:r>
        <w:rPr>
          <w:rFonts w:ascii="Book Antiqua" w:eastAsia="Book Antiqua" w:hAnsi="Book Antiqua" w:cs="Book Antiqua"/>
          <w:color w:val="000000"/>
        </w:rPr>
        <w:t>. Information on how COVID-19 infection affects the liver and</w:t>
      </w:r>
      <w:r>
        <w:rPr>
          <w:rFonts w:ascii="Book Antiqua" w:eastAsia="Book Antiqua" w:hAnsi="Book Antiqua" w:cs="Book Antiqua"/>
          <w:color w:val="000000"/>
          <w:szCs w:val="22"/>
        </w:rPr>
        <w:t xml:space="preserve"> the relevance of pre-existing liver disease in acquiring the infection or developing severe disease is increasing, although we still do not know the exact mechanism. Additionally, considerations with regard to liver transplant patients, those with hepatocellular carcinoma </w:t>
      </w:r>
      <w:r w:rsidR="00A04D88">
        <w:rPr>
          <w:rFonts w:ascii="Book Antiqua" w:hAnsi="Book Antiqua" w:cs="Book Antiqua" w:hint="eastAsia"/>
          <w:color w:val="000000"/>
          <w:szCs w:val="22"/>
          <w:lang w:eastAsia="zh-CN"/>
        </w:rPr>
        <w:t xml:space="preserve">(HCC) </w:t>
      </w:r>
      <w:r>
        <w:rPr>
          <w:rFonts w:ascii="Book Antiqua" w:eastAsia="Book Antiqua" w:hAnsi="Book Antiqua" w:cs="Book Antiqua"/>
          <w:color w:val="000000"/>
          <w:szCs w:val="22"/>
        </w:rPr>
        <w:t>and those under immunosuppressive therapy are being analyzed as information is being generated. Various treatments for COVID-19 are currently under study but some of these may be potentially hepatotoxic</w:t>
      </w:r>
      <w:r>
        <w:rPr>
          <w:rFonts w:ascii="Book Antiqua" w:eastAsia="Book Antiqua" w:hAnsi="Book Antiqua" w:cs="Book Antiqua"/>
          <w:color w:val="000000"/>
          <w:vertAlign w:val="superscript"/>
        </w:rPr>
        <w:t>[4</w:t>
      </w:r>
      <w:r w:rsidR="00A04D88">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6,15]</w:t>
      </w:r>
      <w:r>
        <w:rPr>
          <w:rFonts w:ascii="Book Antiqua" w:eastAsia="Book Antiqua" w:hAnsi="Book Antiqua" w:cs="Book Antiqua"/>
          <w:color w:val="000000"/>
        </w:rPr>
        <w:t>.</w:t>
      </w:r>
    </w:p>
    <w:p w14:paraId="0DD69F71"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lastRenderedPageBreak/>
        <w:t xml:space="preserve">The first and most evident consequence of the </w:t>
      </w:r>
      <w:r>
        <w:rPr>
          <w:rFonts w:ascii="Book Antiqua" w:eastAsia="Book Antiqua" w:hAnsi="Book Antiqua" w:cs="Book Antiqua"/>
          <w:color w:val="000000"/>
        </w:rPr>
        <w:t>COVID-19 pandemic is its impact on the routine care of patients with chronic liver disease (CLD). The COVID-19 pandemic shifted our perception of ambulatory patient care from face-to-face examinations to virtual patient management</w:t>
      </w:r>
      <w:r>
        <w:rPr>
          <w:rFonts w:ascii="Book Antiqua" w:eastAsia="Book Antiqua" w:hAnsi="Book Antiqua" w:cs="Book Antiqua"/>
          <w:color w:val="000000"/>
          <w:vertAlign w:val="superscript"/>
        </w:rPr>
        <w:t>[15-18]</w:t>
      </w:r>
      <w:r>
        <w:rPr>
          <w:rFonts w:ascii="Book Antiqua" w:eastAsia="Book Antiqua" w:hAnsi="Book Antiqua" w:cs="Book Antiqua"/>
          <w:color w:val="000000"/>
        </w:rPr>
        <w:t>. Expert recommendations guiding clinicians in the treatment of patients with CLD and of transplanted patients during</w:t>
      </w:r>
      <w:r>
        <w:rPr>
          <w:rFonts w:ascii="Book Antiqua" w:eastAsia="Book Antiqua" w:hAnsi="Book Antiqua" w:cs="Book Antiqua"/>
          <w:color w:val="000000"/>
          <w:szCs w:val="22"/>
        </w:rPr>
        <w:t xml:space="preserve"> the</w:t>
      </w:r>
      <w:r>
        <w:rPr>
          <w:rFonts w:ascii="Book Antiqua" w:eastAsia="Book Antiqua" w:hAnsi="Book Antiqua" w:cs="Book Antiqua"/>
          <w:color w:val="000000"/>
        </w:rPr>
        <w:t xml:space="preserve"> pandemic are available in the form of guidelines published by the European Association for the Study of the Liver (EASL) and the American Association for the Study of Liver Diseases (AASLD)</w:t>
      </w:r>
      <w:r>
        <w:rPr>
          <w:rFonts w:ascii="Book Antiqua" w:eastAsia="Book Antiqua" w:hAnsi="Book Antiqua" w:cs="Book Antiqua"/>
          <w:color w:val="000000"/>
          <w:vertAlign w:val="superscript"/>
        </w:rPr>
        <w:t>[16-18]</w:t>
      </w:r>
      <w:r>
        <w:rPr>
          <w:rFonts w:ascii="Book Antiqua" w:eastAsia="Book Antiqua" w:hAnsi="Book Antiqua" w:cs="Book Antiqua"/>
          <w:color w:val="000000"/>
        </w:rPr>
        <w:t>.</w:t>
      </w:r>
    </w:p>
    <w:p w14:paraId="7DAF6765" w14:textId="77777777" w:rsidR="00A77B3E" w:rsidRDefault="00650E21" w:rsidP="00A04D88">
      <w:pPr>
        <w:spacing w:line="360" w:lineRule="auto"/>
        <w:ind w:firstLineChars="100" w:firstLine="240"/>
        <w:jc w:val="both"/>
      </w:pPr>
      <w:r>
        <w:rPr>
          <w:rFonts w:ascii="Book Antiqua" w:eastAsia="Book Antiqua" w:hAnsi="Book Antiqua" w:cs="Book Antiqua"/>
          <w:color w:val="000000"/>
        </w:rPr>
        <w:t>Although patients with CLD are not at higher risk of acquiring the infection, whether COVID-19 and the underlying liver disease will follow an unfavorable course remains to be answered</w:t>
      </w:r>
      <w:r>
        <w:rPr>
          <w:rFonts w:ascii="Book Antiqua" w:eastAsia="Book Antiqua" w:hAnsi="Book Antiqua" w:cs="Book Antiqua"/>
          <w:color w:val="000000"/>
          <w:vertAlign w:val="superscript"/>
        </w:rPr>
        <w:t>[19]</w:t>
      </w:r>
      <w:r>
        <w:rPr>
          <w:rFonts w:ascii="Book Antiqua" w:eastAsia="Book Antiqua" w:hAnsi="Book Antiqua" w:cs="Book Antiqua"/>
          <w:color w:val="000000"/>
        </w:rPr>
        <w:t>. Nonetheless, questions regarding the treatment of patients with CLD following resolution of</w:t>
      </w:r>
      <w:r>
        <w:rPr>
          <w:rFonts w:ascii="Book Antiqua" w:eastAsia="Book Antiqua" w:hAnsi="Book Antiqua" w:cs="Book Antiqua"/>
          <w:color w:val="000000"/>
          <w:szCs w:val="22"/>
        </w:rPr>
        <w:t xml:space="preserve"> the COVID-19 pandemic remain unknown. One must consider that a considerable number of patients with CLD did not attend regular appointments, prevented by fear of acquiring the infection. Preventive, surgical and transplant programs have become secondary focuses. In light of the present circumstances, it is evident that the burdens of the pandemic-related consequences have yet to be elucidated, not only regarding global economics but also</w:t>
      </w:r>
      <w:r>
        <w:rPr>
          <w:rFonts w:ascii="Book Antiqua" w:eastAsia="Book Antiqua" w:hAnsi="Book Antiqua" w:cs="Book Antiqua"/>
          <w:color w:val="000000"/>
        </w:rPr>
        <w:t xml:space="preserve"> global health</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D1E9A7B"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This article reviews the effects of COVID-19 in patients with liver disease during the pandemic, with particular emphasis on the disease course associated with pandemic resolution (Figure 1). We performed a PubMed search using the keywords “chronic liver disease” and “COVID-19”. When using this algorithm there were 396 results. In this review, 74 articles with particular emphasis on COVID-19 and liver disease were analyzed.</w:t>
      </w:r>
    </w:p>
    <w:p w14:paraId="2A194637" w14:textId="77777777" w:rsidR="00A77B3E" w:rsidRDefault="00A77B3E">
      <w:pPr>
        <w:spacing w:line="360" w:lineRule="auto"/>
        <w:jc w:val="both"/>
      </w:pPr>
    </w:p>
    <w:p w14:paraId="26A7642E" w14:textId="77777777" w:rsidR="00A77B3E" w:rsidRPr="00A04D88" w:rsidRDefault="00650E21">
      <w:pPr>
        <w:spacing w:line="360" w:lineRule="auto"/>
        <w:jc w:val="both"/>
        <w:rPr>
          <w:u w:val="single"/>
        </w:rPr>
      </w:pPr>
      <w:r w:rsidRPr="00A04D88">
        <w:rPr>
          <w:rFonts w:ascii="Book Antiqua" w:eastAsia="Book Antiqua" w:hAnsi="Book Antiqua" w:cs="Book Antiqua"/>
          <w:b/>
          <w:bCs/>
          <w:color w:val="000000"/>
          <w:szCs w:val="22"/>
          <w:u w:val="single"/>
        </w:rPr>
        <w:t xml:space="preserve">PRE-EXISTING </w:t>
      </w:r>
      <w:r w:rsidR="004B0049" w:rsidRPr="00A04D88">
        <w:rPr>
          <w:rFonts w:ascii="Book Antiqua" w:eastAsia="Book Antiqua" w:hAnsi="Book Antiqua" w:cs="Book Antiqua"/>
          <w:b/>
          <w:bCs/>
          <w:color w:val="000000"/>
          <w:szCs w:val="22"/>
          <w:u w:val="single"/>
        </w:rPr>
        <w:t>CLD</w:t>
      </w:r>
      <w:r w:rsidRPr="00A04D88">
        <w:rPr>
          <w:rFonts w:ascii="Book Antiqua" w:eastAsia="Book Antiqua" w:hAnsi="Book Antiqua" w:cs="Book Antiqua"/>
          <w:b/>
          <w:bCs/>
          <w:color w:val="000000"/>
          <w:szCs w:val="22"/>
          <w:u w:val="single"/>
        </w:rPr>
        <w:t xml:space="preserve"> AND COVID-19</w:t>
      </w:r>
    </w:p>
    <w:p w14:paraId="7EBAF506" w14:textId="77777777" w:rsidR="00A77B3E" w:rsidRDefault="00650E21">
      <w:pPr>
        <w:spacing w:line="360" w:lineRule="auto"/>
        <w:jc w:val="both"/>
        <w:rPr>
          <w:rFonts w:ascii="Book Antiqua" w:hAnsi="Book Antiqua" w:cs="Book Antiqua"/>
          <w:color w:val="000000"/>
          <w:lang w:eastAsia="zh-CN"/>
        </w:rPr>
      </w:pPr>
      <w:r>
        <w:rPr>
          <w:rFonts w:ascii="Book Antiqua" w:eastAsia="Book Antiqua" w:hAnsi="Book Antiqua" w:cs="Book Antiqua"/>
          <w:color w:val="000000"/>
          <w:szCs w:val="22"/>
        </w:rPr>
        <w:t xml:space="preserve">The reported prevalence of patients with CLD in cohorts of patients with COVID-19 does not exceed 1%, suggesting that the risk of infection acquisition is similar to that in </w:t>
      </w:r>
      <w:r>
        <w:rPr>
          <w:rFonts w:ascii="Book Antiqua" w:eastAsia="Book Antiqua" w:hAnsi="Book Antiqua" w:cs="Book Antiqua"/>
          <w:color w:val="000000"/>
        </w:rPr>
        <w:t>the general population</w:t>
      </w:r>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However, the risk of </w:t>
      </w:r>
      <w:r>
        <w:rPr>
          <w:rFonts w:ascii="Book Antiqua" w:eastAsia="Book Antiqua" w:hAnsi="Book Antiqua" w:cs="Book Antiqua"/>
          <w:color w:val="000000"/>
          <w:szCs w:val="22"/>
        </w:rPr>
        <w:t xml:space="preserve">a </w:t>
      </w:r>
      <w:r>
        <w:rPr>
          <w:rFonts w:ascii="Book Antiqua" w:eastAsia="Book Antiqua" w:hAnsi="Book Antiqua" w:cs="Book Antiqua"/>
          <w:color w:val="000000"/>
        </w:rPr>
        <w:t xml:space="preserve">severe course of disease might be </w:t>
      </w:r>
      <w:r>
        <w:rPr>
          <w:rFonts w:ascii="Book Antiqua" w:eastAsia="Book Antiqua" w:hAnsi="Book Antiqua" w:cs="Book Antiqua"/>
          <w:color w:val="000000"/>
        </w:rPr>
        <w:lastRenderedPageBreak/>
        <w:t>increased due to the etiology of the underlying liver disease along with the degree of liver fibrosis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556EFD9" w14:textId="77777777" w:rsidR="00A04D88" w:rsidRPr="00A04D88" w:rsidRDefault="00A04D88">
      <w:pPr>
        <w:spacing w:line="360" w:lineRule="auto"/>
        <w:jc w:val="both"/>
        <w:rPr>
          <w:lang w:eastAsia="zh-CN"/>
        </w:rPr>
      </w:pPr>
    </w:p>
    <w:p w14:paraId="533C3DA9" w14:textId="77777777" w:rsidR="00A77B3E" w:rsidRDefault="00650E21">
      <w:pPr>
        <w:spacing w:line="360" w:lineRule="auto"/>
        <w:jc w:val="both"/>
      </w:pPr>
      <w:r>
        <w:rPr>
          <w:rFonts w:ascii="Book Antiqua" w:eastAsia="Book Antiqua" w:hAnsi="Book Antiqua" w:cs="Book Antiqua"/>
          <w:b/>
          <w:bCs/>
          <w:i/>
          <w:iCs/>
          <w:color w:val="000000"/>
          <w:szCs w:val="22"/>
        </w:rPr>
        <w:t>Liver test abnormalities</w:t>
      </w:r>
    </w:p>
    <w:p w14:paraId="49165077" w14:textId="77777777" w:rsidR="00A77B3E" w:rsidRDefault="00650E21">
      <w:pPr>
        <w:spacing w:line="360" w:lineRule="auto"/>
        <w:jc w:val="both"/>
      </w:pPr>
      <w:r>
        <w:rPr>
          <w:rFonts w:ascii="Book Antiqua" w:eastAsia="Book Antiqua" w:hAnsi="Book Antiqua" w:cs="Book Antiqua"/>
          <w:color w:val="000000"/>
        </w:rPr>
        <w:t>According to reports from regular and intensive care units, elevated liver enzymes, lactate dehydrogenase, creatinine kinase and myoglobin, as well as prolonged prothrombin time, are found in more than one-third of patients during COVID-19 progression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color w:val="000000"/>
          <w:szCs w:val="22"/>
        </w:rPr>
        <w:t xml:space="preserve"> A retrospective Chinese study revealed a dynamic pattern of liver molecules regardless of the severity of infection: </w:t>
      </w:r>
      <w:r w:rsidR="00A04D88">
        <w:rPr>
          <w:rFonts w:ascii="Book Antiqua" w:hAnsi="Book Antiqua" w:cs="Book Antiqua" w:hint="eastAsia"/>
          <w:color w:val="000000"/>
          <w:szCs w:val="22"/>
          <w:lang w:eastAsia="zh-CN"/>
        </w:rPr>
        <w:t>A</w:t>
      </w:r>
      <w:r>
        <w:rPr>
          <w:rFonts w:ascii="Book Antiqua" w:eastAsia="Book Antiqua" w:hAnsi="Book Antiqua" w:cs="Book Antiqua"/>
          <w:color w:val="000000"/>
          <w:szCs w:val="22"/>
        </w:rPr>
        <w:t>spartate aminotransferase (AST) increased, followed by an increase</w:t>
      </w:r>
      <w:r>
        <w:rPr>
          <w:rFonts w:ascii="Book Antiqua" w:eastAsia="Book Antiqua" w:hAnsi="Book Antiqua" w:cs="Book Antiqua"/>
          <w:color w:val="000000"/>
        </w:rPr>
        <w:t xml:space="preserve"> in alanine aminotransferase (ALT) concurrent with mild oscillations in bilirubin levels. AST levels were significantly associated with mortality risk in this group of patients</w:t>
      </w:r>
      <w:r>
        <w:rPr>
          <w:rFonts w:ascii="Book Antiqua" w:eastAsia="Book Antiqua" w:hAnsi="Book Antiqua" w:cs="Book Antiqua"/>
          <w:color w:val="000000"/>
          <w:vertAlign w:val="superscript"/>
        </w:rPr>
        <w:t>[22]</w:t>
      </w:r>
      <w:r>
        <w:rPr>
          <w:rFonts w:ascii="Book Antiqua" w:eastAsia="Book Antiqua" w:hAnsi="Book Antiqua" w:cs="Book Antiqua"/>
          <w:color w:val="000000"/>
        </w:rPr>
        <w:t>. Another comprehensive Chinese review also reported elevated AST and ALT levels in 6</w:t>
      </w:r>
      <w:r w:rsidR="00A04D88">
        <w:rPr>
          <w:rFonts w:ascii="Book Antiqua" w:hAnsi="Book Antiqua" w:cs="Book Antiqua" w:hint="eastAsia"/>
          <w:color w:val="000000"/>
          <w:lang w:eastAsia="zh-CN"/>
        </w:rPr>
        <w:t>%-</w:t>
      </w:r>
      <w:r>
        <w:rPr>
          <w:rFonts w:ascii="Book Antiqua" w:eastAsia="Book Antiqua" w:hAnsi="Book Antiqua" w:cs="Book Antiqua"/>
          <w:color w:val="000000"/>
        </w:rPr>
        <w:t>22% and 21</w:t>
      </w:r>
      <w:r w:rsidR="00A04D88">
        <w:rPr>
          <w:rFonts w:ascii="Book Antiqua" w:hAnsi="Book Antiqua" w:cs="Book Antiqua" w:hint="eastAsia"/>
          <w:color w:val="000000"/>
          <w:lang w:eastAsia="zh-CN"/>
        </w:rPr>
        <w:t>%-</w:t>
      </w:r>
      <w:r>
        <w:rPr>
          <w:rFonts w:ascii="Book Antiqua" w:eastAsia="Book Antiqua" w:hAnsi="Book Antiqua" w:cs="Book Antiqua"/>
          <w:color w:val="000000"/>
        </w:rPr>
        <w:t>28% of patients, respectively</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22"/>
        </w:rPr>
        <w:t xml:space="preserve"> Compared to other Chinese regions in which 16% of patients had AST elevation, studies from Wuhan reported a higher percentage, ranging from 24% to 37%. Studies have revealed a high prevalence of liver test abnormalities in men and elderly individuals</w:t>
      </w:r>
      <w:r>
        <w:rPr>
          <w:rFonts w:ascii="Book Antiqua" w:eastAsia="Book Antiqua" w:hAnsi="Book Antiqua" w:cs="Book Antiqua"/>
          <w:color w:val="000000"/>
          <w:vertAlign w:val="superscript"/>
        </w:rPr>
        <w:t>[23,24]</w:t>
      </w:r>
      <w:r>
        <w:rPr>
          <w:rFonts w:ascii="Book Antiqua" w:eastAsia="Book Antiqua" w:hAnsi="Book Antiqua" w:cs="Book Antiqua"/>
          <w:color w:val="000000"/>
        </w:rPr>
        <w:t>.</w:t>
      </w:r>
      <w:r>
        <w:rPr>
          <w:rFonts w:ascii="Book Antiqua" w:eastAsia="Book Antiqua" w:hAnsi="Book Antiqua" w:cs="Book Antiqua"/>
          <w:color w:val="000000"/>
          <w:szCs w:val="22"/>
        </w:rPr>
        <w:t xml:space="preserve"> A large American study including 5700 patients reported that 58.4% of patients had elevated AST levels (&gt;</w:t>
      </w:r>
      <w:r w:rsidR="00A04D8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40 U/L) and 39% had elevated</w:t>
      </w:r>
      <w:r>
        <w:rPr>
          <w:rFonts w:ascii="Book Antiqua" w:eastAsia="Book Antiqua" w:hAnsi="Book Antiqua" w:cs="Book Antiqua"/>
          <w:color w:val="000000"/>
        </w:rPr>
        <w:t xml:space="preserve"> ALT levels (&gt; 60 U/L)</w:t>
      </w:r>
      <w:r>
        <w:rPr>
          <w:rFonts w:ascii="Book Antiqua" w:eastAsia="Book Antiqua" w:hAnsi="Book Antiqua" w:cs="Book Antiqua"/>
          <w:color w:val="000000"/>
          <w:vertAlign w:val="superscript"/>
        </w:rPr>
        <w:t>[25]</w:t>
      </w:r>
      <w:r>
        <w:rPr>
          <w:rFonts w:ascii="Book Antiqua" w:eastAsia="Book Antiqua" w:hAnsi="Book Antiqua" w:cs="Book Antiqua"/>
          <w:color w:val="000000"/>
        </w:rPr>
        <w:t>. Two percent of patients developed acute hepatic injury and the majority of this subgroup (95%) did not survive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A severe cholestatic pattern has not been reported as correlating with COVID-19 but studies have </w:t>
      </w:r>
      <w:r>
        <w:rPr>
          <w:rFonts w:ascii="Book Antiqua" w:eastAsia="Book Antiqua" w:hAnsi="Book Antiqua" w:cs="Book Antiqua"/>
          <w:color w:val="000000"/>
        </w:rPr>
        <w:t>reported hyperbilirubinemia in 11</w:t>
      </w:r>
      <w:r w:rsidR="00A04D88">
        <w:rPr>
          <w:rFonts w:ascii="Book Antiqua" w:hAnsi="Book Antiqua" w:cs="Book Antiqua" w:hint="eastAsia"/>
          <w:color w:val="000000"/>
          <w:lang w:eastAsia="zh-CN"/>
        </w:rPr>
        <w:t>%-</w:t>
      </w:r>
      <w:r>
        <w:rPr>
          <w:rFonts w:ascii="Book Antiqua" w:eastAsia="Book Antiqua" w:hAnsi="Book Antiqua" w:cs="Book Antiqua"/>
          <w:color w:val="000000"/>
        </w:rPr>
        <w:t>18% of cases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7819B76C"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Several pathological mechanisms are considered to be involved in liver injury, including direct viral infection of liver cells, drug hepatotoxicity, cytokine storm and</w:t>
      </w:r>
      <w:r>
        <w:rPr>
          <w:rFonts w:ascii="Book Antiqua" w:eastAsia="Book Antiqua" w:hAnsi="Book Antiqua" w:cs="Book Antiqua"/>
          <w:color w:val="000000"/>
        </w:rPr>
        <w:t xml:space="preserve"> pneumonia-associated hypoxia</w:t>
      </w:r>
      <w:r>
        <w:rPr>
          <w:rFonts w:ascii="Book Antiqua" w:eastAsia="Book Antiqua" w:hAnsi="Book Antiqua" w:cs="Book Antiqua"/>
          <w:color w:val="000000"/>
          <w:vertAlign w:val="superscript"/>
        </w:rPr>
        <w:t>[15,26,27]</w:t>
      </w:r>
      <w:r>
        <w:rPr>
          <w:rFonts w:ascii="Book Antiqua" w:eastAsia="Book Antiqua" w:hAnsi="Book Antiqua" w:cs="Book Antiqua"/>
          <w:color w:val="000000"/>
        </w:rPr>
        <w:t xml:space="preserve">. According to several </w:t>
      </w:r>
      <w:r>
        <w:rPr>
          <w:rFonts w:ascii="Book Antiqua" w:eastAsia="Book Antiqua" w:hAnsi="Book Antiqua" w:cs="Book Antiqua"/>
          <w:color w:val="000000"/>
          <w:szCs w:val="22"/>
        </w:rPr>
        <w:t>studies, the expression of ACE2 receptors on liver cells facilitates SARS CoV-2 entrance; expression is increased in bile duct cells, whose destruction appears to be primarily responsible for COVID-19-</w:t>
      </w:r>
      <w:r>
        <w:rPr>
          <w:rFonts w:ascii="Book Antiqua" w:eastAsia="Book Antiqua" w:hAnsi="Book Antiqua" w:cs="Book Antiqua"/>
          <w:color w:val="000000"/>
        </w:rPr>
        <w:t>related liver injury</w:t>
      </w:r>
      <w:r>
        <w:rPr>
          <w:rFonts w:ascii="Book Antiqua" w:eastAsia="Book Antiqua" w:hAnsi="Book Antiqua" w:cs="Book Antiqua"/>
          <w:color w:val="000000"/>
          <w:vertAlign w:val="superscript"/>
        </w:rPr>
        <w:t>[15,26]</w:t>
      </w:r>
      <w:r>
        <w:rPr>
          <w:rFonts w:ascii="Book Antiqua" w:eastAsia="Book Antiqua" w:hAnsi="Book Antiqua" w:cs="Book Antiqua"/>
          <w:color w:val="000000"/>
        </w:rPr>
        <w:t>. Studies clarifying the exact mechanisms of liver injury are warranted</w:t>
      </w:r>
      <w:r>
        <w:rPr>
          <w:rFonts w:ascii="Book Antiqua" w:eastAsia="Book Antiqua" w:hAnsi="Book Antiqua" w:cs="Book Antiqua"/>
          <w:color w:val="000000"/>
          <w:vertAlign w:val="superscript"/>
        </w:rPr>
        <w:t>[15,27</w:t>
      </w:r>
      <w:r w:rsidR="00A04D88">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D9EB468"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lastRenderedPageBreak/>
        <w:t>It must be considered that elevated aminotransferases might be of cardiac or muscular origin and that abnormalities in liver tests are frequently transient. On the other hand, studies have reported an increased risk of severe disease in patients who</w:t>
      </w:r>
      <w:r>
        <w:rPr>
          <w:rFonts w:ascii="Book Antiqua" w:eastAsia="Book Antiqua" w:hAnsi="Book Antiqua" w:cs="Book Antiqua"/>
          <w:color w:val="000000"/>
        </w:rPr>
        <w:t xml:space="preserve"> present with liver injury on admission</w:t>
      </w:r>
      <w:r>
        <w:rPr>
          <w:rFonts w:ascii="Book Antiqua" w:eastAsia="Book Antiqua" w:hAnsi="Book Antiqua" w:cs="Book Antiqua"/>
          <w:color w:val="000000"/>
          <w:vertAlign w:val="superscript"/>
        </w:rPr>
        <w:t>[15,28]</w:t>
      </w:r>
      <w:r>
        <w:rPr>
          <w:rFonts w:ascii="Book Antiqua" w:eastAsia="Book Antiqua" w:hAnsi="Book Antiqua" w:cs="Book Antiqua"/>
          <w:color w:val="000000"/>
        </w:rPr>
        <w:t>. The severity of liver dysfunction seems to be closely associated with the severity of COVID-19</w:t>
      </w:r>
      <w:r>
        <w:rPr>
          <w:rFonts w:ascii="Book Antiqua" w:eastAsia="Book Antiqua" w:hAnsi="Book Antiqua" w:cs="Book Antiqua"/>
          <w:color w:val="000000"/>
          <w:vertAlign w:val="superscript"/>
        </w:rPr>
        <w:t>[15]</w:t>
      </w:r>
      <w:r>
        <w:rPr>
          <w:rFonts w:ascii="Book Antiqua" w:eastAsia="Book Antiqua" w:hAnsi="Book Antiqua" w:cs="Book Antiqua"/>
          <w:color w:val="000000"/>
        </w:rPr>
        <w:t>. As predicted by multiple studies, the usual culprits of pathological biochemical liver abnormalities are underlying CLD, sepsis</w:t>
      </w:r>
      <w:r>
        <w:rPr>
          <w:rFonts w:ascii="Book Antiqua" w:eastAsia="Book Antiqua" w:hAnsi="Book Antiqua" w:cs="Book Antiqua"/>
          <w:color w:val="000000"/>
          <w:szCs w:val="22"/>
        </w:rPr>
        <w:t>-</w:t>
      </w:r>
      <w:r>
        <w:rPr>
          <w:rFonts w:ascii="Book Antiqua" w:eastAsia="Book Antiqua" w:hAnsi="Book Antiqua" w:cs="Book Antiqua"/>
          <w:color w:val="000000"/>
        </w:rPr>
        <w:t>related cholestasis and drug hepatotoxicity</w:t>
      </w:r>
      <w:r>
        <w:rPr>
          <w:rFonts w:ascii="Book Antiqua" w:eastAsia="Book Antiqua" w:hAnsi="Book Antiqua" w:cs="Book Antiqua"/>
          <w:color w:val="000000"/>
          <w:vertAlign w:val="superscript"/>
        </w:rPr>
        <w:t>[6]</w:t>
      </w:r>
      <w:r>
        <w:rPr>
          <w:rFonts w:ascii="Book Antiqua" w:eastAsia="Book Antiqua" w:hAnsi="Book Antiqua" w:cs="Book Antiqua"/>
          <w:color w:val="000000"/>
        </w:rPr>
        <w:t>. We must not ignore the fact that the frequency and severity of liver injury in asymptomatic individuals and patients under out-</w:t>
      </w:r>
      <w:r>
        <w:rPr>
          <w:rFonts w:ascii="Book Antiqua" w:eastAsia="Book Antiqua" w:hAnsi="Book Antiqua" w:cs="Book Antiqua"/>
          <w:color w:val="000000"/>
          <w:szCs w:val="22"/>
        </w:rPr>
        <w:t>of-</w:t>
      </w:r>
      <w:r>
        <w:rPr>
          <w:rFonts w:ascii="Book Antiqua" w:eastAsia="Book Antiqua" w:hAnsi="Book Antiqua" w:cs="Book Antiqua"/>
          <w:color w:val="000000"/>
        </w:rPr>
        <w:t>hospital treatment remains unknown</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further investigations are needed to strengthen conclusions.</w:t>
      </w:r>
    </w:p>
    <w:p w14:paraId="1C7BAB29" w14:textId="77777777" w:rsidR="00A77B3E" w:rsidRDefault="00650E21" w:rsidP="00A04D8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 xml:space="preserve">Finally, the most crucial question for clinicians treating COVID-19 patients is in whom and how often to perform liver function tests. The optimal interval has not </w:t>
      </w:r>
      <w:r>
        <w:rPr>
          <w:rFonts w:ascii="Book Antiqua" w:eastAsia="Book Antiqua" w:hAnsi="Book Antiqua" w:cs="Book Antiqua"/>
          <w:color w:val="000000"/>
        </w:rPr>
        <w:t>yet been defined, but physicians should certainly be attentive when treating severely ill patients and individuals taking novel antiviral drugs such as remdesivir or tocilizumab</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F621245" w14:textId="77777777" w:rsidR="00A04D88" w:rsidRPr="00A04D88" w:rsidRDefault="00A04D88" w:rsidP="00A04D88">
      <w:pPr>
        <w:spacing w:line="360" w:lineRule="auto"/>
        <w:jc w:val="both"/>
        <w:rPr>
          <w:lang w:eastAsia="zh-CN"/>
        </w:rPr>
      </w:pPr>
    </w:p>
    <w:p w14:paraId="0063BAC3" w14:textId="77777777" w:rsidR="00A77B3E" w:rsidRDefault="00650E21">
      <w:pPr>
        <w:spacing w:line="360" w:lineRule="auto"/>
        <w:jc w:val="both"/>
      </w:pPr>
      <w:r>
        <w:rPr>
          <w:rFonts w:ascii="Book Antiqua" w:eastAsia="Book Antiqua" w:hAnsi="Book Antiqua" w:cs="Book Antiqua"/>
          <w:b/>
          <w:bCs/>
          <w:i/>
          <w:iCs/>
          <w:color w:val="000000"/>
          <w:szCs w:val="22"/>
        </w:rPr>
        <w:t>Nonalcoholic fatty liver disease and COVID-19</w:t>
      </w:r>
    </w:p>
    <w:p w14:paraId="0D006837" w14:textId="77777777" w:rsidR="00A77B3E" w:rsidRDefault="00650E21">
      <w:pPr>
        <w:spacing w:line="360" w:lineRule="auto"/>
        <w:jc w:val="both"/>
      </w:pPr>
      <w:r>
        <w:rPr>
          <w:rFonts w:ascii="Book Antiqua" w:eastAsia="Book Antiqua" w:hAnsi="Book Antiqua" w:cs="Book Antiqua"/>
          <w:color w:val="000000"/>
          <w:szCs w:val="22"/>
        </w:rPr>
        <w:t>Nonalcoholic fatty liver disease (NAFLD), also known as metabolic dysfunction-associated fatty liver disease,</w:t>
      </w:r>
      <w:r>
        <w:rPr>
          <w:rFonts w:ascii="Book Antiqua" w:eastAsia="Book Antiqua" w:hAnsi="Book Antiqua" w:cs="Book Antiqua"/>
          <w:color w:val="000000"/>
        </w:rPr>
        <w:t xml:space="preserve"> is a common manifestation of metabolic syndrome and is remarkably prevalent in Western industrialized countries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It is usually comorbid with obesity, </w:t>
      </w:r>
      <w:r>
        <w:rPr>
          <w:rFonts w:ascii="Book Antiqua" w:eastAsia="Book Antiqua" w:hAnsi="Book Antiqua" w:cs="Book Antiqua"/>
          <w:color w:val="000000"/>
          <w:szCs w:val="22"/>
        </w:rPr>
        <w:t>which</w:t>
      </w:r>
      <w:r>
        <w:rPr>
          <w:rFonts w:ascii="Book Antiqua" w:eastAsia="Book Antiqua" w:hAnsi="Book Antiqua" w:cs="Book Antiqua"/>
          <w:color w:val="000000"/>
        </w:rPr>
        <w:t xml:space="preserve"> represents a significant risk factor for severe COVID-19 pneumonia</w:t>
      </w:r>
      <w:r>
        <w:rPr>
          <w:rFonts w:ascii="Book Antiqua" w:eastAsia="Book Antiqua" w:hAnsi="Book Antiqua" w:cs="Book Antiqua"/>
          <w:color w:val="000000"/>
          <w:vertAlign w:val="superscript"/>
        </w:rPr>
        <w:t>[3,18,31]</w:t>
      </w:r>
      <w:r>
        <w:rPr>
          <w:rFonts w:ascii="Book Antiqua" w:eastAsia="Book Antiqua" w:hAnsi="Book Antiqua" w:cs="Book Antiqua"/>
          <w:color w:val="000000"/>
        </w:rPr>
        <w:t xml:space="preserve">. The assumed mechanism relies on the immunological properties of adipose tissue, </w:t>
      </w:r>
      <w:r>
        <w:rPr>
          <w:rFonts w:ascii="Book Antiqua" w:eastAsia="Book Antiqua" w:hAnsi="Book Antiqua" w:cs="Book Antiqua"/>
          <w:color w:val="000000"/>
          <w:szCs w:val="22"/>
        </w:rPr>
        <w:t>which</w:t>
      </w:r>
      <w:r>
        <w:rPr>
          <w:rFonts w:ascii="Book Antiqua" w:eastAsia="Book Antiqua" w:hAnsi="Book Antiqua" w:cs="Book Antiqua"/>
          <w:color w:val="000000"/>
        </w:rPr>
        <w:t xml:space="preserve"> also plays a role as a viral reservoir</w:t>
      </w:r>
      <w:r>
        <w:rPr>
          <w:rFonts w:ascii="Book Antiqua" w:eastAsia="Book Antiqua" w:hAnsi="Book Antiqua" w:cs="Book Antiqua"/>
          <w:color w:val="000000"/>
          <w:vertAlign w:val="superscript"/>
        </w:rPr>
        <w:t>[3,18,25]</w:t>
      </w:r>
      <w:r>
        <w:rPr>
          <w:rFonts w:ascii="Book Antiqua" w:eastAsia="Book Antiqua" w:hAnsi="Book Antiqua" w:cs="Book Antiqua"/>
          <w:color w:val="000000"/>
        </w:rPr>
        <w:t>.</w:t>
      </w:r>
      <w:r>
        <w:rPr>
          <w:rFonts w:ascii="Book Antiqua" w:eastAsia="Book Antiqua" w:hAnsi="Book Antiqua" w:cs="Book Antiqua"/>
          <w:color w:val="000000"/>
          <w:szCs w:val="22"/>
        </w:rPr>
        <w:t xml:space="preserve"> Additional risk factors accompanying NAFLD, such as arterial hypertension, obesity and diabetes, are also commonly observed in patients with a </w:t>
      </w:r>
      <w:r>
        <w:rPr>
          <w:rFonts w:ascii="Book Antiqua" w:eastAsia="Book Antiqua" w:hAnsi="Book Antiqua" w:cs="Book Antiqua"/>
          <w:color w:val="000000"/>
        </w:rPr>
        <w:t>severe COVID-19 course</w:t>
      </w:r>
      <w:r>
        <w:rPr>
          <w:rFonts w:ascii="Book Antiqua" w:eastAsia="Book Antiqua" w:hAnsi="Book Antiqua" w:cs="Book Antiqua"/>
          <w:color w:val="000000"/>
          <w:vertAlign w:val="superscript"/>
        </w:rPr>
        <w:t>[3,18,25]</w:t>
      </w:r>
      <w:r>
        <w:rPr>
          <w:rFonts w:ascii="Book Antiqua" w:eastAsia="Book Antiqua" w:hAnsi="Book Antiqua" w:cs="Book Antiqua"/>
          <w:color w:val="000000"/>
        </w:rPr>
        <w:t>.</w:t>
      </w:r>
    </w:p>
    <w:p w14:paraId="63AAC140" w14:textId="77777777" w:rsidR="00A77B3E" w:rsidRDefault="00650E21" w:rsidP="00A04D88">
      <w:pPr>
        <w:spacing w:line="360" w:lineRule="auto"/>
        <w:ind w:firstLineChars="100" w:firstLine="240"/>
        <w:jc w:val="both"/>
      </w:pPr>
      <w:r>
        <w:rPr>
          <w:rFonts w:ascii="Book Antiqua" w:eastAsia="Book Antiqua" w:hAnsi="Book Antiqua" w:cs="Book Antiqua"/>
          <w:color w:val="000000"/>
        </w:rPr>
        <w:t>As predicted in several studies, patients with NAFLD seem to have a longer period of viral replication and dispersion</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and experience progression to the severe form of disease, with worsening dyspnea, hypoxia and typical radiological findings </w:t>
      </w:r>
      <w:r>
        <w:rPr>
          <w:rFonts w:ascii="Book Antiqua" w:eastAsia="Book Antiqua" w:hAnsi="Book Antiqua" w:cs="Book Antiqua"/>
          <w:color w:val="000000"/>
          <w:vertAlign w:val="superscript"/>
        </w:rPr>
        <w:t>[32]</w:t>
      </w:r>
      <w:r>
        <w:rPr>
          <w:rFonts w:ascii="Book Antiqua" w:eastAsia="Book Antiqua" w:hAnsi="Book Antiqua" w:cs="Book Antiqua"/>
          <w:color w:val="000000"/>
        </w:rPr>
        <w:t>, even in younger patients without other comorbidities</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Among patients with NAFLD, the </w:t>
      </w:r>
      <w:r>
        <w:rPr>
          <w:rFonts w:ascii="Book Antiqua" w:eastAsia="Book Antiqua" w:hAnsi="Book Antiqua" w:cs="Book Antiqua"/>
          <w:color w:val="000000"/>
        </w:rPr>
        <w:lastRenderedPageBreak/>
        <w:t>underlying liver fibrosis seems to correlate with severe COVID-19 presentation, regardless of other metabolic comorbidities</w:t>
      </w:r>
      <w:r>
        <w:rPr>
          <w:rFonts w:ascii="Book Antiqua" w:eastAsia="Book Antiqua" w:hAnsi="Book Antiqua" w:cs="Book Antiqua"/>
          <w:color w:val="000000"/>
          <w:vertAlign w:val="superscript"/>
        </w:rPr>
        <w:t>[11,21,35]</w:t>
      </w:r>
      <w:r>
        <w:rPr>
          <w:rFonts w:ascii="Book Antiqua" w:eastAsia="Book Antiqua" w:hAnsi="Book Antiqua" w:cs="Book Antiqua"/>
          <w:color w:val="000000"/>
        </w:rPr>
        <w:t xml:space="preserve">. Targher </w:t>
      </w:r>
      <w:r>
        <w:rPr>
          <w:rFonts w:ascii="Book Antiqua" w:eastAsia="Book Antiqua" w:hAnsi="Book Antiqua" w:cs="Book Antiqua"/>
          <w:i/>
          <w:iCs/>
          <w:color w:val="000000"/>
          <w:szCs w:val="22"/>
        </w:rPr>
        <w:t>et al</w:t>
      </w:r>
      <w:r w:rsidR="00A04D88">
        <w:rPr>
          <w:rFonts w:ascii="Book Antiqua" w:eastAsia="Book Antiqua" w:hAnsi="Book Antiqua" w:cs="Book Antiqua"/>
          <w:color w:val="000000"/>
          <w:vertAlign w:val="superscript"/>
        </w:rPr>
        <w:t>[35]</w:t>
      </w:r>
      <w:r>
        <w:rPr>
          <w:rFonts w:ascii="Book Antiqua" w:eastAsia="Book Antiqua" w:hAnsi="Book Antiqua" w:cs="Book Antiqua"/>
          <w:color w:val="000000"/>
          <w:szCs w:val="22"/>
        </w:rPr>
        <w:t xml:space="preserve"> also found an interrelation between advanced liver fibrosis (defined as increased Fibrosis 4 and NAFLD fibrosis scores) and severe COVID-19 presentation in a</w:t>
      </w:r>
      <w:r>
        <w:rPr>
          <w:rFonts w:ascii="Book Antiqua" w:eastAsia="Book Antiqua" w:hAnsi="Book Antiqua" w:cs="Book Antiqua"/>
          <w:color w:val="000000"/>
        </w:rPr>
        <w:t xml:space="preserve"> subgroup of 94 (30.3%) patients with NAFLD.</w:t>
      </w:r>
      <w:r>
        <w:rPr>
          <w:rFonts w:ascii="Book Antiqua" w:eastAsia="Book Antiqua" w:hAnsi="Book Antiqua" w:cs="Book Antiqua"/>
          <w:color w:val="000000"/>
          <w:szCs w:val="22"/>
        </w:rPr>
        <w:t xml:space="preserve"> However, Lopez-Mendez </w:t>
      </w:r>
      <w:r>
        <w:rPr>
          <w:rFonts w:ascii="Book Antiqua" w:eastAsia="Book Antiqua" w:hAnsi="Book Antiqua" w:cs="Book Antiqua"/>
          <w:i/>
          <w:iCs/>
          <w:color w:val="000000"/>
          <w:szCs w:val="22"/>
        </w:rPr>
        <w:t>et al</w:t>
      </w:r>
      <w:r w:rsidR="00A04D88">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did not confirm these findings. According to their study, although the prevalence of NAFLD and significant liver fibrosis was high in COVID-19 patients, it was not associated with worse clinical outcomes.</w:t>
      </w:r>
    </w:p>
    <w:p w14:paraId="28C4901B"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The exact mechanism of NAFLD-associated liver fibrosis leading to an undesired COVID-19 course has not yet been</w:t>
      </w:r>
      <w:r>
        <w:rPr>
          <w:rFonts w:ascii="Book Antiqua" w:eastAsia="Book Antiqua" w:hAnsi="Book Antiqua" w:cs="Book Antiqua"/>
          <w:color w:val="000000"/>
        </w:rPr>
        <w:t xml:space="preserve"> defined but presumably is potentiated by the hepatic release of multiple proinflammatory cytokines, exacerbating the </w:t>
      </w:r>
      <w:r w:rsidR="00A04D88" w:rsidRPr="005865F1">
        <w:rPr>
          <w:rFonts w:ascii="Book Antiqua" w:eastAsia="Book Antiqua" w:hAnsi="Book Antiqua" w:cs="Book Antiqua"/>
          <w:color w:val="000000"/>
        </w:rPr>
        <w:t>severe acute respiratory syndrome coronavirus 2</w:t>
      </w:r>
      <w:r w:rsidR="00A04D88">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A04D88">
        <w:rPr>
          <w:rFonts w:ascii="Book Antiqua" w:hAnsi="Book Antiqua" w:cs="Book Antiqua" w:hint="eastAsia"/>
          <w:color w:val="000000"/>
          <w:lang w:eastAsia="zh-CN"/>
        </w:rPr>
        <w:t>)</w:t>
      </w:r>
      <w:r>
        <w:rPr>
          <w:rFonts w:ascii="Book Antiqua" w:eastAsia="Book Antiqua" w:hAnsi="Book Antiqua" w:cs="Book Antiqua"/>
          <w:color w:val="000000"/>
        </w:rPr>
        <w:t>-induced cytokine storm</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r>
        <w:rPr>
          <w:rFonts w:ascii="Book Antiqua" w:eastAsia="Book Antiqua" w:hAnsi="Book Antiqua" w:cs="Book Antiqua"/>
          <w:color w:val="000000"/>
          <w:szCs w:val="22"/>
        </w:rPr>
        <w:t xml:space="preserve"> On the other hand, virus-related cytokines might increase the risk of liver inflammation. This interplay of cytokine-</w:t>
      </w:r>
      <w:r>
        <w:rPr>
          <w:rFonts w:ascii="Book Antiqua" w:eastAsia="Book Antiqua" w:hAnsi="Book Antiqua" w:cs="Book Antiqua"/>
          <w:color w:val="000000"/>
        </w:rPr>
        <w:t>related events forms a vicious cycle, making the NAFLD population at very high risk of COVID-19 complications</w:t>
      </w:r>
      <w:r>
        <w:rPr>
          <w:rFonts w:ascii="Book Antiqua" w:eastAsia="Book Antiqua" w:hAnsi="Book Antiqua" w:cs="Book Antiqua"/>
          <w:color w:val="000000"/>
          <w:vertAlign w:val="superscript"/>
        </w:rPr>
        <w:t>[11,21]</w:t>
      </w:r>
      <w:r>
        <w:rPr>
          <w:rFonts w:ascii="Book Antiqua" w:eastAsia="Book Antiqua" w:hAnsi="Book Antiqua" w:cs="Book Antiqua"/>
          <w:color w:val="000000"/>
        </w:rPr>
        <w:t>.</w:t>
      </w:r>
    </w:p>
    <w:p w14:paraId="17D91A87"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Additional large-scale analyses are needed to determine whether NAFLD is an independent risk factor for severe COVID-19 or whether confounding factors are responsible for the previously published results. Studies based on other available noninvasive methods, including transient elastography and acoustic radiation force impulse-based techniques, are also warranted.</w:t>
      </w:r>
    </w:p>
    <w:p w14:paraId="7EDB61CA"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It is also important to note the increased predisposition for drug-</w:t>
      </w:r>
      <w:r>
        <w:rPr>
          <w:rFonts w:ascii="Book Antiqua" w:eastAsia="Book Antiqua" w:hAnsi="Book Antiqua" w:cs="Book Antiqua"/>
          <w:color w:val="000000"/>
        </w:rPr>
        <w:t>induced liver injury in patients with liver steatosis</w:t>
      </w:r>
      <w:r>
        <w:rPr>
          <w:rFonts w:ascii="Book Antiqua" w:eastAsia="Book Antiqua" w:hAnsi="Book Antiqua" w:cs="Book Antiqua"/>
          <w:color w:val="000000"/>
          <w:vertAlign w:val="superscript"/>
        </w:rPr>
        <w:t>[6]</w:t>
      </w:r>
      <w:r>
        <w:rPr>
          <w:rFonts w:ascii="Book Antiqua" w:eastAsia="Book Antiqua" w:hAnsi="Book Antiqua" w:cs="Book Antiqua"/>
          <w:color w:val="000000"/>
        </w:rPr>
        <w:t>. Antiretrovirals such as lopinavir/ritonavir, antibiotics, antifungal agents and other drugs required to treat acute respiratory distress syndrome and systemic inflammation may induce drug-induced liver injury</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r>
        <w:rPr>
          <w:rFonts w:ascii="Book Antiqua" w:eastAsia="Book Antiqua" w:hAnsi="Book Antiqua" w:cs="Book Antiqua"/>
          <w:color w:val="000000"/>
          <w:szCs w:val="22"/>
        </w:rPr>
        <w:t>The possible</w:t>
      </w:r>
      <w:r>
        <w:rPr>
          <w:rFonts w:ascii="Book Antiqua" w:eastAsia="Book Antiqua" w:hAnsi="Book Antiqua" w:cs="Book Antiqua"/>
          <w:color w:val="000000"/>
        </w:rPr>
        <w:t xml:space="preserve"> mechanism of increased susceptibility in this group of patients is associated with oxidative stress, diminished activity of xenobiotic-metabolizing enzymes, mitochondrial malfunction and changes in lipid homeostasis</w:t>
      </w:r>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Caution must be taken with steatogenic drugs such as amiodarone, sodium valproate, tamoxifen, methotrexate and </w:t>
      </w:r>
      <w:r>
        <w:rPr>
          <w:rFonts w:ascii="Book Antiqua" w:eastAsia="Book Antiqua" w:hAnsi="Book Antiqua" w:cs="Book Antiqua"/>
          <w:color w:val="000000"/>
        </w:rPr>
        <w:lastRenderedPageBreak/>
        <w:t>frequently used glucocorticoids because they may induce steatohepatitis in predisposed individuals</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41437DCA"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Finally, the effect of the</w:t>
      </w:r>
      <w:r>
        <w:rPr>
          <w:rFonts w:ascii="Book Antiqua" w:eastAsia="Book Antiqua" w:hAnsi="Book Antiqua" w:cs="Book Antiqua"/>
          <w:color w:val="000000"/>
        </w:rPr>
        <w:t xml:space="preserve"> COVID-19 pandemic on the social aspects of an individual’s daily routine is the last but not least important undesirable sequela. A sedentary lifestyle, social isolation and increased consumption of processed foods are all metabolic antagonists that are especially unfavorable in patients with NAFLD</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COVID-19 “blues” associated with lockdowns, loss of income and deterioration of socioeconomic status might lead to unhealthy lifestyles and consequently the promotion of obesity and associated metabolic diseases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Therefore, COVID-19 will presumably be an indirect cause </w:t>
      </w:r>
      <w:r>
        <w:rPr>
          <w:rFonts w:ascii="Book Antiqua" w:eastAsia="Book Antiqua" w:hAnsi="Book Antiqua" w:cs="Book Antiqua"/>
          <w:color w:val="000000"/>
          <w:szCs w:val="22"/>
        </w:rPr>
        <w:t xml:space="preserve">of expansion of the </w:t>
      </w:r>
      <w:r>
        <w:rPr>
          <w:rFonts w:ascii="Book Antiqua" w:eastAsia="Book Antiqua" w:hAnsi="Book Antiqua" w:cs="Book Antiqua"/>
          <w:color w:val="000000"/>
        </w:rPr>
        <w:t>NAFLD epidemic</w:t>
      </w:r>
      <w:r>
        <w:rPr>
          <w:rFonts w:ascii="Book Antiqua" w:eastAsia="Book Antiqua" w:hAnsi="Book Antiqua" w:cs="Book Antiqua"/>
          <w:color w:val="000000"/>
          <w:vertAlign w:val="superscript"/>
        </w:rPr>
        <w:t>[42]</w:t>
      </w:r>
      <w:r>
        <w:rPr>
          <w:rFonts w:ascii="Book Antiqua" w:eastAsia="Book Antiqua" w:hAnsi="Book Antiqua" w:cs="Book Antiqua"/>
          <w:color w:val="000000"/>
        </w:rPr>
        <w:t>. In light of the global psychosociological COVID-19 burden,</w:t>
      </w:r>
      <w:r>
        <w:rPr>
          <w:rFonts w:ascii="Book Antiqua" w:eastAsia="Book Antiqua" w:hAnsi="Book Antiqua" w:cs="Book Antiqua"/>
          <w:color w:val="000000"/>
          <w:szCs w:val="22"/>
        </w:rPr>
        <w:t xml:space="preserve"> the</w:t>
      </w:r>
      <w:r>
        <w:rPr>
          <w:rFonts w:ascii="Book Antiqua" w:eastAsia="Book Antiqua" w:hAnsi="Book Antiqua" w:cs="Book Antiqua"/>
          <w:color w:val="000000"/>
        </w:rPr>
        <w:t xml:space="preserve"> Mayo Clinic advocates increased caution against NAFLD-promoting behaviors</w:t>
      </w:r>
      <w:r>
        <w:rPr>
          <w:rFonts w:ascii="Book Antiqua" w:eastAsia="Book Antiqua" w:hAnsi="Book Antiqua" w:cs="Book Antiqua"/>
          <w:color w:val="000000"/>
          <w:vertAlign w:val="superscript"/>
        </w:rPr>
        <w:t>[42,43]</w:t>
      </w:r>
      <w:r>
        <w:rPr>
          <w:rFonts w:ascii="Book Antiqua" w:eastAsia="Book Antiqua" w:hAnsi="Book Antiqua" w:cs="Book Antiqua"/>
          <w:color w:val="000000"/>
        </w:rPr>
        <w:t>.</w:t>
      </w:r>
    </w:p>
    <w:p w14:paraId="553D8E84"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 xml:space="preserve">Increases in body mass index uncontrollable arterial hypertension and underregulated diabetes will certainly contribute to </w:t>
      </w:r>
      <w:r>
        <w:rPr>
          <w:rFonts w:ascii="Book Antiqua" w:eastAsia="Book Antiqua" w:hAnsi="Book Antiqua" w:cs="Book Antiqua"/>
          <w:color w:val="000000"/>
        </w:rPr>
        <w:t>the worsening of NAFLD. It is therefore mandatory to treat associated metabolic comorbidities in these patients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In addition, the deleterious effects of delayed detection of </w:t>
      </w:r>
      <w:r w:rsidR="00A04D88">
        <w:rPr>
          <w:rFonts w:ascii="Book Antiqua" w:eastAsia="Book Antiqua" w:hAnsi="Book Antiqua" w:cs="Book Antiqua"/>
          <w:color w:val="000000"/>
          <w:szCs w:val="22"/>
        </w:rPr>
        <w:t>HCC</w:t>
      </w:r>
      <w:r>
        <w:rPr>
          <w:rFonts w:ascii="Book Antiqua" w:eastAsia="Book Antiqua" w:hAnsi="Book Antiqua" w:cs="Book Antiqua"/>
          <w:color w:val="000000"/>
          <w:szCs w:val="22"/>
        </w:rPr>
        <w:t xml:space="preserve"> in hepatic steatosis patients are the consequences of missed routine ultrasound examinations.</w:t>
      </w:r>
    </w:p>
    <w:p w14:paraId="35913984" w14:textId="77777777" w:rsidR="00A77B3E" w:rsidRDefault="00650E21" w:rsidP="00A04D8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conclusion, the EASL suggests considering early admission for all patients with NAFLD and COVID-19</w:t>
      </w:r>
      <w:r>
        <w:rPr>
          <w:rFonts w:ascii="Book Antiqua" w:eastAsia="Book Antiqua" w:hAnsi="Book Antiqua" w:cs="Book Antiqua"/>
          <w:color w:val="000000"/>
          <w:vertAlign w:val="superscript"/>
        </w:rPr>
        <w:t>[18]</w:t>
      </w:r>
      <w:r>
        <w:rPr>
          <w:rFonts w:ascii="Book Antiqua" w:eastAsia="Book Antiqua" w:hAnsi="Book Antiqua" w:cs="Book Antiqua"/>
          <w:color w:val="000000"/>
        </w:rPr>
        <w:t>. Encouraged by the AASLD guidelines, we recommend regular monitoring of liver function in all hospitalized COVID-19 patients</w:t>
      </w:r>
      <w:r>
        <w:rPr>
          <w:rFonts w:ascii="Book Antiqua" w:eastAsia="Book Antiqua" w:hAnsi="Book Antiqua" w:cs="Book Antiqua"/>
          <w:color w:val="000000"/>
          <w:vertAlign w:val="superscript"/>
        </w:rPr>
        <w:t>[17,21]</w:t>
      </w:r>
      <w:r>
        <w:rPr>
          <w:rFonts w:ascii="Book Antiqua" w:eastAsia="Book Antiqua" w:hAnsi="Book Antiqua" w:cs="Book Antiqua"/>
          <w:color w:val="000000"/>
        </w:rPr>
        <w:t>. Governments and policy makers should implement certain interventions in response to the increase in</w:t>
      </w:r>
      <w:r>
        <w:rPr>
          <w:rFonts w:ascii="Book Antiqua" w:eastAsia="Book Antiqua" w:hAnsi="Book Antiqua" w:cs="Book Antiqua"/>
          <w:color w:val="000000"/>
          <w:szCs w:val="22"/>
        </w:rPr>
        <w:t xml:space="preserve"> </w:t>
      </w:r>
      <w:r>
        <w:rPr>
          <w:rFonts w:ascii="Book Antiqua" w:eastAsia="Book Antiqua" w:hAnsi="Book Antiqua" w:cs="Book Antiqua"/>
          <w:color w:val="000000"/>
        </w:rPr>
        <w:t>NAFLD that will insidiously follow after the COVID-19 pandemic</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Finally, when contemplating the introduction of </w:t>
      </w:r>
      <w:r>
        <w:rPr>
          <w:rFonts w:ascii="Book Antiqua" w:eastAsia="Book Antiqua" w:hAnsi="Book Antiqua" w:cs="Book Antiqua"/>
          <w:color w:val="000000"/>
          <w:szCs w:val="22"/>
        </w:rPr>
        <w:t>lockdown</w:t>
      </w:r>
      <w:r>
        <w:rPr>
          <w:rFonts w:ascii="Book Antiqua" w:eastAsia="Book Antiqua" w:hAnsi="Book Antiqua" w:cs="Book Antiqua"/>
          <w:color w:val="000000"/>
        </w:rPr>
        <w:t xml:space="preserve"> in the future, the potential consequences on metabolic health should be considered</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1F585572" w14:textId="77777777" w:rsidR="00A04D88" w:rsidRPr="00A04D88" w:rsidRDefault="00A04D88" w:rsidP="00A04D88">
      <w:pPr>
        <w:spacing w:line="360" w:lineRule="auto"/>
        <w:jc w:val="both"/>
        <w:rPr>
          <w:lang w:eastAsia="zh-CN"/>
        </w:rPr>
      </w:pPr>
    </w:p>
    <w:p w14:paraId="1AD2BDC0" w14:textId="77777777" w:rsidR="00A77B3E" w:rsidRDefault="00650E21">
      <w:pPr>
        <w:spacing w:line="360" w:lineRule="auto"/>
        <w:jc w:val="both"/>
      </w:pPr>
      <w:r>
        <w:rPr>
          <w:rFonts w:ascii="Book Antiqua" w:eastAsia="Book Antiqua" w:hAnsi="Book Antiqua" w:cs="Book Antiqua"/>
          <w:b/>
          <w:bCs/>
          <w:i/>
          <w:iCs/>
          <w:color w:val="000000"/>
          <w:szCs w:val="22"/>
        </w:rPr>
        <w:t>Autoimmune liver disease and COVID-19</w:t>
      </w:r>
    </w:p>
    <w:p w14:paraId="21C61F3B" w14:textId="77777777" w:rsidR="00A77B3E" w:rsidRDefault="00650E21">
      <w:pPr>
        <w:spacing w:line="360" w:lineRule="auto"/>
        <w:jc w:val="both"/>
        <w:rPr>
          <w:rFonts w:ascii="Book Antiqua" w:hAnsi="Book Antiqua" w:cs="Book Antiqua"/>
          <w:color w:val="000000"/>
          <w:lang w:eastAsia="zh-CN"/>
        </w:rPr>
      </w:pPr>
      <w:r>
        <w:rPr>
          <w:rFonts w:ascii="Book Antiqua" w:eastAsia="Book Antiqua" w:hAnsi="Book Antiqua" w:cs="Book Antiqua"/>
          <w:color w:val="000000"/>
          <w:szCs w:val="22"/>
        </w:rPr>
        <w:t>Evidence of the influence of immunosuppressive regimens on the acquisition</w:t>
      </w:r>
      <w:r>
        <w:rPr>
          <w:rFonts w:ascii="Book Antiqua" w:eastAsia="Book Antiqua" w:hAnsi="Book Antiqua" w:cs="Book Antiqua"/>
          <w:color w:val="000000"/>
        </w:rPr>
        <w:t xml:space="preserve"> of COVID-19 is still scarce. However, observational studies have suggested an association between glucocorticoid therapy and a severe COVID-19 course</w:t>
      </w:r>
      <w:r>
        <w:rPr>
          <w:rFonts w:ascii="Book Antiqua" w:eastAsia="Book Antiqua" w:hAnsi="Book Antiqua" w:cs="Book Antiqua"/>
          <w:color w:val="000000"/>
          <w:vertAlign w:val="superscript"/>
        </w:rPr>
        <w:t>[18,44]</w:t>
      </w:r>
      <w:r>
        <w:rPr>
          <w:rFonts w:ascii="Book Antiqua" w:eastAsia="Book Antiqua" w:hAnsi="Book Antiqua" w:cs="Book Antiqua"/>
          <w:color w:val="000000"/>
        </w:rPr>
        <w:t xml:space="preserve">. When treating </w:t>
      </w:r>
      <w:r>
        <w:rPr>
          <w:rFonts w:ascii="Book Antiqua" w:eastAsia="Book Antiqua" w:hAnsi="Book Antiqua" w:cs="Book Antiqua"/>
          <w:color w:val="000000"/>
        </w:rPr>
        <w:lastRenderedPageBreak/>
        <w:t xml:space="preserve">autoimmune hepatitis (AIH) </w:t>
      </w:r>
      <w:r>
        <w:rPr>
          <w:rFonts w:ascii="Book Antiqua" w:eastAsia="Book Antiqua" w:hAnsi="Book Antiqua" w:cs="Book Antiqua"/>
          <w:color w:val="000000"/>
          <w:szCs w:val="22"/>
        </w:rPr>
        <w:t>flares, the EASL suggests the</w:t>
      </w:r>
      <w:r>
        <w:rPr>
          <w:rFonts w:ascii="Book Antiqua" w:eastAsia="Book Antiqua" w:hAnsi="Book Antiqua" w:cs="Book Antiqua"/>
          <w:color w:val="000000"/>
        </w:rPr>
        <w:t xml:space="preserve"> administration of budesonide rather than systemic corticosteroid therapy in patients without liver cirrhosis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the clinical setting of </w:t>
      </w:r>
      <w:r>
        <w:rPr>
          <w:rFonts w:ascii="Book Antiqua" w:eastAsia="Book Antiqua" w:hAnsi="Book Antiqua" w:cs="Book Antiqua"/>
          <w:color w:val="000000"/>
          <w:szCs w:val="22"/>
        </w:rPr>
        <w:t xml:space="preserve">a chronic immunosuppressive regimen it is recommended to continue treatment, except in cases of severe COVID-19, superinfections or lymphopenia that frequently follow </w:t>
      </w:r>
      <w:r>
        <w:rPr>
          <w:rFonts w:ascii="Book Antiqua" w:eastAsia="Book Antiqua" w:hAnsi="Book Antiqua" w:cs="Book Antiqua"/>
          <w:color w:val="000000"/>
        </w:rPr>
        <w:t>SARS-CoV-2 infection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According to the largest study of patients with AIH and COVID-19 infection there were no significant differences in the incidence of major adverse COVID-19 outcomes between patients with AIH and those with other CLD</w:t>
      </w:r>
      <w:r>
        <w:rPr>
          <w:rFonts w:ascii="Book Antiqua" w:eastAsia="Book Antiqua" w:hAnsi="Book Antiqua" w:cs="Book Antiqua"/>
          <w:color w:val="000000"/>
          <w:vertAlign w:val="superscript"/>
        </w:rPr>
        <w:t>[10]</w:t>
      </w:r>
      <w:r>
        <w:rPr>
          <w:rFonts w:ascii="Book Antiqua" w:eastAsia="Book Antiqua" w:hAnsi="Book Antiqua" w:cs="Book Antiqua"/>
          <w:color w:val="000000"/>
        </w:rPr>
        <w:t>. However, in this study, independent risk factors for adverse events (</w:t>
      </w:r>
      <w:r w:rsidRPr="00A04D88">
        <w:rPr>
          <w:rFonts w:ascii="Book Antiqua" w:eastAsia="Book Antiqua" w:hAnsi="Book Antiqua" w:cs="Book Antiqua"/>
          <w:i/>
          <w:color w:val="000000"/>
        </w:rPr>
        <w:t>i.e.</w:t>
      </w:r>
      <w:r>
        <w:rPr>
          <w:rFonts w:ascii="Book Antiqua" w:eastAsia="Book Antiqua" w:hAnsi="Book Antiqua" w:cs="Book Antiqua"/>
          <w:color w:val="000000"/>
        </w:rPr>
        <w:t>, death) in these patients were age and baseline liver disease severity. In this study, the use of immunosuppression was not associated with death in AIH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Additional studies are needed to determine whether AIH per se or adjacent immunosuppressive treatment </w:t>
      </w:r>
      <w:r>
        <w:rPr>
          <w:rFonts w:ascii="Book Antiqua" w:eastAsia="Book Antiqua" w:hAnsi="Book Antiqua" w:cs="Book Antiqua"/>
          <w:color w:val="000000"/>
          <w:szCs w:val="22"/>
        </w:rPr>
        <w:t xml:space="preserve">affect </w:t>
      </w:r>
      <w:r>
        <w:rPr>
          <w:rFonts w:ascii="Book Antiqua" w:eastAsia="Book Antiqua" w:hAnsi="Book Antiqua" w:cs="Book Antiqua"/>
          <w:color w:val="000000"/>
        </w:rPr>
        <w:t>COVID-19 outcomes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8A8E1EA" w14:textId="77777777" w:rsidR="00A04D88" w:rsidRPr="00A04D88" w:rsidRDefault="00A04D88">
      <w:pPr>
        <w:spacing w:line="360" w:lineRule="auto"/>
        <w:jc w:val="both"/>
        <w:rPr>
          <w:lang w:eastAsia="zh-CN"/>
        </w:rPr>
      </w:pPr>
    </w:p>
    <w:p w14:paraId="11EFB2CA" w14:textId="77777777" w:rsidR="00A77B3E" w:rsidRDefault="00650E21">
      <w:pPr>
        <w:spacing w:line="360" w:lineRule="auto"/>
        <w:jc w:val="both"/>
      </w:pPr>
      <w:r>
        <w:rPr>
          <w:rFonts w:ascii="Book Antiqua" w:eastAsia="Book Antiqua" w:hAnsi="Book Antiqua" w:cs="Book Antiqua"/>
          <w:b/>
          <w:bCs/>
          <w:i/>
          <w:iCs/>
          <w:color w:val="000000"/>
          <w:szCs w:val="22"/>
        </w:rPr>
        <w:t>Alcoholic liver disease and COVID-19</w:t>
      </w:r>
    </w:p>
    <w:p w14:paraId="33AAAEA0" w14:textId="77777777" w:rsidR="00A77B3E" w:rsidRDefault="00650E21">
      <w:pPr>
        <w:spacing w:line="360" w:lineRule="auto"/>
        <w:jc w:val="both"/>
      </w:pPr>
      <w:r>
        <w:rPr>
          <w:rFonts w:ascii="Book Antiqua" w:eastAsia="Book Antiqua" w:hAnsi="Book Antiqua" w:cs="Book Antiqua"/>
          <w:color w:val="000000"/>
          <w:szCs w:val="22"/>
        </w:rPr>
        <w:t xml:space="preserve">Patients with alcohol use disorder (AUD) and alcohol-associated liver disease (ALD) are exemplars </w:t>
      </w:r>
      <w:r>
        <w:rPr>
          <w:rFonts w:ascii="Book Antiqua" w:eastAsia="Book Antiqua" w:hAnsi="Book Antiqua" w:cs="Book Antiqua"/>
          <w:color w:val="000000"/>
        </w:rPr>
        <w:t>of the wide range of potentially negative impacts of COVID-19</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Primarily, social isolation and the unavailability of professional help may lead to psychological decompensation and </w:t>
      </w:r>
      <w:r>
        <w:rPr>
          <w:rFonts w:ascii="Book Antiqua" w:eastAsia="Book Antiqua" w:hAnsi="Book Antiqua" w:cs="Book Antiqua"/>
          <w:color w:val="000000"/>
          <w:szCs w:val="22"/>
        </w:rPr>
        <w:t xml:space="preserve">an </w:t>
      </w:r>
      <w:r>
        <w:rPr>
          <w:rFonts w:ascii="Book Antiqua" w:eastAsia="Book Antiqua" w:hAnsi="Book Antiqua" w:cs="Book Antiqua"/>
          <w:color w:val="000000"/>
        </w:rPr>
        <w:t>increased risk of relapse</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Depressed immune </w:t>
      </w:r>
      <w:r>
        <w:rPr>
          <w:rFonts w:ascii="Book Antiqua" w:eastAsia="Book Antiqua" w:hAnsi="Book Antiqua" w:cs="Book Antiqua"/>
          <w:color w:val="000000"/>
          <w:szCs w:val="22"/>
        </w:rPr>
        <w:t>systems</w:t>
      </w:r>
      <w:r>
        <w:rPr>
          <w:rFonts w:ascii="Book Antiqua" w:eastAsia="Book Antiqua" w:hAnsi="Book Antiqua" w:cs="Book Antiqua"/>
          <w:color w:val="000000"/>
        </w:rPr>
        <w:t xml:space="preserve"> and other underlying comorbidities, including renal failure, obesity, chronic viral hepatitis, sarcopenia, alcoholic cardiomyopathy, tobacco use disorder and many others, make these patients easy targets for viral infection. Finally, according to published data, these patients are more prone to developing interstitial pneumonia and acute respiratory distress syndrome secondary to SARS-CoV-2 infection than their counterparts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Case series of ALD individuals reported a rapid disease course, including bilobar pneumonia and acute respiratory distress syndrome requiring mechanical ventilation, with unfavorable outcomes including </w:t>
      </w:r>
      <w:r>
        <w:rPr>
          <w:rFonts w:ascii="Book Antiqua" w:eastAsia="Book Antiqua" w:hAnsi="Book Antiqua" w:cs="Book Antiqua"/>
          <w:color w:val="000000"/>
          <w:szCs w:val="22"/>
          <w:shd w:val="clear" w:color="auto" w:fill="FFFFFF"/>
        </w:rPr>
        <w:t>cardiopulmonary insufficiency</w:t>
      </w:r>
      <w:r w:rsidR="00A04D88">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rPr>
        <w:t>and multiorgan failure</w:t>
      </w:r>
      <w:r>
        <w:rPr>
          <w:rFonts w:ascii="Book Antiqua" w:eastAsia="Book Antiqua" w:hAnsi="Book Antiqua" w:cs="Book Antiqua"/>
          <w:color w:val="000000"/>
          <w:vertAlign w:val="superscript"/>
        </w:rPr>
        <w:t>[46,47]</w:t>
      </w:r>
      <w:r>
        <w:rPr>
          <w:rFonts w:ascii="Book Antiqua" w:eastAsia="Book Antiqua" w:hAnsi="Book Antiqua" w:cs="Book Antiqua"/>
          <w:color w:val="000000"/>
        </w:rPr>
        <w:t>. Patients admitted for acute alcoholic steatohepatitis (ASH) are usually assessed using Maddrey’s discriminant function (DF) score, with DF &gt; 32 predicting a higher mortality rate</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usual treatment of ASH in patients with DF &gt; 32 using the </w:t>
      </w:r>
      <w:r>
        <w:rPr>
          <w:rFonts w:ascii="Book Antiqua" w:eastAsia="Book Antiqua" w:hAnsi="Book Antiqua" w:cs="Book Antiqua"/>
          <w:color w:val="000000"/>
        </w:rPr>
        <w:lastRenderedPageBreak/>
        <w:t>classical prednisone regimen is an additional risk factor for a severe course of COVID-19 and is therefore not recommended for patients who are self-isolating or considered at high risk of acquiring SARS-CoV-2 infection</w:t>
      </w:r>
      <w:r>
        <w:rPr>
          <w:rFonts w:ascii="Book Antiqua" w:eastAsia="Book Antiqua" w:hAnsi="Book Antiqua" w:cs="Book Antiqua"/>
          <w:color w:val="000000"/>
          <w:vertAlign w:val="superscript"/>
        </w:rPr>
        <w:t>[45]</w:t>
      </w:r>
      <w:r>
        <w:rPr>
          <w:rFonts w:ascii="Book Antiqua" w:eastAsia="Book Antiqua" w:hAnsi="Book Antiqua" w:cs="Book Antiqua"/>
          <w:color w:val="000000"/>
        </w:rPr>
        <w:t>. Liver impairment is frequently observed in patients with COVID-19</w:t>
      </w:r>
      <w:r>
        <w:rPr>
          <w:rFonts w:ascii="Book Antiqua" w:eastAsia="Book Antiqua" w:hAnsi="Book Antiqua" w:cs="Book Antiqua"/>
          <w:color w:val="000000"/>
          <w:vertAlign w:val="superscript"/>
        </w:rPr>
        <w:t>[46]</w:t>
      </w:r>
      <w:r>
        <w:rPr>
          <w:rFonts w:ascii="Book Antiqua" w:eastAsia="Book Antiqua" w:hAnsi="Book Antiqua" w:cs="Book Antiqua"/>
          <w:color w:val="000000"/>
        </w:rPr>
        <w:t>. It is also well known that ASH increases the risk of hepatorenal syndrome development, especially after contrast agent application. Cytokine damage, inadequate organ perfusion, nephrotoxic drug effects and nosocomial infections all potentiate the acute kidney injury, usually resulting in the need for continuous renal replacement therapy</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35F9EF4A" w14:textId="77777777" w:rsidR="00A77B3E" w:rsidRDefault="00650E21" w:rsidP="00A04D8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In order to obviate the described critical disease course with severe consequences and high mortality rate, we should focus on two main aspects in the care of ALD patients. The primary focus is the prevention,</w:t>
      </w:r>
      <w:r w:rsidR="00A04D8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of infection by following strict epidemiologic recommendations,</w:t>
      </w:r>
      <w:r w:rsidR="00A04D8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as well as the prevention of AUD relapse by implementing vigorous social and psychiatric care by telephone. The unavailability of support groups such as </w:t>
      </w:r>
      <w:r>
        <w:rPr>
          <w:rFonts w:ascii="Book Antiqua" w:eastAsia="Book Antiqua" w:hAnsi="Book Antiqua" w:cs="Book Antiqua"/>
          <w:color w:val="000000"/>
          <w:szCs w:val="22"/>
          <w:shd w:val="clear" w:color="auto" w:fill="FFFFFF"/>
        </w:rPr>
        <w:t>Alcoholics Anonymous should be bridged using individual or smaller group treatment</w:t>
      </w:r>
      <w:r>
        <w:rPr>
          <w:rFonts w:ascii="Book Antiqua" w:eastAsia="Book Antiqua" w:hAnsi="Book Antiqua" w:cs="Book Antiqua"/>
          <w:color w:val="000000"/>
          <w:vertAlign w:val="superscript"/>
        </w:rPr>
        <w:t>[47]</w:t>
      </w:r>
      <w:r>
        <w:rPr>
          <w:rFonts w:ascii="Book Antiqua" w:eastAsia="Book Antiqua" w:hAnsi="Book Antiqua" w:cs="Book Antiqua"/>
          <w:color w:val="000000"/>
          <w:szCs w:val="22"/>
          <w:shd w:val="clear" w:color="auto" w:fill="FFFFFF"/>
        </w:rPr>
        <w:t xml:space="preserve">. The secondary focus is the prevention of a deleterious disease course using </w:t>
      </w:r>
      <w:r>
        <w:rPr>
          <w:rFonts w:ascii="Book Antiqua" w:eastAsia="Book Antiqua" w:hAnsi="Book Antiqua" w:cs="Book Antiqua"/>
          <w:color w:val="000000"/>
        </w:rPr>
        <w:t>vigilant intrahospital clinical care and timely recognition of hepatobiliary, renal and respiratory complications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05DC871" w14:textId="77777777" w:rsidR="00A04D88" w:rsidRPr="00A04D88" w:rsidRDefault="00A04D88" w:rsidP="00A04D88">
      <w:pPr>
        <w:spacing w:line="360" w:lineRule="auto"/>
        <w:jc w:val="both"/>
        <w:rPr>
          <w:lang w:eastAsia="zh-CN"/>
        </w:rPr>
      </w:pPr>
    </w:p>
    <w:p w14:paraId="38DF79BB" w14:textId="77777777" w:rsidR="00A77B3E" w:rsidRDefault="00650E21">
      <w:pPr>
        <w:spacing w:line="360" w:lineRule="auto"/>
        <w:jc w:val="both"/>
      </w:pPr>
      <w:r>
        <w:rPr>
          <w:rFonts w:ascii="Book Antiqua" w:eastAsia="Book Antiqua" w:hAnsi="Book Antiqua" w:cs="Book Antiqua"/>
          <w:b/>
          <w:bCs/>
          <w:i/>
          <w:iCs/>
          <w:color w:val="000000"/>
          <w:szCs w:val="22"/>
        </w:rPr>
        <w:t>Viral hepatitis and COVID-19</w:t>
      </w:r>
    </w:p>
    <w:p w14:paraId="704DDD3D" w14:textId="77777777" w:rsidR="00A77B3E" w:rsidRDefault="00650E21">
      <w:pPr>
        <w:spacing w:line="360" w:lineRule="auto"/>
        <w:jc w:val="both"/>
      </w:pPr>
      <w:r>
        <w:rPr>
          <w:rFonts w:ascii="Book Antiqua" w:eastAsia="Book Antiqua" w:hAnsi="Book Antiqua" w:cs="Book Antiqua"/>
          <w:color w:val="000000"/>
          <w:szCs w:val="22"/>
        </w:rPr>
        <w:t xml:space="preserve">Whether chronic viral hepatitis specifically affects the COVID-19 course remains unknown. In a retrospective Italian multicenter study that included 50 patients with liver cirrhosis and SARS-CoV-2 infection, 28% had hepatitis C virus (HCV)-related cirrhosis and 10% had hepatitis B virus (HBV)-related cirrhosis. The patients were either HCV-RNA negative after anti-HCV treatment or on long-term anti-HBV treatment. </w:t>
      </w:r>
      <w:r>
        <w:rPr>
          <w:rFonts w:ascii="Book Antiqua" w:eastAsia="Book Antiqua" w:hAnsi="Book Antiqua" w:cs="Book Antiqua"/>
          <w:color w:val="000000"/>
        </w:rPr>
        <w:t>The severity of liver disease was an independent predictor of mortality</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 same conclusion was derived from an international registry that included 152 patients with CLD and COVID-19, among which 22.5%</w:t>
      </w:r>
      <w:r>
        <w:rPr>
          <w:rFonts w:ascii="Book Antiqua" w:eastAsia="Book Antiqua" w:hAnsi="Book Antiqua" w:cs="Book Antiqua"/>
          <w:color w:val="000000"/>
        </w:rPr>
        <w:t xml:space="preserve"> of the CLD was due to chronic HBV or HCV infection</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62D52FC"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lastRenderedPageBreak/>
        <w:t xml:space="preserve">In the last year, the </w:t>
      </w:r>
      <w:r>
        <w:rPr>
          <w:rFonts w:ascii="Book Antiqua" w:eastAsia="Book Antiqua" w:hAnsi="Book Antiqua" w:cs="Book Antiqua"/>
          <w:color w:val="000000"/>
        </w:rPr>
        <w:t>COVID-19 outbreak has redirected attention from other morbidities, including viral hepatitis: as a consequence of this pandemic, most viral hepatitis elimination programs have diminished or stopped altogether</w:t>
      </w:r>
      <w:r>
        <w:rPr>
          <w:rFonts w:ascii="Book Antiqua" w:eastAsia="Book Antiqua" w:hAnsi="Book Antiqua" w:cs="Book Antiqua"/>
          <w:color w:val="000000"/>
          <w:vertAlign w:val="superscript"/>
        </w:rPr>
        <w:t>[14,19,48,49]</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 World Health Organization’s goal of</w:t>
      </w:r>
      <w:r>
        <w:rPr>
          <w:rFonts w:ascii="Book Antiqua" w:eastAsia="Book Antiqua" w:hAnsi="Book Antiqua" w:cs="Book Antiqua"/>
          <w:color w:val="000000"/>
        </w:rPr>
        <w:t xml:space="preserve"> eliminating HBV and HCV and thus significantly reducing the associated mortality until 2030 has therefore been put on hold. Elimination programs are already scarce, as well as involvement by liver disease societies, epidemiologists, infection specialists and general practitioners, despite the WHO Global Hepatitis Report 2017 stating that the viral hepatitis global mortality is 1.5 million per year</w:t>
      </w:r>
      <w:r>
        <w:rPr>
          <w:rFonts w:ascii="Book Antiqua" w:eastAsia="Book Antiqua" w:hAnsi="Book Antiqua" w:cs="Book Antiqua"/>
          <w:color w:val="000000"/>
          <w:vertAlign w:val="superscript"/>
        </w:rPr>
        <w:t>[19,48,49]</w:t>
      </w:r>
      <w:r>
        <w:rPr>
          <w:rFonts w:ascii="Book Antiqua" w:eastAsia="Book Antiqua" w:hAnsi="Book Antiqua" w:cs="Book Antiqua"/>
          <w:color w:val="000000"/>
        </w:rPr>
        <w:t>. Preventing mother</w:t>
      </w:r>
      <w:r>
        <w:rPr>
          <w:rFonts w:ascii="Book Antiqua" w:eastAsia="Book Antiqua" w:hAnsi="Book Antiqua" w:cs="Book Antiqua"/>
          <w:color w:val="000000"/>
          <w:szCs w:val="22"/>
        </w:rPr>
        <w:t xml:space="preserve">-to-child transmission and promoting blood safety are presumably the only intact weapons in the battle </w:t>
      </w:r>
      <w:r>
        <w:rPr>
          <w:rFonts w:ascii="Book Antiqua" w:eastAsia="Book Antiqua" w:hAnsi="Book Antiqua" w:cs="Book Antiqua"/>
          <w:color w:val="000000"/>
        </w:rPr>
        <w:t>against HBV and HCV</w:t>
      </w:r>
      <w:r>
        <w:rPr>
          <w:rFonts w:ascii="Book Antiqua" w:eastAsia="Book Antiqua" w:hAnsi="Book Antiqua" w:cs="Book Antiqua"/>
          <w:color w:val="000000"/>
          <w:vertAlign w:val="superscript"/>
        </w:rPr>
        <w:t>[19,48]</w:t>
      </w:r>
      <w:r>
        <w:rPr>
          <w:rFonts w:ascii="Book Antiqua" w:eastAsia="Book Antiqua" w:hAnsi="Book Antiqua" w:cs="Book Antiqua"/>
          <w:color w:val="000000"/>
        </w:rPr>
        <w:t xml:space="preserve">. Although we will realize the full impact of reducing or delaying programs targeting hepatitis elimination in the near future, there are some mathematical models </w:t>
      </w:r>
      <w:r>
        <w:rPr>
          <w:rFonts w:ascii="Book Antiqua" w:eastAsia="Book Antiqua" w:hAnsi="Book Antiqua" w:cs="Book Antiqua"/>
          <w:color w:val="000000"/>
          <w:szCs w:val="22"/>
        </w:rPr>
        <w:t>that can predict the possible impact on the global burden of viral hepatitis and hepatitis-associated morbidity and mortality that will result as a consequence of program</w:t>
      </w:r>
      <w:r>
        <w:rPr>
          <w:rFonts w:ascii="Book Antiqua" w:eastAsia="Book Antiqua" w:hAnsi="Book Antiqua" w:cs="Book Antiqua"/>
          <w:color w:val="000000"/>
        </w:rPr>
        <w:t xml:space="preserve"> delay</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A recent study used certain mathematical </w:t>
      </w:r>
      <w:r>
        <w:rPr>
          <w:rFonts w:ascii="Book Antiqua" w:eastAsia="Book Antiqua" w:hAnsi="Book Antiqua" w:cs="Book Antiqua"/>
          <w:color w:val="000000"/>
          <w:szCs w:val="22"/>
        </w:rPr>
        <w:t>models to analyze the impact of delayed programs on</w:t>
      </w:r>
      <w:r>
        <w:rPr>
          <w:rFonts w:ascii="Book Antiqua" w:eastAsia="Book Antiqua" w:hAnsi="Book Antiqua" w:cs="Book Antiqua"/>
          <w:color w:val="000000"/>
        </w:rPr>
        <w:t xml:space="preserve"> viral hepatitis elimination</w:t>
      </w:r>
      <w:r>
        <w:rPr>
          <w:rFonts w:ascii="Book Antiqua" w:eastAsia="Book Antiqua" w:hAnsi="Book Antiqua" w:cs="Book Antiqua"/>
          <w:color w:val="000000"/>
          <w:vertAlign w:val="superscript"/>
        </w:rPr>
        <w:t>[49]</w:t>
      </w:r>
      <w:r>
        <w:rPr>
          <w:rFonts w:ascii="Book Antiqua" w:eastAsia="Book Antiqua" w:hAnsi="Book Antiqua" w:cs="Book Antiqua"/>
          <w:color w:val="000000"/>
        </w:rPr>
        <w:t>. The authors reported that a 1-year delay in viral hepatitis diagnosis and treatment will result in an additional 44800 HCC cases as well as 72300 deaths from HCV globally in the next 10 years</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43D5880E" w14:textId="77777777" w:rsidR="00A77B3E" w:rsidRDefault="00650E21" w:rsidP="00A04D8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 xml:space="preserve">If we cannot make progress in achieving the aforementioned elimination goals due to the COVID-19 crisis, then education campaigns, extensive screening, diagnostic tests, </w:t>
      </w:r>
      <w:r>
        <w:rPr>
          <w:rFonts w:ascii="Book Antiqua" w:eastAsia="Book Antiqua" w:hAnsi="Book Antiqua" w:cs="Book Antiqua"/>
          <w:color w:val="000000"/>
        </w:rPr>
        <w:t>vaccination programs and treatment should at least be maintained at the former level</w:t>
      </w:r>
      <w:r>
        <w:rPr>
          <w:rFonts w:ascii="Book Antiqua" w:eastAsia="Book Antiqua" w:hAnsi="Book Antiqua" w:cs="Book Antiqua"/>
          <w:color w:val="000000"/>
          <w:vertAlign w:val="superscript"/>
        </w:rPr>
        <w:t>[19,48,49]</w:t>
      </w:r>
      <w:r>
        <w:rPr>
          <w:rFonts w:ascii="Book Antiqua" w:eastAsia="Book Antiqua" w:hAnsi="Book Antiqua" w:cs="Book Antiqua"/>
          <w:color w:val="000000"/>
        </w:rPr>
        <w:t>.</w:t>
      </w:r>
    </w:p>
    <w:p w14:paraId="71D15A53" w14:textId="77777777" w:rsidR="00A04D88" w:rsidRPr="00A04D88" w:rsidRDefault="00A04D88" w:rsidP="00A04D88">
      <w:pPr>
        <w:spacing w:line="360" w:lineRule="auto"/>
        <w:jc w:val="both"/>
        <w:rPr>
          <w:lang w:eastAsia="zh-CN"/>
        </w:rPr>
      </w:pPr>
    </w:p>
    <w:p w14:paraId="078308CF" w14:textId="77777777" w:rsidR="00A77B3E" w:rsidRDefault="00650E21">
      <w:pPr>
        <w:spacing w:line="360" w:lineRule="auto"/>
        <w:jc w:val="both"/>
      </w:pPr>
      <w:r>
        <w:rPr>
          <w:rFonts w:ascii="Book Antiqua" w:eastAsia="Book Antiqua" w:hAnsi="Book Antiqua" w:cs="Book Antiqua"/>
          <w:b/>
          <w:bCs/>
          <w:i/>
          <w:iCs/>
          <w:color w:val="000000"/>
          <w:szCs w:val="22"/>
        </w:rPr>
        <w:t>Liver cirrhosis and COVID-19</w:t>
      </w:r>
    </w:p>
    <w:p w14:paraId="48F59AFB" w14:textId="77777777" w:rsidR="00A77B3E" w:rsidRDefault="00650E21">
      <w:pPr>
        <w:spacing w:line="360" w:lineRule="auto"/>
        <w:jc w:val="both"/>
      </w:pPr>
      <w:r>
        <w:rPr>
          <w:rFonts w:ascii="Book Antiqua" w:eastAsia="Book Antiqua" w:hAnsi="Book Antiqua" w:cs="Book Antiqua"/>
          <w:color w:val="000000"/>
          <w:szCs w:val="22"/>
        </w:rPr>
        <w:t xml:space="preserve">Patients with liver cirrhosis, particularly decompensated cirrhosis, are by far the most vulnerable liver disease patients. Immune dysfunction makes them prone to any kind of infection, including SARS-CoV-2, with potentially deleterious effects on the disease course. Data suggest that the course of COVID-19 is directly connected to the degree of </w:t>
      </w:r>
      <w:r>
        <w:rPr>
          <w:rFonts w:ascii="Book Antiqua" w:eastAsia="Book Antiqua" w:hAnsi="Book Antiqua" w:cs="Book Antiqua"/>
          <w:color w:val="000000"/>
          <w:szCs w:val="22"/>
        </w:rPr>
        <w:lastRenderedPageBreak/>
        <w:t>liver disease defined by</w:t>
      </w:r>
      <w:r>
        <w:rPr>
          <w:rFonts w:ascii="Book Antiqua" w:eastAsia="Book Antiqua" w:hAnsi="Book Antiqua" w:cs="Book Antiqua"/>
          <w:b/>
          <w:bCs/>
          <w:i/>
          <w:iCs/>
          <w:color w:val="000000"/>
          <w:szCs w:val="22"/>
        </w:rPr>
        <w:t xml:space="preserve"> </w:t>
      </w:r>
      <w:r>
        <w:rPr>
          <w:rFonts w:ascii="Book Antiqua" w:eastAsia="Book Antiqua" w:hAnsi="Book Antiqua" w:cs="Book Antiqua"/>
          <w:color w:val="000000"/>
          <w:szCs w:val="22"/>
        </w:rPr>
        <w:t>the</w:t>
      </w:r>
      <w:r>
        <w:rPr>
          <w:rFonts w:ascii="Book Antiqua" w:eastAsia="Book Antiqua" w:hAnsi="Book Antiqua" w:cs="Book Antiqua"/>
          <w:b/>
          <w:bCs/>
          <w:i/>
          <w:iCs/>
          <w:color w:val="000000"/>
          <w:szCs w:val="22"/>
        </w:rPr>
        <w:t xml:space="preserve"> </w:t>
      </w:r>
      <w:r>
        <w:rPr>
          <w:rFonts w:ascii="Book Antiqua" w:eastAsia="Book Antiqua" w:hAnsi="Book Antiqua" w:cs="Book Antiqua"/>
          <w:color w:val="000000"/>
        </w:rPr>
        <w:t>Child-Pugh (CP) and Model for End Stage Liver Disease scores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1147685A"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An international</w:t>
      </w:r>
      <w:r>
        <w:rPr>
          <w:rFonts w:ascii="Book Antiqua" w:eastAsia="Book Antiqua" w:hAnsi="Book Antiqua" w:cs="Book Antiqua"/>
          <w:color w:val="000000"/>
        </w:rPr>
        <w:t xml:space="preserve"> registry including 103 patients with liver cirrhosis reported a 40% mortality rate, strongly correlated with the grade of liver failure: 23.9% mortality in patients with CP class A, 43.3% mortality in patients with CP class B and 63.0% mortality in patients with CP class C cirrhosis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Similarly, </w:t>
      </w:r>
      <w:r>
        <w:rPr>
          <w:rFonts w:ascii="Book Antiqua" w:eastAsia="Book Antiqua" w:hAnsi="Book Antiqua" w:cs="Book Antiqua"/>
          <w:color w:val="000000"/>
          <w:szCs w:val="22"/>
        </w:rPr>
        <w:t>an Italian study involving 50 patients with liver cirrhosis suffering from COVID-19 found a 30-d mortality rate of 34%, among which 71% of patients died due to COVID-</w:t>
      </w:r>
      <w:r>
        <w:rPr>
          <w:rFonts w:ascii="Book Antiqua" w:eastAsia="Book Antiqua" w:hAnsi="Book Antiqua" w:cs="Book Antiqua"/>
          <w:color w:val="000000"/>
        </w:rPr>
        <w:t>related respiratory failure</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7B7AFE03"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The largest published study to date was based on two international registries and included 745 patients with CLD (among which 52% had liver cirrhosis) and acute COVID-19 infection. When compared to the data of non-CLD patients with SARS-CoV-2 infection in a UK hospital network, a statistically significant difference in mortality (</w:t>
      </w:r>
      <w:r w:rsidR="00A04D88">
        <w:rPr>
          <w:rFonts w:ascii="Book Antiqua" w:hAnsi="Book Antiqua" w:cs="Book Antiqua" w:hint="eastAsia"/>
          <w:i/>
          <w:iCs/>
          <w:color w:val="000000"/>
          <w:szCs w:val="22"/>
          <w:lang w:eastAsia="zh-CN"/>
        </w:rPr>
        <w:t>P</w:t>
      </w:r>
      <w:r>
        <w:rPr>
          <w:rFonts w:ascii="Book Antiqua" w:eastAsia="Book Antiqua" w:hAnsi="Book Antiqua" w:cs="Book Antiqua"/>
          <w:color w:val="000000"/>
        </w:rPr>
        <w:t xml:space="preserve"> &lt; 0.001) was reported: 32% in patients with liver cirrhosis compared to 8% in those without</w:t>
      </w:r>
      <w:r>
        <w:rPr>
          <w:rFonts w:ascii="Book Antiqua" w:eastAsia="Book Antiqua" w:hAnsi="Book Antiqua" w:cs="Book Antiqua"/>
          <w:color w:val="000000"/>
          <w:vertAlign w:val="superscript"/>
        </w:rPr>
        <w:t>[52]</w:t>
      </w:r>
      <w:r>
        <w:rPr>
          <w:rFonts w:ascii="Book Antiqua" w:eastAsia="Book Antiqua" w:hAnsi="Book Antiqua" w:cs="Book Antiqua"/>
          <w:color w:val="000000"/>
        </w:rPr>
        <w:t>. The main cause of death was respiratory failure, with acute decompensation of liver cirrhosis occurring in 46% of patients. The authors concluded that the CP score and ALD were independent risk factors for death due to COVID-19</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386FB792"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 xml:space="preserve">A prospective American multicenter study by Singh </w:t>
      </w:r>
      <w:r w:rsidR="00B673D4">
        <w:rPr>
          <w:rFonts w:ascii="Book Antiqua" w:hAnsi="Book Antiqua" w:cs="Book Antiqua" w:hint="eastAsia"/>
          <w:iCs/>
          <w:color w:val="000000"/>
          <w:szCs w:val="22"/>
          <w:lang w:eastAsia="zh-CN"/>
        </w:rPr>
        <w:t xml:space="preserve">and </w:t>
      </w:r>
      <w:r w:rsidR="00B673D4">
        <w:rPr>
          <w:rFonts w:ascii="Book Antiqua" w:eastAsia="Book Antiqua" w:hAnsi="Book Antiqua" w:cs="Book Antiqua"/>
          <w:color w:val="000000"/>
        </w:rPr>
        <w:t>Khan</w:t>
      </w:r>
      <w:r w:rsidR="00B673D4">
        <w:rPr>
          <w:rFonts w:ascii="Book Antiqua" w:eastAsia="Book Antiqua" w:hAnsi="Book Antiqua" w:cs="Book Antiqua"/>
          <w:color w:val="000000"/>
          <w:vertAlign w:val="superscript"/>
        </w:rPr>
        <w:t>[53]</w:t>
      </w:r>
      <w:r>
        <w:rPr>
          <w:rFonts w:ascii="Book Antiqua" w:eastAsia="Book Antiqua" w:hAnsi="Book Antiqua" w:cs="Book Antiqua"/>
          <w:color w:val="000000"/>
          <w:szCs w:val="22"/>
        </w:rPr>
        <w:t xml:space="preserve"> compared patients with both liver cirrhosis and COVID-19 to patients with only COVID-19 and found a significant difference in the outcome (30% </w:t>
      </w:r>
      <w:r w:rsidRPr="00B673D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13%, </w:t>
      </w:r>
      <w:r w:rsidR="00B673D4">
        <w:rPr>
          <w:rFonts w:ascii="Book Antiqua" w:hAnsi="Book Antiqua" w:cs="Book Antiqua" w:hint="eastAsia"/>
          <w:i/>
          <w:iCs/>
          <w:color w:val="000000"/>
          <w:szCs w:val="22"/>
          <w:lang w:eastAsia="zh-CN"/>
        </w:rPr>
        <w:t>P</w:t>
      </w:r>
      <w:r>
        <w:rPr>
          <w:rFonts w:ascii="Book Antiqua" w:eastAsia="Book Antiqua" w:hAnsi="Book Antiqua" w:cs="Book Antiqua"/>
          <w:color w:val="000000"/>
          <w:szCs w:val="22"/>
        </w:rPr>
        <w:t xml:space="preserve"> = 0.03). However, the fact that there was no significant difference in the </w:t>
      </w:r>
      <w:r>
        <w:rPr>
          <w:rFonts w:ascii="Book Antiqua" w:eastAsia="Book Antiqua" w:hAnsi="Book Antiqua" w:cs="Book Antiqua"/>
          <w:color w:val="000000"/>
        </w:rPr>
        <w:t>outcomes of patients with liver cirrhosis regarding COVID-19 infection is intriguing. It seems important to emphasize that the proportion of SARS-CoV-2</w:t>
      </w:r>
      <w:r>
        <w:rPr>
          <w:rFonts w:ascii="Book Antiqua" w:eastAsia="Book Antiqua" w:hAnsi="Book Antiqua" w:cs="Book Antiqua"/>
          <w:color w:val="000000"/>
          <w:szCs w:val="22"/>
        </w:rPr>
        <w:t>-positive cirrhosis patients in this study was approximately three times lower than that in the other two subgroups.</w:t>
      </w:r>
    </w:p>
    <w:p w14:paraId="30E226E5" w14:textId="77777777" w:rsidR="00A77B3E" w:rsidRDefault="00650E21" w:rsidP="00B673D4">
      <w:pPr>
        <w:spacing w:line="360" w:lineRule="auto"/>
        <w:ind w:firstLineChars="100" w:firstLine="240"/>
        <w:jc w:val="both"/>
      </w:pPr>
      <w:r>
        <w:rPr>
          <w:rFonts w:ascii="Book Antiqua" w:eastAsia="Book Antiqua" w:hAnsi="Book Antiqua" w:cs="Book Antiqua"/>
          <w:color w:val="000000"/>
        </w:rPr>
        <w:t>In summary, in patients suffering from COVID-19, mortality is significantly greater in those with liver cirrhosis than in those without and is directly related to the stage of liver failure</w:t>
      </w:r>
      <w:r>
        <w:rPr>
          <w:rFonts w:ascii="Book Antiqua" w:eastAsia="Book Antiqua" w:hAnsi="Book Antiqua" w:cs="Book Antiqua"/>
          <w:color w:val="000000"/>
          <w:vertAlign w:val="superscript"/>
        </w:rPr>
        <w:t>[18]</w:t>
      </w:r>
      <w:r>
        <w:rPr>
          <w:rFonts w:ascii="Book Antiqua" w:eastAsia="Book Antiqua" w:hAnsi="Book Antiqua" w:cs="Book Antiqua"/>
          <w:color w:val="000000"/>
        </w:rPr>
        <w:t>. However, it remains unclear whether COVID-19</w:t>
      </w:r>
      <w:r>
        <w:rPr>
          <w:rFonts w:ascii="Book Antiqua" w:eastAsia="Book Antiqua" w:hAnsi="Book Antiqua" w:cs="Book Antiqua"/>
          <w:color w:val="000000"/>
          <w:szCs w:val="22"/>
        </w:rPr>
        <w:t xml:space="preserve">-related mortality is higher than that related to </w:t>
      </w:r>
      <w:r>
        <w:rPr>
          <w:rFonts w:ascii="Book Antiqua" w:eastAsia="Book Antiqua" w:hAnsi="Book Antiqua" w:cs="Book Antiqua"/>
          <w:color w:val="000000"/>
        </w:rPr>
        <w:t>other causes of decompensation that are often also infective in origin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EFAE446"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lastRenderedPageBreak/>
        <w:t>Liver cirrhosis causes 2 million deaths globally per year. Prevention of liver decompensation and prompt diagnosis and treatment of cirrhosis-</w:t>
      </w:r>
      <w:r>
        <w:rPr>
          <w:rFonts w:ascii="Book Antiqua" w:eastAsia="Book Antiqua" w:hAnsi="Book Antiqua" w:cs="Book Antiqua"/>
          <w:color w:val="000000"/>
        </w:rPr>
        <w:t>related complications are of the utmost importance</w:t>
      </w:r>
      <w:r>
        <w:rPr>
          <w:rFonts w:ascii="Book Antiqua" w:eastAsia="Book Antiqua" w:hAnsi="Book Antiqua" w:cs="Book Antiqua"/>
          <w:color w:val="000000"/>
          <w:vertAlign w:val="superscript"/>
        </w:rPr>
        <w:t>[54,55]</w:t>
      </w:r>
      <w:r>
        <w:rPr>
          <w:rFonts w:ascii="Book Antiqua" w:eastAsia="Book Antiqua" w:hAnsi="Book Antiqua" w:cs="Book Antiqua"/>
          <w:color w:val="000000"/>
        </w:rPr>
        <w:t>.</w:t>
      </w:r>
      <w:r>
        <w:rPr>
          <w:rFonts w:ascii="Book Antiqua" w:eastAsia="Book Antiqua" w:hAnsi="Book Antiqua" w:cs="Book Antiqua"/>
          <w:color w:val="000000"/>
          <w:szCs w:val="22"/>
        </w:rPr>
        <w:t xml:space="preserve"> Management with endoscopic variceal screening, primary and secondary prophylaxis, implementation of telecommunication and electronic communication in drug titration, especially regarding beta-blockers and diuretic therapies, is warranted. HCC screening and diagnostic persuasion,</w:t>
      </w:r>
      <w:r>
        <w:rPr>
          <w:rFonts w:ascii="Book Antiqua" w:eastAsia="Book Antiqua" w:hAnsi="Book Antiqua" w:cs="Book Antiqua"/>
          <w:color w:val="000000"/>
        </w:rPr>
        <w:t xml:space="preserve"> including radiologic methods and liver biopsy, as well as therapeutic treatments ranging from radiofrequency ablation to liver transplantation (LT), should be preserved despite scarce resources, physician burnout and lack of hospital capacity</w:t>
      </w:r>
      <w:r>
        <w:rPr>
          <w:rFonts w:ascii="Book Antiqua" w:eastAsia="Book Antiqua" w:hAnsi="Book Antiqua" w:cs="Book Antiqua"/>
          <w:color w:val="000000"/>
          <w:vertAlign w:val="superscript"/>
        </w:rPr>
        <w:t>[54,55]</w:t>
      </w:r>
      <w:r>
        <w:rPr>
          <w:rFonts w:ascii="Book Antiqua" w:eastAsia="Book Antiqua" w:hAnsi="Book Antiqua" w:cs="Book Antiqua"/>
          <w:color w:val="000000"/>
        </w:rPr>
        <w:t>.</w:t>
      </w:r>
    </w:p>
    <w:p w14:paraId="2A143D67" w14:textId="77777777" w:rsidR="00A77B3E" w:rsidRDefault="00650E21" w:rsidP="00B673D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 xml:space="preserve">Tapper </w:t>
      </w:r>
      <w:r w:rsidR="00B673D4">
        <w:rPr>
          <w:rFonts w:ascii="Book Antiqua" w:hAnsi="Book Antiqua" w:cs="Book Antiqua" w:hint="eastAsia"/>
          <w:iCs/>
          <w:color w:val="000000"/>
          <w:szCs w:val="22"/>
          <w:lang w:eastAsia="zh-CN"/>
        </w:rPr>
        <w:t xml:space="preserve">and </w:t>
      </w:r>
      <w:r w:rsidR="00B673D4">
        <w:rPr>
          <w:rFonts w:ascii="Book Antiqua" w:eastAsia="Book Antiqua" w:hAnsi="Book Antiqua" w:cs="Book Antiqua"/>
          <w:color w:val="000000"/>
        </w:rPr>
        <w:t>Asrani</w:t>
      </w:r>
      <w:r w:rsidR="00B673D4">
        <w:rPr>
          <w:rFonts w:ascii="Book Antiqua" w:eastAsia="Book Antiqua" w:hAnsi="Book Antiqua" w:cs="Book Antiqua"/>
          <w:color w:val="000000"/>
          <w:vertAlign w:val="superscript"/>
        </w:rPr>
        <w:t>[55]</w:t>
      </w:r>
      <w:r>
        <w:rPr>
          <w:rFonts w:ascii="Book Antiqua" w:eastAsia="Book Antiqua" w:hAnsi="Book Antiqua" w:cs="Book Antiqua"/>
          <w:color w:val="000000"/>
          <w:szCs w:val="22"/>
        </w:rPr>
        <w:t xml:space="preserve"> proposed a three-wave theory to explain the effects of the</w:t>
      </w:r>
      <w:r>
        <w:rPr>
          <w:rFonts w:ascii="Book Antiqua" w:eastAsia="Book Antiqua" w:hAnsi="Book Antiqua" w:cs="Book Antiqua"/>
          <w:color w:val="000000"/>
        </w:rPr>
        <w:t xml:space="preserve"> COVID-19 pandemic on liver cirrhosis from the current period to future years. The first wave describes the period of physical distancing and is defined by </w:t>
      </w:r>
      <w:r w:rsidRPr="00B673D4">
        <w:rPr>
          <w:rFonts w:ascii="Book Antiqua" w:eastAsia="Book Antiqua" w:hAnsi="Book Antiqua" w:cs="Book Antiqua"/>
          <w:iCs/>
          <w:color w:val="000000"/>
          <w:szCs w:val="22"/>
        </w:rPr>
        <w:t>high-acuity</w:t>
      </w:r>
      <w:r>
        <w:rPr>
          <w:rFonts w:ascii="Book Antiqua" w:eastAsia="Book Antiqua" w:hAnsi="Book Antiqua" w:cs="Book Antiqua"/>
          <w:color w:val="000000"/>
        </w:rPr>
        <w:t xml:space="preserve"> care and delayed elective procedures</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Pr>
          <w:rFonts w:ascii="Book Antiqua" w:eastAsia="Book Antiqua" w:hAnsi="Book Antiqua" w:cs="Book Antiqua"/>
          <w:color w:val="000000"/>
          <w:szCs w:val="22"/>
        </w:rPr>
        <w:t xml:space="preserve"> For example, patients with esophageal varices are admitted only for bleeding episodes, and elective endoscopic band ligation (EBL) is not performed due to fear of viral spread and limited healthcare resources. The direct consequence of the first phase is the second wave, appearing after the resolution of physical distancing and characterized by a high frequency of cirrhosis</w:t>
      </w:r>
      <w:r>
        <w:rPr>
          <w:rFonts w:ascii="Book Antiqua" w:eastAsia="Book Antiqua" w:hAnsi="Book Antiqua" w:cs="Book Antiqua"/>
          <w:i/>
          <w:iCs/>
          <w:color w:val="000000"/>
          <w:szCs w:val="22"/>
        </w:rPr>
        <w:t xml:space="preserve"> </w:t>
      </w:r>
      <w:r w:rsidRPr="00B673D4">
        <w:rPr>
          <w:rFonts w:ascii="Book Antiqua" w:eastAsia="Book Antiqua" w:hAnsi="Book Antiqua" w:cs="Book Antiqua"/>
          <w:iCs/>
          <w:color w:val="000000"/>
          <w:szCs w:val="22"/>
        </w:rPr>
        <w:t>decompensation</w:t>
      </w:r>
      <w:r>
        <w:rPr>
          <w:rFonts w:ascii="Book Antiqua" w:eastAsia="Book Antiqua" w:hAnsi="Book Antiqua" w:cs="Book Antiqua"/>
          <w:color w:val="000000"/>
          <w:vertAlign w:val="superscript"/>
        </w:rPr>
        <w:t>[55]</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Continuing with the given example, a substantial number of patients with indefinitely delayed or skipped EBL procedures will begin to experience variceal bleeding episodes, leading to cirrhosis decompensation or even acute-on-chronic liver failure. Accessible, inexpensive, processed foods rich in salt, as well as alcoholic beverages, both highly consumed during pandemics, will result in the exacerbation of volume overload and also potentiate sarcopenia, which is a well-known risk factor for cirrhosis-</w:t>
      </w:r>
      <w:r>
        <w:rPr>
          <w:rFonts w:ascii="Book Antiqua" w:eastAsia="Book Antiqua" w:hAnsi="Book Antiqua" w:cs="Book Antiqua"/>
          <w:color w:val="000000"/>
        </w:rPr>
        <w:t>associated morbidity and mortality</w:t>
      </w:r>
      <w:r>
        <w:rPr>
          <w:rFonts w:ascii="Book Antiqua" w:eastAsia="Book Antiqua" w:hAnsi="Book Antiqua" w:cs="Book Antiqua"/>
          <w:color w:val="000000"/>
          <w:vertAlign w:val="superscript"/>
        </w:rPr>
        <w:t>[55]</w:t>
      </w:r>
      <w:r>
        <w:rPr>
          <w:rFonts w:ascii="Book Antiqua" w:eastAsia="Book Antiqua" w:hAnsi="Book Antiqua" w:cs="Book Antiqua"/>
          <w:color w:val="000000"/>
        </w:rPr>
        <w:t>. The third wave will presumably comprise long</w:t>
      </w:r>
      <w:r>
        <w:rPr>
          <w:rFonts w:ascii="Book Antiqua" w:eastAsia="Book Antiqua" w:hAnsi="Book Antiqua" w:cs="Book Antiqua"/>
          <w:color w:val="000000"/>
          <w:szCs w:val="22"/>
        </w:rPr>
        <w:t xml:space="preserve">-term </w:t>
      </w:r>
      <w:r w:rsidRPr="00B673D4">
        <w:rPr>
          <w:rFonts w:ascii="Book Antiqua" w:eastAsia="Book Antiqua" w:hAnsi="Book Antiqua" w:cs="Book Antiqua"/>
          <w:iCs/>
          <w:color w:val="000000"/>
          <w:szCs w:val="22"/>
        </w:rPr>
        <w:t>complications</w:t>
      </w:r>
      <w:r>
        <w:rPr>
          <w:rFonts w:ascii="Book Antiqua" w:eastAsia="Book Antiqua" w:hAnsi="Book Antiqua" w:cs="Book Antiqua"/>
          <w:color w:val="000000"/>
          <w:szCs w:val="22"/>
        </w:rPr>
        <w:t>. Delayed</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diagnosis of hepatobiliary malignancies, progression of HCC</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reaching the Milan criteria and the consequent elimination of patients from transplant lists, insidious deterioration of renal function, no standardized recertification of patients awaiting LT and many more complications are </w:t>
      </w:r>
      <w:r>
        <w:rPr>
          <w:rFonts w:ascii="Book Antiqua" w:eastAsia="Book Antiqua" w:hAnsi="Book Antiqua" w:cs="Book Antiqua"/>
          <w:color w:val="000000"/>
          <w:szCs w:val="22"/>
        </w:rPr>
        <w:lastRenderedPageBreak/>
        <w:t>to be encountered.</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As Tapper </w:t>
      </w:r>
      <w:r w:rsidR="00B673D4">
        <w:rPr>
          <w:rFonts w:ascii="Book Antiqua" w:hAnsi="Book Antiqua" w:cs="Book Antiqua" w:hint="eastAsia"/>
          <w:iCs/>
          <w:color w:val="000000"/>
          <w:szCs w:val="22"/>
          <w:lang w:eastAsia="zh-CN"/>
        </w:rPr>
        <w:t xml:space="preserve">and </w:t>
      </w:r>
      <w:r w:rsidR="00B673D4">
        <w:rPr>
          <w:rFonts w:ascii="Book Antiqua" w:eastAsia="Book Antiqua" w:hAnsi="Book Antiqua" w:cs="Book Antiqua"/>
          <w:color w:val="000000"/>
        </w:rPr>
        <w:t>Asrani</w:t>
      </w:r>
      <w:r w:rsidR="00B673D4">
        <w:rPr>
          <w:rFonts w:ascii="Book Antiqua" w:eastAsia="Book Antiqua" w:hAnsi="Book Antiqua" w:cs="Book Antiqua"/>
          <w:color w:val="000000"/>
          <w:vertAlign w:val="superscript"/>
        </w:rPr>
        <w:t>[55]</w:t>
      </w:r>
      <w:r>
        <w:rPr>
          <w:rFonts w:ascii="Book Antiqua" w:eastAsia="Book Antiqua" w:hAnsi="Book Antiqua" w:cs="Book Antiqua"/>
          <w:color w:val="000000"/>
          <w:szCs w:val="22"/>
        </w:rPr>
        <w:t xml:space="preserve"> stated</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 curable will be transformed into the incurable</w:t>
      </w:r>
      <w:r>
        <w:rPr>
          <w:rFonts w:ascii="Book Antiqua" w:eastAsia="Book Antiqua" w:hAnsi="Book Antiqua" w:cs="Book Antiqua"/>
          <w:color w:val="000000"/>
        </w:rPr>
        <w:t>.</w:t>
      </w:r>
    </w:p>
    <w:p w14:paraId="65846884" w14:textId="77777777" w:rsidR="00B673D4" w:rsidRPr="00B673D4" w:rsidRDefault="00B673D4" w:rsidP="00B673D4">
      <w:pPr>
        <w:spacing w:line="360" w:lineRule="auto"/>
        <w:jc w:val="both"/>
        <w:rPr>
          <w:lang w:eastAsia="zh-CN"/>
        </w:rPr>
      </w:pPr>
    </w:p>
    <w:p w14:paraId="23AA7076" w14:textId="77777777" w:rsidR="00A77B3E" w:rsidRDefault="00A04D88">
      <w:pPr>
        <w:spacing w:line="360" w:lineRule="auto"/>
        <w:jc w:val="both"/>
      </w:pPr>
      <w:r w:rsidRPr="00A04D88">
        <w:rPr>
          <w:rFonts w:ascii="Book Antiqua" w:eastAsia="Book Antiqua" w:hAnsi="Book Antiqua" w:cs="Book Antiqua"/>
          <w:b/>
          <w:bCs/>
          <w:i/>
          <w:iCs/>
          <w:color w:val="000000"/>
          <w:szCs w:val="22"/>
        </w:rPr>
        <w:t>HCC</w:t>
      </w:r>
      <w:r w:rsidR="00650E21">
        <w:rPr>
          <w:rFonts w:ascii="Book Antiqua" w:eastAsia="Book Antiqua" w:hAnsi="Book Antiqua" w:cs="Book Antiqua"/>
          <w:b/>
          <w:bCs/>
          <w:i/>
          <w:iCs/>
          <w:color w:val="000000"/>
          <w:szCs w:val="22"/>
        </w:rPr>
        <w:t xml:space="preserve"> and COVID-19</w:t>
      </w:r>
    </w:p>
    <w:p w14:paraId="5CA936E8" w14:textId="77777777" w:rsidR="00A77B3E" w:rsidRDefault="00650E21">
      <w:pPr>
        <w:spacing w:line="360" w:lineRule="auto"/>
        <w:jc w:val="both"/>
      </w:pPr>
      <w:r>
        <w:rPr>
          <w:rFonts w:ascii="Book Antiqua" w:eastAsia="Book Antiqua" w:hAnsi="Book Antiqua" w:cs="Book Antiqua"/>
          <w:color w:val="000000"/>
          <w:szCs w:val="22"/>
        </w:rPr>
        <w:t>Although there are no specific data on the outcomes of patients with HCC and COVID-19 infection, it is assumed that HCC patients will have poor outcomes, similar to</w:t>
      </w:r>
      <w:r>
        <w:rPr>
          <w:rFonts w:ascii="Book Antiqua" w:eastAsia="Book Antiqua" w:hAnsi="Book Antiqua" w:cs="Book Antiqua"/>
          <w:color w:val="000000"/>
        </w:rPr>
        <w:t xml:space="preserve"> those in other oncology patients</w:t>
      </w:r>
      <w:r>
        <w:rPr>
          <w:rFonts w:ascii="Book Antiqua" w:eastAsia="Book Antiqua" w:hAnsi="Book Antiqua" w:cs="Book Antiqua"/>
          <w:color w:val="000000"/>
          <w:vertAlign w:val="superscript"/>
        </w:rPr>
        <w:t>[15]</w:t>
      </w:r>
      <w:r>
        <w:rPr>
          <w:rFonts w:ascii="Book Antiqua" w:eastAsia="Book Antiqua" w:hAnsi="Book Antiqua" w:cs="Book Antiqua"/>
          <w:color w:val="000000"/>
        </w:rPr>
        <w:t>. However, we know that most HCC patients have pre-existing CLD</w:t>
      </w:r>
      <w:r>
        <w:rPr>
          <w:rFonts w:ascii="Book Antiqua" w:eastAsia="Book Antiqua" w:hAnsi="Book Antiqua" w:cs="Book Antiqua"/>
          <w:color w:val="000000"/>
          <w:szCs w:val="22"/>
        </w:rPr>
        <w:t xml:space="preserve"> and in comparison to other patients with cancers we can assume that such patients are more susceptible to the effects of COVID-19: that is, hepatic injury caused by COVID-19 can complicate existing CLD in most patients with HCC. The COVID-19 pandemic has greatly limited the medical care of HCC patients,</w:t>
      </w:r>
      <w:r>
        <w:rPr>
          <w:rFonts w:ascii="Book Antiqua" w:eastAsia="Book Antiqua" w:hAnsi="Book Antiqua" w:cs="Book Antiqua"/>
          <w:color w:val="000000"/>
        </w:rPr>
        <w:t xml:space="preserve"> with effects ranging from early diagnosis to treatment. As ultrasound screening examinations have mostly been delayed indefinitely, without precise upcoming appointment dates and resulting in prolonged periods without control, the risk of discovering HCC at a later stage increased in approximately 25% of patients with the biologically aggressive type of disease</w:t>
      </w:r>
      <w:r>
        <w:rPr>
          <w:rFonts w:ascii="Book Antiqua" w:eastAsia="Book Antiqua" w:hAnsi="Book Antiqua" w:cs="Book Antiqua"/>
          <w:color w:val="000000"/>
          <w:vertAlign w:val="superscript"/>
        </w:rPr>
        <w:t>[55,56]</w:t>
      </w:r>
      <w:r>
        <w:rPr>
          <w:rFonts w:ascii="Book Antiqua" w:eastAsia="Book Antiqua" w:hAnsi="Book Antiqua" w:cs="Book Antiqua"/>
          <w:color w:val="000000"/>
        </w:rPr>
        <w:t>.</w:t>
      </w:r>
    </w:p>
    <w:p w14:paraId="62AC4C87"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 xml:space="preserve">Elective hospital admissions were also delayed in the peak of the COVID-19 pandemic due to low hospital capacity and the fear of viral spread. Outpatient ambulatory care was unavailable for a certain time. Subsequently, a substantial number of patients were afraid to visit medical facilities. Therefore, diagnostic procedures such as contrast-enhanced ultrasound, multislice computed tomography, magnetic resonance imaging and liver biopsies have been delayed. Additionally, treatment options have been insufficiently maintained. Surgical resection and LT are the most affected due to a </w:t>
      </w:r>
      <w:r>
        <w:rPr>
          <w:rFonts w:ascii="Book Antiqua" w:eastAsia="Book Antiqua" w:hAnsi="Book Antiqua" w:cs="Book Antiqua"/>
          <w:color w:val="000000"/>
        </w:rPr>
        <w:t>shortage of anesthetists and other medical personnel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Procedures such as transarterial (chemo)embolization (TACE/TAE) and radiofrequency ablation are therefore the most important tools in treating patients with HCC. </w:t>
      </w:r>
      <w:r>
        <w:rPr>
          <w:rFonts w:ascii="Book Antiqua" w:eastAsia="Book Antiqua" w:hAnsi="Book Antiqua" w:cs="Book Antiqua"/>
          <w:color w:val="000000"/>
          <w:szCs w:val="22"/>
        </w:rPr>
        <w:t>Data</w:t>
      </w:r>
      <w:r>
        <w:rPr>
          <w:rFonts w:ascii="Book Antiqua" w:eastAsia="Book Antiqua" w:hAnsi="Book Antiqua" w:cs="Book Antiqua"/>
          <w:color w:val="000000"/>
        </w:rPr>
        <w:t xml:space="preserve"> on the impact of COVID-19 on HCC patient care are underrepresented</w:t>
      </w:r>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A </w:t>
      </w:r>
      <w:r>
        <w:rPr>
          <w:rFonts w:ascii="Book Antiqua" w:eastAsia="Book Antiqua" w:hAnsi="Book Antiqua" w:cs="Book Antiqua"/>
          <w:color w:val="000000"/>
          <w:szCs w:val="22"/>
        </w:rPr>
        <w:t xml:space="preserve">colleague from an Italian center managed HCC patients with the goal of minimizing the impact of COVID-19 and reported their experience from February 24 to March 20, </w:t>
      </w:r>
      <w:r>
        <w:rPr>
          <w:rFonts w:ascii="Book Antiqua" w:eastAsia="Book Antiqua" w:hAnsi="Book Antiqua" w:cs="Book Antiqua"/>
          <w:color w:val="000000"/>
        </w:rPr>
        <w:t xml:space="preserve">2020, regarding the treatment </w:t>
      </w:r>
      <w:r>
        <w:rPr>
          <w:rFonts w:ascii="Book Antiqua" w:eastAsia="Book Antiqua" w:hAnsi="Book Antiqua" w:cs="Book Antiqua"/>
          <w:color w:val="000000"/>
        </w:rPr>
        <w:lastRenderedPageBreak/>
        <w:t>of HCC patients in comparison to the same period during 2019</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The authors found that 11% of patients had delayed treatment of HCC for 2 mo or longer. The delayed treatment modalities comprised transarterial procedures in eight HCC patients, thermal ablation in three HCC patients and systemic therapy in two patients. Thermal ablation in the three patients was performed as an alternative procedure to surgical treatment. The results of this study represent the best efforts of clinicians to manage HCC during the </w:t>
      </w:r>
      <w:r>
        <w:rPr>
          <w:rFonts w:ascii="Book Antiqua" w:eastAsia="Book Antiqua" w:hAnsi="Book Antiqua" w:cs="Book Antiqua"/>
          <w:color w:val="000000"/>
        </w:rPr>
        <w:t>COVID-19 pandemic</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0700C69D"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In the case of early-stage HCC, the capacity of most hospitals for surgical treatment (resection) is limited due to the limited number of anesthesiologists as well as shortages in intensive care unit beds. Clinicians can select some patients who have been prioritized for resection and have</w:t>
      </w:r>
      <w:r>
        <w:rPr>
          <w:rFonts w:ascii="Book Antiqua" w:eastAsia="Book Antiqua" w:hAnsi="Book Antiqua" w:cs="Book Antiqua"/>
          <w:color w:val="000000"/>
        </w:rPr>
        <w:t xml:space="preserve"> a relatively low disease burden. Treatment modalities such as radiofrequency and microwave ablation, upfront transarterial treatment and systemic therapy may be considered as alternative methods according to the guidelines for each treatment modality</w:t>
      </w:r>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Additionally, during the pandemic, the number of LTs were reduced or reached zero for some time due to reduced anesthetic capacity as well as </w:t>
      </w:r>
      <w:r>
        <w:rPr>
          <w:rFonts w:ascii="Book Antiqua" w:eastAsia="Book Antiqua" w:hAnsi="Book Antiqua" w:cs="Book Antiqua"/>
          <w:color w:val="000000"/>
        </w:rPr>
        <w:t>a shortage of donors</w:t>
      </w:r>
      <w:r>
        <w:rPr>
          <w:rFonts w:ascii="Book Antiqua" w:eastAsia="Book Antiqua" w:hAnsi="Book Antiqua" w:cs="Book Antiqua"/>
          <w:color w:val="000000"/>
          <w:vertAlign w:val="superscript"/>
        </w:rPr>
        <w:t>[56,58]</w:t>
      </w:r>
      <w:r>
        <w:rPr>
          <w:rFonts w:ascii="Book Antiqua" w:eastAsia="Book Antiqua" w:hAnsi="Book Antiqua" w:cs="Book Antiqua"/>
          <w:color w:val="000000"/>
        </w:rPr>
        <w:t>. In the case of intermediate-</w:t>
      </w:r>
      <w:r>
        <w:rPr>
          <w:rFonts w:ascii="Book Antiqua" w:eastAsia="Book Antiqua" w:hAnsi="Book Antiqua" w:cs="Book Antiqua"/>
          <w:color w:val="000000"/>
          <w:szCs w:val="22"/>
        </w:rPr>
        <w:t>stage HCC, a more selective approach can be used with respect to TACE in hospitals that are greatly affected by the COVID-19 pandemic. Additionally, if a specific center cannot perform TACE, systemic therapy or adequate surveillance, then imaging could be an</w:t>
      </w:r>
      <w:r>
        <w:rPr>
          <w:rFonts w:ascii="Book Antiqua" w:eastAsia="Book Antiqua" w:hAnsi="Book Antiqua" w:cs="Book Antiqua"/>
          <w:color w:val="000000"/>
        </w:rPr>
        <w:t xml:space="preserve"> alternative approach</w:t>
      </w:r>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Finally, in the case of advanced-stage HCC, HCC patients </w:t>
      </w:r>
      <w:r>
        <w:rPr>
          <w:rFonts w:ascii="Book Antiqua" w:eastAsia="Book Antiqua" w:hAnsi="Book Antiqua" w:cs="Book Antiqua"/>
          <w:color w:val="000000"/>
          <w:szCs w:val="22"/>
        </w:rPr>
        <w:t xml:space="preserve">who receive oral multitargeted tyrosine kinase inhibitors could be followed by clinicians for prolonged intervals or monitored by telephone or another telemedicine interface, depending on the patient’s tolerance and clinical status during the </w:t>
      </w:r>
      <w:r>
        <w:rPr>
          <w:rFonts w:ascii="Book Antiqua" w:eastAsia="Book Antiqua" w:hAnsi="Book Antiqua" w:cs="Book Antiqua"/>
          <w:color w:val="000000"/>
        </w:rPr>
        <w:t>COVID-19 pandemic</w:t>
      </w:r>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w:t>
      </w:r>
      <w:r>
        <w:rPr>
          <w:rFonts w:ascii="Book Antiqua" w:eastAsia="Book Antiqua" w:hAnsi="Book Antiqua" w:cs="Book Antiqua"/>
          <w:color w:val="000000"/>
          <w:szCs w:val="22"/>
        </w:rPr>
        <w:t>The impact on the long-term outcomes of HCC due to these modifications in treatment options, as well as the delays in treatment</w:t>
      </w:r>
      <w:r>
        <w:rPr>
          <w:rFonts w:ascii="Book Antiqua" w:eastAsia="Book Antiqua" w:hAnsi="Book Antiqua" w:cs="Book Antiqua"/>
          <w:color w:val="000000"/>
        </w:rPr>
        <w:t>, will soon be realized</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43D03A45" w14:textId="77777777" w:rsidR="00A77B3E" w:rsidRDefault="00650E21" w:rsidP="00B673D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The decision to treat HCC during the pandemic should consider the availability of medical staff, risk of infection and the risk</w:t>
      </w:r>
      <w:r w:rsidR="00B673D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benefit ratio for an individual patient. The management of HCC in patients is complex because it relies heavily on multidisciplinary approaches involving gastroenterologists, radiologists, hepatobiliary </w:t>
      </w:r>
      <w:r>
        <w:rPr>
          <w:rFonts w:ascii="Book Antiqua" w:eastAsia="Book Antiqua" w:hAnsi="Book Antiqua" w:cs="Book Antiqua"/>
          <w:color w:val="000000"/>
          <w:szCs w:val="22"/>
        </w:rPr>
        <w:lastRenderedPageBreak/>
        <w:t>surgeons and</w:t>
      </w:r>
      <w:r>
        <w:rPr>
          <w:rFonts w:ascii="Book Antiqua" w:eastAsia="Book Antiqua" w:hAnsi="Book Antiqua" w:cs="Book Antiqua"/>
          <w:color w:val="000000"/>
        </w:rPr>
        <w:t xml:space="preserve"> oncologists, who are significantly burdened during this pandemic</w:t>
      </w:r>
      <w:r>
        <w:rPr>
          <w:rFonts w:ascii="Book Antiqua" w:eastAsia="Book Antiqua" w:hAnsi="Book Antiqua" w:cs="Book Antiqua"/>
          <w:color w:val="000000"/>
          <w:vertAlign w:val="superscript"/>
        </w:rPr>
        <w:t>[15,56]</w:t>
      </w:r>
      <w:r>
        <w:rPr>
          <w:rFonts w:ascii="Book Antiqua" w:eastAsia="Book Antiqua" w:hAnsi="Book Antiqua" w:cs="Book Antiqua"/>
          <w:color w:val="000000"/>
        </w:rPr>
        <w:t>.</w:t>
      </w:r>
      <w:r>
        <w:rPr>
          <w:rFonts w:ascii="Book Antiqua" w:eastAsia="Book Antiqua" w:hAnsi="Book Antiqua" w:cs="Book Antiqua"/>
          <w:color w:val="000000"/>
          <w:szCs w:val="22"/>
        </w:rPr>
        <w:t xml:space="preserve"> Extra coordination among different specialties is necessary to maintain clinical services for patients with HCC.</w:t>
      </w:r>
      <w:r>
        <w:rPr>
          <w:rFonts w:ascii="Book Antiqua" w:eastAsia="Book Antiqua" w:hAnsi="Book Antiqua" w:cs="Book Antiqua"/>
          <w:color w:val="000000"/>
        </w:rPr>
        <w:t xml:space="preserve"> It is recommended that the care and treatment of HCC patients is maintained according to the guidelines by using alternative methods of communication whenever possible in order to minimize the COVID-19 exposure risk to medical staff</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Widely available SARS-CoV-2 polymerase chain reaction testing is recommended before elective hospital admission, although there can never be a definite guarantee for medical personnel because a patient may be in the incubation phase of infection </w:t>
      </w:r>
      <w:r>
        <w:rPr>
          <w:rFonts w:ascii="Book Antiqua" w:eastAsia="Book Antiqua" w:hAnsi="Book Antiqua" w:cs="Book Antiqua"/>
          <w:color w:val="000000"/>
          <w:szCs w:val="22"/>
        </w:rPr>
        <w:t>or</w:t>
      </w:r>
      <w:r>
        <w:rPr>
          <w:rFonts w:ascii="Book Antiqua" w:eastAsia="Book Antiqua" w:hAnsi="Book Antiqua" w:cs="Book Antiqua"/>
          <w:color w:val="000000"/>
        </w:rPr>
        <w:t xml:space="preserve"> the patient may contract the infection in the hospital. If the patient is acutely infected, it is reasonable to defer HCC treatment for a few weeks until after recovery from COVID-19</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6583C9D" w14:textId="77777777" w:rsidR="00B673D4" w:rsidRPr="00B673D4" w:rsidRDefault="00B673D4" w:rsidP="00B673D4">
      <w:pPr>
        <w:spacing w:line="360" w:lineRule="auto"/>
        <w:jc w:val="both"/>
        <w:rPr>
          <w:lang w:eastAsia="zh-CN"/>
        </w:rPr>
      </w:pPr>
    </w:p>
    <w:p w14:paraId="221A1AD2" w14:textId="77777777" w:rsidR="00A77B3E" w:rsidRPr="00B673D4" w:rsidRDefault="00B673D4">
      <w:pPr>
        <w:spacing w:line="360" w:lineRule="auto"/>
        <w:jc w:val="both"/>
        <w:rPr>
          <w:u w:val="single"/>
        </w:rPr>
      </w:pPr>
      <w:r w:rsidRPr="00B673D4">
        <w:rPr>
          <w:rFonts w:ascii="Book Antiqua" w:eastAsia="Book Antiqua" w:hAnsi="Book Antiqua" w:cs="Book Antiqua"/>
          <w:b/>
          <w:bCs/>
          <w:color w:val="000000"/>
          <w:szCs w:val="22"/>
          <w:u w:val="single"/>
        </w:rPr>
        <w:t>LT</w:t>
      </w:r>
      <w:r w:rsidR="00650E21" w:rsidRPr="00B673D4">
        <w:rPr>
          <w:rFonts w:ascii="Book Antiqua" w:eastAsia="Book Antiqua" w:hAnsi="Book Antiqua" w:cs="Book Antiqua"/>
          <w:b/>
          <w:bCs/>
          <w:color w:val="000000"/>
          <w:szCs w:val="22"/>
          <w:u w:val="single"/>
        </w:rPr>
        <w:t xml:space="preserve"> AND COVID-19</w:t>
      </w:r>
    </w:p>
    <w:p w14:paraId="5E839E36" w14:textId="77777777" w:rsidR="00A77B3E" w:rsidRDefault="00650E21">
      <w:pPr>
        <w:spacing w:line="360" w:lineRule="auto"/>
        <w:jc w:val="both"/>
      </w:pPr>
      <w:r>
        <w:rPr>
          <w:rFonts w:ascii="Book Antiqua" w:eastAsia="Book Antiqua" w:hAnsi="Book Antiqua" w:cs="Book Antiqua"/>
          <w:color w:val="000000"/>
        </w:rPr>
        <w:t>LT programs have been weakened globally, even in regions where the COVID-19 prevalence has been low</w:t>
      </w:r>
      <w:r>
        <w:rPr>
          <w:rFonts w:ascii="Book Antiqua" w:eastAsia="Book Antiqua" w:hAnsi="Book Antiqua" w:cs="Book Antiqua"/>
          <w:color w:val="000000"/>
          <w:vertAlign w:val="superscript"/>
        </w:rPr>
        <w:t>[59-61]</w:t>
      </w:r>
      <w:r>
        <w:rPr>
          <w:rFonts w:ascii="Book Antiqua" w:eastAsia="Book Antiqua" w:hAnsi="Book Antiqua" w:cs="Book Antiqua"/>
          <w:color w:val="000000"/>
        </w:rPr>
        <w:t>. During this period of readjustment no specific guidelines were offered; however, multiple organizations released recommendations for medical personnel involved in solid organ transplantation</w:t>
      </w:r>
      <w:r>
        <w:rPr>
          <w:rFonts w:ascii="Book Antiqua" w:eastAsia="Book Antiqua" w:hAnsi="Book Antiqua" w:cs="Book Antiqua"/>
          <w:color w:val="000000"/>
          <w:vertAlign w:val="superscript"/>
        </w:rPr>
        <w:t>[59-66]</w:t>
      </w:r>
      <w:r>
        <w:rPr>
          <w:rFonts w:ascii="Book Antiqua" w:eastAsia="Book Antiqua" w:hAnsi="Book Antiqua" w:cs="Book Antiqua"/>
          <w:color w:val="000000"/>
        </w:rPr>
        <w:t>.</w:t>
      </w:r>
    </w:p>
    <w:p w14:paraId="7A597919"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Primarily, obtaining an organ from a SARS-CoV-2-infected patient is contraindicated. Moreover, screening of deceased donors, as well as recipients,</w:t>
      </w:r>
      <w:r>
        <w:rPr>
          <w:rFonts w:ascii="Book Antiqua" w:eastAsia="Book Antiqua" w:hAnsi="Book Antiqua" w:cs="Book Antiqua"/>
          <w:color w:val="000000"/>
        </w:rPr>
        <w:t xml:space="preserve"> is highly recommended</w:t>
      </w:r>
      <w:r>
        <w:rPr>
          <w:rFonts w:ascii="Book Antiqua" w:eastAsia="Book Antiqua" w:hAnsi="Book Antiqua" w:cs="Book Antiqua"/>
          <w:color w:val="000000"/>
          <w:vertAlign w:val="superscript"/>
        </w:rPr>
        <w:t>[59-66]</w:t>
      </w:r>
      <w:r>
        <w:rPr>
          <w:rFonts w:ascii="Book Antiqua" w:eastAsia="Book Antiqua" w:hAnsi="Book Antiqua" w:cs="Book Antiqua"/>
          <w:color w:val="000000"/>
        </w:rPr>
        <w:t xml:space="preserve">. In the case of unidentified infection, the donor could spread the virus to multiple recipients, </w:t>
      </w:r>
      <w:r>
        <w:rPr>
          <w:rFonts w:ascii="Book Antiqua" w:eastAsia="Book Antiqua" w:hAnsi="Book Antiqua" w:cs="Book Antiqua"/>
          <w:color w:val="000000"/>
          <w:szCs w:val="22"/>
        </w:rPr>
        <w:t>which would presumably have an unfavorable or even lethal course under severe immunosuppression</w:t>
      </w:r>
      <w:r>
        <w:rPr>
          <w:rFonts w:ascii="Book Antiqua" w:eastAsia="Book Antiqua" w:hAnsi="Book Antiqua" w:cs="Book Antiqua"/>
          <w:color w:val="000000"/>
          <w:vertAlign w:val="superscript"/>
        </w:rPr>
        <w:t>[6,62]</w:t>
      </w:r>
      <w:r>
        <w:rPr>
          <w:rFonts w:ascii="Book Antiqua" w:eastAsia="Book Antiqua" w:hAnsi="Book Antiqua" w:cs="Book Antiqua"/>
          <w:color w:val="000000"/>
        </w:rPr>
        <w:t>.</w:t>
      </w:r>
    </w:p>
    <w:p w14:paraId="55879B1C"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 xml:space="preserve">As the risk of contracting the virus is high, even under hospital conditions, it would be appropriate to limit the number of face-to-face contacts for patients at risk of </w:t>
      </w:r>
      <w:r>
        <w:rPr>
          <w:rFonts w:ascii="Book Antiqua" w:eastAsia="Book Antiqua" w:hAnsi="Book Antiqua" w:cs="Book Antiqua"/>
          <w:color w:val="000000"/>
        </w:rPr>
        <w:t>severe COVID-19. They should be advised against travel and should strictly practice physical distancing</w:t>
      </w:r>
      <w:r>
        <w:rPr>
          <w:rFonts w:ascii="Book Antiqua" w:eastAsia="Book Antiqua" w:hAnsi="Book Antiqua" w:cs="Book Antiqua"/>
          <w:color w:val="000000"/>
          <w:vertAlign w:val="superscript"/>
        </w:rPr>
        <w:t>[6]</w:t>
      </w:r>
      <w:r>
        <w:rPr>
          <w:rFonts w:ascii="Book Antiqua" w:eastAsia="Book Antiqua" w:hAnsi="Book Antiqua" w:cs="Book Antiqua"/>
          <w:color w:val="000000"/>
        </w:rPr>
        <w:t>. Due to cirrhosis-associated immune dysfunction</w:t>
      </w:r>
      <w:r>
        <w:rPr>
          <w:rFonts w:ascii="Book Antiqua" w:eastAsia="Book Antiqua" w:hAnsi="Book Antiqua" w:cs="Book Antiqua"/>
          <w:color w:val="000000"/>
          <w:szCs w:val="22"/>
        </w:rPr>
        <w:t>, the aforementioned recommendations apply to all patients awaiting transplantation.</w:t>
      </w:r>
    </w:p>
    <w:p w14:paraId="4E5651B8" w14:textId="77777777" w:rsidR="00A77B3E" w:rsidRDefault="00650E21" w:rsidP="00B673D4">
      <w:pPr>
        <w:spacing w:line="360" w:lineRule="auto"/>
        <w:ind w:firstLineChars="100" w:firstLine="240"/>
        <w:jc w:val="both"/>
      </w:pPr>
      <w:r>
        <w:rPr>
          <w:rFonts w:ascii="Book Antiqua" w:eastAsia="Book Antiqua" w:hAnsi="Book Antiqua" w:cs="Book Antiqua"/>
          <w:color w:val="000000"/>
        </w:rPr>
        <w:t xml:space="preserve">A further challenge is related to the staff involved in LT, who cannot be easily replaced. Quarantined, infected or redistributed personnel can prevent program </w:t>
      </w:r>
      <w:r>
        <w:rPr>
          <w:rFonts w:ascii="Book Antiqua" w:eastAsia="Book Antiqua" w:hAnsi="Book Antiqua" w:cs="Book Antiqua"/>
          <w:color w:val="000000"/>
        </w:rPr>
        <w:lastRenderedPageBreak/>
        <w:t>realization for a certain period of time, which can have deleterious effects on potential LT recipients</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Therefore, splitting the team involved in LT and postoperative care into smaller subteams, as well as screening and segregating staff working with immediate post-LT patients,</w:t>
      </w:r>
      <w:r>
        <w:rPr>
          <w:rFonts w:ascii="Book Antiqua" w:eastAsia="Book Antiqua" w:hAnsi="Book Antiqua" w:cs="Book Antiqua"/>
          <w:color w:val="000000"/>
        </w:rPr>
        <w:t xml:space="preserve"> is recommended</w:t>
      </w:r>
      <w:r>
        <w:rPr>
          <w:rFonts w:ascii="Book Antiqua" w:eastAsia="Book Antiqua" w:hAnsi="Book Antiqua" w:cs="Book Antiqua"/>
          <w:color w:val="000000"/>
          <w:vertAlign w:val="superscript"/>
        </w:rPr>
        <w:t>[59]</w:t>
      </w:r>
      <w:r>
        <w:rPr>
          <w:rFonts w:ascii="Book Antiqua" w:eastAsia="Book Antiqua" w:hAnsi="Book Antiqua" w:cs="Book Antiqua"/>
          <w:color w:val="000000"/>
        </w:rPr>
        <w:t>. Compared to some other solid organ transplantations, LT is performed to preserve life.</w:t>
      </w:r>
      <w:r>
        <w:rPr>
          <w:rFonts w:ascii="Book Antiqua" w:eastAsia="Book Antiqua" w:hAnsi="Book Antiqua" w:cs="Book Antiqua"/>
          <w:color w:val="000000"/>
          <w:szCs w:val="22"/>
        </w:rPr>
        <w:t xml:space="preserve"> In contrast</w:t>
      </w:r>
      <w:r>
        <w:rPr>
          <w:rFonts w:ascii="Book Antiqua" w:eastAsia="Book Antiqua" w:hAnsi="Book Antiqua" w:cs="Book Antiqua"/>
          <w:color w:val="000000"/>
        </w:rPr>
        <w:t>, although renal transplantation reduces dialysis morbidity and future medical costs, it is not directly lifesaving and can therefore be postponed</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Pr>
          <w:rFonts w:ascii="Book Antiqua" w:eastAsia="Book Antiqua" w:hAnsi="Book Antiqua" w:cs="Book Antiqua"/>
          <w:color w:val="000000"/>
          <w:szCs w:val="22"/>
        </w:rPr>
        <w:t xml:space="preserve"> Lifesaving transplantations, such as liver, heart and lung, have far more urgent indications and postponement may have deleterious consequences. Accordingly, it is of utmost importance that LT centers worldwide aim to restore their transplantation services.</w:t>
      </w:r>
    </w:p>
    <w:p w14:paraId="6089E3CC" w14:textId="77777777" w:rsidR="00A77B3E" w:rsidRDefault="00650E21" w:rsidP="00B673D4">
      <w:pPr>
        <w:spacing w:line="360" w:lineRule="auto"/>
        <w:ind w:firstLineChars="100" w:firstLine="240"/>
        <w:jc w:val="both"/>
      </w:pPr>
      <w:r>
        <w:rPr>
          <w:rFonts w:ascii="Book Antiqua" w:eastAsia="Book Antiqua" w:hAnsi="Book Antiqua" w:cs="Book Antiqua"/>
          <w:color w:val="000000"/>
        </w:rPr>
        <w:t>Finally, according to preliminary data, age and comorbidity are key to determining the outcome from SARS-CoV-2 infection in LT patients</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4F4EECA" w14:textId="77777777" w:rsidR="00A77B3E" w:rsidRDefault="00650E21" w:rsidP="00B673D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 xml:space="preserve">Whether to receive vaccination is currently an unavoidable global question potentiated by substantial social media involvement. Three vaccines were </w:t>
      </w:r>
      <w:r>
        <w:rPr>
          <w:rFonts w:ascii="Book Antiqua" w:eastAsia="Book Antiqua" w:hAnsi="Book Antiqua" w:cs="Book Antiqua"/>
          <w:color w:val="000000"/>
        </w:rPr>
        <w:t>approved by February 2021. Two of these, the BNT162b2 (Pfizer-BioNTech) and mRNA-1273 (Moderna) vaccines, are based on mRNAs that encode variants of the SARS-CoV-2-spiked glycoprotein</w:t>
      </w:r>
      <w:r>
        <w:rPr>
          <w:rFonts w:ascii="Book Antiqua" w:eastAsia="Book Antiqua" w:hAnsi="Book Antiqua" w:cs="Book Antiqua"/>
          <w:color w:val="000000"/>
          <w:vertAlign w:val="superscript"/>
        </w:rPr>
        <w:t>[63]</w:t>
      </w:r>
      <w:r>
        <w:rPr>
          <w:rFonts w:ascii="Book Antiqua" w:eastAsia="Book Antiqua" w:hAnsi="Book Antiqua" w:cs="Book Antiqua"/>
          <w:color w:val="000000"/>
        </w:rPr>
        <w:t>. Both must be administered twice, 21</w:t>
      </w:r>
      <w:r w:rsidR="00B673D4">
        <w:rPr>
          <w:rFonts w:ascii="Book Antiqua" w:hAnsi="Book Antiqua" w:cs="Book Antiqua" w:hint="eastAsia"/>
          <w:color w:val="000000"/>
          <w:lang w:eastAsia="zh-CN"/>
        </w:rPr>
        <w:t>-</w:t>
      </w:r>
      <w:r>
        <w:rPr>
          <w:rFonts w:ascii="Book Antiqua" w:eastAsia="Book Antiqua" w:hAnsi="Book Antiqua" w:cs="Book Antiqua"/>
          <w:color w:val="000000"/>
        </w:rPr>
        <w:t>28 d apart. The third approved vaccine is AZD1222, also known as the Oxford</w:t>
      </w:r>
      <w:r w:rsidR="00B673D4">
        <w:rPr>
          <w:rFonts w:ascii="Book Antiqua" w:hAnsi="Book Antiqua" w:cs="Book Antiqua" w:hint="eastAsia"/>
          <w:color w:val="000000"/>
          <w:lang w:eastAsia="zh-CN"/>
        </w:rPr>
        <w:t>-</w:t>
      </w:r>
      <w:r>
        <w:rPr>
          <w:rFonts w:ascii="Book Antiqua" w:eastAsia="Book Antiqua" w:hAnsi="Book Antiqua" w:cs="Book Antiqua"/>
          <w:color w:val="000000"/>
        </w:rPr>
        <w:t xml:space="preserve">AstraZeneca vaccine. This is an adenovirus vector that contains the full-length, codon-optimized gene </w:t>
      </w:r>
      <w:r>
        <w:rPr>
          <w:rFonts w:ascii="Book Antiqua" w:eastAsia="Book Antiqua" w:hAnsi="Book Antiqua" w:cs="Book Antiqua"/>
          <w:color w:val="000000"/>
          <w:szCs w:val="22"/>
        </w:rPr>
        <w:t>that</w:t>
      </w:r>
      <w:r>
        <w:rPr>
          <w:rFonts w:ascii="Book Antiqua" w:eastAsia="Book Antiqua" w:hAnsi="Book Antiqua" w:cs="Book Antiqua"/>
          <w:color w:val="000000"/>
        </w:rPr>
        <w:t xml:space="preserve"> encodes the SARS-CoV-2 spike protein and should also be administered in two doses, with the second dose administered 4</w:t>
      </w:r>
      <w:r w:rsidR="00B673D4">
        <w:rPr>
          <w:rFonts w:ascii="Book Antiqua" w:hAnsi="Book Antiqua" w:cs="Book Antiqua" w:hint="eastAsia"/>
          <w:color w:val="000000"/>
          <w:lang w:eastAsia="zh-CN"/>
        </w:rPr>
        <w:t>-</w:t>
      </w:r>
      <w:r>
        <w:rPr>
          <w:rFonts w:ascii="Book Antiqua" w:eastAsia="Book Antiqua" w:hAnsi="Book Antiqua" w:cs="Book Antiqua"/>
          <w:color w:val="000000"/>
        </w:rPr>
        <w:t>12 wk after the first dose</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The EASL position paper recommends vaccination against SARS-CoV-2 in patients with CLD, hepatobiliary cancer </w:t>
      </w:r>
      <w:r>
        <w:rPr>
          <w:rFonts w:ascii="Book Antiqua" w:eastAsia="Book Antiqua" w:hAnsi="Book Antiqua" w:cs="Book Antiqua"/>
          <w:color w:val="000000"/>
          <w:szCs w:val="22"/>
        </w:rPr>
        <w:t xml:space="preserve">and </w:t>
      </w:r>
      <w:r>
        <w:rPr>
          <w:rFonts w:ascii="Book Antiqua" w:eastAsia="Book Antiqua" w:hAnsi="Book Antiqua" w:cs="Book Antiqua"/>
          <w:color w:val="000000"/>
        </w:rPr>
        <w:t>LT</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63798184" w14:textId="77777777" w:rsidR="00B673D4" w:rsidRPr="00B673D4" w:rsidRDefault="00B673D4" w:rsidP="00B673D4">
      <w:pPr>
        <w:spacing w:line="360" w:lineRule="auto"/>
        <w:jc w:val="both"/>
        <w:rPr>
          <w:lang w:eastAsia="zh-CN"/>
        </w:rPr>
      </w:pPr>
    </w:p>
    <w:p w14:paraId="476A7F64" w14:textId="77777777" w:rsidR="00A77B3E" w:rsidRDefault="00650E21">
      <w:pPr>
        <w:spacing w:line="360" w:lineRule="auto"/>
        <w:jc w:val="both"/>
      </w:pPr>
      <w:r>
        <w:rPr>
          <w:rFonts w:ascii="Book Antiqua" w:eastAsia="Book Antiqua" w:hAnsi="Book Antiqua" w:cs="Book Antiqua"/>
          <w:b/>
          <w:bCs/>
          <w:i/>
          <w:iCs/>
          <w:color w:val="000000"/>
          <w:szCs w:val="22"/>
        </w:rPr>
        <w:t>Post-transplant patients and COVID-19</w:t>
      </w:r>
    </w:p>
    <w:p w14:paraId="5BA60262" w14:textId="77777777" w:rsidR="00A77B3E" w:rsidRDefault="00650E21">
      <w:pPr>
        <w:spacing w:line="360" w:lineRule="auto"/>
        <w:jc w:val="both"/>
      </w:pPr>
      <w:r>
        <w:rPr>
          <w:rFonts w:ascii="Book Antiqua" w:eastAsia="Book Antiqua" w:hAnsi="Book Antiqua" w:cs="Book Antiqua"/>
          <w:color w:val="000000"/>
        </w:rPr>
        <w:t>Patients taking immunosuppressive drugs after transplantation are at increased risk of infection or viral reactivation. The exact influence of the SARS-CoV-2 virus in post-LT patients is unclear</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AB64864"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lastRenderedPageBreak/>
        <w:t>Regarding the disease course in post-transplant patients, it seems that immunosuppression might have favorable effects by disabling cytokine release syndrome, characterized by</w:t>
      </w:r>
      <w:r>
        <w:rPr>
          <w:rFonts w:ascii="Book Antiqua" w:eastAsia="Book Antiqua" w:hAnsi="Book Antiqua" w:cs="Book Antiqua"/>
          <w:color w:val="000000"/>
        </w:rPr>
        <w:t xml:space="preserve"> increased serum levels of </w:t>
      </w:r>
      <w:bookmarkStart w:id="0" w:name="_Hlk58003126"/>
      <w:r w:rsidR="00B673D4" w:rsidRPr="003F43AD">
        <w:rPr>
          <w:rFonts w:ascii="Book Antiqua" w:eastAsia="Book Antiqua" w:hAnsi="Book Antiqua" w:cs="Book Antiqua"/>
          <w:color w:val="000000"/>
        </w:rPr>
        <w:t>interleukin</w:t>
      </w:r>
      <w:bookmarkEnd w:id="0"/>
      <w:r w:rsidR="00B673D4">
        <w:rPr>
          <w:rFonts w:ascii="Book Antiqua" w:eastAsia="Book Antiqua" w:hAnsi="Book Antiqua" w:cs="Book Antiqua"/>
          <w:color w:val="000000"/>
        </w:rPr>
        <w:t xml:space="preserve"> </w:t>
      </w:r>
      <w:r w:rsidR="00B673D4">
        <w:rPr>
          <w:rFonts w:ascii="Book Antiqua" w:hAnsi="Book Antiqua" w:cs="Book Antiqua" w:hint="eastAsia"/>
          <w:color w:val="000000"/>
          <w:lang w:eastAsia="zh-CN"/>
        </w:rPr>
        <w:t>(</w:t>
      </w:r>
      <w:r>
        <w:rPr>
          <w:rFonts w:ascii="Book Antiqua" w:eastAsia="Book Antiqua" w:hAnsi="Book Antiqua" w:cs="Book Antiqua"/>
          <w:color w:val="000000"/>
        </w:rPr>
        <w:t>IL</w:t>
      </w:r>
      <w:r w:rsidR="00B673D4">
        <w:rPr>
          <w:rFonts w:ascii="Book Antiqua" w:hAnsi="Book Antiqua" w:cs="Book Antiqua" w:hint="eastAsia"/>
          <w:color w:val="000000"/>
          <w:lang w:eastAsia="zh-CN"/>
        </w:rPr>
        <w:t>)</w:t>
      </w:r>
      <w:r>
        <w:rPr>
          <w:rFonts w:ascii="Book Antiqua" w:eastAsia="Book Antiqua" w:hAnsi="Book Antiqua" w:cs="Book Antiqua"/>
          <w:color w:val="000000"/>
        </w:rPr>
        <w:t xml:space="preserve">-6, IL-8 and </w:t>
      </w:r>
      <w:r w:rsidR="00B673D4" w:rsidRPr="00BC0BCD">
        <w:rPr>
          <w:rFonts w:ascii="Book Antiqua" w:eastAsia="Book Antiqua" w:hAnsi="Book Antiqua" w:cs="Book Antiqua"/>
          <w:color w:val="000000"/>
        </w:rPr>
        <w:t>tumor necrosis factor</w:t>
      </w:r>
      <w:r>
        <w:rPr>
          <w:rFonts w:ascii="Book Antiqua" w:eastAsia="Book Antiqua" w:hAnsi="Book Antiqua" w:cs="Book Antiqua"/>
          <w:color w:val="000000"/>
          <w:vertAlign w:val="superscript"/>
        </w:rPr>
        <w:t>[15,64]</w:t>
      </w:r>
      <w:r>
        <w:rPr>
          <w:rFonts w:ascii="Book Antiqua" w:eastAsia="Book Antiqua" w:hAnsi="Book Antiqua" w:cs="Book Antiqua"/>
          <w:color w:val="000000"/>
        </w:rPr>
        <w:t>. A Spanish study analyzed 111 LT patients diagnosed with COVID-19</w:t>
      </w:r>
      <w:r>
        <w:rPr>
          <w:rFonts w:ascii="Book Antiqua" w:eastAsia="Book Antiqua" w:hAnsi="Book Antiqua" w:cs="Book Antiqua"/>
          <w:color w:val="000000"/>
          <w:vertAlign w:val="superscript"/>
        </w:rPr>
        <w:t>[65]</w:t>
      </w:r>
      <w:r>
        <w:rPr>
          <w:rFonts w:ascii="Book Antiqua" w:eastAsia="Book Antiqua" w:hAnsi="Book Antiqua" w:cs="Book Antiqua"/>
          <w:color w:val="000000"/>
        </w:rPr>
        <w:t>. During a median follow-up of approximately 3 wk, 86.5% of patients were admitted to</w:t>
      </w:r>
      <w:r>
        <w:rPr>
          <w:rFonts w:ascii="Book Antiqua" w:eastAsia="Book Antiqua" w:hAnsi="Book Antiqua" w:cs="Book Antiqua"/>
          <w:color w:val="000000"/>
          <w:szCs w:val="22"/>
        </w:rPr>
        <w:t xml:space="preserve"> </w:t>
      </w:r>
      <w:r>
        <w:rPr>
          <w:rFonts w:ascii="Book Antiqua" w:eastAsia="Book Antiqua" w:hAnsi="Book Antiqua" w:cs="Book Antiqua"/>
          <w:color w:val="000000"/>
        </w:rPr>
        <w:t>hospital, among which 19.8% required respiratory support</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Pr>
          <w:rFonts w:ascii="Book Antiqua" w:eastAsia="Book Antiqua" w:hAnsi="Book Antiqua" w:cs="Book Antiqua"/>
          <w:color w:val="000000"/>
          <w:szCs w:val="22"/>
        </w:rPr>
        <w:t xml:space="preserve"> Surprisingly, their mortality rate (18%) was lower than in the complementary general population. Mycophenolate mofetil (MMF) administered at a dose of &gt;</w:t>
      </w:r>
      <w:r w:rsidR="00B673D4">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1000 mg/d was an independent predictor of severe COVID-19</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Pr>
          <w:rFonts w:ascii="Book Antiqua" w:eastAsia="Book Antiqua" w:hAnsi="Book Antiqua" w:cs="Book Antiqua"/>
          <w:color w:val="000000"/>
          <w:szCs w:val="22"/>
        </w:rPr>
        <w:t xml:space="preserve"> In contrast, treatment with calcineurin inhibitors and the mammalian target of rapamycin (mTOR) inhibitor everolimus were not associated with a</w:t>
      </w:r>
      <w:r>
        <w:rPr>
          <w:rFonts w:ascii="Book Antiqua" w:eastAsia="Book Antiqua" w:hAnsi="Book Antiqua" w:cs="Book Antiqua"/>
          <w:color w:val="000000"/>
        </w:rPr>
        <w:t xml:space="preserve"> severe COVID-19 course. Complete withdrawal of immunosuppression showed no benefit</w:t>
      </w:r>
      <w:r>
        <w:rPr>
          <w:rFonts w:ascii="Book Antiqua" w:eastAsia="Book Antiqua" w:hAnsi="Book Antiqua" w:cs="Book Antiqua"/>
          <w:color w:val="000000"/>
          <w:vertAlign w:val="superscript"/>
        </w:rPr>
        <w:t>[65]</w:t>
      </w:r>
      <w:r>
        <w:rPr>
          <w:rFonts w:ascii="Book Antiqua" w:eastAsia="Book Antiqua" w:hAnsi="Book Antiqua" w:cs="Book Antiqua"/>
          <w:color w:val="000000"/>
        </w:rPr>
        <w:t>. Therefore, MMF withdrawal or transient conversion to calcineurin inhibitors or everolimus could be beneficial for hospitalized patients until the COVID-19 resolves</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0E03CF31" w14:textId="77777777" w:rsidR="00A77B3E" w:rsidRDefault="00650E21" w:rsidP="00B673D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Vaccination in post-LT patients is recommended at approximately 3</w:t>
      </w:r>
      <w:r w:rsidR="00B673D4">
        <w:rPr>
          <w:rFonts w:ascii="Book Antiqua" w:hAnsi="Book Antiqua" w:cs="Book Antiqua" w:hint="eastAsia"/>
          <w:color w:val="000000"/>
          <w:szCs w:val="22"/>
          <w:lang w:eastAsia="zh-CN"/>
        </w:rPr>
        <w:t>-</w:t>
      </w:r>
      <w:r>
        <w:rPr>
          <w:rFonts w:ascii="Book Antiqua" w:eastAsia="Book Antiqua" w:hAnsi="Book Antiqua" w:cs="Book Antiqua"/>
          <w:color w:val="000000"/>
          <w:szCs w:val="22"/>
        </w:rPr>
        <w:t>6 mo after transplantation when immunosuppression can be reduced. This is because the immune system is too suppressed to mount the proper vaccination response in the early post-transplant</w:t>
      </w:r>
      <w:r>
        <w:rPr>
          <w:rFonts w:ascii="Book Antiqua" w:eastAsia="Book Antiqua" w:hAnsi="Book Antiqua" w:cs="Book Antiqua"/>
          <w:color w:val="000000"/>
        </w:rPr>
        <w:t xml:space="preserve"> period. Accordingly, vaccination of household members and of healthcare professionals caring for immunocompromised patients is advocated</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43303A61" w14:textId="77777777" w:rsidR="00B673D4" w:rsidRPr="00B673D4" w:rsidRDefault="00B673D4" w:rsidP="00B673D4">
      <w:pPr>
        <w:spacing w:line="360" w:lineRule="auto"/>
        <w:jc w:val="both"/>
        <w:rPr>
          <w:lang w:eastAsia="zh-CN"/>
        </w:rPr>
      </w:pPr>
    </w:p>
    <w:p w14:paraId="2C3C8231" w14:textId="77777777" w:rsidR="00A77B3E" w:rsidRPr="00B673D4" w:rsidRDefault="00650E21">
      <w:pPr>
        <w:spacing w:line="360" w:lineRule="auto"/>
        <w:jc w:val="both"/>
        <w:rPr>
          <w:u w:val="single"/>
        </w:rPr>
      </w:pPr>
      <w:r w:rsidRPr="00B673D4">
        <w:rPr>
          <w:rFonts w:ascii="Book Antiqua" w:eastAsia="Book Antiqua" w:hAnsi="Book Antiqua" w:cs="Book Antiqua"/>
          <w:b/>
          <w:bCs/>
          <w:color w:val="000000"/>
          <w:szCs w:val="22"/>
          <w:u w:val="single"/>
        </w:rPr>
        <w:t>LIVER DISEASE AND COVID-19 IN CHILDREN</w:t>
      </w:r>
    </w:p>
    <w:p w14:paraId="285B5B4F" w14:textId="77777777" w:rsidR="00A77B3E" w:rsidRDefault="00650E21">
      <w:pPr>
        <w:spacing w:line="360" w:lineRule="auto"/>
        <w:jc w:val="both"/>
      </w:pPr>
      <w:r>
        <w:rPr>
          <w:rFonts w:ascii="Book Antiqua" w:eastAsia="Book Antiqua" w:hAnsi="Book Antiqua" w:cs="Book Antiqua"/>
          <w:color w:val="000000"/>
          <w:szCs w:val="22"/>
        </w:rPr>
        <w:t xml:space="preserve">A recent review by Di Giorgio </w:t>
      </w:r>
      <w:r>
        <w:rPr>
          <w:rFonts w:ascii="Book Antiqua" w:eastAsia="Book Antiqua" w:hAnsi="Book Antiqua" w:cs="Book Antiqua"/>
          <w:i/>
          <w:iCs/>
          <w:color w:val="000000"/>
          <w:szCs w:val="22"/>
        </w:rPr>
        <w:t>et al</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nicely summarizes the current data from 105 studies on the association among pre-existing CLD and COVID-19 infection in children. According to the data, the most common liver manifestation was an elevation of transaminases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authors found that children with CLD, including those on immunosuppressive therapy (autoimmune liver disease and LT), actually do not have a higher risk for a severe disease course of COVID-19. Additionally, they have little or no liver dysfunction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As mentioned earlier, we still do not know the exact pathogenetic mechanism of liver damage in either adults or children, therefore we still do not fully </w:t>
      </w:r>
      <w:r>
        <w:rPr>
          <w:rFonts w:ascii="Book Antiqua" w:eastAsia="Book Antiqua" w:hAnsi="Book Antiqua" w:cs="Book Antiqua"/>
          <w:color w:val="000000"/>
        </w:rPr>
        <w:lastRenderedPageBreak/>
        <w:t>understand the clinical outcomes of patients with CLD infected with COVID-19. Furthermore, there are no clear data on infectivity rates in children with CLD or regarding the presence of asymptomatic carriage of the virus in children</w:t>
      </w:r>
      <w:r>
        <w:rPr>
          <w:rFonts w:ascii="Book Antiqua" w:eastAsia="Book Antiqua" w:hAnsi="Book Antiqua" w:cs="Book Antiqua"/>
          <w:color w:val="000000"/>
          <w:vertAlign w:val="superscript"/>
        </w:rPr>
        <w:t>[67]</w:t>
      </w:r>
      <w:r>
        <w:rPr>
          <w:rFonts w:ascii="Book Antiqua" w:eastAsia="Book Antiqua" w:hAnsi="Book Antiqua" w:cs="Book Antiqua"/>
          <w:color w:val="000000"/>
        </w:rPr>
        <w:t>. Finally, there are no data regarding the long-term outcome of COVID-19 infection in this group of immunocompromised children</w:t>
      </w:r>
      <w:r>
        <w:rPr>
          <w:rFonts w:ascii="Book Antiqua" w:eastAsia="Book Antiqua" w:hAnsi="Book Antiqua" w:cs="Book Antiqua"/>
          <w:color w:val="000000"/>
          <w:vertAlign w:val="superscript"/>
        </w:rPr>
        <w:t>[67]</w:t>
      </w:r>
      <w:r>
        <w:rPr>
          <w:rFonts w:ascii="Book Antiqua" w:eastAsia="Book Antiqua" w:hAnsi="Book Antiqua" w:cs="Book Antiqua"/>
          <w:color w:val="000000"/>
        </w:rPr>
        <w:t>. Thus, further data are needed.</w:t>
      </w:r>
    </w:p>
    <w:p w14:paraId="53CAA071" w14:textId="77777777" w:rsidR="00A77B3E" w:rsidRDefault="00A77B3E">
      <w:pPr>
        <w:spacing w:line="360" w:lineRule="auto"/>
        <w:jc w:val="both"/>
      </w:pPr>
    </w:p>
    <w:p w14:paraId="1F79F87A" w14:textId="77777777" w:rsidR="00A77B3E" w:rsidRPr="00B673D4" w:rsidRDefault="00650E21">
      <w:pPr>
        <w:spacing w:line="360" w:lineRule="auto"/>
        <w:jc w:val="both"/>
        <w:rPr>
          <w:u w:val="single"/>
        </w:rPr>
      </w:pPr>
      <w:r w:rsidRPr="00B673D4">
        <w:rPr>
          <w:rFonts w:ascii="Book Antiqua" w:eastAsia="Book Antiqua" w:hAnsi="Book Antiqua" w:cs="Book Antiqua"/>
          <w:b/>
          <w:bCs/>
          <w:color w:val="000000"/>
          <w:szCs w:val="22"/>
          <w:u w:val="single"/>
        </w:rPr>
        <w:t>CURRENT STUDIES AND FUTURE DIRECTIONS</w:t>
      </w:r>
    </w:p>
    <w:p w14:paraId="253E299A" w14:textId="77777777" w:rsidR="00A77B3E" w:rsidRDefault="00650E21">
      <w:pPr>
        <w:spacing w:line="360" w:lineRule="auto"/>
        <w:jc w:val="both"/>
      </w:pPr>
      <w:r>
        <w:rPr>
          <w:rFonts w:ascii="Book Antiqua" w:eastAsia="Book Antiqua" w:hAnsi="Book Antiqua" w:cs="Book Antiqua"/>
          <w:color w:val="000000"/>
        </w:rPr>
        <w:t>The COVID-19 pandemic has caused serious damage to the global health system and prevented the anticipation, recruitment or completion of numerous clinical trials. However, according to ClinicaTrials.gov, there are currently more than 1500 studies related to ‘liver disease’ in the recruitment phase</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In line with active clinical research and databases including patients with NAFLD and CLD, it is evident that this remains a trending topic, despite the COVID-19 pandemonium. The utilization of noninvasive methods in the assessment of liver and spleen stiffness and indirect prediction of portal hypertension remains the desired goal in the field of CLD. At the same time, clinicians worldwide are determined to find a proper therapy for NAFLD. The effects of glucagon-like peptide agonist (GLP-1) semaglutide, </w:t>
      </w:r>
      <w:r>
        <w:rPr>
          <w:rFonts w:ascii="Book Antiqua" w:eastAsia="Book Antiqua" w:hAnsi="Book Antiqua" w:cs="Book Antiqua"/>
          <w:color w:val="000000"/>
          <w:szCs w:val="22"/>
          <w:shd w:val="clear" w:color="auto" w:fill="FFFFFF"/>
        </w:rPr>
        <w:t>peroxisome proliferator-activated receptor (PPAR) agonist</w:t>
      </w:r>
      <w:r>
        <w:rPr>
          <w:rFonts w:ascii="Book Antiqua" w:eastAsia="Book Antiqua" w:hAnsi="Book Antiqua" w:cs="Book Antiqua"/>
          <w:color w:val="000000"/>
        </w:rPr>
        <w:t xml:space="preserve"> lanifibranor, thiazolidinediones, sodium-glucose cotransporter 2 inhibitors, prebiotics and probiotics are currently being tested in clinical trials</w:t>
      </w:r>
      <w:r>
        <w:rPr>
          <w:rFonts w:ascii="Book Antiqua" w:eastAsia="Book Antiqua" w:hAnsi="Book Antiqua" w:cs="Book Antiqua"/>
          <w:color w:val="000000"/>
          <w:vertAlign w:val="superscript"/>
        </w:rPr>
        <w:t>[69-73]</w:t>
      </w:r>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Furthermore, the impact of fecal microbiota transplantation on obese patients</w:t>
      </w:r>
      <w:r w:rsidR="00B673D4">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rPr>
        <w:t>with NAFLD is being researched on participants in India</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A </w:t>
      </w:r>
      <w:r>
        <w:rPr>
          <w:rFonts w:ascii="Book Antiqua" w:eastAsia="Book Antiqua" w:hAnsi="Book Antiqua" w:cs="Book Antiqua"/>
          <w:color w:val="000000"/>
          <w:szCs w:val="22"/>
          <w:shd w:val="clear" w:color="auto" w:fill="FFFFFF"/>
        </w:rPr>
        <w:t>selective thyroid hormone receptor</w:t>
      </w:r>
      <w:r w:rsidR="00B673D4">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β agonist,</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resmetirom (MGL</w:t>
      </w:r>
      <w:r w:rsidR="00B673D4">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rPr>
        <w:t>3196), is in its third trial phase and the mitochondrial-derived peptide (MOTS-c) analog CB4211 is in its 1a/1b phase of evaluation among the NAFLD population</w:t>
      </w:r>
      <w:r>
        <w:rPr>
          <w:rFonts w:ascii="Book Antiqua" w:eastAsia="Book Antiqua" w:hAnsi="Book Antiqua" w:cs="Book Antiqua"/>
          <w:color w:val="000000"/>
          <w:vertAlign w:val="superscript"/>
        </w:rPr>
        <w:t>[75,76]</w:t>
      </w:r>
      <w:r>
        <w:rPr>
          <w:rFonts w:ascii="Book Antiqua" w:eastAsia="Book Antiqua" w:hAnsi="Book Antiqua" w:cs="Book Antiqua"/>
          <w:color w:val="000000"/>
        </w:rPr>
        <w:t>. Considering the global proportion of obese patients suffering from NAFLD, whose number under the COVID-19-created environment will undoubtedly grow, extension of the mentioned research and anticipation of future studies is encouraged.</w:t>
      </w:r>
    </w:p>
    <w:p w14:paraId="5CCEC525" w14:textId="77777777" w:rsidR="00A77B3E" w:rsidRDefault="00A77B3E">
      <w:pPr>
        <w:spacing w:line="360" w:lineRule="auto"/>
        <w:jc w:val="both"/>
      </w:pPr>
    </w:p>
    <w:p w14:paraId="036E123C" w14:textId="77777777" w:rsidR="00A77B3E" w:rsidRDefault="00650E21">
      <w:pPr>
        <w:spacing w:line="360" w:lineRule="auto"/>
        <w:jc w:val="both"/>
      </w:pPr>
      <w:r>
        <w:rPr>
          <w:rFonts w:ascii="Book Antiqua" w:eastAsia="Book Antiqua" w:hAnsi="Book Antiqua" w:cs="Book Antiqua"/>
          <w:b/>
          <w:caps/>
          <w:color w:val="000000"/>
          <w:u w:val="single"/>
        </w:rPr>
        <w:t>CONCLUSION</w:t>
      </w:r>
    </w:p>
    <w:p w14:paraId="30BE2997" w14:textId="77777777" w:rsidR="00A77B3E" w:rsidRDefault="00650E21">
      <w:pPr>
        <w:spacing w:line="360" w:lineRule="auto"/>
        <w:jc w:val="both"/>
      </w:pPr>
      <w:r>
        <w:rPr>
          <w:rFonts w:ascii="Book Antiqua" w:eastAsia="Book Antiqua" w:hAnsi="Book Antiqua" w:cs="Book Antiqua"/>
          <w:color w:val="000000"/>
          <w:szCs w:val="22"/>
        </w:rPr>
        <w:lastRenderedPageBreak/>
        <w:t>The global social, economic and political crises related to the COVID-19 pandemic presumably had more indirect than direct negative impacts on health systems. Drastic lifestyle changes, social isolation and distancing, and individual and global financial crises resulted in a robust population forfeiting healthy habits and seeking comfort in alcoholic beverages, drugs and unhealthy diets</w:t>
      </w:r>
      <w:r>
        <w:rPr>
          <w:rFonts w:ascii="Book Antiqua" w:eastAsia="Book Antiqua" w:hAnsi="Book Antiqua" w:cs="Book Antiqua"/>
          <w:color w:val="000000"/>
          <w:vertAlign w:val="superscript"/>
        </w:rPr>
        <w:t>[19,41]</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 inevitable consequences are the rising incidence of NAFLD, viral hepatitis, acute alcoholic hepatitis, liver cirrhosis decompensation and ultimately liver-</w:t>
      </w:r>
      <w:r>
        <w:rPr>
          <w:rFonts w:ascii="Book Antiqua" w:eastAsia="Book Antiqua" w:hAnsi="Book Antiqua" w:cs="Book Antiqua"/>
          <w:color w:val="000000"/>
        </w:rPr>
        <w:t>related mortality</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0A4E5CA0"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The inaccessibility of regular clinical and sonographic examinations has resulted in difficulties in the treatment of patients with CLD or prompt HCC detection and treatment. A dramatic reduction in the number of liver donors and the transformation of numerous transplantation centers into COVID-19 units have greatly reduced the rate of orthotopic LT.</w:t>
      </w:r>
    </w:p>
    <w:p w14:paraId="7B4426A3"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The indirect unavoidable effects of the COVID-19 pandemic in the following years have yet to be determined</w:t>
      </w:r>
      <w:r>
        <w:rPr>
          <w:rFonts w:ascii="Book Antiqua" w:eastAsia="Book Antiqua" w:hAnsi="Book Antiqua" w:cs="Book Antiqua"/>
          <w:color w:val="000000"/>
          <w:vertAlign w:val="superscript"/>
        </w:rPr>
        <w:t>[19]</w:t>
      </w:r>
      <w:r>
        <w:rPr>
          <w:rFonts w:ascii="Book Antiqua" w:eastAsia="Book Antiqua" w:hAnsi="Book Antiqua" w:cs="Book Antiqua"/>
          <w:color w:val="000000"/>
        </w:rPr>
        <w:t>. Although the health system has been tremendously challenged, resulting in overwhelming damage that is continuously being revealed, focus should remain on the current and upcoming periods involving patients with uncontrolled chronic diseases</w:t>
      </w:r>
      <w:r>
        <w:rPr>
          <w:rFonts w:ascii="Book Antiqua" w:eastAsia="Book Antiqua" w:hAnsi="Book Antiqua" w:cs="Book Antiqua"/>
          <w:color w:val="000000"/>
          <w:vertAlign w:val="superscript"/>
        </w:rPr>
        <w:t>[16,19]</w:t>
      </w:r>
      <w:r>
        <w:rPr>
          <w:rFonts w:ascii="Book Antiqua" w:eastAsia="Book Antiqua" w:hAnsi="Book Antiqua" w:cs="Book Antiqua"/>
          <w:color w:val="000000"/>
        </w:rPr>
        <w:t>. Swift resumption of care practices, especially for patients with HCC or individuals requiring LT</w:t>
      </w:r>
      <w:r>
        <w:rPr>
          <w:rFonts w:ascii="Book Antiqua" w:eastAsia="Book Antiqua" w:hAnsi="Book Antiqua" w:cs="Book Antiqua"/>
          <w:color w:val="000000"/>
          <w:szCs w:val="22"/>
        </w:rPr>
        <w:t>,</w:t>
      </w:r>
      <w:r>
        <w:rPr>
          <w:rFonts w:ascii="Book Antiqua" w:eastAsia="Book Antiqua" w:hAnsi="Book Antiqua" w:cs="Book Antiqua"/>
          <w:color w:val="000000"/>
        </w:rPr>
        <w:t xml:space="preserve"> must be initiated while simultaneously maintaining social distancing and balancing inadequate hospital resources</w:t>
      </w:r>
      <w:r>
        <w:rPr>
          <w:rFonts w:ascii="Book Antiqua" w:eastAsia="Book Antiqua" w:hAnsi="Book Antiqua" w:cs="Book Antiqua"/>
          <w:color w:val="000000"/>
          <w:vertAlign w:val="superscript"/>
        </w:rPr>
        <w:t>[16,19]</w:t>
      </w:r>
      <w:r>
        <w:rPr>
          <w:rFonts w:ascii="Book Antiqua" w:eastAsia="Book Antiqua" w:hAnsi="Book Antiqua" w:cs="Book Antiqua"/>
          <w:color w:val="000000"/>
        </w:rPr>
        <w:t>.</w:t>
      </w:r>
    </w:p>
    <w:p w14:paraId="008B241E"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Substantial efforts should be initiated for the management of patients with liver disease in order to prevent and control the inevitable COVID-19-related morbidity and mortality that will follow.</w:t>
      </w:r>
    </w:p>
    <w:p w14:paraId="74F551C3"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Several questions regarding the impact of the COVID-19 pandemic on liver disease remain. One of the most important questions is: What will be the effect of long-term anticoagulants on liver disease? The main question for general CLD patients is: How will the modification of clinical practice during this pandemic affect outcomes in CLD patients.</w:t>
      </w:r>
    </w:p>
    <w:p w14:paraId="024E8EE5" w14:textId="77777777" w:rsidR="00A77B3E" w:rsidRDefault="00A77B3E">
      <w:pPr>
        <w:spacing w:line="360" w:lineRule="auto"/>
        <w:jc w:val="both"/>
      </w:pPr>
    </w:p>
    <w:p w14:paraId="1ACC992C" w14:textId="77777777" w:rsidR="00A77B3E" w:rsidRDefault="00650E21">
      <w:pPr>
        <w:spacing w:line="360" w:lineRule="auto"/>
        <w:jc w:val="both"/>
      </w:pPr>
      <w:r>
        <w:rPr>
          <w:rFonts w:ascii="Book Antiqua" w:eastAsia="Book Antiqua" w:hAnsi="Book Antiqua" w:cs="Book Antiqua"/>
          <w:b/>
          <w:color w:val="000000"/>
        </w:rPr>
        <w:t>REFERENCES</w:t>
      </w:r>
    </w:p>
    <w:p w14:paraId="361CE662" w14:textId="77777777" w:rsidR="00A77B3E" w:rsidRDefault="00650E21">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Téllez L</w:t>
      </w:r>
      <w:r>
        <w:rPr>
          <w:rFonts w:ascii="Book Antiqua" w:eastAsia="Book Antiqua" w:hAnsi="Book Antiqua" w:cs="Book Antiqua"/>
          <w:color w:val="000000"/>
        </w:rPr>
        <w:t xml:space="preserve">, Martín Mateos RM. COVID-19 and liver disease: An update.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472-480 [PMID: 32727662 DOI: 10.1016/j.gastrohep.2020.06.006]</w:t>
      </w:r>
    </w:p>
    <w:p w14:paraId="0DBF0D54" w14:textId="77777777" w:rsidR="00A77B3E" w:rsidRDefault="00650E2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Lax SF</w:t>
      </w:r>
      <w:r>
        <w:rPr>
          <w:rFonts w:ascii="Book Antiqua" w:eastAsia="Book Antiqua" w:hAnsi="Book Antiqua" w:cs="Book Antiqua"/>
          <w:color w:val="000000"/>
        </w:rPr>
        <w:t xml:space="preserve">, Skok K, Zechner P, Kessler HH, Kaufmann N, Koelblinger C, Vander K, Bargfrieder U, Trauner M. Pulmonary Arterial Thrombosis in COVID-19 With Fatal Outcome : Results From a Prospective, Single-Center, Clinicopathologic Case Series.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173</w:t>
      </w:r>
      <w:r>
        <w:rPr>
          <w:rFonts w:ascii="Book Antiqua" w:eastAsia="Book Antiqua" w:hAnsi="Book Antiqua" w:cs="Book Antiqua"/>
          <w:color w:val="000000"/>
        </w:rPr>
        <w:t>: 350-361 [PMID: 32422076 DOI: 10.7326/M20-2566]</w:t>
      </w:r>
    </w:p>
    <w:p w14:paraId="756F0D2E" w14:textId="77777777" w:rsidR="00A77B3E" w:rsidRDefault="00650E2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Williamson EJ</w:t>
      </w:r>
      <w:r>
        <w:rPr>
          <w:rFonts w:ascii="Book Antiqua" w:eastAsia="Book Antiqua" w:hAnsi="Book Antiqua" w:cs="Book Antiqua"/>
          <w:color w:val="000000"/>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430-436 [PMID: 32640463 DOI: 10.1038/s41586-020-2521-4]</w:t>
      </w:r>
    </w:p>
    <w:p w14:paraId="40598A5B" w14:textId="77777777" w:rsidR="00A77B3E" w:rsidRDefault="00650E2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Nardo AD</w:t>
      </w:r>
      <w:r>
        <w:rPr>
          <w:rFonts w:ascii="Book Antiqua" w:eastAsia="Book Antiqua" w:hAnsi="Book Antiqua" w:cs="Book Antiqua"/>
          <w:color w:val="000000"/>
        </w:rPr>
        <w:t xml:space="preserve">, Schneeweiss-Gleixner M, Bakail M, Dixon ED, Lax SF, Trauner M. Pathophysiological mechanisms of liver injury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iv.14730]</w:t>
      </w:r>
    </w:p>
    <w:p w14:paraId="461DAD95" w14:textId="77777777" w:rsidR="00A77B3E" w:rsidRDefault="00650E2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Sonzogni A</w:t>
      </w:r>
      <w:r>
        <w:rPr>
          <w:rFonts w:ascii="Book Antiqua" w:eastAsia="Book Antiqua" w:hAnsi="Book Antiqua" w:cs="Book Antiqua"/>
          <w:color w:val="000000"/>
        </w:rPr>
        <w:t xml:space="preserve">, Previtali G, Seghezzi M, Grazia Alessio M, Gianatti A, Licini L, Morotti D, Zerbi P, Carsana L, Rossi R, Lauri E, Pellegrinelli A, Nebuloni M. Liver histopathology in severe COVID 19 respiratory failure is suggestive of vascular alterations.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iv.14601]</w:t>
      </w:r>
    </w:p>
    <w:p w14:paraId="7B9915E0" w14:textId="77777777" w:rsidR="00A77B3E" w:rsidRDefault="00650E2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Wong VW, Thompson A, Jia J, Hou J, Lesmana CRA, Susilo A, Tanaka Y, Chan WK, Gane E, Ong-Go AK, Lim SG, Ahn SH, Yu ML, Piratvisuth T, Chan HL; Asia-Pacific Working Group for Liver Derangement during the COVID-19 Pandemic. Management of patients with liver derangement during the COVID-19 pandemic: an Asia-Pacific position statement.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776-787 [PMID: 32585136 DOI: 10.1016/S2468-1253(20)30190-4]</w:t>
      </w:r>
    </w:p>
    <w:p w14:paraId="3AE93008" w14:textId="77777777" w:rsidR="00A77B3E" w:rsidRDefault="00650E2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Cevik M</w:t>
      </w:r>
      <w:r>
        <w:rPr>
          <w:rFonts w:ascii="Book Antiqua" w:eastAsia="Book Antiqua" w:hAnsi="Book Antiqua" w:cs="Book Antiqua"/>
          <w:color w:val="000000"/>
        </w:rPr>
        <w:t xml:space="preserve">, Bamford CGG, Ho A. COVID-19 pandemic-a focused review for clinicians.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842-847 [PMID: 32344166 DOI: 10.1016/j.cmi.2020.04.023]</w:t>
      </w:r>
    </w:p>
    <w:p w14:paraId="1EE46DE9" w14:textId="77777777" w:rsidR="00A77B3E" w:rsidRDefault="00650E21">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Cha MH</w:t>
      </w:r>
      <w:r>
        <w:rPr>
          <w:rFonts w:ascii="Book Antiqua" w:eastAsia="Book Antiqua" w:hAnsi="Book Antiqua" w:cs="Book Antiqua"/>
          <w:color w:val="000000"/>
        </w:rPr>
        <w:t xml:space="preserve">, Regueiro M, Sandhu DS. Gastrointestinal and hepatic manifestations of COVID-19: A comprehensive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2323-2332 [PMID: 32476796 DOI: 10.3748/wjg.v26.i19.2323]</w:t>
      </w:r>
    </w:p>
    <w:p w14:paraId="3C5956AA" w14:textId="77777777" w:rsidR="00A77B3E" w:rsidRDefault="00650E2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Webb GJ</w:t>
      </w:r>
      <w:r>
        <w:rPr>
          <w:rFonts w:ascii="Book Antiqua" w:eastAsia="Book Antiqua" w:hAnsi="Book Antiqua" w:cs="Book Antiqua"/>
          <w:color w:val="000000"/>
        </w:rPr>
        <w:t xml:space="preserve">, Moon AM, Barnes E, Barritt AS 4th, Marjot T. Age and comorbidity are central to the risk of death from COVID-19 in liver transplant recipients.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226-228 [PMID: 33556419 DOI: 10.1016/j.jhep.2021.01.036]</w:t>
      </w:r>
    </w:p>
    <w:p w14:paraId="4A5E9B7D" w14:textId="77777777" w:rsidR="00A77B3E" w:rsidRDefault="00650E2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1335-1343 [PMID: 33508378 DOI: 10.1016/j.jhep.2021.01.021]</w:t>
      </w:r>
    </w:p>
    <w:p w14:paraId="2A7FDB2F" w14:textId="77777777" w:rsidR="00A77B3E" w:rsidRDefault="00650E2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Portincasa P</w:t>
      </w:r>
      <w:r>
        <w:rPr>
          <w:rFonts w:ascii="Book Antiqua" w:eastAsia="Book Antiqua" w:hAnsi="Book Antiqua" w:cs="Book Antiqua"/>
          <w:color w:val="000000"/>
        </w:rPr>
        <w:t xml:space="preserve">, Krawczyk M, Smyk W, Lammert F, Di Ciaula A. COVID-19 and non-alcoholic fatty liver disease: Two intersecting pandemics.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e13338 [PMID: 32589264 DOI: 10.1111/eci.13338]</w:t>
      </w:r>
    </w:p>
    <w:p w14:paraId="06086C93" w14:textId="77777777" w:rsidR="00A77B3E" w:rsidRDefault="00650E2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Pedersen SF</w:t>
      </w:r>
      <w:r>
        <w:rPr>
          <w:rFonts w:ascii="Book Antiqua" w:eastAsia="Book Antiqua" w:hAnsi="Book Antiqua" w:cs="Book Antiqua"/>
          <w:color w:val="000000"/>
        </w:rPr>
        <w:t xml:space="preserve">, Ho YC. SARS-CoV-2: a storm is raging.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2202-2205 [PMID: 32217834 DOI: 10.1172/JCI137647]</w:t>
      </w:r>
    </w:p>
    <w:p w14:paraId="0C39F65B" w14:textId="77777777" w:rsidR="00A77B3E" w:rsidRDefault="00650E2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26ACC851" w14:textId="77777777" w:rsidR="00A77B3E" w:rsidRDefault="00650E2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Samarasekera U</w:t>
      </w:r>
      <w:r>
        <w:rPr>
          <w:rFonts w:ascii="Book Antiqua" w:eastAsia="Book Antiqua" w:hAnsi="Book Antiqua" w:cs="Book Antiqua"/>
          <w:color w:val="000000"/>
        </w:rPr>
        <w:t xml:space="preserve">. COVID-19 hits viral hepatitis care for vulnerable populations.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166 [PMID: 33581759 DOI: 10.1016/S2468-1253(21)00029-7]</w:t>
      </w:r>
    </w:p>
    <w:p w14:paraId="4D8D9B4D" w14:textId="77777777" w:rsidR="00A77B3E" w:rsidRDefault="00650E2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Ridruejo E</w:t>
      </w:r>
      <w:r>
        <w:rPr>
          <w:rFonts w:ascii="Book Antiqua" w:eastAsia="Book Antiqua" w:hAnsi="Book Antiqua" w:cs="Book Antiqua"/>
          <w:color w:val="000000"/>
        </w:rPr>
        <w:t xml:space="preserve">, Soza A. The liver in times of COVID-19: What hepatologists should know.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353-358 [PMID: 32425991 DOI: 10.1016/j.aohep.2020.05.001]</w:t>
      </w:r>
    </w:p>
    <w:p w14:paraId="4C8BA493" w14:textId="77777777" w:rsidR="00A77B3E" w:rsidRDefault="00650E2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Bollipo S</w:t>
      </w:r>
      <w:r>
        <w:rPr>
          <w:rFonts w:ascii="Book Antiqua" w:eastAsia="Book Antiqua" w:hAnsi="Book Antiqua" w:cs="Book Antiqua"/>
          <w:color w:val="000000"/>
        </w:rPr>
        <w:t xml:space="preserve">, Kapuria D, Rabiee A, Ben-Yakov G, Lui RN, Lee HW, Kumar G, Siau K, Turnes J, Dhanasekaran R. One world, one pandemic, many guidelines: management of liver diseases during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1369-1372 [PMID: 32499304 DOI: 10.1136/gutjnl-2020-321553]</w:t>
      </w:r>
    </w:p>
    <w:p w14:paraId="24357FCF" w14:textId="77777777" w:rsidR="00A77B3E" w:rsidRDefault="00650E21">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3374EAF6" w14:textId="77777777" w:rsidR="00A77B3E" w:rsidRDefault="00650E2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Boettler T</w:t>
      </w:r>
      <w:r>
        <w:rPr>
          <w:rFonts w:ascii="Book Antiqua" w:eastAsia="Book Antiqua" w:hAnsi="Book Antiqua" w:cs="Book Antiqua"/>
          <w:color w:val="000000"/>
        </w:rPr>
        <w:t xml:space="preserve">, Newsome PN, Mondelli MU, Maticic M, Cordero E, Cornberg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2766B324" w14:textId="77777777" w:rsidR="00A77B3E" w:rsidRDefault="00650E2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Pawlotsky JM</w:t>
      </w:r>
      <w:r>
        <w:rPr>
          <w:rFonts w:ascii="Book Antiqua" w:eastAsia="Book Antiqua" w:hAnsi="Book Antiqua" w:cs="Book Antiqua"/>
          <w:color w:val="000000"/>
        </w:rPr>
        <w:t xml:space="preserve">. COVID-19 and the liver-related deaths to come.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523-525 [PMID: 32528138 DOI: 10.1038/s41575-020-0328-2]</w:t>
      </w:r>
    </w:p>
    <w:p w14:paraId="29F32267" w14:textId="77777777" w:rsidR="00A77B3E" w:rsidRDefault="00650E2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CDC COVID-19 Response Team</w:t>
      </w:r>
      <w:r>
        <w:rPr>
          <w:rFonts w:ascii="Book Antiqua" w:eastAsia="Book Antiqua" w:hAnsi="Book Antiqua" w:cs="Book Antiqua"/>
          <w:color w:val="000000"/>
        </w:rPr>
        <w:t xml:space="preserve">. Preliminary Estimates of the Prevalence of Selected Underlying Health Conditions Among Patients with Coronavirus Disease 2019 - United States, February 12-March 28,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382-386 [PMID: 32240123 DOI: 10.15585/mmwr.mm6913e2]</w:t>
      </w:r>
    </w:p>
    <w:p w14:paraId="6F7B9757" w14:textId="77777777" w:rsidR="00A77B3E" w:rsidRDefault="00650E2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Portincasa P</w:t>
      </w:r>
      <w:r>
        <w:rPr>
          <w:rFonts w:ascii="Book Antiqua" w:eastAsia="Book Antiqua" w:hAnsi="Book Antiqua" w:cs="Book Antiqua"/>
          <w:color w:val="000000"/>
        </w:rPr>
        <w:t xml:space="preserve">, Krawczyk M, Machill A, Lammert F, Di Ciaula A. Hepatic consequences of COVID-19 infection. Lapping or biting?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18-24 [PMID: 32507608 DOI: 10.1016/j.ejim.2020.05.035]</w:t>
      </w:r>
    </w:p>
    <w:p w14:paraId="7369E135" w14:textId="77777777" w:rsidR="00A77B3E" w:rsidRDefault="00650E2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3FF1B127" w14:textId="77777777" w:rsidR="00A77B3E" w:rsidRDefault="00650E2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Feng G</w:t>
      </w:r>
      <w:r>
        <w:rPr>
          <w:rFonts w:ascii="Book Antiqua" w:eastAsia="Book Antiqua" w:hAnsi="Book Antiqua" w:cs="Book Antiqua"/>
          <w:color w:val="000000"/>
        </w:rPr>
        <w:t xml:space="preserve">, Zheng KI, Yan QQ, Rios RS, Targher G, Byrne CD, Poucke SV, Liu WY, Zheng MH. COVID-19 and Liver Dysfunction: Current Insights and Emergent Therapeutic Strategies.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18-24 [PMID: 32274342 DOI: 10.14218/JCTH.2020.00018]</w:t>
      </w:r>
    </w:p>
    <w:p w14:paraId="36260B99" w14:textId="77777777" w:rsidR="00A77B3E" w:rsidRDefault="00650E21">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6C97ABAB" w14:textId="77777777" w:rsidR="00A77B3E" w:rsidRDefault="00650E2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11A1BD14" w14:textId="77777777" w:rsidR="00A77B3E" w:rsidRDefault="00650E2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iv.14435]</w:t>
      </w:r>
    </w:p>
    <w:p w14:paraId="04DF68C8" w14:textId="77777777" w:rsidR="00A77B3E" w:rsidRDefault="00650E2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09C38332" w14:textId="77777777" w:rsidR="00A77B3E" w:rsidRDefault="00650E2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2C8CD408" w14:textId="77777777" w:rsidR="00A77B3E" w:rsidRDefault="00650E2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Iavarone M</w:t>
      </w:r>
      <w:r>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31AEF998" w14:textId="77777777" w:rsidR="00A77B3E" w:rsidRDefault="00650E2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Sun J</w:t>
      </w:r>
      <w:r>
        <w:rPr>
          <w:rFonts w:ascii="Book Antiqua" w:eastAsia="Book Antiqua" w:hAnsi="Book Antiqua" w:cs="Book Antiqua"/>
          <w:color w:val="000000"/>
        </w:rPr>
        <w:t xml:space="preserve">, Aghemo A, Forner A, Valenti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iv.14470]</w:t>
      </w:r>
    </w:p>
    <w:p w14:paraId="20AA0906" w14:textId="77777777" w:rsidR="00A77B3E" w:rsidRDefault="00650E2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Docherty AB</w:t>
      </w:r>
      <w:r>
        <w:rPr>
          <w:rFonts w:ascii="Book Antiqua" w:eastAsia="Book Antiqua" w:hAnsi="Book Antiqua" w:cs="Book Antiqua"/>
          <w:color w:val="000000"/>
        </w:rPr>
        <w:t xml:space="preserve">, Harrison EM, Green CA, Hardwick HE, Pius R, Norman L, Holden KA, Read JM, Dondelinger F, Carson G, Merson L, Lee J, Plotkin D, Sigfrid L, Halpin S, </w:t>
      </w:r>
      <w:r>
        <w:rPr>
          <w:rFonts w:ascii="Book Antiqua" w:eastAsia="Book Antiqua" w:hAnsi="Book Antiqua" w:cs="Book Antiqua"/>
          <w:color w:val="000000"/>
        </w:rPr>
        <w:lastRenderedPageBreak/>
        <w:t xml:space="preserve">Jackson C, Gamble C, Horby PW, Nguyen-Van-Tam JS, Ho A, Russell CD, Dunning J, Openshaw PJ, Baillie JK, Semple MG; ISARIC4C investigators. Features of 20 133 UK patients in hospital with covid-19 using the ISARIC WHO Clinical Characterisation Protocol: prospective observational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m1985 [PMID: 32444460 DOI: 10.1136/bmj.m1985]</w:t>
      </w:r>
    </w:p>
    <w:p w14:paraId="3628E5A0" w14:textId="77777777" w:rsidR="00A77B3E" w:rsidRDefault="00650E2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59FDF8AD" w14:textId="77777777" w:rsidR="00A77B3E" w:rsidRDefault="00650E2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719-721 [PMID: 32348790 DOI: 10.1016/j.jhep.2020.04.027]</w:t>
      </w:r>
    </w:p>
    <w:p w14:paraId="7F39DE9C" w14:textId="77777777" w:rsidR="00A77B3E" w:rsidRDefault="00650E2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204-207 [PMID: 32436622 DOI: 10.1111/jgh.15112]</w:t>
      </w:r>
    </w:p>
    <w:p w14:paraId="6A1DF7BD" w14:textId="77777777" w:rsidR="00A77B3E" w:rsidRDefault="00650E2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Targher G</w:t>
      </w:r>
      <w:r>
        <w:rPr>
          <w:rFonts w:ascii="Book Antiqua" w:eastAsia="Book Antiqua" w:hAnsi="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1545-1547 [PMID: 32414813 DOI: 10.1136/gutjnl-2020-321611]</w:t>
      </w:r>
    </w:p>
    <w:p w14:paraId="1AB5EB40" w14:textId="77777777" w:rsidR="00A77B3E" w:rsidRDefault="00650E2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Lopez-Mendez I</w:t>
      </w:r>
      <w:r>
        <w:rPr>
          <w:rFonts w:ascii="Book Antiqua" w:eastAsia="Book Antiqua" w:hAnsi="Book Antiqua" w:cs="Book Antiqua"/>
          <w:color w:val="000000"/>
        </w:rPr>
        <w:t xml:space="preserve">, Aquino-Matus J, Gall SM, Prieto-Nava JD, Juarez-Hernandez E, Uribe M, Castro-Narro G. Association of liver steatosis and fibrosis with clinical outcomes in patients with SARS-CoV-2 infection (COVID-19).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100271 [PMID: 33099028 DOI: 10.1016/j.aohep.2020.09.015]</w:t>
      </w:r>
    </w:p>
    <w:p w14:paraId="500EA4B4" w14:textId="77777777" w:rsidR="00A77B3E" w:rsidRDefault="00650E2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Ferron PJ</w:t>
      </w:r>
      <w:r>
        <w:rPr>
          <w:rFonts w:ascii="Book Antiqua" w:eastAsia="Book Antiqua" w:hAnsi="Book Antiqua" w:cs="Book Antiqua"/>
          <w:color w:val="000000"/>
        </w:rPr>
        <w:t xml:space="preserve">, Gicquel T, Mégarbane B, Clément B, Fromenty B. Treatments in Covid-19 patients with pre-existing metabolic dysfunction-associated fatty liver disease: A potential threat for drug-induced liver injury?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266-274 [PMID: 32891697 DOI: 10.1016/j.biochi.2020.08.018]</w:t>
      </w:r>
    </w:p>
    <w:p w14:paraId="5CD17EE8" w14:textId="77777777" w:rsidR="00A77B3E" w:rsidRDefault="00650E21">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6BFE6B3C" w14:textId="77777777" w:rsidR="00A77B3E" w:rsidRDefault="00650E2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Gao B</w:t>
      </w:r>
      <w:r>
        <w:rPr>
          <w:rFonts w:ascii="Book Antiqua" w:eastAsia="Book Antiqua" w:hAnsi="Book Antiqua" w:cs="Book Antiqua"/>
          <w:color w:val="000000"/>
        </w:rPr>
        <w:t xml:space="preserve">, Tsukamoto H. Inflammation in Alcoholic and Nonalcoholic Fatty Liver Disease: Friend or Foe?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1704-1709 [PMID: 26826669 DOI: 10.1053/j.gastro.2016.01.025]</w:t>
      </w:r>
    </w:p>
    <w:p w14:paraId="1A64DEA6" w14:textId="77777777" w:rsidR="00A77B3E" w:rsidRDefault="00650E2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Boeckmans J</w:t>
      </w:r>
      <w:r>
        <w:rPr>
          <w:rFonts w:ascii="Book Antiqua" w:eastAsia="Book Antiqua" w:hAnsi="Book Antiqua" w:cs="Book Antiqua"/>
          <w:color w:val="000000"/>
        </w:rPr>
        <w:t xml:space="preserve">, Rodrigues RM, Demuyser T, Piérard D, Vanhaecke T, Rogiers V. COVID-19 and drug-induced liver injury: a problem of plenty or a petty point? </w:t>
      </w:r>
      <w:r>
        <w:rPr>
          <w:rFonts w:ascii="Book Antiqua" w:eastAsia="Book Antiqua" w:hAnsi="Book Antiqua" w:cs="Book Antiqua"/>
          <w:i/>
          <w:iCs/>
          <w:color w:val="000000"/>
        </w:rPr>
        <w:t>Arch Toxicol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14:paraId="2ABE57E7" w14:textId="77777777" w:rsidR="00A77B3E" w:rsidRDefault="00650E2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Clemmensen C</w:t>
      </w:r>
      <w:r>
        <w:rPr>
          <w:rFonts w:ascii="Book Antiqua" w:eastAsia="Book Antiqua" w:hAnsi="Book Antiqua" w:cs="Book Antiqua"/>
          <w:color w:val="000000"/>
        </w:rPr>
        <w:t xml:space="preserve">, Petersen MB, Sørensen TIA. Will the COVID-19 pandemic worsen the obesity epidemic?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469-470 [PMID: 32641837 DOI: 10.1038/s41574-020-0387-z]</w:t>
      </w:r>
    </w:p>
    <w:p w14:paraId="633F0B56" w14:textId="77777777" w:rsidR="00A77B3E" w:rsidRDefault="00650E2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Stanfield D</w:t>
      </w:r>
      <w:r>
        <w:rPr>
          <w:rFonts w:ascii="Book Antiqua" w:eastAsia="Book Antiqua" w:hAnsi="Book Antiqua" w:cs="Book Antiqua"/>
          <w:color w:val="000000"/>
        </w:rPr>
        <w:t xml:space="preserve">, Lucey MR. The Heightened Risk of Fatty Liver Disorders in the Time of COVID-19.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2580-2581 [PMID: 33276827 DOI: 10.1016/j.mayocp.2020.10.020]</w:t>
      </w:r>
    </w:p>
    <w:p w14:paraId="04A2DAF5" w14:textId="77777777" w:rsidR="00A77B3E" w:rsidRDefault="00650E2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Peeraphatdit TB</w:t>
      </w:r>
      <w:r>
        <w:rPr>
          <w:rFonts w:ascii="Book Antiqua" w:eastAsia="Book Antiqua" w:hAnsi="Book Antiqua" w:cs="Book Antiqua"/>
          <w:color w:val="000000"/>
        </w:rPr>
        <w:t xml:space="preserve">, Ahn JC, Choi DH, Allen AM, Simonetto DA, Kamath PS, Shah VH. A Cohort Study Examining the Interaction of Alcohol Consumption and Obesity in Hepatic Steatosis and Mortality.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2612-2620 [PMID: 33276835 DOI: 10.1016/j.mayocp.2020.04.046]</w:t>
      </w:r>
    </w:p>
    <w:p w14:paraId="76B68E04" w14:textId="77777777" w:rsidR="00A77B3E" w:rsidRDefault="00650E2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Merli M</w:t>
      </w:r>
      <w:r>
        <w:rPr>
          <w:rFonts w:ascii="Book Antiqua" w:eastAsia="Book Antiqua" w:hAnsi="Book Antiqua" w:cs="Book Antiqua"/>
          <w:color w:val="000000"/>
        </w:rPr>
        <w:t xml:space="preserve">, Perricone G, Lauterio A, Prosperi M, Travi G, Roselli E, Petrò L, De Carlis L, Belli L, Puoti M. Coronaviruses and Immunosuppressed Patients: The Facts During the Third Epidemic.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1543-1544 [PMID: 32475054 DOI: 10.1002/</w:t>
      </w:r>
      <w:r w:rsidR="00332CEF">
        <w:rPr>
          <w:rFonts w:ascii="Book Antiqua" w:hAnsi="Book Antiqua" w:cs="Book Antiqua" w:hint="eastAsia"/>
          <w:color w:val="000000"/>
          <w:lang w:eastAsia="zh-CN"/>
        </w:rPr>
        <w:t>l</w:t>
      </w:r>
      <w:r>
        <w:rPr>
          <w:rFonts w:ascii="Book Antiqua" w:eastAsia="Book Antiqua" w:hAnsi="Book Antiqua" w:cs="Book Antiqua"/>
          <w:color w:val="000000"/>
        </w:rPr>
        <w:t>t.25806]</w:t>
      </w:r>
    </w:p>
    <w:p w14:paraId="54732550" w14:textId="77777777" w:rsidR="00A77B3E" w:rsidRDefault="00650E2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Da BL</w:t>
      </w:r>
      <w:r>
        <w:rPr>
          <w:rFonts w:ascii="Book Antiqua" w:eastAsia="Book Antiqua" w:hAnsi="Book Antiqua" w:cs="Book Antiqua"/>
          <w:color w:val="000000"/>
        </w:rPr>
        <w:t xml:space="preserve">, Im GY, Schiano TD. Coronavirus Disease 2019 Hangover: A Rising Tide of Alcohol Use Disorder and Alcohol-Associated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1102-1108 [PMID: 32369624 DOI: 10.1002/hep.31307]</w:t>
      </w:r>
    </w:p>
    <w:p w14:paraId="606B63A0" w14:textId="77777777" w:rsidR="00A77B3E" w:rsidRDefault="00650E21">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Wiśniewska H</w:t>
      </w:r>
      <w:r>
        <w:rPr>
          <w:rFonts w:ascii="Book Antiqua" w:eastAsia="Book Antiqua" w:hAnsi="Book Antiqua" w:cs="Book Antiqua"/>
          <w:color w:val="000000"/>
        </w:rPr>
        <w:t xml:space="preserve">, Skowron M, Bander D, Hornung M, Jurczyk K, Karpińska E, Laurans Ł, Socha Ł, Czajkowski Z, Wawrzynowicz-Syczewska M. Nosocomial COVID-19 Infection and Severe COVID-19 Pneumonia in Patients Hospitalized for Alcoholic Liver Disease: A Case Report.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e927452 [PMID: 32973125 DOI: 10.12659/AJCR.927452]</w:t>
      </w:r>
    </w:p>
    <w:p w14:paraId="12D9CABE" w14:textId="77777777" w:rsidR="00A77B3E" w:rsidRDefault="00650E2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Kapuria D</w:t>
      </w:r>
      <w:r>
        <w:rPr>
          <w:rFonts w:ascii="Book Antiqua" w:eastAsia="Book Antiqua" w:hAnsi="Book Antiqua" w:cs="Book Antiqua"/>
          <w:color w:val="000000"/>
        </w:rPr>
        <w:t xml:space="preserve">, Upadhyay S, Shekhar R, Torrazza-Perez E. Alcoholic Liver Disease and COVID-19 Pneumonia: A Case Series.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463-466 [PMID: 33447531 DOI: 10.14218/JCTH.2020.00053]</w:t>
      </w:r>
    </w:p>
    <w:p w14:paraId="484397CA" w14:textId="77777777" w:rsidR="00A77B3E" w:rsidRDefault="00650E2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Karimi-Sari H</w:t>
      </w:r>
      <w:r>
        <w:rPr>
          <w:rFonts w:ascii="Book Antiqua" w:eastAsia="Book Antiqua" w:hAnsi="Book Antiqua" w:cs="Book Antiqua"/>
          <w:color w:val="000000"/>
        </w:rPr>
        <w:t xml:space="preserve">, Rezaee-Zavareh MS. COVID-19 and viral hepatitis elimination programs: Are we stepping backward?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2042 [PMID: 32319207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iv.14486]</w:t>
      </w:r>
    </w:p>
    <w:p w14:paraId="64230622" w14:textId="77777777" w:rsidR="00A77B3E" w:rsidRDefault="00650E2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Blach S</w:t>
      </w:r>
      <w:r>
        <w:rPr>
          <w:rFonts w:ascii="Book Antiqua" w:eastAsia="Book Antiqua" w:hAnsi="Book Antiqua" w:cs="Book Antiqua"/>
          <w:color w:val="000000"/>
        </w:rPr>
        <w:t xml:space="preserve">, Kondili LA, Aghemo A, Cai Z, Dugan E, Estes C, Gamkrelidze I, Ma S, Pawlotsky JM, Razavi-Shearer D, Razavi H, Waked I, Zeuzem S, Craxi A. Impact of COVID-19 on global HCV elimination efforts.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31-36 [PMID: 32777322 DOI: 10.1016/j.jhep.2020.07.042]</w:t>
      </w:r>
    </w:p>
    <w:p w14:paraId="2EAF39D1" w14:textId="77777777" w:rsidR="00A77B3E" w:rsidRDefault="00650E2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1349DD3F" w14:textId="77777777" w:rsidR="00A77B3E" w:rsidRDefault="00650E2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Hunt RH</w:t>
      </w:r>
      <w:r>
        <w:rPr>
          <w:rFonts w:ascii="Book Antiqua" w:eastAsia="Book Antiqua" w:hAnsi="Book Antiqua" w:cs="Book Antiqua"/>
          <w:color w:val="000000"/>
        </w:rPr>
        <w:t xml:space="preserve">, East JE, Lanas A, Malfertheiner P, Satsangi J, Scarpignato C, Webb GJ. COVID-19 and Gastrointestinal Disease: Implications for the Gastroenterologist.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119-139 [PMID: 33040064 DOI: 10.1159/000512152]</w:t>
      </w:r>
    </w:p>
    <w:p w14:paraId="13B976F5" w14:textId="77777777" w:rsidR="00A77B3E" w:rsidRDefault="00650E2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w:t>
      </w:r>
      <w:r>
        <w:rPr>
          <w:rFonts w:ascii="Book Antiqua" w:eastAsia="Book Antiqua" w:hAnsi="Book Antiqua" w:cs="Book Antiqua"/>
          <w:color w:val="000000"/>
        </w:rPr>
        <w:lastRenderedPageBreak/>
        <w:t xml:space="preserve">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4D1549E7" w14:textId="77777777" w:rsidR="00A77B3E" w:rsidRDefault="00650E2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44C105E6" w14:textId="77777777" w:rsidR="00A77B3E" w:rsidRDefault="00650E2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Asrani SK</w:t>
      </w:r>
      <w:r>
        <w:rPr>
          <w:rFonts w:ascii="Book Antiqua" w:eastAsia="Book Antiqua" w:hAnsi="Book Antiqua" w:cs="Book Antiqua"/>
          <w:color w:val="000000"/>
        </w:rPr>
        <w:t xml:space="preserve">, Devarbhavi H, Eaton J, Kamath PS. Burden of liver diseases in the world.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151-171 [PMID: 30266282 DOI: 10.1016/j.jhep.2018.09.014]</w:t>
      </w:r>
    </w:p>
    <w:p w14:paraId="3C0C205F" w14:textId="77777777" w:rsidR="00A77B3E" w:rsidRDefault="00650E2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Asrani SK. The COVID-19 pandemic will have a long-lasting impact on the quality of cirrhosis care.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441-445 [PMID: 32298769 DOI: 10.1016/j.jhep.2020.04.005]</w:t>
      </w:r>
    </w:p>
    <w:p w14:paraId="3842B1DB" w14:textId="77777777" w:rsidR="00A77B3E" w:rsidRDefault="00650E2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Chan SL</w:t>
      </w:r>
      <w:r>
        <w:rPr>
          <w:rFonts w:ascii="Book Antiqua" w:eastAsia="Book Antiqua" w:hAnsi="Book Antiqua" w:cs="Book Antiqua"/>
          <w:color w:val="000000"/>
        </w:rPr>
        <w:t xml:space="preserve">, Kudo M. Impacts of COVID-19 on Liver Cancers: During and after the Pandemic.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491-502 [PMID: 33078127 DOI: 10.1159/000510765]</w:t>
      </w:r>
    </w:p>
    <w:p w14:paraId="71ADF420" w14:textId="77777777" w:rsidR="00A77B3E" w:rsidRDefault="00650E2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Iavarone M</w:t>
      </w:r>
      <w:r>
        <w:rPr>
          <w:rFonts w:ascii="Book Antiqua" w:eastAsia="Book Antiqua" w:hAnsi="Book Antiqua" w:cs="Book Antiqua"/>
          <w:color w:val="000000"/>
        </w:rPr>
        <w:t xml:space="preserve">, Sangiovanni A, Carrafiello G, Rossi G, Lampertico P. Management of hepatocellular carcinoma in the time of COVID-19.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1084-1085 [PMID: 32330540 DOI: 10.1016/j.annonc.2020.04.007]</w:t>
      </w:r>
    </w:p>
    <w:p w14:paraId="397B5A19" w14:textId="77777777" w:rsidR="00A77B3E" w:rsidRDefault="00650E2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4C3C4F44" w14:textId="77777777" w:rsidR="00A77B3E" w:rsidRDefault="00650E2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Niriella MA</w:t>
      </w:r>
      <w:r>
        <w:rPr>
          <w:rFonts w:ascii="Book Antiqua" w:eastAsia="Book Antiqua" w:hAnsi="Book Antiqua" w:cs="Book Antiqua"/>
          <w:color w:val="000000"/>
        </w:rPr>
        <w:t xml:space="preserve">, Siriwardana RC, Perera MTPR, Narasimhan G, Chan SC, Dassanayake AS. Challenges for Liver Transplantation During Recovery From the COVID-19 Pandemic: Insights and Recommendations.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2601-2606 [PMID: 32586665 DOI: 10.1016/j.transproceed.2020.05.032]</w:t>
      </w:r>
    </w:p>
    <w:p w14:paraId="40B9C9E8" w14:textId="77777777" w:rsidR="00A77B3E" w:rsidRDefault="00650E2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Di Maira T</w:t>
      </w:r>
      <w:r>
        <w:rPr>
          <w:rFonts w:ascii="Book Antiqua" w:eastAsia="Book Antiqua" w:hAnsi="Book Antiqua" w:cs="Book Antiqua"/>
          <w:color w:val="000000"/>
        </w:rPr>
        <w:t xml:space="preserve">, Berenguer M. COVID-19 and liver transplantation.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526-528 [PMID: 32651555 DOI: 10.1038/s41575-020-0347-z]</w:t>
      </w:r>
    </w:p>
    <w:p w14:paraId="328399D5" w14:textId="77777777" w:rsidR="00A77B3E" w:rsidRDefault="00650E2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Ritschl PV</w:t>
      </w:r>
      <w:r>
        <w:rPr>
          <w:rFonts w:ascii="Book Antiqua" w:eastAsia="Book Antiqua" w:hAnsi="Book Antiqua" w:cs="Book Antiqua"/>
          <w:color w:val="000000"/>
        </w:rPr>
        <w:t xml:space="preserve">, Nevermann N, Wiering L, Wu HH, Moroder P, Brandl A, Hillebrandt K, Tacke F, Friedersdorff F, Schlomm T, Schöning W, Öllinger R, Schmelzle M, Pratschke J. Solid organ transplantation programs facing lack of empiric evidence in the COVID-19 </w:t>
      </w:r>
      <w:r>
        <w:rPr>
          <w:rFonts w:ascii="Book Antiqua" w:eastAsia="Book Antiqua" w:hAnsi="Book Antiqua" w:cs="Book Antiqua"/>
          <w:color w:val="000000"/>
        </w:rPr>
        <w:lastRenderedPageBreak/>
        <w:t xml:space="preserve">pandemic: A By-proxy Society Recommendation Consensus approach.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1826-1836 [PMID: 32323460 DOI: 10.1111/ajt.15933]</w:t>
      </w:r>
    </w:p>
    <w:p w14:paraId="7DB13DF7" w14:textId="77777777" w:rsidR="00A77B3E" w:rsidRDefault="00650E2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Manuel O, Natori Y, Egawa H, Grossi P, Han SH, Fernández-Ruiz M, Humar A. COVID-19: A global transplant perspective on successfully navigating a pandemic.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1773-1779 [PMID: 32202064 DOI: 10.1111/ajt.15876]</w:t>
      </w:r>
    </w:p>
    <w:p w14:paraId="13A338C6" w14:textId="77777777" w:rsidR="00A77B3E" w:rsidRDefault="00650E2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Cornberg M</w:t>
      </w:r>
      <w:r>
        <w:rPr>
          <w:rFonts w:ascii="Book Antiqua" w:eastAsia="Book Antiqua" w:hAnsi="Book Antiqua" w:cs="Book Antiqua"/>
          <w:color w:val="000000"/>
        </w:rPr>
        <w:t xml:space="preserve">, Buti M, Eberhardt CS, Grossi PA, Shouval D. EASL position paper on the use of COVID-19 vaccines in patients with chronic liver diseases, hepatobiliary cancer and liver transplant recipients.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944-951 [PMID: 33563499 DOI: 10.1016/j.jhep.2021.01.032]</w:t>
      </w:r>
    </w:p>
    <w:p w14:paraId="77C5CA22" w14:textId="77777777" w:rsidR="00A77B3E" w:rsidRDefault="00650E2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D'Antiga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832-834 [PMID: 32196933 DOI: 10.1002/</w:t>
      </w:r>
      <w:r w:rsidR="00332CEF">
        <w:rPr>
          <w:rFonts w:ascii="Book Antiqua" w:hAnsi="Book Antiqua" w:cs="Book Antiqua" w:hint="eastAsia"/>
          <w:color w:val="000000"/>
          <w:lang w:eastAsia="zh-CN"/>
        </w:rPr>
        <w:t>l</w:t>
      </w:r>
      <w:r>
        <w:rPr>
          <w:rFonts w:ascii="Book Antiqua" w:eastAsia="Book Antiqua" w:hAnsi="Book Antiqua" w:cs="Book Antiqua"/>
          <w:color w:val="000000"/>
        </w:rPr>
        <w:t>t.25756]</w:t>
      </w:r>
    </w:p>
    <w:p w14:paraId="79E8821E" w14:textId="77777777" w:rsidR="00A77B3E" w:rsidRDefault="00650E2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Colmenero J</w:t>
      </w:r>
      <w:r>
        <w:rPr>
          <w:rFonts w:ascii="Book Antiqua" w:eastAsia="Book Antiqua" w:hAnsi="Book Antiqua" w:cs="Book Antiqua"/>
          <w:color w:val="000000"/>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148-155 [PMID: 32750442 DOI: 10.1016/j.jhep.2020.07.040]</w:t>
      </w:r>
    </w:p>
    <w:p w14:paraId="67D4BE32" w14:textId="77777777" w:rsidR="00A77B3E" w:rsidRDefault="00650E2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Qin J</w:t>
      </w:r>
      <w:r>
        <w:rPr>
          <w:rFonts w:ascii="Book Antiqua" w:eastAsia="Book Antiqua" w:hAnsi="Book Antiqua" w:cs="Book Antiqua"/>
          <w:color w:val="000000"/>
        </w:rPr>
        <w:t xml:space="preserve">, Wang H, Qin X, Zhang P, Zhu L, Cai J, Yuan Y, Li H. Perioperative Presentation of COVID-19 Disease in a Liver Transplant Recipient.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1491-1493 [PMID: 32220017 DOI: 10.1002/hep.31257]</w:t>
      </w:r>
    </w:p>
    <w:p w14:paraId="67916365" w14:textId="77777777" w:rsidR="00A77B3E" w:rsidRDefault="00650E2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Di Giorgio A</w:t>
      </w:r>
      <w:r>
        <w:rPr>
          <w:rFonts w:ascii="Book Antiqua" w:eastAsia="Book Antiqua" w:hAnsi="Book Antiqua" w:cs="Book Antiqua"/>
          <w:color w:val="000000"/>
        </w:rPr>
        <w:t xml:space="preserve">, Hartleif S, Warner S, Kelly D. COVID-19 in Children With Liver Disease.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616381 [PMID: 33777864 DOI: 10.3389/fped.2021.616381]</w:t>
      </w:r>
    </w:p>
    <w:p w14:paraId="4F9F14B9" w14:textId="77777777" w:rsidR="00A77B3E" w:rsidRPr="001F1F23" w:rsidRDefault="00650E21">
      <w:pPr>
        <w:spacing w:line="360" w:lineRule="auto"/>
        <w:jc w:val="both"/>
      </w:pPr>
      <w:r w:rsidRPr="001F1F23">
        <w:rPr>
          <w:rFonts w:ascii="Book Antiqua" w:eastAsia="Book Antiqua" w:hAnsi="Book Antiqua" w:cs="Book Antiqua"/>
          <w:color w:val="000000"/>
        </w:rPr>
        <w:t xml:space="preserve">68 </w:t>
      </w:r>
      <w:r w:rsidR="00332CEF" w:rsidRPr="001F1F23">
        <w:rPr>
          <w:rFonts w:ascii="Book Antiqua" w:hAnsi="Book Antiqua" w:cs="Book Antiqua" w:hint="eastAsia"/>
          <w:b/>
          <w:color w:val="000000"/>
          <w:lang w:eastAsia="zh-CN"/>
        </w:rPr>
        <w:t xml:space="preserve">U.S. </w:t>
      </w:r>
      <w:r w:rsidR="00332CEF" w:rsidRPr="001F1F23">
        <w:rPr>
          <w:rFonts w:ascii="Book Antiqua" w:eastAsia="Book Antiqua" w:hAnsi="Book Antiqua" w:cs="Book Antiqua"/>
          <w:b/>
          <w:color w:val="000000"/>
        </w:rPr>
        <w:t>National Library of Medicine</w:t>
      </w:r>
      <w:r w:rsidR="00332CEF" w:rsidRPr="001F1F23">
        <w:rPr>
          <w:rFonts w:ascii="Book Antiqua" w:hAnsi="Book Antiqua" w:cs="Book Antiqua" w:hint="eastAsia"/>
          <w:color w:val="000000"/>
          <w:lang w:eastAsia="zh-CN"/>
        </w:rPr>
        <w:t>.</w:t>
      </w:r>
      <w:r w:rsidR="00332CEF" w:rsidRPr="001F1F23">
        <w:rPr>
          <w:rFonts w:ascii="Book Antiqua" w:eastAsia="Book Antiqua" w:hAnsi="Book Antiqua" w:cs="Book Antiqua"/>
          <w:color w:val="000000"/>
        </w:rPr>
        <w:t xml:space="preserve"> Identifier NCT00287391. [cited 27 Feb 2021]</w:t>
      </w:r>
      <w:r w:rsidR="00332CEF" w:rsidRPr="001F1F23">
        <w:rPr>
          <w:rFonts w:ascii="Book Antiqua" w:hAnsi="Book Antiqua" w:cs="Book Antiqua" w:hint="eastAsia"/>
          <w:color w:val="000000"/>
          <w:lang w:eastAsia="zh-CN"/>
        </w:rPr>
        <w:t xml:space="preserve">. In: </w:t>
      </w:r>
      <w:r w:rsidR="00332CEF" w:rsidRPr="001F1F23">
        <w:rPr>
          <w:rFonts w:ascii="Book Antiqua" w:eastAsia="Book Antiqua" w:hAnsi="Book Antiqua" w:cs="Book Antiqua"/>
          <w:color w:val="000000"/>
        </w:rPr>
        <w:t>ClinicalTrials.gov [Internet]. 2000 Feb 29 -</w:t>
      </w:r>
      <w:r w:rsidR="00332CEF" w:rsidRPr="001F1F23">
        <w:rPr>
          <w:rFonts w:ascii="Book Antiqua" w:hAnsi="Book Antiqua" w:cs="Book Antiqua" w:hint="eastAsia"/>
          <w:color w:val="000000"/>
          <w:lang w:eastAsia="zh-CN"/>
        </w:rPr>
        <w:t xml:space="preserve"> </w:t>
      </w:r>
      <w:r w:rsidR="00332CEF" w:rsidRPr="001F1F23">
        <w:rPr>
          <w:rFonts w:ascii="Book Antiqua" w:eastAsia="Book Antiqua" w:hAnsi="Book Antiqua" w:cs="Book Antiqua"/>
          <w:color w:val="000000"/>
        </w:rPr>
        <w:t>. [about 15 screens]. Available from: URL: https://clinicaltrials.gov/ct2/results?cond=liver+disease&amp;Search=Apply&amp;recrs=a&amp;age_v=&amp;gndr=&amp;type=&amp;rslt=</w:t>
      </w:r>
    </w:p>
    <w:p w14:paraId="24EAE0CA" w14:textId="77777777" w:rsidR="00A77B3E" w:rsidRPr="001F1F23" w:rsidRDefault="00650E21">
      <w:pPr>
        <w:spacing w:line="360" w:lineRule="auto"/>
        <w:jc w:val="both"/>
        <w:rPr>
          <w:lang w:eastAsia="zh-CN"/>
        </w:rPr>
      </w:pPr>
      <w:r w:rsidRPr="001F1F23">
        <w:rPr>
          <w:rFonts w:ascii="Book Antiqua" w:eastAsia="Book Antiqua" w:hAnsi="Book Antiqua" w:cs="Book Antiqua"/>
          <w:color w:val="000000"/>
        </w:rPr>
        <w:lastRenderedPageBreak/>
        <w:t xml:space="preserve">69 </w:t>
      </w:r>
      <w:r w:rsidR="00F879D4" w:rsidRPr="001F1F23">
        <w:rPr>
          <w:rFonts w:ascii="Book Antiqua" w:eastAsia="Book Antiqua" w:hAnsi="Book Antiqua" w:cs="Book Antiqua"/>
          <w:b/>
          <w:color w:val="000000"/>
        </w:rPr>
        <w:t>Erlandson</w:t>
      </w:r>
      <w:r w:rsidR="00F879D4" w:rsidRPr="001F1F23">
        <w:rPr>
          <w:rFonts w:ascii="Book Antiqua" w:hAnsi="Book Antiqua" w:cs="Book Antiqua" w:hint="eastAsia"/>
          <w:b/>
          <w:color w:val="000000"/>
          <w:lang w:eastAsia="zh-CN"/>
        </w:rPr>
        <w:t xml:space="preserve"> K</w:t>
      </w:r>
      <w:r w:rsidR="00F879D4" w:rsidRPr="001F1F23">
        <w:rPr>
          <w:rFonts w:ascii="Book Antiqua" w:hAnsi="Book Antiqua" w:cs="Book Antiqua" w:hint="eastAsia"/>
          <w:color w:val="000000"/>
          <w:lang w:eastAsia="zh-CN"/>
        </w:rPr>
        <w:t xml:space="preserve">, </w:t>
      </w:r>
      <w:r w:rsidR="00F879D4" w:rsidRPr="001F1F23">
        <w:rPr>
          <w:rFonts w:ascii="Book Antiqua" w:hAnsi="Book Antiqua" w:cs="Book Antiqua"/>
          <w:color w:val="000000"/>
          <w:lang w:eastAsia="zh-CN"/>
        </w:rPr>
        <w:t>Lake</w:t>
      </w:r>
      <w:r w:rsidR="00F879D4" w:rsidRPr="001F1F23">
        <w:rPr>
          <w:rFonts w:ascii="Book Antiqua" w:hAnsi="Book Antiqua" w:cs="Book Antiqua" w:hint="eastAsia"/>
          <w:color w:val="000000"/>
          <w:lang w:eastAsia="zh-CN"/>
        </w:rPr>
        <w:t xml:space="preserve"> JE. </w:t>
      </w:r>
      <w:r w:rsidR="00F879D4" w:rsidRPr="001F1F23">
        <w:rPr>
          <w:rFonts w:ascii="Book Antiqua" w:eastAsia="Book Antiqua" w:hAnsi="Book Antiqua" w:cs="Book Antiqua"/>
          <w:color w:val="000000"/>
        </w:rPr>
        <w:t>Study of Semaglutide for Non-Alcoholic Fatty Liver Disease (NAFLD), a Metabolic Syndrome With Insulin Resistance, Increased Hepatic Lipids, and Increased Cardiovascular Disease Risk (The SLIM LIVER Study)</w:t>
      </w:r>
      <w:r w:rsidR="00F879D4" w:rsidRPr="001F1F23">
        <w:rPr>
          <w:rFonts w:ascii="Book Antiqua" w:hAnsi="Book Antiqua" w:cs="Book Antiqua" w:hint="eastAsia"/>
          <w:color w:val="000000"/>
          <w:lang w:eastAsia="zh-CN"/>
        </w:rPr>
        <w:t>.</w:t>
      </w:r>
      <w:r w:rsidRPr="001F1F23">
        <w:rPr>
          <w:rFonts w:ascii="Book Antiqua" w:eastAsia="Book Antiqua" w:hAnsi="Book Antiqua" w:cs="Book Antiqua"/>
          <w:color w:val="000000"/>
        </w:rPr>
        <w:t xml:space="preserve"> </w:t>
      </w:r>
      <w:r w:rsidR="00F879D4" w:rsidRPr="001F1F23">
        <w:rPr>
          <w:rFonts w:ascii="Book Antiqua" w:eastAsia="Times New Roman" w:hAnsi="Book Antiqua"/>
          <w:bCs/>
          <w:color w:val="000000" w:themeColor="text1"/>
        </w:rPr>
        <w:t xml:space="preserve">[accessed </w:t>
      </w:r>
      <w:r w:rsidR="00F879D4" w:rsidRPr="001F1F23">
        <w:rPr>
          <w:rFonts w:ascii="Book Antiqua" w:eastAsia="Book Antiqua" w:hAnsi="Book Antiqua" w:cs="Book Antiqua"/>
          <w:color w:val="000000"/>
        </w:rPr>
        <w:t>2021 Feb 27</w:t>
      </w:r>
      <w:r w:rsidR="00F879D4" w:rsidRPr="001F1F23">
        <w:rPr>
          <w:rFonts w:ascii="Book Antiqua" w:eastAsia="Times New Roman" w:hAnsi="Book Antiqua"/>
          <w:bCs/>
          <w:color w:val="000000" w:themeColor="text1"/>
        </w:rPr>
        <w:t>]. In: ClinicalTrials.gov [Internet].</w:t>
      </w:r>
      <w:r w:rsidR="00F879D4" w:rsidRPr="001F1F23">
        <w:rPr>
          <w:rFonts w:ascii="Book Antiqua" w:hAnsi="Book Antiqua" w:hint="eastAsia"/>
          <w:bCs/>
          <w:color w:val="000000" w:themeColor="text1"/>
          <w:lang w:eastAsia="zh-CN"/>
        </w:rPr>
        <w:t xml:space="preserve"> </w:t>
      </w:r>
      <w:r w:rsidR="00F879D4" w:rsidRPr="001F1F23">
        <w:rPr>
          <w:rFonts w:ascii="Book Antiqua" w:eastAsia="Book Antiqua" w:hAnsi="Book Antiqua" w:cs="Book Antiqua"/>
          <w:color w:val="000000"/>
        </w:rPr>
        <w:t>Birmingham</w:t>
      </w:r>
      <w:r w:rsidR="00F879D4" w:rsidRPr="001F1F23">
        <w:rPr>
          <w:rFonts w:ascii="Book Antiqua" w:hAnsi="Book Antiqua" w:cs="Book Antiqua" w:hint="eastAsia"/>
          <w:color w:val="000000"/>
          <w:lang w:eastAsia="zh-CN"/>
        </w:rPr>
        <w:t xml:space="preserve"> </w:t>
      </w:r>
      <w:r w:rsidR="00F879D4" w:rsidRPr="001F1F23">
        <w:rPr>
          <w:rFonts w:ascii="Book Antiqua" w:eastAsia="Times New Roman" w:hAnsi="Book Antiqua"/>
          <w:bCs/>
          <w:color w:val="000000" w:themeColor="text1"/>
        </w:rPr>
        <w:t>(</w:t>
      </w:r>
      <w:r w:rsidR="00F879D4" w:rsidRPr="001F1F23">
        <w:rPr>
          <w:rFonts w:ascii="Book Antiqua" w:hAnsi="Book Antiqua" w:hint="eastAsia"/>
          <w:bCs/>
          <w:color w:val="000000" w:themeColor="text1"/>
          <w:lang w:eastAsia="zh-CN"/>
        </w:rPr>
        <w:t>AL</w:t>
      </w:r>
      <w:r w:rsidR="00F879D4" w:rsidRPr="001F1F23">
        <w:rPr>
          <w:rFonts w:ascii="Book Antiqua" w:eastAsia="Times New Roman" w:hAnsi="Book Antiqua"/>
          <w:bCs/>
          <w:color w:val="000000" w:themeColor="text1"/>
        </w:rPr>
        <w:t>): U.S. National Library of Medicine. Available from:</w:t>
      </w:r>
      <w:r w:rsidR="00F879D4" w:rsidRPr="001F1F23">
        <w:rPr>
          <w:rFonts w:ascii="Book Antiqua" w:hAnsi="Book Antiqua" w:hint="eastAsia"/>
          <w:bCs/>
          <w:color w:val="000000" w:themeColor="text1"/>
          <w:lang w:eastAsia="zh-CN"/>
        </w:rPr>
        <w:t xml:space="preserve"> </w:t>
      </w:r>
      <w:r w:rsidR="00F879D4" w:rsidRPr="001F1F23">
        <w:rPr>
          <w:rFonts w:ascii="Book Antiqua" w:eastAsia="Book Antiqua" w:hAnsi="Book Antiqua" w:cs="Book Antiqua"/>
          <w:color w:val="000000"/>
        </w:rPr>
        <w:t>https://clinicaltrials.gov/ct2/show/NCT04216589?recrs=a&amp;cond=liver+disease&amp;draw=3&amp;rank=58</w:t>
      </w:r>
      <w:r w:rsidR="00F879D4" w:rsidRPr="001F1F23">
        <w:rPr>
          <w:rFonts w:ascii="Book Antiqua" w:hAnsi="Book Antiqua" w:cs="Book Antiqua" w:hint="eastAsia"/>
          <w:color w:val="000000"/>
          <w:lang w:eastAsia="zh-CN"/>
        </w:rPr>
        <w:t xml:space="preserve"> </w:t>
      </w:r>
      <w:r w:rsidR="00F879D4" w:rsidRPr="001F1F23">
        <w:rPr>
          <w:rFonts w:ascii="Book Antiqua" w:eastAsia="Times New Roman" w:hAnsi="Book Antiqua"/>
          <w:bCs/>
          <w:color w:val="000000" w:themeColor="text1"/>
        </w:rPr>
        <w:t>ClinicalTrials.gov Identifier:</w:t>
      </w:r>
      <w:r w:rsidR="00F879D4" w:rsidRPr="001F1F23">
        <w:rPr>
          <w:rFonts w:ascii="Book Antiqua" w:hAnsi="Book Antiqua" w:hint="eastAsia"/>
          <w:bCs/>
          <w:color w:val="000000" w:themeColor="text1"/>
          <w:lang w:eastAsia="zh-CN"/>
        </w:rPr>
        <w:t xml:space="preserve"> </w:t>
      </w:r>
      <w:r w:rsidR="00F879D4" w:rsidRPr="001F1F23">
        <w:rPr>
          <w:rFonts w:ascii="Book Antiqua" w:eastAsia="Book Antiqua" w:hAnsi="Book Antiqua" w:cs="Book Antiqua"/>
          <w:color w:val="000000"/>
        </w:rPr>
        <w:t>NCT04216589</w:t>
      </w:r>
    </w:p>
    <w:p w14:paraId="61BE6838" w14:textId="77777777" w:rsidR="00A77B3E" w:rsidRPr="001F1F23" w:rsidRDefault="00650E21">
      <w:pPr>
        <w:spacing w:line="360" w:lineRule="auto"/>
        <w:jc w:val="both"/>
      </w:pPr>
      <w:r w:rsidRPr="001F1F23">
        <w:rPr>
          <w:rFonts w:ascii="Book Antiqua" w:eastAsia="Book Antiqua" w:hAnsi="Book Antiqua" w:cs="Book Antiqua"/>
          <w:color w:val="000000"/>
        </w:rPr>
        <w:t xml:space="preserve">70 </w:t>
      </w:r>
      <w:r w:rsidR="00F879D4" w:rsidRPr="001F1F23">
        <w:rPr>
          <w:rFonts w:ascii="Book Antiqua" w:eastAsia="Book Antiqua" w:hAnsi="Book Antiqua" w:cs="Book Antiqua"/>
          <w:b/>
          <w:color w:val="000000"/>
        </w:rPr>
        <w:t>Rotman</w:t>
      </w:r>
      <w:r w:rsidR="00F879D4" w:rsidRPr="001F1F23">
        <w:rPr>
          <w:rFonts w:ascii="Book Antiqua" w:hAnsi="Book Antiqua" w:cs="Book Antiqua" w:hint="eastAsia"/>
          <w:b/>
          <w:color w:val="000000"/>
          <w:lang w:eastAsia="zh-CN"/>
        </w:rPr>
        <w:t xml:space="preserve"> Y</w:t>
      </w:r>
      <w:r w:rsidR="00F879D4" w:rsidRPr="001F1F23">
        <w:rPr>
          <w:rFonts w:ascii="Book Antiqua" w:hAnsi="Book Antiqua" w:cs="Book Antiqua" w:hint="eastAsia"/>
          <w:color w:val="000000"/>
          <w:lang w:eastAsia="zh-CN"/>
        </w:rPr>
        <w:t xml:space="preserve">. </w:t>
      </w:r>
      <w:r w:rsidRPr="001F1F23">
        <w:rPr>
          <w:rFonts w:ascii="Book Antiqua" w:eastAsia="Book Antiqua" w:hAnsi="Book Antiqua" w:cs="Book Antiqua"/>
          <w:color w:val="000000"/>
        </w:rPr>
        <w:t>Non-Alcoholic Fatty Liver Disease, the Hepatic Response to Oral Glucose, and the Effect of Semaglutide (NAFLD HEROES)</w:t>
      </w:r>
      <w:r w:rsidR="00F879D4" w:rsidRPr="001F1F23">
        <w:rPr>
          <w:rFonts w:ascii="Book Antiqua" w:hAnsi="Book Antiqua" w:cs="Book Antiqua" w:hint="eastAsia"/>
          <w:color w:val="000000"/>
          <w:lang w:eastAsia="zh-CN"/>
        </w:rPr>
        <w:t>.</w:t>
      </w:r>
      <w:r w:rsidRPr="001F1F23">
        <w:rPr>
          <w:rFonts w:ascii="Book Antiqua" w:eastAsia="Book Antiqua" w:hAnsi="Book Antiqua" w:cs="Book Antiqua"/>
          <w:color w:val="000000"/>
        </w:rPr>
        <w:t xml:space="preserve"> </w:t>
      </w:r>
      <w:r w:rsidR="00F879D4" w:rsidRPr="001F1F23">
        <w:rPr>
          <w:rFonts w:ascii="Book Antiqua" w:eastAsia="Times New Roman" w:hAnsi="Book Antiqua"/>
          <w:bCs/>
          <w:color w:val="000000" w:themeColor="text1"/>
        </w:rPr>
        <w:t xml:space="preserve">[accessed </w:t>
      </w:r>
      <w:r w:rsidR="00F879D4" w:rsidRPr="001F1F23">
        <w:rPr>
          <w:rFonts w:ascii="Book Antiqua" w:eastAsia="Book Antiqua" w:hAnsi="Book Antiqua" w:cs="Book Antiqua"/>
          <w:color w:val="000000"/>
        </w:rPr>
        <w:t>2021 Feb 27</w:t>
      </w:r>
      <w:r w:rsidR="00F879D4" w:rsidRPr="001F1F23">
        <w:rPr>
          <w:rFonts w:ascii="Book Antiqua" w:eastAsia="Times New Roman" w:hAnsi="Book Antiqua"/>
          <w:bCs/>
          <w:color w:val="000000" w:themeColor="text1"/>
        </w:rPr>
        <w:t>]. In: ClinicalTrials.gov [Internet]. Bethesda (MD): U.S. National Library of Medicine. Available from:</w:t>
      </w:r>
      <w:r w:rsidRPr="001F1F23">
        <w:rPr>
          <w:rFonts w:ascii="Book Antiqua" w:eastAsia="Book Antiqua" w:hAnsi="Book Antiqua" w:cs="Book Antiqua"/>
          <w:color w:val="000000"/>
        </w:rPr>
        <w:t xml:space="preserve"> https://clinicaltrials.gov/ct2/show/NCT03884075?recrs=a&amp;cond=liver+disease&amp;draw=3&amp;rank=44</w:t>
      </w:r>
      <w:r w:rsidR="00F879D4" w:rsidRPr="001F1F23">
        <w:rPr>
          <w:rFonts w:ascii="Book Antiqua" w:hAnsi="Book Antiqua" w:cs="Book Antiqua" w:hint="eastAsia"/>
          <w:color w:val="000000"/>
          <w:lang w:eastAsia="zh-CN"/>
        </w:rPr>
        <w:t xml:space="preserve"> </w:t>
      </w:r>
      <w:r w:rsidR="00F879D4" w:rsidRPr="001F1F23">
        <w:rPr>
          <w:rFonts w:ascii="Book Antiqua" w:eastAsia="Times New Roman" w:hAnsi="Book Antiqua"/>
          <w:bCs/>
          <w:color w:val="000000" w:themeColor="text1"/>
        </w:rPr>
        <w:t>ClinicalTrials.gov Identifier:</w:t>
      </w:r>
      <w:r w:rsidR="00F879D4" w:rsidRPr="001F1F23">
        <w:rPr>
          <w:rFonts w:ascii="Book Antiqua" w:eastAsia="Book Antiqua" w:hAnsi="Book Antiqua" w:cs="Book Antiqua"/>
          <w:color w:val="000000"/>
        </w:rPr>
        <w:t xml:space="preserve"> NCT03884075</w:t>
      </w:r>
    </w:p>
    <w:p w14:paraId="60B10715" w14:textId="77777777" w:rsidR="00A77B3E" w:rsidRPr="001F1F23" w:rsidRDefault="00650E21">
      <w:pPr>
        <w:spacing w:line="360" w:lineRule="auto"/>
        <w:jc w:val="both"/>
      </w:pPr>
      <w:r w:rsidRPr="001F1F23">
        <w:rPr>
          <w:rFonts w:ascii="Book Antiqua" w:eastAsia="Book Antiqua" w:hAnsi="Book Antiqua" w:cs="Book Antiqua"/>
          <w:color w:val="000000"/>
        </w:rPr>
        <w:t xml:space="preserve">71 </w:t>
      </w:r>
      <w:r w:rsidR="00F1061C" w:rsidRPr="001F1F23">
        <w:rPr>
          <w:rFonts w:ascii="Book Antiqua" w:eastAsia="Book Antiqua" w:hAnsi="Book Antiqua" w:cs="Book Antiqua"/>
          <w:b/>
          <w:color w:val="000000"/>
        </w:rPr>
        <w:t>Cha</w:t>
      </w:r>
      <w:r w:rsidR="00F1061C" w:rsidRPr="001F1F23">
        <w:rPr>
          <w:rFonts w:ascii="Book Antiqua" w:hAnsi="Book Antiqua" w:cs="Book Antiqua" w:hint="eastAsia"/>
          <w:b/>
          <w:color w:val="000000"/>
          <w:lang w:eastAsia="zh-CN"/>
        </w:rPr>
        <w:t xml:space="preserve"> BS</w:t>
      </w:r>
      <w:r w:rsidR="00F1061C" w:rsidRPr="001F1F23">
        <w:rPr>
          <w:rFonts w:ascii="Book Antiqua" w:hAnsi="Book Antiqua" w:cs="Book Antiqua" w:hint="eastAsia"/>
          <w:color w:val="000000"/>
          <w:lang w:eastAsia="zh-CN"/>
        </w:rPr>
        <w:t xml:space="preserve">. </w:t>
      </w:r>
      <w:r w:rsidR="00F1061C" w:rsidRPr="001F1F23">
        <w:rPr>
          <w:rFonts w:ascii="Book Antiqua" w:eastAsia="Book Antiqua" w:hAnsi="Book Antiqua" w:cs="Book Antiqua"/>
          <w:bCs/>
          <w:color w:val="000000"/>
        </w:rPr>
        <w:t>Comparison of The Effects of Thiazolidinediones(TZD), Sodium- Glucose Cotransporter 2 Inhibitors(SGLT2i) Alone and TZD / SGLT2i Combination Therapy on Non-alcoholic Fatty Liver Disease in Type 2 Diabetic Patients With Fatty Liver</w:t>
      </w:r>
      <w:r w:rsidR="00F1061C" w:rsidRPr="001F1F23">
        <w:rPr>
          <w:rFonts w:ascii="Book Antiqua" w:hAnsi="Book Antiqua" w:cs="Book Antiqua" w:hint="eastAsia"/>
          <w:bCs/>
          <w:color w:val="000000"/>
          <w:lang w:eastAsia="zh-CN"/>
        </w:rPr>
        <w:t>.</w:t>
      </w:r>
      <w:r w:rsidRPr="001F1F23">
        <w:rPr>
          <w:rFonts w:ascii="Book Antiqua" w:eastAsia="Book Antiqua" w:hAnsi="Book Antiqua" w:cs="Book Antiqua"/>
          <w:color w:val="000000"/>
        </w:rPr>
        <w:t xml:space="preserve"> </w:t>
      </w:r>
      <w:r w:rsidR="00F1061C" w:rsidRPr="001F1F23">
        <w:rPr>
          <w:rFonts w:ascii="Book Antiqua" w:eastAsia="Times New Roman" w:hAnsi="Book Antiqua"/>
          <w:bCs/>
          <w:color w:val="000000" w:themeColor="text1"/>
        </w:rPr>
        <w:t xml:space="preserve">[accessed </w:t>
      </w:r>
      <w:r w:rsidR="00F1061C" w:rsidRPr="001F1F23">
        <w:rPr>
          <w:rFonts w:ascii="Book Antiqua" w:eastAsia="Book Antiqua" w:hAnsi="Book Antiqua" w:cs="Book Antiqua"/>
          <w:color w:val="000000"/>
        </w:rPr>
        <w:t>2021 Feb 27</w:t>
      </w:r>
      <w:r w:rsidR="00F1061C" w:rsidRPr="001F1F23">
        <w:rPr>
          <w:rFonts w:ascii="Book Antiqua" w:eastAsia="Times New Roman" w:hAnsi="Book Antiqua"/>
          <w:bCs/>
          <w:color w:val="000000" w:themeColor="text1"/>
        </w:rPr>
        <w:t xml:space="preserve">]. In: ClinicalTrials.gov [Internet]. Seoul: U.S. National Library of Medicine. Available from: </w:t>
      </w:r>
      <w:r w:rsidRPr="001F1F23">
        <w:rPr>
          <w:rFonts w:ascii="Book Antiqua" w:eastAsia="Book Antiqua" w:hAnsi="Book Antiqua" w:cs="Book Antiqua"/>
          <w:color w:val="000000"/>
        </w:rPr>
        <w:t>https://clinicaltrials.gov/ct2/show/NCT03646292?recrs=a&amp;cond=liver+disease&amp;draw=3&amp;rank=47</w:t>
      </w:r>
      <w:r w:rsidR="00F1061C" w:rsidRPr="001F1F23">
        <w:rPr>
          <w:rFonts w:ascii="Book Antiqua" w:hAnsi="Book Antiqua" w:cs="Book Antiqua" w:hint="eastAsia"/>
          <w:color w:val="000000"/>
          <w:lang w:eastAsia="zh-CN"/>
        </w:rPr>
        <w:t xml:space="preserve"> </w:t>
      </w:r>
      <w:r w:rsidR="00F1061C" w:rsidRPr="001F1F23">
        <w:rPr>
          <w:rFonts w:ascii="Book Antiqua" w:eastAsia="Times New Roman" w:hAnsi="Book Antiqua"/>
          <w:bCs/>
          <w:color w:val="000000" w:themeColor="text1"/>
        </w:rPr>
        <w:t>ClinicalTrials.gov Identifier:</w:t>
      </w:r>
      <w:r w:rsidR="00F1061C" w:rsidRPr="001F1F23">
        <w:rPr>
          <w:rFonts w:ascii="Book Antiqua" w:eastAsia="Book Antiqua" w:hAnsi="Book Antiqua" w:cs="Book Antiqua"/>
          <w:color w:val="000000"/>
        </w:rPr>
        <w:t xml:space="preserve"> NCT03646292</w:t>
      </w:r>
    </w:p>
    <w:p w14:paraId="02698933" w14:textId="77777777" w:rsidR="00A77B3E" w:rsidRPr="001F1F23" w:rsidRDefault="00650E21">
      <w:pPr>
        <w:spacing w:line="360" w:lineRule="auto"/>
        <w:jc w:val="both"/>
      </w:pPr>
      <w:r w:rsidRPr="001F1F23">
        <w:rPr>
          <w:rFonts w:ascii="Book Antiqua" w:eastAsia="Book Antiqua" w:hAnsi="Book Antiqua" w:cs="Book Antiqua"/>
          <w:color w:val="000000"/>
        </w:rPr>
        <w:t xml:space="preserve">72 </w:t>
      </w:r>
      <w:r w:rsidR="00B07509" w:rsidRPr="001F1F23">
        <w:rPr>
          <w:rFonts w:ascii="Book Antiqua" w:eastAsia="Book Antiqua" w:hAnsi="Book Antiqua" w:cs="Book Antiqua"/>
          <w:b/>
          <w:color w:val="000000"/>
        </w:rPr>
        <w:t>Ahuja</w:t>
      </w:r>
      <w:r w:rsidR="00B07509" w:rsidRPr="001F1F23">
        <w:rPr>
          <w:rFonts w:ascii="Book Antiqua" w:hAnsi="Book Antiqua" w:cs="Book Antiqua" w:hint="eastAsia"/>
          <w:b/>
          <w:color w:val="000000"/>
          <w:lang w:eastAsia="zh-CN"/>
        </w:rPr>
        <w:t xml:space="preserve"> K</w:t>
      </w:r>
      <w:r w:rsidR="00B07509" w:rsidRPr="001F1F23">
        <w:rPr>
          <w:rFonts w:ascii="Book Antiqua" w:hAnsi="Book Antiqua" w:cs="Book Antiqua" w:hint="eastAsia"/>
          <w:color w:val="000000"/>
          <w:lang w:eastAsia="zh-CN"/>
        </w:rPr>
        <w:t xml:space="preserve">, </w:t>
      </w:r>
      <w:r w:rsidR="00B07509" w:rsidRPr="001F1F23">
        <w:rPr>
          <w:rFonts w:ascii="Book Antiqua" w:hAnsi="Book Antiqua" w:cs="Book Antiqua"/>
          <w:color w:val="000000"/>
          <w:lang w:eastAsia="zh-CN"/>
        </w:rPr>
        <w:t>Sheflin-Findling</w:t>
      </w:r>
      <w:r w:rsidR="00B07509" w:rsidRPr="001F1F23">
        <w:rPr>
          <w:rFonts w:ascii="Book Antiqua" w:hAnsi="Book Antiqua" w:cs="Book Antiqua" w:hint="eastAsia"/>
          <w:color w:val="000000"/>
          <w:lang w:eastAsia="zh-CN"/>
        </w:rPr>
        <w:t xml:space="preserve"> S. </w:t>
      </w:r>
      <w:r w:rsidR="00B07509" w:rsidRPr="001F1F23">
        <w:rPr>
          <w:rFonts w:ascii="Book Antiqua" w:eastAsia="Book Antiqua" w:hAnsi="Book Antiqua" w:cs="Book Antiqua"/>
          <w:bCs/>
          <w:color w:val="000000"/>
        </w:rPr>
        <w:t>Role of Probiotics in Treatment of Pediatric NAFLD Patients by Assessing With Fibroscan</w:t>
      </w:r>
      <w:r w:rsidR="00B07509" w:rsidRPr="001F1F23">
        <w:rPr>
          <w:rFonts w:ascii="Book Antiqua" w:hAnsi="Book Antiqua" w:cs="Book Antiqua" w:hint="eastAsia"/>
          <w:bCs/>
          <w:color w:val="000000"/>
          <w:lang w:eastAsia="zh-CN"/>
        </w:rPr>
        <w:t>.</w:t>
      </w:r>
      <w:r w:rsidRPr="001F1F23">
        <w:rPr>
          <w:rFonts w:ascii="Book Antiqua" w:eastAsia="Book Antiqua" w:hAnsi="Book Antiqua" w:cs="Book Antiqua"/>
          <w:color w:val="000000"/>
        </w:rPr>
        <w:t xml:space="preserve"> </w:t>
      </w:r>
      <w:r w:rsidR="00B07509" w:rsidRPr="001F1F23">
        <w:rPr>
          <w:rFonts w:ascii="Book Antiqua" w:eastAsia="Times New Roman" w:hAnsi="Book Antiqua"/>
          <w:bCs/>
          <w:color w:val="000000" w:themeColor="text1"/>
        </w:rPr>
        <w:t xml:space="preserve">[accessed </w:t>
      </w:r>
      <w:r w:rsidR="00B07509" w:rsidRPr="001F1F23">
        <w:rPr>
          <w:rFonts w:ascii="Book Antiqua" w:eastAsia="Book Antiqua" w:hAnsi="Book Antiqua" w:cs="Book Antiqua"/>
          <w:color w:val="000000"/>
        </w:rPr>
        <w:t>2021 Feb 27</w:t>
      </w:r>
      <w:r w:rsidR="00B07509" w:rsidRPr="001F1F23">
        <w:rPr>
          <w:rFonts w:ascii="Book Antiqua" w:eastAsia="Times New Roman" w:hAnsi="Book Antiqua"/>
          <w:bCs/>
          <w:color w:val="000000" w:themeColor="text1"/>
        </w:rPr>
        <w:t>]. In: ClinicalTrials.gov [Internet]. New Hyde Park</w:t>
      </w:r>
      <w:r w:rsidR="00B07509" w:rsidRPr="001F1F23">
        <w:rPr>
          <w:rFonts w:ascii="Book Antiqua" w:hAnsi="Book Antiqua" w:hint="eastAsia"/>
          <w:bCs/>
          <w:color w:val="000000" w:themeColor="text1"/>
          <w:lang w:eastAsia="zh-CN"/>
        </w:rPr>
        <w:t xml:space="preserve"> (NY)</w:t>
      </w:r>
      <w:r w:rsidR="00B07509" w:rsidRPr="001F1F23">
        <w:rPr>
          <w:rFonts w:ascii="Book Antiqua" w:eastAsia="Times New Roman" w:hAnsi="Book Antiqua"/>
          <w:bCs/>
          <w:color w:val="000000" w:themeColor="text1"/>
        </w:rPr>
        <w:t>: U.S. National Library of Medicine. Available from:</w:t>
      </w:r>
      <w:r w:rsidRPr="001F1F23">
        <w:rPr>
          <w:rFonts w:ascii="Book Antiqua" w:eastAsia="Book Antiqua" w:hAnsi="Book Antiqua" w:cs="Book Antiqua"/>
          <w:color w:val="000000"/>
        </w:rPr>
        <w:t xml:space="preserve"> https://clinicaltrials.gov/ct2/show/NCT04671186?recrs=a&amp;cond=liver+disease&amp;draw=3&amp;rank=60</w:t>
      </w:r>
      <w:r w:rsidR="00B07509" w:rsidRPr="001F1F23">
        <w:rPr>
          <w:rFonts w:ascii="Book Antiqua" w:hAnsi="Book Antiqua" w:cs="Book Antiqua" w:hint="eastAsia"/>
          <w:color w:val="000000"/>
          <w:lang w:eastAsia="zh-CN"/>
        </w:rPr>
        <w:t xml:space="preserve"> </w:t>
      </w:r>
      <w:r w:rsidR="00B07509" w:rsidRPr="001F1F23">
        <w:rPr>
          <w:rFonts w:ascii="Book Antiqua" w:eastAsia="Times New Roman" w:hAnsi="Book Antiqua"/>
          <w:bCs/>
          <w:color w:val="000000" w:themeColor="text1"/>
        </w:rPr>
        <w:t>ClinicalTrials.gov Identifier:</w:t>
      </w:r>
      <w:r w:rsidR="00B07509" w:rsidRPr="001F1F23">
        <w:rPr>
          <w:rFonts w:ascii="Book Antiqua" w:eastAsia="Book Antiqua" w:hAnsi="Book Antiqua" w:cs="Book Antiqua"/>
          <w:color w:val="000000"/>
        </w:rPr>
        <w:t xml:space="preserve"> NCT04671186</w:t>
      </w:r>
    </w:p>
    <w:p w14:paraId="25C11177" w14:textId="77777777" w:rsidR="00A77B3E" w:rsidRPr="001F1F23" w:rsidRDefault="00650E21">
      <w:pPr>
        <w:spacing w:line="360" w:lineRule="auto"/>
        <w:jc w:val="both"/>
      </w:pPr>
      <w:r w:rsidRPr="001F1F23">
        <w:rPr>
          <w:rFonts w:ascii="Book Antiqua" w:eastAsia="Book Antiqua" w:hAnsi="Book Antiqua" w:cs="Book Antiqua"/>
          <w:color w:val="000000"/>
        </w:rPr>
        <w:t xml:space="preserve">73 </w:t>
      </w:r>
      <w:r w:rsidR="00B07509" w:rsidRPr="001F1F23">
        <w:rPr>
          <w:rFonts w:ascii="Book Antiqua" w:eastAsia="Book Antiqua" w:hAnsi="Book Antiqua" w:cs="Book Antiqua"/>
          <w:b/>
          <w:color w:val="000000"/>
        </w:rPr>
        <w:t>Cusi</w:t>
      </w:r>
      <w:r w:rsidR="00B07509" w:rsidRPr="001F1F23">
        <w:rPr>
          <w:rFonts w:ascii="Book Antiqua" w:hAnsi="Book Antiqua" w:cs="Book Antiqua" w:hint="eastAsia"/>
          <w:b/>
          <w:color w:val="000000"/>
          <w:lang w:eastAsia="zh-CN"/>
        </w:rPr>
        <w:t xml:space="preserve"> K</w:t>
      </w:r>
      <w:r w:rsidR="00B07509" w:rsidRPr="001F1F23">
        <w:rPr>
          <w:rFonts w:ascii="Book Antiqua" w:hAnsi="Book Antiqua" w:cs="Book Antiqua" w:hint="eastAsia"/>
          <w:color w:val="000000"/>
          <w:lang w:eastAsia="zh-CN"/>
        </w:rPr>
        <w:t xml:space="preserve">. </w:t>
      </w:r>
      <w:r w:rsidR="00B07509" w:rsidRPr="001F1F23">
        <w:rPr>
          <w:rFonts w:ascii="Book Antiqua" w:eastAsia="Book Antiqua" w:hAnsi="Book Antiqua" w:cs="Book Antiqua"/>
          <w:bCs/>
          <w:color w:val="000000"/>
        </w:rPr>
        <w:t>Lanifibranor in Patients With Type 2 Diabetes &amp; Nonalcoholic Fatty Liver Disease</w:t>
      </w:r>
      <w:r w:rsidR="00B07509" w:rsidRPr="001F1F23">
        <w:rPr>
          <w:rFonts w:ascii="Book Antiqua" w:hAnsi="Book Antiqua" w:cs="Book Antiqua" w:hint="eastAsia"/>
          <w:bCs/>
          <w:color w:val="000000"/>
          <w:lang w:eastAsia="zh-CN"/>
        </w:rPr>
        <w:t>.</w:t>
      </w:r>
      <w:r w:rsidRPr="001F1F23">
        <w:rPr>
          <w:rFonts w:ascii="Book Antiqua" w:eastAsia="Book Antiqua" w:hAnsi="Book Antiqua" w:cs="Book Antiqua"/>
          <w:color w:val="000000"/>
        </w:rPr>
        <w:t xml:space="preserve"> </w:t>
      </w:r>
      <w:r w:rsidR="00B07509" w:rsidRPr="001F1F23">
        <w:rPr>
          <w:rFonts w:ascii="Book Antiqua" w:eastAsia="Times New Roman" w:hAnsi="Book Antiqua"/>
          <w:bCs/>
          <w:color w:val="000000" w:themeColor="text1"/>
        </w:rPr>
        <w:t xml:space="preserve">[accessed </w:t>
      </w:r>
      <w:r w:rsidR="00B07509" w:rsidRPr="001F1F23">
        <w:rPr>
          <w:rFonts w:ascii="Book Antiqua" w:eastAsia="Book Antiqua" w:hAnsi="Book Antiqua" w:cs="Book Antiqua"/>
          <w:color w:val="000000"/>
        </w:rPr>
        <w:t>2021 Feb 27</w:t>
      </w:r>
      <w:r w:rsidR="00B07509" w:rsidRPr="001F1F23">
        <w:rPr>
          <w:rFonts w:ascii="Book Antiqua" w:eastAsia="Times New Roman" w:hAnsi="Book Antiqua"/>
          <w:bCs/>
          <w:color w:val="000000" w:themeColor="text1"/>
        </w:rPr>
        <w:t>]. In: ClinicalTrials.gov [Internet]. Gainesville</w:t>
      </w:r>
      <w:r w:rsidR="00B07509" w:rsidRPr="001F1F23">
        <w:rPr>
          <w:rFonts w:ascii="Book Antiqua" w:hAnsi="Book Antiqua" w:hint="eastAsia"/>
          <w:bCs/>
          <w:color w:val="000000" w:themeColor="text1"/>
          <w:lang w:eastAsia="zh-CN"/>
        </w:rPr>
        <w:t xml:space="preserve"> (FL)</w:t>
      </w:r>
      <w:r w:rsidR="00B07509" w:rsidRPr="001F1F23">
        <w:rPr>
          <w:rFonts w:ascii="Book Antiqua" w:eastAsia="Times New Roman" w:hAnsi="Book Antiqua"/>
          <w:bCs/>
          <w:color w:val="000000" w:themeColor="text1"/>
        </w:rPr>
        <w:t>: U.S. National Library of Medicine. Available from:</w:t>
      </w:r>
      <w:r w:rsidR="00B07509" w:rsidRPr="001F1F23">
        <w:rPr>
          <w:rFonts w:ascii="Book Antiqua" w:eastAsia="Book Antiqua" w:hAnsi="Book Antiqua" w:cs="Book Antiqua"/>
          <w:color w:val="000000"/>
        </w:rPr>
        <w:t xml:space="preserve"> </w:t>
      </w:r>
      <w:r w:rsidRPr="001F1F23">
        <w:rPr>
          <w:rFonts w:ascii="Book Antiqua" w:eastAsia="Book Antiqua" w:hAnsi="Book Antiqua" w:cs="Book Antiqua"/>
          <w:color w:val="000000"/>
        </w:rPr>
        <w:lastRenderedPageBreak/>
        <w:t>https://clinicaltrials.gov/ct2/show/NCT03459079?recrs=a&amp;cond=liver+disease&amp;draw=3&amp;rank=53</w:t>
      </w:r>
      <w:r w:rsidR="00B07509" w:rsidRPr="001F1F23">
        <w:rPr>
          <w:rFonts w:ascii="Book Antiqua" w:eastAsia="Times New Roman" w:hAnsi="Book Antiqua"/>
          <w:bCs/>
          <w:color w:val="000000" w:themeColor="text1"/>
        </w:rPr>
        <w:t xml:space="preserve"> ClinicalTrials.gov Identifier:</w:t>
      </w:r>
      <w:r w:rsidR="00B07509" w:rsidRPr="001F1F23">
        <w:rPr>
          <w:rFonts w:ascii="Book Antiqua" w:eastAsia="Book Antiqua" w:hAnsi="Book Antiqua" w:cs="Book Antiqua"/>
          <w:color w:val="000000"/>
        </w:rPr>
        <w:t xml:space="preserve"> NCT03459079</w:t>
      </w:r>
    </w:p>
    <w:p w14:paraId="7AC7D4F3" w14:textId="77777777" w:rsidR="00A77B3E" w:rsidRPr="001F1F23" w:rsidRDefault="00650E21">
      <w:pPr>
        <w:spacing w:line="360" w:lineRule="auto"/>
        <w:jc w:val="both"/>
      </w:pPr>
      <w:r w:rsidRPr="001F1F23">
        <w:rPr>
          <w:rFonts w:ascii="Book Antiqua" w:eastAsia="Book Antiqua" w:hAnsi="Book Antiqua" w:cs="Book Antiqua"/>
          <w:color w:val="000000"/>
        </w:rPr>
        <w:t xml:space="preserve">74 </w:t>
      </w:r>
      <w:r w:rsidR="00B07509" w:rsidRPr="001F1F23">
        <w:rPr>
          <w:rFonts w:ascii="Book Antiqua" w:eastAsia="Book Antiqua" w:hAnsi="Book Antiqua" w:cs="Book Antiqua"/>
          <w:b/>
          <w:color w:val="000000"/>
        </w:rPr>
        <w:t>Kar</w:t>
      </w:r>
      <w:r w:rsidR="00B07509" w:rsidRPr="001F1F23">
        <w:rPr>
          <w:rFonts w:ascii="Book Antiqua" w:hAnsi="Book Antiqua" w:cs="Book Antiqua" w:hint="eastAsia"/>
          <w:b/>
          <w:color w:val="000000"/>
          <w:lang w:eastAsia="zh-CN"/>
        </w:rPr>
        <w:t xml:space="preserve"> PS</w:t>
      </w:r>
      <w:r w:rsidR="00B07509" w:rsidRPr="001F1F23">
        <w:rPr>
          <w:rFonts w:ascii="Book Antiqua" w:hAnsi="Book Antiqua" w:cs="Book Antiqua" w:hint="eastAsia"/>
          <w:color w:val="000000"/>
          <w:lang w:eastAsia="zh-CN"/>
        </w:rPr>
        <w:t xml:space="preserve">. </w:t>
      </w:r>
      <w:r w:rsidR="00B07509" w:rsidRPr="001F1F23">
        <w:rPr>
          <w:rFonts w:ascii="Book Antiqua" w:eastAsia="Book Antiqua" w:hAnsi="Book Antiqua" w:cs="Book Antiqua"/>
          <w:bCs/>
          <w:color w:val="000000"/>
        </w:rPr>
        <w:t>Effects of Fecal Microbiota Transplantation on Weight in Obese Patients With Non-alcoholic Fatty Liver Disease</w:t>
      </w:r>
      <w:r w:rsidR="00B07509" w:rsidRPr="001F1F23">
        <w:rPr>
          <w:rFonts w:ascii="Book Antiqua" w:hAnsi="Book Antiqua" w:cs="Book Antiqua" w:hint="eastAsia"/>
          <w:bCs/>
          <w:color w:val="000000"/>
          <w:lang w:eastAsia="zh-CN"/>
        </w:rPr>
        <w:t>.</w:t>
      </w:r>
      <w:r w:rsidRPr="001F1F23">
        <w:rPr>
          <w:rFonts w:ascii="Book Antiqua" w:eastAsia="Book Antiqua" w:hAnsi="Book Antiqua" w:cs="Book Antiqua"/>
          <w:color w:val="000000"/>
        </w:rPr>
        <w:t xml:space="preserve"> </w:t>
      </w:r>
      <w:r w:rsidR="00B07509" w:rsidRPr="001F1F23">
        <w:rPr>
          <w:rFonts w:ascii="Book Antiqua" w:eastAsia="Times New Roman" w:hAnsi="Book Antiqua"/>
          <w:bCs/>
          <w:color w:val="000000" w:themeColor="text1"/>
        </w:rPr>
        <w:t xml:space="preserve">[accessed </w:t>
      </w:r>
      <w:r w:rsidR="00B07509" w:rsidRPr="001F1F23">
        <w:rPr>
          <w:rFonts w:ascii="Book Antiqua" w:eastAsia="Book Antiqua" w:hAnsi="Book Antiqua" w:cs="Book Antiqua"/>
          <w:color w:val="000000"/>
        </w:rPr>
        <w:t>2021 Feb 27</w:t>
      </w:r>
      <w:r w:rsidR="00B07509" w:rsidRPr="001F1F23">
        <w:rPr>
          <w:rFonts w:ascii="Book Antiqua" w:eastAsia="Times New Roman" w:hAnsi="Book Antiqua"/>
          <w:bCs/>
          <w:color w:val="000000" w:themeColor="text1"/>
        </w:rPr>
        <w:t>]. In: ClinicalTrials.gov [Internet]. New Delhi: U.S. National Library of Medicine. Available from:</w:t>
      </w:r>
      <w:r w:rsidR="00B07509" w:rsidRPr="001F1F23">
        <w:rPr>
          <w:rFonts w:ascii="Book Antiqua" w:hAnsi="Book Antiqua" w:hint="eastAsia"/>
          <w:bCs/>
          <w:color w:val="000000" w:themeColor="text1"/>
          <w:lang w:eastAsia="zh-CN"/>
        </w:rPr>
        <w:t xml:space="preserve"> </w:t>
      </w:r>
      <w:r w:rsidRPr="001F1F23">
        <w:rPr>
          <w:rFonts w:ascii="Book Antiqua" w:eastAsia="Book Antiqua" w:hAnsi="Book Antiqua" w:cs="Book Antiqua"/>
          <w:color w:val="000000"/>
        </w:rPr>
        <w:t>https://clinicaltrials.gov/ct2/show/NCT04594954?recrs=a&amp;cond=liver+disease&amp;draw=3&amp;rank=26</w:t>
      </w:r>
      <w:r w:rsidR="00B07509" w:rsidRPr="001F1F23">
        <w:rPr>
          <w:rFonts w:ascii="Book Antiqua" w:eastAsia="Times New Roman" w:hAnsi="Book Antiqua"/>
          <w:bCs/>
          <w:color w:val="000000" w:themeColor="text1"/>
        </w:rPr>
        <w:t xml:space="preserve"> ClinicalTrials.gov Identifier:</w:t>
      </w:r>
      <w:r w:rsidR="00B07509" w:rsidRPr="001F1F23">
        <w:rPr>
          <w:rFonts w:ascii="Book Antiqua" w:eastAsia="Book Antiqua" w:hAnsi="Book Antiqua" w:cs="Book Antiqua"/>
          <w:color w:val="000000"/>
        </w:rPr>
        <w:t xml:space="preserve"> NCT04594954</w:t>
      </w:r>
    </w:p>
    <w:p w14:paraId="5F417380" w14:textId="77777777" w:rsidR="00A77B3E" w:rsidRPr="001F1F23" w:rsidRDefault="00650E21">
      <w:pPr>
        <w:spacing w:line="360" w:lineRule="auto"/>
        <w:jc w:val="both"/>
      </w:pPr>
      <w:r w:rsidRPr="001F1F23">
        <w:rPr>
          <w:rFonts w:ascii="Book Antiqua" w:eastAsia="Book Antiqua" w:hAnsi="Book Antiqua" w:cs="Book Antiqua"/>
          <w:color w:val="000000"/>
        </w:rPr>
        <w:t xml:space="preserve">75 </w:t>
      </w:r>
      <w:r w:rsidR="00B07509" w:rsidRPr="001F1F23">
        <w:rPr>
          <w:rFonts w:ascii="Book Antiqua" w:eastAsia="Book Antiqua" w:hAnsi="Book Antiqua" w:cs="Book Antiqua"/>
          <w:b/>
          <w:color w:val="000000"/>
        </w:rPr>
        <w:t>Taub</w:t>
      </w:r>
      <w:r w:rsidR="00B07509" w:rsidRPr="001F1F23">
        <w:rPr>
          <w:rFonts w:ascii="Book Antiqua" w:hAnsi="Book Antiqua" w:cs="Book Antiqua" w:hint="eastAsia"/>
          <w:b/>
          <w:color w:val="000000"/>
          <w:lang w:eastAsia="zh-CN"/>
        </w:rPr>
        <w:t xml:space="preserve"> R</w:t>
      </w:r>
      <w:r w:rsidR="00B07509" w:rsidRPr="001F1F23">
        <w:rPr>
          <w:rFonts w:ascii="Book Antiqua" w:hAnsi="Book Antiqua" w:cs="Book Antiqua" w:hint="eastAsia"/>
          <w:color w:val="000000"/>
          <w:lang w:eastAsia="zh-CN"/>
        </w:rPr>
        <w:t xml:space="preserve">. </w:t>
      </w:r>
      <w:r w:rsidR="00B07509" w:rsidRPr="001F1F23">
        <w:rPr>
          <w:rFonts w:ascii="Book Antiqua" w:eastAsia="Book Antiqua" w:hAnsi="Book Antiqua" w:cs="Book Antiqua"/>
          <w:bCs/>
          <w:color w:val="000000"/>
        </w:rPr>
        <w:t>A Phase 3 Study to Evaluate the Safety and Biomarkers of Resmetirom (MGL-3196) in Non Alcoholic Fatty Liver Disease (NAFLD) Patients (MAESTRO-NAFLD1)</w:t>
      </w:r>
      <w:r w:rsidR="00B07509" w:rsidRPr="001F1F23">
        <w:rPr>
          <w:rFonts w:ascii="Book Antiqua" w:hAnsi="Book Antiqua" w:cs="Book Antiqua" w:hint="eastAsia"/>
          <w:bCs/>
          <w:color w:val="000000"/>
          <w:lang w:eastAsia="zh-CN"/>
        </w:rPr>
        <w:t>.</w:t>
      </w:r>
      <w:r w:rsidRPr="001F1F23">
        <w:rPr>
          <w:rFonts w:ascii="Book Antiqua" w:eastAsia="Book Antiqua" w:hAnsi="Book Antiqua" w:cs="Book Antiqua"/>
          <w:color w:val="000000"/>
        </w:rPr>
        <w:t xml:space="preserve"> </w:t>
      </w:r>
      <w:r w:rsidR="00B07509" w:rsidRPr="001F1F23">
        <w:rPr>
          <w:rFonts w:ascii="Book Antiqua" w:eastAsia="Times New Roman" w:hAnsi="Book Antiqua"/>
          <w:bCs/>
          <w:color w:val="000000" w:themeColor="text1"/>
        </w:rPr>
        <w:t xml:space="preserve">[accessed </w:t>
      </w:r>
      <w:r w:rsidR="00B07509" w:rsidRPr="001F1F23">
        <w:rPr>
          <w:rFonts w:ascii="Book Antiqua" w:eastAsia="Book Antiqua" w:hAnsi="Book Antiqua" w:cs="Book Antiqua"/>
          <w:color w:val="000000"/>
        </w:rPr>
        <w:t>2021 Feb 27</w:t>
      </w:r>
      <w:r w:rsidR="00B07509" w:rsidRPr="001F1F23">
        <w:rPr>
          <w:rFonts w:ascii="Book Antiqua" w:eastAsia="Times New Roman" w:hAnsi="Book Antiqua"/>
          <w:bCs/>
          <w:color w:val="000000" w:themeColor="text1"/>
        </w:rPr>
        <w:t>]. In: ClinicalTrials.gov [Internet]. Birmingham</w:t>
      </w:r>
      <w:r w:rsidR="00B07509" w:rsidRPr="001F1F23">
        <w:rPr>
          <w:rFonts w:ascii="Book Antiqua" w:hAnsi="Book Antiqua" w:hint="eastAsia"/>
          <w:bCs/>
          <w:color w:val="000000" w:themeColor="text1"/>
          <w:lang w:eastAsia="zh-CN"/>
        </w:rPr>
        <w:t xml:space="preserve"> (AL)</w:t>
      </w:r>
      <w:r w:rsidR="00B07509" w:rsidRPr="001F1F23">
        <w:rPr>
          <w:rFonts w:ascii="Book Antiqua" w:eastAsia="Times New Roman" w:hAnsi="Book Antiqua"/>
          <w:bCs/>
          <w:color w:val="000000" w:themeColor="text1"/>
        </w:rPr>
        <w:t>: U.S. National Library of Medicine. Available from:</w:t>
      </w:r>
      <w:r w:rsidR="00B07509" w:rsidRPr="001F1F23">
        <w:rPr>
          <w:rFonts w:ascii="Book Antiqua" w:hAnsi="Book Antiqua" w:hint="eastAsia"/>
          <w:bCs/>
          <w:color w:val="000000" w:themeColor="text1"/>
          <w:lang w:eastAsia="zh-CN"/>
        </w:rPr>
        <w:t xml:space="preserve"> </w:t>
      </w:r>
      <w:r w:rsidRPr="001F1F23">
        <w:rPr>
          <w:rFonts w:ascii="Book Antiqua" w:eastAsia="Book Antiqua" w:hAnsi="Book Antiqua" w:cs="Book Antiqua"/>
          <w:color w:val="000000"/>
        </w:rPr>
        <w:t>https://clinicaltrials.gov/ct2/show/NCT04197479?recrs=a&amp;cond=liver+disease&amp;draw=3&amp;rank=24</w:t>
      </w:r>
      <w:r w:rsidR="00B07509" w:rsidRPr="001F1F23">
        <w:rPr>
          <w:rFonts w:ascii="Book Antiqua" w:eastAsia="Times New Roman" w:hAnsi="Book Antiqua"/>
          <w:bCs/>
          <w:color w:val="000000" w:themeColor="text1"/>
        </w:rPr>
        <w:t xml:space="preserve"> ClinicalTrials.gov Identifier:</w:t>
      </w:r>
      <w:r w:rsidR="00B07509" w:rsidRPr="001F1F23">
        <w:rPr>
          <w:rFonts w:ascii="Book Antiqua" w:eastAsia="Book Antiqua" w:hAnsi="Book Antiqua" w:cs="Book Antiqua"/>
          <w:color w:val="000000"/>
        </w:rPr>
        <w:t xml:space="preserve"> NCT04197479</w:t>
      </w:r>
    </w:p>
    <w:p w14:paraId="6CF8CDD7" w14:textId="77777777" w:rsidR="00A77B3E" w:rsidRDefault="00650E21">
      <w:pPr>
        <w:spacing w:line="360" w:lineRule="auto"/>
        <w:jc w:val="both"/>
      </w:pPr>
      <w:r w:rsidRPr="001F1F23">
        <w:rPr>
          <w:rFonts w:ascii="Book Antiqua" w:eastAsia="Book Antiqua" w:hAnsi="Book Antiqua" w:cs="Book Antiqua"/>
          <w:color w:val="000000"/>
        </w:rPr>
        <w:t xml:space="preserve">76 </w:t>
      </w:r>
      <w:r w:rsidR="00B07509" w:rsidRPr="001F1F23">
        <w:rPr>
          <w:rFonts w:ascii="Book Antiqua" w:eastAsia="Book Antiqua" w:hAnsi="Book Antiqua" w:cs="Book Antiqua"/>
          <w:b/>
          <w:color w:val="000000"/>
        </w:rPr>
        <w:t>CohBar, Inc</w:t>
      </w:r>
      <w:r w:rsidR="00B07509" w:rsidRPr="001F1F23">
        <w:rPr>
          <w:rFonts w:ascii="Book Antiqua" w:eastAsia="Book Antiqua" w:hAnsi="Book Antiqua" w:cs="Book Antiqua"/>
          <w:color w:val="000000"/>
        </w:rPr>
        <w:t>.</w:t>
      </w:r>
      <w:r w:rsidR="00B07509" w:rsidRPr="001F1F23">
        <w:rPr>
          <w:rFonts w:ascii="Book Antiqua" w:hAnsi="Book Antiqua" w:cs="Book Antiqua" w:hint="eastAsia"/>
          <w:color w:val="000000"/>
          <w:lang w:eastAsia="zh-CN"/>
        </w:rPr>
        <w:t xml:space="preserve"> </w:t>
      </w:r>
      <w:r w:rsidR="00B07509" w:rsidRPr="001F1F23">
        <w:rPr>
          <w:rFonts w:ascii="Book Antiqua" w:eastAsia="Book Antiqua" w:hAnsi="Book Antiqua" w:cs="Book Antiqua"/>
          <w:bCs/>
          <w:color w:val="000000"/>
        </w:rPr>
        <w:t>A Phase 1a/1b Study of CB4211 in Healthy Non-obese Subjects and Subjects With Nonalcoholic Fatty Liver Disease</w:t>
      </w:r>
      <w:r w:rsidR="00B07509" w:rsidRPr="001F1F23">
        <w:rPr>
          <w:rFonts w:ascii="Book Antiqua" w:hAnsi="Book Antiqua" w:cs="Book Antiqua" w:hint="eastAsia"/>
          <w:bCs/>
          <w:color w:val="000000"/>
          <w:lang w:eastAsia="zh-CN"/>
        </w:rPr>
        <w:t xml:space="preserve">. </w:t>
      </w:r>
      <w:r w:rsidR="00B07509" w:rsidRPr="001F1F23">
        <w:rPr>
          <w:rFonts w:ascii="Book Antiqua" w:eastAsia="Times New Roman" w:hAnsi="Book Antiqua"/>
          <w:bCs/>
          <w:color w:val="000000" w:themeColor="text1"/>
        </w:rPr>
        <w:t xml:space="preserve">[accessed </w:t>
      </w:r>
      <w:r w:rsidR="00B07509" w:rsidRPr="001F1F23">
        <w:rPr>
          <w:rFonts w:ascii="Book Antiqua" w:eastAsia="Book Antiqua" w:hAnsi="Book Antiqua" w:cs="Book Antiqua"/>
          <w:color w:val="000000"/>
        </w:rPr>
        <w:t>2021 Feb 27</w:t>
      </w:r>
      <w:r w:rsidR="00B07509" w:rsidRPr="001F1F23">
        <w:rPr>
          <w:rFonts w:ascii="Book Antiqua" w:eastAsia="Times New Roman" w:hAnsi="Book Antiqua"/>
          <w:bCs/>
          <w:color w:val="000000" w:themeColor="text1"/>
        </w:rPr>
        <w:t>]. In: ClinicalTrials.gov [Internet]. Chula Vista</w:t>
      </w:r>
      <w:r w:rsidR="00B07509" w:rsidRPr="001F1F23">
        <w:rPr>
          <w:rFonts w:ascii="Book Antiqua" w:hAnsi="Book Antiqua" w:hint="eastAsia"/>
          <w:bCs/>
          <w:color w:val="000000" w:themeColor="text1"/>
          <w:lang w:eastAsia="zh-CN"/>
        </w:rPr>
        <w:t xml:space="preserve"> (CA)</w:t>
      </w:r>
      <w:r w:rsidR="00B07509" w:rsidRPr="001F1F23">
        <w:rPr>
          <w:rFonts w:ascii="Book Antiqua" w:eastAsia="Times New Roman" w:hAnsi="Book Antiqua"/>
          <w:bCs/>
          <w:color w:val="000000" w:themeColor="text1"/>
        </w:rPr>
        <w:t>: U.S. National Library of Medicine. Available from:</w:t>
      </w:r>
      <w:r w:rsidR="00B07509" w:rsidRPr="001F1F23">
        <w:rPr>
          <w:rFonts w:ascii="Book Antiqua" w:hAnsi="Book Antiqua" w:hint="eastAsia"/>
          <w:bCs/>
          <w:color w:val="000000" w:themeColor="text1"/>
          <w:lang w:eastAsia="zh-CN"/>
        </w:rPr>
        <w:t xml:space="preserve"> </w:t>
      </w:r>
      <w:r w:rsidRPr="001F1F23">
        <w:rPr>
          <w:rFonts w:ascii="Book Antiqua" w:eastAsia="Book Antiqua" w:hAnsi="Book Antiqua" w:cs="Book Antiqua"/>
          <w:color w:val="000000"/>
        </w:rPr>
        <w:t>https://clinicaltrials.gov/ct2/show/NCT03998514?recrs=a&amp;cond=liver+disease&amp;draw=3</w:t>
      </w:r>
      <w:r w:rsidR="00B07509" w:rsidRPr="001F1F23">
        <w:rPr>
          <w:rFonts w:ascii="Book Antiqua" w:eastAsia="Times New Roman" w:hAnsi="Book Antiqua"/>
          <w:bCs/>
          <w:color w:val="000000" w:themeColor="text1"/>
        </w:rPr>
        <w:t xml:space="preserve"> ClinicalTrials.gov Identifier:</w:t>
      </w:r>
      <w:r w:rsidR="00B07509" w:rsidRPr="001F1F23">
        <w:rPr>
          <w:rFonts w:ascii="Book Antiqua" w:eastAsia="Book Antiqua" w:hAnsi="Book Antiqua" w:cs="Book Antiqua"/>
          <w:color w:val="000000"/>
        </w:rPr>
        <w:t xml:space="preserve"> NCT03998514</w:t>
      </w:r>
    </w:p>
    <w:p w14:paraId="1FFD90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AB4D84" w14:textId="77777777" w:rsidR="00A77B3E" w:rsidRDefault="00650E21">
      <w:pPr>
        <w:spacing w:line="360" w:lineRule="auto"/>
        <w:jc w:val="both"/>
      </w:pPr>
      <w:r>
        <w:rPr>
          <w:rFonts w:ascii="Book Antiqua" w:eastAsia="Book Antiqua" w:hAnsi="Book Antiqua" w:cs="Book Antiqua"/>
          <w:b/>
          <w:color w:val="000000"/>
        </w:rPr>
        <w:lastRenderedPageBreak/>
        <w:t>Footnotes</w:t>
      </w:r>
    </w:p>
    <w:p w14:paraId="0FC9BBFD" w14:textId="77777777" w:rsidR="00A77B3E" w:rsidRPr="00B673D4" w:rsidRDefault="00650E21">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Authors declare no conflict of interest for this article.</w:t>
      </w:r>
    </w:p>
    <w:p w14:paraId="493D9620" w14:textId="77777777" w:rsidR="00A77B3E" w:rsidRDefault="00A77B3E">
      <w:pPr>
        <w:spacing w:line="360" w:lineRule="auto"/>
        <w:jc w:val="both"/>
      </w:pPr>
    </w:p>
    <w:p w14:paraId="5AB532D3" w14:textId="77777777" w:rsidR="00A77B3E" w:rsidRDefault="00650E2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6BA363" w14:textId="77777777" w:rsidR="00A77B3E" w:rsidRDefault="00A77B3E">
      <w:pPr>
        <w:spacing w:line="360" w:lineRule="auto"/>
        <w:jc w:val="both"/>
      </w:pPr>
    </w:p>
    <w:p w14:paraId="60680BE4" w14:textId="77777777" w:rsidR="00A77B3E" w:rsidRDefault="00650E2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32CE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29D1EA5" w14:textId="77777777" w:rsidR="00A77B3E" w:rsidRDefault="00A77B3E">
      <w:pPr>
        <w:spacing w:line="360" w:lineRule="auto"/>
        <w:jc w:val="both"/>
      </w:pPr>
    </w:p>
    <w:p w14:paraId="30AD5A3D" w14:textId="77777777" w:rsidR="00A77B3E" w:rsidRDefault="00650E2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056B95C7" w14:textId="77777777" w:rsidR="00A77B3E" w:rsidRDefault="00650E2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0B5DAEF0" w14:textId="39422628" w:rsidR="00A77B3E" w:rsidRDefault="00650E21">
      <w:pPr>
        <w:spacing w:line="360" w:lineRule="auto"/>
        <w:jc w:val="both"/>
      </w:pPr>
      <w:r>
        <w:rPr>
          <w:rFonts w:ascii="Book Antiqua" w:eastAsia="Book Antiqua" w:hAnsi="Book Antiqua" w:cs="Book Antiqua"/>
          <w:b/>
          <w:color w:val="000000"/>
        </w:rPr>
        <w:t xml:space="preserve">Article in press: </w:t>
      </w:r>
      <w:r w:rsidR="00FB005E" w:rsidRPr="00FB005E">
        <w:rPr>
          <w:rFonts w:ascii="Book Antiqua" w:eastAsia="Book Antiqua" w:hAnsi="Book Antiqua" w:cs="Book Antiqua"/>
          <w:color w:val="000000"/>
        </w:rPr>
        <w:t>September 1, 2021</w:t>
      </w:r>
    </w:p>
    <w:p w14:paraId="240CF725" w14:textId="77777777" w:rsidR="00A77B3E" w:rsidRDefault="00A77B3E">
      <w:pPr>
        <w:spacing w:line="360" w:lineRule="auto"/>
        <w:jc w:val="both"/>
      </w:pPr>
    </w:p>
    <w:p w14:paraId="207204A2" w14:textId="77777777" w:rsidR="00A77B3E" w:rsidRDefault="00650E2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32CEF">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1288B8C" w14:textId="77777777" w:rsidR="00A77B3E" w:rsidRDefault="00650E2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1B7E6BC1" w14:textId="77777777" w:rsidR="00A77B3E" w:rsidRDefault="00650E21">
      <w:pPr>
        <w:spacing w:line="360" w:lineRule="auto"/>
        <w:jc w:val="both"/>
      </w:pPr>
      <w:r>
        <w:rPr>
          <w:rFonts w:ascii="Book Antiqua" w:eastAsia="Book Antiqua" w:hAnsi="Book Antiqua" w:cs="Book Antiqua"/>
          <w:b/>
          <w:color w:val="000000"/>
        </w:rPr>
        <w:t>Peer-review report’s scientific quality classification</w:t>
      </w:r>
    </w:p>
    <w:p w14:paraId="5BF8822F" w14:textId="77777777" w:rsidR="00A77B3E" w:rsidRDefault="00650E21">
      <w:pPr>
        <w:spacing w:line="360" w:lineRule="auto"/>
        <w:jc w:val="both"/>
      </w:pPr>
      <w:r>
        <w:rPr>
          <w:rFonts w:ascii="Book Antiqua" w:eastAsia="Book Antiqua" w:hAnsi="Book Antiqua" w:cs="Book Antiqua"/>
          <w:color w:val="000000"/>
        </w:rPr>
        <w:t>Grade A (Excellent): 0</w:t>
      </w:r>
    </w:p>
    <w:p w14:paraId="67A73251" w14:textId="77777777" w:rsidR="00A77B3E" w:rsidRDefault="00650E21">
      <w:pPr>
        <w:spacing w:line="360" w:lineRule="auto"/>
        <w:jc w:val="both"/>
      </w:pPr>
      <w:r>
        <w:rPr>
          <w:rFonts w:ascii="Book Antiqua" w:eastAsia="Book Antiqua" w:hAnsi="Book Antiqua" w:cs="Book Antiqua"/>
          <w:color w:val="000000"/>
        </w:rPr>
        <w:t>Grade B (Very good): 0</w:t>
      </w:r>
    </w:p>
    <w:p w14:paraId="14424730" w14:textId="77777777" w:rsidR="00A77B3E" w:rsidRPr="00332CEF" w:rsidRDefault="00650E21">
      <w:pPr>
        <w:spacing w:line="360" w:lineRule="auto"/>
        <w:jc w:val="both"/>
        <w:rPr>
          <w:lang w:eastAsia="zh-CN"/>
        </w:rPr>
      </w:pPr>
      <w:r>
        <w:rPr>
          <w:rFonts w:ascii="Book Antiqua" w:eastAsia="Book Antiqua" w:hAnsi="Book Antiqua" w:cs="Book Antiqua"/>
          <w:color w:val="000000"/>
        </w:rPr>
        <w:t>Grade C (Good): C, C, C</w:t>
      </w:r>
      <w:r w:rsidR="00332CEF">
        <w:rPr>
          <w:rFonts w:ascii="Book Antiqua" w:hAnsi="Book Antiqua" w:cs="Book Antiqua" w:hint="eastAsia"/>
          <w:color w:val="000000"/>
          <w:lang w:eastAsia="zh-CN"/>
        </w:rPr>
        <w:t>, C</w:t>
      </w:r>
    </w:p>
    <w:p w14:paraId="4DB1B648" w14:textId="77777777" w:rsidR="00A77B3E" w:rsidRDefault="00650E21">
      <w:pPr>
        <w:spacing w:line="360" w:lineRule="auto"/>
        <w:jc w:val="both"/>
      </w:pPr>
      <w:r>
        <w:rPr>
          <w:rFonts w:ascii="Book Antiqua" w:eastAsia="Book Antiqua" w:hAnsi="Book Antiqua" w:cs="Book Antiqua"/>
          <w:color w:val="000000"/>
        </w:rPr>
        <w:t>Grade D (Fair): 0</w:t>
      </w:r>
    </w:p>
    <w:p w14:paraId="35AACAB0" w14:textId="77777777" w:rsidR="00A77B3E" w:rsidRDefault="00650E21">
      <w:pPr>
        <w:spacing w:line="360" w:lineRule="auto"/>
        <w:jc w:val="both"/>
      </w:pPr>
      <w:r>
        <w:rPr>
          <w:rFonts w:ascii="Book Antiqua" w:eastAsia="Book Antiqua" w:hAnsi="Book Antiqua" w:cs="Book Antiqua"/>
          <w:color w:val="000000"/>
        </w:rPr>
        <w:t>Grade E (Poor): 0</w:t>
      </w:r>
    </w:p>
    <w:p w14:paraId="742E964E" w14:textId="77777777" w:rsidR="00A77B3E" w:rsidRDefault="00A77B3E">
      <w:pPr>
        <w:spacing w:line="360" w:lineRule="auto"/>
        <w:jc w:val="both"/>
      </w:pPr>
    </w:p>
    <w:p w14:paraId="214E9F5D" w14:textId="329F78C2" w:rsidR="00A77B3E" w:rsidRPr="00FB005E" w:rsidRDefault="00650E2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Ferraioli G, Gupta MK, Skok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FB005E">
        <w:rPr>
          <w:rFonts w:ascii="Book Antiqua" w:hAnsi="Book Antiqua" w:cs="Book Antiqua" w:hint="eastAsia"/>
          <w:b/>
          <w:color w:val="000000"/>
          <w:lang w:eastAsia="zh-CN"/>
        </w:rPr>
        <w:t xml:space="preserve"> </w:t>
      </w:r>
      <w:r w:rsidR="00FB005E" w:rsidRPr="00FB005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FB005E" w:rsidRPr="00FB005E">
        <w:rPr>
          <w:rFonts w:ascii="Book Antiqua" w:hAnsi="Book Antiqua" w:cs="Book Antiqua" w:hint="eastAsia"/>
          <w:color w:val="000000"/>
          <w:lang w:eastAsia="zh-CN"/>
        </w:rPr>
        <w:t>Yuan YY</w:t>
      </w:r>
    </w:p>
    <w:p w14:paraId="3A491C68" w14:textId="6EFAA9BD" w:rsidR="00164D00" w:rsidRDefault="00164D00">
      <w:pPr>
        <w:spacing w:line="360" w:lineRule="auto"/>
        <w:jc w:val="both"/>
        <w:sectPr w:rsidR="00164D00">
          <w:pgSz w:w="12240" w:h="15840"/>
          <w:pgMar w:top="1440" w:right="1440" w:bottom="1440" w:left="1440" w:header="720" w:footer="720" w:gutter="0"/>
          <w:cols w:space="720"/>
          <w:docGrid w:linePitch="360"/>
        </w:sectPr>
      </w:pPr>
    </w:p>
    <w:p w14:paraId="21D3952E" w14:textId="77777777" w:rsidR="00A77B3E" w:rsidRDefault="00650E2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D0EBF8E" w14:textId="77777777" w:rsidR="00B673D4" w:rsidRPr="00B673D4" w:rsidRDefault="00B673D4">
      <w:pPr>
        <w:spacing w:line="360" w:lineRule="auto"/>
        <w:jc w:val="both"/>
        <w:rPr>
          <w:lang w:eastAsia="zh-CN"/>
        </w:rPr>
      </w:pPr>
      <w:r>
        <w:rPr>
          <w:noProof/>
          <w:lang w:eastAsia="zh-CN"/>
        </w:rPr>
        <w:drawing>
          <wp:inline distT="0" distB="0" distL="0" distR="0" wp14:anchorId="6D4D8C44" wp14:editId="530AFAC6">
            <wp:extent cx="5486400" cy="2674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74620"/>
                    </a:xfrm>
                    <a:prstGeom prst="rect">
                      <a:avLst/>
                    </a:prstGeom>
                  </pic:spPr>
                </pic:pic>
              </a:graphicData>
            </a:graphic>
          </wp:inline>
        </w:drawing>
      </w:r>
    </w:p>
    <w:p w14:paraId="49D78D1E" w14:textId="1B611CD8" w:rsidR="00BB1ECA" w:rsidRDefault="00650E2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w:t>
      </w:r>
      <w:r w:rsidR="00B673D4">
        <w:rPr>
          <w:rFonts w:ascii="Book Antiqua" w:eastAsia="Book Antiqua" w:hAnsi="Book Antiqua" w:cs="Book Antiqua"/>
          <w:b/>
          <w:color w:val="000000"/>
        </w:rPr>
        <w:t>gure</w:t>
      </w:r>
      <w:r>
        <w:rPr>
          <w:rFonts w:ascii="Book Antiqua" w:eastAsia="Book Antiqua" w:hAnsi="Book Antiqua" w:cs="Book Antiqua"/>
          <w:b/>
          <w:bCs/>
          <w:color w:val="000000"/>
          <w:szCs w:val="22"/>
        </w:rPr>
        <w:t xml:space="preserve"> 1</w:t>
      </w:r>
      <w:r w:rsidR="00B673D4" w:rsidRPr="00B673D4">
        <w:rPr>
          <w:rFonts w:ascii="Book Antiqua" w:hAnsi="Book Antiqua" w:cs="Book Antiqua" w:hint="eastAsia"/>
          <w:b/>
          <w:bCs/>
          <w:color w:val="000000"/>
          <w:szCs w:val="22"/>
          <w:lang w:eastAsia="zh-CN"/>
        </w:rPr>
        <w:t xml:space="preserve"> </w:t>
      </w:r>
      <w:r w:rsidRPr="00B673D4">
        <w:rPr>
          <w:rFonts w:ascii="Book Antiqua" w:eastAsia="Book Antiqua" w:hAnsi="Book Antiqua" w:cs="Book Antiqua"/>
          <w:b/>
          <w:color w:val="000000"/>
          <w:szCs w:val="22"/>
        </w:rPr>
        <w:t xml:space="preserve">Global and individual effects of the </w:t>
      </w:r>
      <w:r w:rsidR="00B673D4" w:rsidRPr="00B673D4">
        <w:rPr>
          <w:rFonts w:ascii="Book Antiqua" w:eastAsia="Book Antiqua" w:hAnsi="Book Antiqua" w:cs="Book Antiqua"/>
          <w:b/>
          <w:color w:val="000000"/>
          <w:szCs w:val="22"/>
        </w:rPr>
        <w:t>coronavirus disease 2019</w:t>
      </w:r>
      <w:r w:rsidRPr="00B673D4">
        <w:rPr>
          <w:rFonts w:ascii="Book Antiqua" w:eastAsia="Book Antiqua" w:hAnsi="Book Antiqua" w:cs="Book Antiqua"/>
          <w:b/>
          <w:color w:val="000000"/>
          <w:szCs w:val="22"/>
        </w:rPr>
        <w:t xml:space="preserve"> pandemic on liver-related morbidity and mortality.</w:t>
      </w:r>
      <w:r w:rsidR="00B673D4">
        <w:rPr>
          <w:rFonts w:ascii="Book Antiqua" w:hAnsi="Book Antiqua" w:cs="Book Antiqua" w:hint="eastAsia"/>
          <w:b/>
          <w:color w:val="000000"/>
          <w:szCs w:val="22"/>
          <w:lang w:eastAsia="zh-CN"/>
        </w:rPr>
        <w:t xml:space="preserve"> </w:t>
      </w:r>
      <w:r>
        <w:rPr>
          <w:rFonts w:ascii="Book Antiqua" w:eastAsia="Book Antiqua" w:hAnsi="Book Antiqua" w:cs="Book Antiqua"/>
          <w:color w:val="000000"/>
          <w:szCs w:val="22"/>
        </w:rPr>
        <w:t xml:space="preserve">ACLF: </w:t>
      </w:r>
      <w:r w:rsidR="00B673D4">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cute-on-chronic liver failure; AH: </w:t>
      </w:r>
      <w:r w:rsidR="00B673D4">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rterial hypertension; ASH: </w:t>
      </w:r>
      <w:r w:rsidR="00B673D4">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lcoholic steatohepatitis; CLD: </w:t>
      </w:r>
      <w:r w:rsidR="00B673D4">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hronic liver disease; COVID-19: </w:t>
      </w:r>
      <w:r w:rsidR="00B673D4">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oronavirus disease 2019; DILI: </w:t>
      </w:r>
      <w:r w:rsidR="00B673D4">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rug-induced liver injury; HBV: </w:t>
      </w:r>
      <w:r w:rsidR="00B673D4">
        <w:rPr>
          <w:rFonts w:ascii="Book Antiqua" w:hAnsi="Book Antiqua" w:cs="Book Antiqua" w:hint="eastAsia"/>
          <w:color w:val="000000"/>
          <w:szCs w:val="22"/>
          <w:lang w:eastAsia="zh-CN"/>
        </w:rPr>
        <w:t>H</w:t>
      </w:r>
      <w:r>
        <w:rPr>
          <w:rFonts w:ascii="Book Antiqua" w:eastAsia="Book Antiqua" w:hAnsi="Book Antiqua" w:cs="Book Antiqua"/>
          <w:color w:val="000000"/>
          <w:szCs w:val="22"/>
        </w:rPr>
        <w:t xml:space="preserve">epatitis B virus; HCC: </w:t>
      </w:r>
      <w:r w:rsidR="00B673D4">
        <w:rPr>
          <w:rFonts w:ascii="Book Antiqua" w:hAnsi="Book Antiqua" w:cs="Book Antiqua" w:hint="eastAsia"/>
          <w:color w:val="000000"/>
          <w:szCs w:val="22"/>
          <w:lang w:eastAsia="zh-CN"/>
        </w:rPr>
        <w:t>H</w:t>
      </w:r>
      <w:r>
        <w:rPr>
          <w:rFonts w:ascii="Book Antiqua" w:eastAsia="Book Antiqua" w:hAnsi="Book Antiqua" w:cs="Book Antiqua"/>
          <w:color w:val="000000"/>
          <w:szCs w:val="22"/>
        </w:rPr>
        <w:t xml:space="preserve">epatocellular carcinoma; HCV: </w:t>
      </w:r>
      <w:r w:rsidR="00B673D4">
        <w:rPr>
          <w:rFonts w:ascii="Book Antiqua" w:hAnsi="Book Antiqua" w:cs="Book Antiqua" w:hint="eastAsia"/>
          <w:color w:val="000000"/>
          <w:szCs w:val="22"/>
          <w:lang w:eastAsia="zh-CN"/>
        </w:rPr>
        <w:t>H</w:t>
      </w:r>
      <w:r>
        <w:rPr>
          <w:rFonts w:ascii="Book Antiqua" w:eastAsia="Book Antiqua" w:hAnsi="Book Antiqua" w:cs="Book Antiqua"/>
          <w:color w:val="000000"/>
          <w:szCs w:val="22"/>
        </w:rPr>
        <w:t xml:space="preserve">epatitis C virus; NAFLD: </w:t>
      </w:r>
      <w:r w:rsidR="00B673D4">
        <w:rPr>
          <w:rFonts w:ascii="Book Antiqua" w:hAnsi="Book Antiqua" w:cs="Book Antiqua" w:hint="eastAsia"/>
          <w:color w:val="000000"/>
          <w:szCs w:val="22"/>
          <w:lang w:eastAsia="zh-CN"/>
        </w:rPr>
        <w:t>N</w:t>
      </w:r>
      <w:r>
        <w:rPr>
          <w:rFonts w:ascii="Book Antiqua" w:eastAsia="Book Antiqua" w:hAnsi="Book Antiqua" w:cs="Book Antiqua"/>
          <w:color w:val="000000"/>
          <w:szCs w:val="22"/>
        </w:rPr>
        <w:t xml:space="preserve">on-alcoholic fatty liver disease; NASH: </w:t>
      </w:r>
      <w:r w:rsidR="00B673D4">
        <w:rPr>
          <w:rFonts w:ascii="Book Antiqua" w:hAnsi="Book Antiqua" w:cs="Book Antiqua" w:hint="eastAsia"/>
          <w:color w:val="000000"/>
          <w:szCs w:val="22"/>
          <w:lang w:eastAsia="zh-CN"/>
        </w:rPr>
        <w:t>N</w:t>
      </w:r>
      <w:r>
        <w:rPr>
          <w:rFonts w:ascii="Book Antiqua" w:eastAsia="Book Antiqua" w:hAnsi="Book Antiqua" w:cs="Book Antiqua"/>
          <w:color w:val="000000"/>
          <w:szCs w:val="22"/>
        </w:rPr>
        <w:t xml:space="preserve">on-alcoholic steatohepatitis; OLT: </w:t>
      </w:r>
      <w:r w:rsidR="00B673D4">
        <w:rPr>
          <w:rFonts w:ascii="Book Antiqua" w:hAnsi="Book Antiqua" w:cs="Book Antiqua" w:hint="eastAsia"/>
          <w:color w:val="000000"/>
          <w:szCs w:val="22"/>
          <w:lang w:eastAsia="zh-CN"/>
        </w:rPr>
        <w:t>O</w:t>
      </w:r>
      <w:r>
        <w:rPr>
          <w:rFonts w:ascii="Book Antiqua" w:eastAsia="Book Antiqua" w:hAnsi="Book Antiqua" w:cs="Book Antiqua"/>
          <w:color w:val="000000"/>
          <w:szCs w:val="22"/>
        </w:rPr>
        <w:t>rthotopic liver transplantation.</w:t>
      </w:r>
    </w:p>
    <w:p w14:paraId="779C4835" w14:textId="77777777" w:rsidR="00BB1ECA" w:rsidRDefault="00BB1ECA">
      <w:pPr>
        <w:rPr>
          <w:rFonts w:ascii="Book Antiqua" w:eastAsia="Book Antiqua" w:hAnsi="Book Antiqua" w:cs="Book Antiqua"/>
          <w:color w:val="000000"/>
          <w:szCs w:val="22"/>
        </w:rPr>
      </w:pPr>
      <w:r>
        <w:rPr>
          <w:rFonts w:ascii="Book Antiqua" w:eastAsia="Book Antiqua" w:hAnsi="Book Antiqua" w:cs="Book Antiqua"/>
          <w:color w:val="000000"/>
          <w:szCs w:val="22"/>
        </w:rPr>
        <w:br w:type="page"/>
      </w:r>
    </w:p>
    <w:p w14:paraId="0BEBF010" w14:textId="77777777" w:rsidR="00BB1ECA" w:rsidRDefault="00BB1ECA" w:rsidP="00BB1ECA">
      <w:pPr>
        <w:jc w:val="center"/>
        <w:rPr>
          <w:rFonts w:ascii="Book Antiqua" w:hAnsi="Book Antiqua"/>
          <w:lang w:eastAsia="zh-CN"/>
        </w:rPr>
      </w:pPr>
    </w:p>
    <w:p w14:paraId="75654B62" w14:textId="77777777" w:rsidR="00BB1ECA" w:rsidRDefault="00BB1ECA" w:rsidP="00BB1ECA">
      <w:pPr>
        <w:jc w:val="center"/>
        <w:rPr>
          <w:rFonts w:ascii="Book Antiqua" w:hAnsi="Book Antiqua"/>
          <w:lang w:eastAsia="zh-CN"/>
        </w:rPr>
      </w:pPr>
    </w:p>
    <w:p w14:paraId="4A09E9EF" w14:textId="77777777" w:rsidR="00BB1ECA" w:rsidRDefault="00BB1ECA" w:rsidP="00BB1ECA">
      <w:pPr>
        <w:jc w:val="center"/>
        <w:rPr>
          <w:rFonts w:ascii="Book Antiqua" w:hAnsi="Book Antiqua"/>
          <w:lang w:eastAsia="zh-CN"/>
        </w:rPr>
      </w:pPr>
    </w:p>
    <w:p w14:paraId="79604F10" w14:textId="77777777" w:rsidR="00BB1ECA" w:rsidRDefault="00BB1ECA" w:rsidP="00BB1ECA">
      <w:pPr>
        <w:jc w:val="center"/>
        <w:rPr>
          <w:rFonts w:ascii="Book Antiqua" w:hAnsi="Book Antiqua"/>
          <w:lang w:eastAsia="zh-CN"/>
        </w:rPr>
      </w:pPr>
    </w:p>
    <w:p w14:paraId="7EC5FF76" w14:textId="77777777" w:rsidR="00BB1ECA" w:rsidRDefault="00BB1ECA" w:rsidP="00BB1ECA">
      <w:pPr>
        <w:jc w:val="center"/>
        <w:rPr>
          <w:rFonts w:ascii="Book Antiqua" w:hAnsi="Book Antiqua"/>
          <w:lang w:eastAsia="zh-CN"/>
        </w:rPr>
      </w:pPr>
    </w:p>
    <w:p w14:paraId="0CE64C61" w14:textId="2E86249D" w:rsidR="00BB1ECA" w:rsidRDefault="00BB1ECA" w:rsidP="00BB1ECA">
      <w:pPr>
        <w:jc w:val="center"/>
        <w:rPr>
          <w:rFonts w:ascii="Book Antiqua" w:hAnsi="Book Antiqua"/>
          <w:lang w:eastAsia="zh-CN"/>
        </w:rPr>
      </w:pPr>
      <w:r>
        <w:rPr>
          <w:rFonts w:ascii="Book Antiqua" w:hAnsi="Book Antiqua"/>
          <w:noProof/>
          <w:lang w:eastAsia="zh-CN"/>
        </w:rPr>
        <w:drawing>
          <wp:inline distT="0" distB="0" distL="0" distR="0" wp14:anchorId="6FDFD656" wp14:editId="07E670E8">
            <wp:extent cx="2497455" cy="1439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A0CD81D" w14:textId="77777777" w:rsidR="00BB1ECA" w:rsidRDefault="00BB1ECA" w:rsidP="00BB1ECA">
      <w:pPr>
        <w:jc w:val="center"/>
        <w:rPr>
          <w:rFonts w:ascii="Book Antiqua" w:hAnsi="Book Antiqua"/>
          <w:lang w:eastAsia="zh-CN"/>
        </w:rPr>
      </w:pPr>
    </w:p>
    <w:p w14:paraId="59CBB730" w14:textId="77777777" w:rsidR="00BB1ECA" w:rsidRDefault="00BB1ECA" w:rsidP="00BB1EC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73F8094" w14:textId="77777777" w:rsidR="00BB1ECA" w:rsidRDefault="00BB1ECA" w:rsidP="00BB1EC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34AD4B" w14:textId="77777777" w:rsidR="00BB1ECA" w:rsidRDefault="00BB1ECA" w:rsidP="00BB1EC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E8F615" w14:textId="77777777" w:rsidR="00BB1ECA" w:rsidRDefault="00BB1ECA" w:rsidP="00BB1EC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354351" w14:textId="77777777" w:rsidR="00BB1ECA" w:rsidRDefault="00BB1ECA" w:rsidP="00BB1EC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646368" w14:textId="77777777" w:rsidR="00BB1ECA" w:rsidRDefault="00BB1ECA" w:rsidP="00BB1ECA">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D462C40" w14:textId="77777777" w:rsidR="00BB1ECA" w:rsidRDefault="00BB1ECA" w:rsidP="00BB1ECA">
      <w:pPr>
        <w:jc w:val="center"/>
        <w:rPr>
          <w:rFonts w:ascii="Book Antiqua" w:hAnsi="Book Antiqua"/>
          <w:lang w:eastAsia="zh-CN"/>
        </w:rPr>
      </w:pPr>
    </w:p>
    <w:p w14:paraId="481C782E" w14:textId="77777777" w:rsidR="00BB1ECA" w:rsidRDefault="00BB1ECA" w:rsidP="00BB1ECA">
      <w:pPr>
        <w:jc w:val="center"/>
        <w:rPr>
          <w:rFonts w:ascii="Book Antiqua" w:hAnsi="Book Antiqua"/>
          <w:lang w:eastAsia="zh-CN"/>
        </w:rPr>
      </w:pPr>
    </w:p>
    <w:p w14:paraId="073B49E4" w14:textId="77777777" w:rsidR="00BB1ECA" w:rsidRDefault="00BB1ECA" w:rsidP="00BB1ECA">
      <w:pPr>
        <w:jc w:val="center"/>
        <w:rPr>
          <w:rFonts w:ascii="Book Antiqua" w:hAnsi="Book Antiqua"/>
          <w:lang w:eastAsia="zh-CN"/>
        </w:rPr>
      </w:pPr>
    </w:p>
    <w:p w14:paraId="088E66C1" w14:textId="462F6D21" w:rsidR="00BB1ECA" w:rsidRDefault="00BB1ECA" w:rsidP="00BB1ECA">
      <w:pPr>
        <w:jc w:val="center"/>
        <w:rPr>
          <w:rFonts w:ascii="Book Antiqua" w:hAnsi="Book Antiqua"/>
          <w:lang w:eastAsia="zh-CN"/>
        </w:rPr>
      </w:pPr>
      <w:r>
        <w:rPr>
          <w:rFonts w:ascii="Book Antiqua" w:hAnsi="Book Antiqua"/>
          <w:noProof/>
          <w:lang w:eastAsia="zh-CN"/>
        </w:rPr>
        <w:drawing>
          <wp:inline distT="0" distB="0" distL="0" distR="0" wp14:anchorId="792E9A8C" wp14:editId="1FD84082">
            <wp:extent cx="1446530" cy="1439545"/>
            <wp:effectExtent l="0" t="0" r="127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5A08B30F" w14:textId="77777777" w:rsidR="00BB1ECA" w:rsidRDefault="00BB1ECA" w:rsidP="00BB1ECA">
      <w:pPr>
        <w:jc w:val="center"/>
        <w:rPr>
          <w:rFonts w:ascii="Book Antiqua" w:hAnsi="Book Antiqua"/>
          <w:lang w:eastAsia="zh-CN"/>
        </w:rPr>
      </w:pPr>
    </w:p>
    <w:p w14:paraId="1ACA2217" w14:textId="77777777" w:rsidR="00BB1ECA" w:rsidRDefault="00BB1ECA" w:rsidP="00BB1ECA">
      <w:pPr>
        <w:jc w:val="center"/>
        <w:rPr>
          <w:rFonts w:ascii="Book Antiqua" w:hAnsi="Book Antiqua"/>
          <w:lang w:eastAsia="zh-CN"/>
        </w:rPr>
      </w:pPr>
    </w:p>
    <w:p w14:paraId="578A8573" w14:textId="77777777" w:rsidR="00BB1ECA" w:rsidRDefault="00BB1ECA" w:rsidP="00BB1ECA">
      <w:pPr>
        <w:jc w:val="center"/>
        <w:rPr>
          <w:rFonts w:ascii="Book Antiqua" w:hAnsi="Book Antiqua"/>
          <w:lang w:eastAsia="zh-CN"/>
        </w:rPr>
      </w:pPr>
    </w:p>
    <w:p w14:paraId="782E7659" w14:textId="77777777" w:rsidR="00BB1ECA" w:rsidRDefault="00BB1ECA" w:rsidP="00BB1ECA">
      <w:pPr>
        <w:jc w:val="center"/>
        <w:rPr>
          <w:rFonts w:ascii="Book Antiqua" w:hAnsi="Book Antiqua"/>
          <w:lang w:eastAsia="zh-CN"/>
        </w:rPr>
      </w:pPr>
    </w:p>
    <w:p w14:paraId="297F31EA" w14:textId="77777777" w:rsidR="00BB1ECA" w:rsidRDefault="00BB1ECA" w:rsidP="00BB1ECA">
      <w:pPr>
        <w:jc w:val="center"/>
        <w:rPr>
          <w:rFonts w:ascii="Book Antiqua" w:hAnsi="Book Antiqua"/>
          <w:lang w:eastAsia="zh-CN"/>
        </w:rPr>
      </w:pPr>
    </w:p>
    <w:p w14:paraId="0FAAA1F9" w14:textId="77777777" w:rsidR="00BB1ECA" w:rsidRDefault="00BB1ECA" w:rsidP="00BB1ECA">
      <w:pPr>
        <w:jc w:val="center"/>
        <w:rPr>
          <w:rFonts w:ascii="Book Antiqua" w:hAnsi="Book Antiqua"/>
          <w:lang w:eastAsia="zh-CN"/>
        </w:rPr>
      </w:pPr>
    </w:p>
    <w:p w14:paraId="20147745" w14:textId="77777777" w:rsidR="00BB1ECA" w:rsidRDefault="00BB1ECA" w:rsidP="00BB1ECA">
      <w:pPr>
        <w:jc w:val="center"/>
        <w:rPr>
          <w:rFonts w:ascii="Book Antiqua" w:hAnsi="Book Antiqua"/>
          <w:lang w:eastAsia="zh-CN"/>
        </w:rPr>
      </w:pPr>
    </w:p>
    <w:p w14:paraId="4C30532E" w14:textId="77777777" w:rsidR="00BB1ECA" w:rsidRDefault="00BB1ECA" w:rsidP="00BB1ECA">
      <w:pPr>
        <w:jc w:val="center"/>
        <w:rPr>
          <w:rFonts w:ascii="Book Antiqua" w:hAnsi="Book Antiqua"/>
          <w:lang w:eastAsia="zh-CN"/>
        </w:rPr>
      </w:pPr>
    </w:p>
    <w:p w14:paraId="74F3DFA1" w14:textId="77777777" w:rsidR="00BB1ECA" w:rsidRDefault="00BB1ECA" w:rsidP="00BB1ECA">
      <w:pPr>
        <w:jc w:val="center"/>
        <w:rPr>
          <w:rFonts w:ascii="Book Antiqua" w:hAnsi="Book Antiqua"/>
          <w:lang w:eastAsia="zh-CN"/>
        </w:rPr>
      </w:pPr>
    </w:p>
    <w:p w14:paraId="4AD70E1C" w14:textId="77777777" w:rsidR="00BB1ECA" w:rsidRDefault="00BB1ECA" w:rsidP="00BB1ECA">
      <w:pPr>
        <w:jc w:val="right"/>
        <w:rPr>
          <w:rFonts w:ascii="Book Antiqua" w:hAnsi="Book Antiqua"/>
          <w:color w:val="000000" w:themeColor="text1"/>
          <w:lang w:eastAsia="zh-CN"/>
        </w:rPr>
      </w:pPr>
    </w:p>
    <w:p w14:paraId="3745344B" w14:textId="77777777" w:rsidR="00BB1ECA" w:rsidRDefault="00BB1ECA" w:rsidP="00BB1EC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BC8A4A5"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3F8D" w14:textId="77777777" w:rsidR="00320B08" w:rsidRDefault="00320B08" w:rsidP="00711204">
      <w:r>
        <w:separator/>
      </w:r>
    </w:p>
  </w:endnote>
  <w:endnote w:type="continuationSeparator" w:id="0">
    <w:p w14:paraId="270B4D73" w14:textId="77777777" w:rsidR="00320B08" w:rsidRDefault="00320B08" w:rsidP="007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736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148FBA5" w14:textId="77777777" w:rsidR="00711204" w:rsidRPr="00711204" w:rsidRDefault="00711204" w:rsidP="00711204">
            <w:pPr>
              <w:pStyle w:val="a8"/>
              <w:jc w:val="right"/>
              <w:rPr>
                <w:rFonts w:ascii="Book Antiqua" w:hAnsi="Book Antiqua"/>
                <w:sz w:val="24"/>
                <w:szCs w:val="24"/>
              </w:rPr>
            </w:pPr>
            <w:r w:rsidRPr="00711204">
              <w:rPr>
                <w:rFonts w:ascii="Book Antiqua" w:hAnsi="Book Antiqua"/>
                <w:sz w:val="24"/>
                <w:szCs w:val="24"/>
                <w:lang w:val="zh-CN" w:eastAsia="zh-CN"/>
              </w:rPr>
              <w:t xml:space="preserve"> </w:t>
            </w:r>
            <w:r w:rsidRPr="00711204">
              <w:rPr>
                <w:rFonts w:ascii="Book Antiqua" w:hAnsi="Book Antiqua"/>
                <w:bCs/>
                <w:sz w:val="24"/>
                <w:szCs w:val="24"/>
              </w:rPr>
              <w:fldChar w:fldCharType="begin"/>
            </w:r>
            <w:r w:rsidRPr="00711204">
              <w:rPr>
                <w:rFonts w:ascii="Book Antiqua" w:hAnsi="Book Antiqua"/>
                <w:bCs/>
                <w:sz w:val="24"/>
                <w:szCs w:val="24"/>
              </w:rPr>
              <w:instrText>PAGE</w:instrText>
            </w:r>
            <w:r w:rsidRPr="00711204">
              <w:rPr>
                <w:rFonts w:ascii="Book Antiqua" w:hAnsi="Book Antiqua"/>
                <w:bCs/>
                <w:sz w:val="24"/>
                <w:szCs w:val="24"/>
              </w:rPr>
              <w:fldChar w:fldCharType="separate"/>
            </w:r>
            <w:r w:rsidR="00A306AF">
              <w:rPr>
                <w:rFonts w:ascii="Book Antiqua" w:hAnsi="Book Antiqua"/>
                <w:bCs/>
                <w:noProof/>
                <w:sz w:val="24"/>
                <w:szCs w:val="24"/>
              </w:rPr>
              <w:t>1</w:t>
            </w:r>
            <w:r w:rsidRPr="00711204">
              <w:rPr>
                <w:rFonts w:ascii="Book Antiqua" w:hAnsi="Book Antiqua"/>
                <w:bCs/>
                <w:sz w:val="24"/>
                <w:szCs w:val="24"/>
              </w:rPr>
              <w:fldChar w:fldCharType="end"/>
            </w:r>
            <w:r w:rsidRPr="00711204">
              <w:rPr>
                <w:rFonts w:ascii="Book Antiqua" w:hAnsi="Book Antiqua"/>
                <w:sz w:val="24"/>
                <w:szCs w:val="24"/>
                <w:lang w:val="zh-CN" w:eastAsia="zh-CN"/>
              </w:rPr>
              <w:t xml:space="preserve"> / </w:t>
            </w:r>
            <w:r w:rsidRPr="00711204">
              <w:rPr>
                <w:rFonts w:ascii="Book Antiqua" w:hAnsi="Book Antiqua"/>
                <w:bCs/>
                <w:sz w:val="24"/>
                <w:szCs w:val="24"/>
              </w:rPr>
              <w:fldChar w:fldCharType="begin"/>
            </w:r>
            <w:r w:rsidRPr="00711204">
              <w:rPr>
                <w:rFonts w:ascii="Book Antiqua" w:hAnsi="Book Antiqua"/>
                <w:bCs/>
                <w:sz w:val="24"/>
                <w:szCs w:val="24"/>
              </w:rPr>
              <w:instrText>NUMPAGES</w:instrText>
            </w:r>
            <w:r w:rsidRPr="00711204">
              <w:rPr>
                <w:rFonts w:ascii="Book Antiqua" w:hAnsi="Book Antiqua"/>
                <w:bCs/>
                <w:sz w:val="24"/>
                <w:szCs w:val="24"/>
              </w:rPr>
              <w:fldChar w:fldCharType="separate"/>
            </w:r>
            <w:r w:rsidR="00A306AF">
              <w:rPr>
                <w:rFonts w:ascii="Book Antiqua" w:hAnsi="Book Antiqua"/>
                <w:bCs/>
                <w:noProof/>
                <w:sz w:val="24"/>
                <w:szCs w:val="24"/>
              </w:rPr>
              <w:t>34</w:t>
            </w:r>
            <w:r w:rsidRPr="00711204">
              <w:rPr>
                <w:rFonts w:ascii="Book Antiqua" w:hAnsi="Book Antiqua"/>
                <w:bCs/>
                <w:sz w:val="24"/>
                <w:szCs w:val="24"/>
              </w:rPr>
              <w:fldChar w:fldCharType="end"/>
            </w:r>
          </w:p>
        </w:sdtContent>
      </w:sdt>
    </w:sdtContent>
  </w:sdt>
  <w:p w14:paraId="17EAD42B" w14:textId="77777777" w:rsidR="00711204" w:rsidRPr="00711204" w:rsidRDefault="00711204" w:rsidP="00711204">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9439" w14:textId="77777777" w:rsidR="00320B08" w:rsidRDefault="00320B08" w:rsidP="00711204">
      <w:r>
        <w:separator/>
      </w:r>
    </w:p>
  </w:footnote>
  <w:footnote w:type="continuationSeparator" w:id="0">
    <w:p w14:paraId="47691BA1" w14:textId="77777777" w:rsidR="00320B08" w:rsidRDefault="00320B08" w:rsidP="00711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53C"/>
    <w:rsid w:val="0001737E"/>
    <w:rsid w:val="00164D00"/>
    <w:rsid w:val="001F1F23"/>
    <w:rsid w:val="00320B08"/>
    <w:rsid w:val="00332CEF"/>
    <w:rsid w:val="00443195"/>
    <w:rsid w:val="00493113"/>
    <w:rsid w:val="004B0049"/>
    <w:rsid w:val="00650E21"/>
    <w:rsid w:val="00711204"/>
    <w:rsid w:val="00883708"/>
    <w:rsid w:val="00934581"/>
    <w:rsid w:val="00965845"/>
    <w:rsid w:val="009E7283"/>
    <w:rsid w:val="00A04D88"/>
    <w:rsid w:val="00A306AF"/>
    <w:rsid w:val="00A46955"/>
    <w:rsid w:val="00A77B3E"/>
    <w:rsid w:val="00A8103F"/>
    <w:rsid w:val="00B07509"/>
    <w:rsid w:val="00B673D4"/>
    <w:rsid w:val="00B73FED"/>
    <w:rsid w:val="00BB1ECA"/>
    <w:rsid w:val="00CA2A55"/>
    <w:rsid w:val="00CF3377"/>
    <w:rsid w:val="00F1061C"/>
    <w:rsid w:val="00F8395C"/>
    <w:rsid w:val="00F879D4"/>
    <w:rsid w:val="00F95B00"/>
    <w:rsid w:val="00FA0BDF"/>
    <w:rsid w:val="00FB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B49CB"/>
  <w15:docId w15:val="{3704714D-E30B-41D3-B972-28DA335D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79D4"/>
    <w:rPr>
      <w:color w:val="0000FF" w:themeColor="hyperlink"/>
      <w:u w:val="single"/>
    </w:rPr>
  </w:style>
  <w:style w:type="paragraph" w:styleId="a4">
    <w:name w:val="Balloon Text"/>
    <w:basedOn w:val="a"/>
    <w:link w:val="a5"/>
    <w:rsid w:val="00B673D4"/>
    <w:rPr>
      <w:sz w:val="18"/>
      <w:szCs w:val="18"/>
    </w:rPr>
  </w:style>
  <w:style w:type="character" w:customStyle="1" w:styleId="a5">
    <w:name w:val="批注框文本 字符"/>
    <w:basedOn w:val="a0"/>
    <w:link w:val="a4"/>
    <w:rsid w:val="00B673D4"/>
    <w:rPr>
      <w:sz w:val="18"/>
      <w:szCs w:val="18"/>
    </w:rPr>
  </w:style>
  <w:style w:type="paragraph" w:styleId="a6">
    <w:name w:val="header"/>
    <w:basedOn w:val="a"/>
    <w:link w:val="a7"/>
    <w:rsid w:val="0071120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11204"/>
    <w:rPr>
      <w:sz w:val="18"/>
      <w:szCs w:val="18"/>
    </w:rPr>
  </w:style>
  <w:style w:type="paragraph" w:styleId="a8">
    <w:name w:val="footer"/>
    <w:basedOn w:val="a"/>
    <w:link w:val="a9"/>
    <w:uiPriority w:val="99"/>
    <w:rsid w:val="00711204"/>
    <w:pPr>
      <w:tabs>
        <w:tab w:val="center" w:pos="4153"/>
        <w:tab w:val="right" w:pos="8306"/>
      </w:tabs>
      <w:snapToGrid w:val="0"/>
    </w:pPr>
    <w:rPr>
      <w:sz w:val="18"/>
      <w:szCs w:val="18"/>
    </w:rPr>
  </w:style>
  <w:style w:type="character" w:customStyle="1" w:styleId="a9">
    <w:name w:val="页脚 字符"/>
    <w:basedOn w:val="a0"/>
    <w:link w:val="a8"/>
    <w:uiPriority w:val="99"/>
    <w:rsid w:val="007112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422">
      <w:bodyDiv w:val="1"/>
      <w:marLeft w:val="0"/>
      <w:marRight w:val="0"/>
      <w:marTop w:val="0"/>
      <w:marBottom w:val="0"/>
      <w:divBdr>
        <w:top w:val="none" w:sz="0" w:space="0" w:color="auto"/>
        <w:left w:val="none" w:sz="0" w:space="0" w:color="auto"/>
        <w:bottom w:val="none" w:sz="0" w:space="0" w:color="auto"/>
        <w:right w:val="none" w:sz="0" w:space="0" w:color="auto"/>
      </w:divBdr>
    </w:div>
    <w:div w:id="374697143">
      <w:bodyDiv w:val="1"/>
      <w:marLeft w:val="0"/>
      <w:marRight w:val="0"/>
      <w:marTop w:val="0"/>
      <w:marBottom w:val="0"/>
      <w:divBdr>
        <w:top w:val="none" w:sz="0" w:space="0" w:color="auto"/>
        <w:left w:val="none" w:sz="0" w:space="0" w:color="auto"/>
        <w:bottom w:val="none" w:sz="0" w:space="0" w:color="auto"/>
        <w:right w:val="none" w:sz="0" w:space="0" w:color="auto"/>
      </w:divBdr>
    </w:div>
    <w:div w:id="554124686">
      <w:bodyDiv w:val="1"/>
      <w:marLeft w:val="0"/>
      <w:marRight w:val="0"/>
      <w:marTop w:val="0"/>
      <w:marBottom w:val="0"/>
      <w:divBdr>
        <w:top w:val="none" w:sz="0" w:space="0" w:color="auto"/>
        <w:left w:val="none" w:sz="0" w:space="0" w:color="auto"/>
        <w:bottom w:val="none" w:sz="0" w:space="0" w:color="auto"/>
        <w:right w:val="none" w:sz="0" w:space="0" w:color="auto"/>
      </w:divBdr>
    </w:div>
    <w:div w:id="686951245">
      <w:bodyDiv w:val="1"/>
      <w:marLeft w:val="0"/>
      <w:marRight w:val="0"/>
      <w:marTop w:val="0"/>
      <w:marBottom w:val="0"/>
      <w:divBdr>
        <w:top w:val="none" w:sz="0" w:space="0" w:color="auto"/>
        <w:left w:val="none" w:sz="0" w:space="0" w:color="auto"/>
        <w:bottom w:val="none" w:sz="0" w:space="0" w:color="auto"/>
        <w:right w:val="none" w:sz="0" w:space="0" w:color="auto"/>
      </w:divBdr>
    </w:div>
    <w:div w:id="848368394">
      <w:bodyDiv w:val="1"/>
      <w:marLeft w:val="0"/>
      <w:marRight w:val="0"/>
      <w:marTop w:val="0"/>
      <w:marBottom w:val="0"/>
      <w:divBdr>
        <w:top w:val="none" w:sz="0" w:space="0" w:color="auto"/>
        <w:left w:val="none" w:sz="0" w:space="0" w:color="auto"/>
        <w:bottom w:val="none" w:sz="0" w:space="0" w:color="auto"/>
        <w:right w:val="none" w:sz="0" w:space="0" w:color="auto"/>
      </w:divBdr>
    </w:div>
    <w:div w:id="1639531279">
      <w:bodyDiv w:val="1"/>
      <w:marLeft w:val="0"/>
      <w:marRight w:val="0"/>
      <w:marTop w:val="0"/>
      <w:marBottom w:val="0"/>
      <w:divBdr>
        <w:top w:val="none" w:sz="0" w:space="0" w:color="auto"/>
        <w:left w:val="none" w:sz="0" w:space="0" w:color="auto"/>
        <w:bottom w:val="none" w:sz="0" w:space="0" w:color="auto"/>
        <w:right w:val="none" w:sz="0" w:space="0" w:color="auto"/>
      </w:divBdr>
    </w:div>
    <w:div w:id="1663001674">
      <w:bodyDiv w:val="1"/>
      <w:marLeft w:val="0"/>
      <w:marRight w:val="0"/>
      <w:marTop w:val="0"/>
      <w:marBottom w:val="0"/>
      <w:divBdr>
        <w:top w:val="none" w:sz="0" w:space="0" w:color="auto"/>
        <w:left w:val="none" w:sz="0" w:space="0" w:color="auto"/>
        <w:bottom w:val="none" w:sz="0" w:space="0" w:color="auto"/>
        <w:right w:val="none" w:sz="0" w:space="0" w:color="auto"/>
      </w:divBdr>
    </w:div>
    <w:div w:id="1770390725">
      <w:bodyDiv w:val="1"/>
      <w:marLeft w:val="0"/>
      <w:marRight w:val="0"/>
      <w:marTop w:val="0"/>
      <w:marBottom w:val="0"/>
      <w:divBdr>
        <w:top w:val="none" w:sz="0" w:space="0" w:color="auto"/>
        <w:left w:val="none" w:sz="0" w:space="0" w:color="auto"/>
        <w:bottom w:val="none" w:sz="0" w:space="0" w:color="auto"/>
        <w:right w:val="none" w:sz="0" w:space="0" w:color="auto"/>
      </w:divBdr>
    </w:div>
    <w:div w:id="1976376277">
      <w:bodyDiv w:val="1"/>
      <w:marLeft w:val="0"/>
      <w:marRight w:val="0"/>
      <w:marTop w:val="0"/>
      <w:marBottom w:val="0"/>
      <w:divBdr>
        <w:top w:val="none" w:sz="0" w:space="0" w:color="auto"/>
        <w:left w:val="none" w:sz="0" w:space="0" w:color="auto"/>
        <w:bottom w:val="none" w:sz="0" w:space="0" w:color="auto"/>
        <w:right w:val="none" w:sz="0" w:space="0" w:color="auto"/>
      </w:divBdr>
    </w:div>
    <w:div w:id="203969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35</Pages>
  <Words>9956</Words>
  <Characters>56754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19</cp:revision>
  <dcterms:created xsi:type="dcterms:W3CDTF">2021-08-24T07:03:00Z</dcterms:created>
  <dcterms:modified xsi:type="dcterms:W3CDTF">2021-09-22T04:00:00Z</dcterms:modified>
</cp:coreProperties>
</file>