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A21A"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88D76AC"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65370</w:t>
      </w:r>
    </w:p>
    <w:p w14:paraId="360E52F1"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E90B2B4" w14:textId="77777777" w:rsidR="00441C32" w:rsidRDefault="00441C32">
      <w:pPr>
        <w:spacing w:line="360" w:lineRule="auto"/>
        <w:jc w:val="both"/>
        <w:rPr>
          <w:rFonts w:ascii="Book Antiqua" w:hAnsi="Book Antiqua"/>
        </w:rPr>
      </w:pPr>
    </w:p>
    <w:p w14:paraId="70248458" w14:textId="77777777" w:rsidR="00441C32" w:rsidRDefault="00636F33">
      <w:pPr>
        <w:spacing w:line="360" w:lineRule="auto"/>
        <w:jc w:val="both"/>
        <w:rPr>
          <w:rFonts w:ascii="Book Antiqua" w:hAnsi="Book Antiqua"/>
          <w:lang w:eastAsia="zh-CN"/>
        </w:rPr>
      </w:pPr>
      <w:r>
        <w:rPr>
          <w:rFonts w:ascii="Book Antiqua" w:eastAsia="Book Antiqua" w:hAnsi="Book Antiqua" w:cs="Book Antiqua"/>
          <w:b/>
          <w:color w:val="000000"/>
        </w:rPr>
        <w:t>Therapy-related myeloid leukemia during erlotinib treatment in a non-small cell lung cancer patient</w:t>
      </w:r>
      <w:r>
        <w:rPr>
          <w:rFonts w:ascii="Book Antiqua" w:hAnsi="Book Antiqua" w:cs="Book Antiqua" w:hint="eastAsia"/>
          <w:b/>
          <w:color w:val="000000"/>
          <w:lang w:eastAsia="zh-CN"/>
        </w:rPr>
        <w:t>: A case report</w:t>
      </w:r>
    </w:p>
    <w:p w14:paraId="43F625D2" w14:textId="77777777" w:rsidR="00441C32" w:rsidRDefault="00441C32">
      <w:pPr>
        <w:spacing w:line="360" w:lineRule="auto"/>
        <w:jc w:val="both"/>
        <w:rPr>
          <w:rFonts w:ascii="Book Antiqua" w:hAnsi="Book Antiqua"/>
        </w:rPr>
      </w:pPr>
    </w:p>
    <w:p w14:paraId="5515BAE3"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Koo </w:t>
      </w:r>
      <w:r>
        <w:rPr>
          <w:rFonts w:ascii="Book Antiqua" w:hAnsi="Book Antiqua" w:cs="Book Antiqua" w:hint="eastAsia"/>
          <w:color w:val="000000"/>
          <w:lang w:eastAsia="zh-CN"/>
        </w:rPr>
        <w:t>SM</w:t>
      </w:r>
      <w:r>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T-AML during erlotinib treatment</w:t>
      </w:r>
    </w:p>
    <w:p w14:paraId="3DAF68E3" w14:textId="77777777" w:rsidR="00441C32" w:rsidRDefault="00441C32">
      <w:pPr>
        <w:spacing w:line="360" w:lineRule="auto"/>
        <w:jc w:val="both"/>
        <w:rPr>
          <w:rFonts w:ascii="Book Antiqua" w:hAnsi="Book Antiqua"/>
        </w:rPr>
      </w:pPr>
    </w:p>
    <w:p w14:paraId="0D579ED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So-My Koo, Ki-Up Kim, Yang-Ki Kim, Soo-Taek Uh</w:t>
      </w:r>
    </w:p>
    <w:p w14:paraId="75745CF0" w14:textId="77777777" w:rsidR="00441C32" w:rsidRDefault="00441C32">
      <w:pPr>
        <w:spacing w:line="360" w:lineRule="auto"/>
        <w:jc w:val="both"/>
        <w:rPr>
          <w:rFonts w:ascii="Book Antiqua" w:hAnsi="Book Antiqua"/>
        </w:rPr>
      </w:pPr>
    </w:p>
    <w:p w14:paraId="0C1E590E"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So-My Koo, Ki-Up Kim, Yang-Ki Kim, Soo-Taek Uh, </w:t>
      </w:r>
      <w:r>
        <w:rPr>
          <w:rFonts w:ascii="Book Antiqua" w:eastAsia="Book Antiqua" w:hAnsi="Book Antiqua" w:cs="Book Antiqua"/>
          <w:color w:val="000000"/>
        </w:rPr>
        <w:t>Depar</w:t>
      </w:r>
      <w:r w:rsidRPr="0071649D">
        <w:rPr>
          <w:rFonts w:ascii="Book Antiqua" w:eastAsia="Book Antiqua" w:hAnsi="Book Antiqua" w:cs="Book Antiqua"/>
          <w:color w:val="000000"/>
        </w:rPr>
        <w:t>tment of Intern</w:t>
      </w:r>
      <w:r>
        <w:rPr>
          <w:rFonts w:ascii="Book Antiqua" w:eastAsia="Book Antiqua" w:hAnsi="Book Antiqua" w:cs="Book Antiqua"/>
          <w:color w:val="000000"/>
        </w:rPr>
        <w:t>al Medicine, Soonchunhyang University Seoul Hospital, Seoul 04401, South Korea</w:t>
      </w:r>
    </w:p>
    <w:p w14:paraId="034B16ED" w14:textId="77777777" w:rsidR="00441C32" w:rsidRDefault="00441C32">
      <w:pPr>
        <w:spacing w:line="360" w:lineRule="auto"/>
        <w:jc w:val="both"/>
        <w:rPr>
          <w:rFonts w:ascii="Book Antiqua" w:hAnsi="Book Antiqua"/>
        </w:rPr>
      </w:pPr>
    </w:p>
    <w:p w14:paraId="72BB3559"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Koo SM and Kim KU designed research; Koo SM, Kim KU, Kim YK, and Uh ST performed research, analyzed data, and wrote the paper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12FA7A78" w14:textId="77777777" w:rsidR="00441C32" w:rsidRDefault="00441C32">
      <w:pPr>
        <w:spacing w:line="360" w:lineRule="auto"/>
        <w:jc w:val="both"/>
        <w:rPr>
          <w:rFonts w:ascii="Book Antiqua" w:hAnsi="Book Antiqua"/>
        </w:rPr>
      </w:pPr>
    </w:p>
    <w:p w14:paraId="2E38FDA0"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Soonchunhyang University Research Fund.</w:t>
      </w:r>
    </w:p>
    <w:p w14:paraId="5B66A729" w14:textId="77777777" w:rsidR="00441C32" w:rsidRDefault="00441C32">
      <w:pPr>
        <w:spacing w:line="360" w:lineRule="auto"/>
        <w:jc w:val="both"/>
        <w:rPr>
          <w:rFonts w:ascii="Book Antiqua" w:hAnsi="Book Antiqua"/>
        </w:rPr>
      </w:pPr>
    </w:p>
    <w:p w14:paraId="0C27A70A"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Corresponding author: Ki-Up Kim, MD, Professor, </w:t>
      </w:r>
      <w:r>
        <w:rPr>
          <w:rFonts w:ascii="Book Antiqua" w:eastAsia="Book Antiqua" w:hAnsi="Book Antiqua" w:cs="Book Antiqua"/>
          <w:color w:val="000000"/>
        </w:rPr>
        <w:t>Department of Internal Medicine, Soonchunhyang University Seoul Hospital, 59 Daesakwan-Ro, Yongsan-Ku, Seoul 04401, South Korea. kukim@schmc.ac.kr</w:t>
      </w:r>
    </w:p>
    <w:p w14:paraId="683FE79F" w14:textId="77777777" w:rsidR="00441C32" w:rsidRDefault="00441C32">
      <w:pPr>
        <w:spacing w:line="360" w:lineRule="auto"/>
        <w:jc w:val="both"/>
        <w:rPr>
          <w:rFonts w:ascii="Book Antiqua" w:hAnsi="Book Antiqua"/>
        </w:rPr>
      </w:pPr>
    </w:p>
    <w:p w14:paraId="76A5B96B"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4EC724F9"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April 27, 2021</w:t>
      </w:r>
    </w:p>
    <w:p w14:paraId="48E23BE6" w14:textId="28F32F33"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r w:rsidR="00294AEB">
        <w:rPr>
          <w:rFonts w:ascii="Book Antiqua" w:eastAsia="宋体" w:hAnsi="Book Antiqua"/>
          <w:color w:val="000000" w:themeColor="text1"/>
        </w:rPr>
        <w:t>J</w:t>
      </w:r>
      <w:r w:rsidR="00294AEB">
        <w:rPr>
          <w:rFonts w:ascii="Book Antiqua" w:eastAsia="宋体" w:hAnsi="Book Antiqua" w:hint="eastAsia"/>
          <w:color w:val="000000" w:themeColor="text1"/>
        </w:rPr>
        <w:t>u</w:t>
      </w:r>
      <w:r w:rsidR="00294AEB">
        <w:rPr>
          <w:rFonts w:ascii="Book Antiqua" w:eastAsia="宋体" w:hAnsi="Book Antiqua"/>
          <w:color w:val="000000" w:themeColor="text1"/>
        </w:rPr>
        <w:t>ly</w:t>
      </w:r>
      <w:r w:rsidR="00294AEB" w:rsidRPr="00F06907">
        <w:rPr>
          <w:rFonts w:ascii="Book Antiqua" w:eastAsia="宋体" w:hAnsi="Book Antiqua"/>
          <w:color w:val="000000" w:themeColor="text1"/>
        </w:rPr>
        <w:t xml:space="preserve"> </w:t>
      </w:r>
      <w:r w:rsidR="00294AEB">
        <w:rPr>
          <w:rFonts w:ascii="Book Antiqua" w:eastAsia="宋体" w:hAnsi="Book Antiqua"/>
          <w:color w:val="000000" w:themeColor="text1"/>
        </w:rPr>
        <w:t>15</w:t>
      </w:r>
      <w:r w:rsidR="00294AEB" w:rsidRPr="00F06907">
        <w:rPr>
          <w:rFonts w:ascii="Book Antiqua" w:eastAsia="宋体" w:hAnsi="Book Antiqua"/>
          <w:color w:val="000000" w:themeColor="text1"/>
        </w:rPr>
        <w:t>, 2021</w:t>
      </w:r>
      <w:bookmarkEnd w:id="0"/>
      <w:bookmarkEnd w:id="1"/>
    </w:p>
    <w:p w14:paraId="2A20BF6C" w14:textId="01C9ED5A" w:rsidR="00441C32" w:rsidRDefault="00636F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bookmarkStart w:id="2" w:name="_Hlk78216036"/>
      <w:r w:rsidR="00245D8E" w:rsidRPr="00336E3D">
        <w:rPr>
          <w:rFonts w:ascii="Book Antiqua" w:eastAsia="Book Antiqua" w:hAnsi="Book Antiqua" w:cs="Book Antiqua"/>
          <w:color w:val="000000"/>
        </w:rPr>
        <w:t xml:space="preserve">August </w:t>
      </w:r>
      <w:r w:rsidR="00245D8E">
        <w:rPr>
          <w:rFonts w:ascii="Book Antiqua" w:eastAsia="Book Antiqua" w:hAnsi="Book Antiqua" w:cs="Book Antiqua"/>
          <w:color w:val="000000"/>
        </w:rPr>
        <w:t>26</w:t>
      </w:r>
      <w:r w:rsidR="00245D8E" w:rsidRPr="00336E3D">
        <w:rPr>
          <w:rFonts w:ascii="Book Antiqua" w:eastAsia="Book Antiqua" w:hAnsi="Book Antiqua" w:cs="Book Antiqua"/>
          <w:color w:val="000000"/>
        </w:rPr>
        <w:t>, 2021</w:t>
      </w:r>
    </w:p>
    <w:p w14:paraId="3AA33996" w14:textId="22E5098F" w:rsidR="00245D8E" w:rsidRDefault="00245D8E">
      <w:pPr>
        <w:spacing w:line="360" w:lineRule="auto"/>
        <w:jc w:val="both"/>
        <w:rPr>
          <w:rFonts w:ascii="Book Antiqua" w:eastAsia="Book Antiqua" w:hAnsi="Book Antiqua" w:cs="Book Antiqua"/>
          <w:color w:val="000000"/>
        </w:rPr>
      </w:pPr>
    </w:p>
    <w:bookmarkEnd w:id="2"/>
    <w:p w14:paraId="47AC8A2A" w14:textId="77777777" w:rsidR="00245D8E" w:rsidRDefault="00245D8E">
      <w:pPr>
        <w:spacing w:line="360" w:lineRule="auto"/>
        <w:jc w:val="both"/>
        <w:rPr>
          <w:rFonts w:ascii="Book Antiqua" w:hAnsi="Book Antiqua"/>
        </w:rPr>
      </w:pPr>
    </w:p>
    <w:p w14:paraId="455C560B" w14:textId="77777777" w:rsidR="00441C32" w:rsidRDefault="00441C32">
      <w:pPr>
        <w:spacing w:line="360" w:lineRule="auto"/>
        <w:jc w:val="both"/>
        <w:rPr>
          <w:rFonts w:ascii="Book Antiqua" w:hAnsi="Book Antiqua"/>
        </w:rPr>
        <w:sectPr w:rsidR="00441C32">
          <w:footerReference w:type="default" r:id="rId8"/>
          <w:pgSz w:w="12240" w:h="15840"/>
          <w:pgMar w:top="1440" w:right="1440" w:bottom="1440" w:left="1440" w:header="720" w:footer="720" w:gutter="0"/>
          <w:cols w:space="720"/>
          <w:docGrid w:linePitch="360"/>
        </w:sectPr>
      </w:pPr>
    </w:p>
    <w:p w14:paraId="025DCC9A"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Abstract</w:t>
      </w:r>
    </w:p>
    <w:p w14:paraId="637ED2EF"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BACKGROUND</w:t>
      </w:r>
    </w:p>
    <w:p w14:paraId="136F145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Epidermal growth factor receptor tyrosine kinase inhibitors (EGFR-TKIs) are tolerable drugs used for patients with EGFR-mutant advanced non-small cell lung cancer (NSCLC). Serious adverse reactions are uncommon compared with cytotoxic drugs.</w:t>
      </w:r>
    </w:p>
    <w:p w14:paraId="276CEFBB" w14:textId="77777777" w:rsidR="00441C32" w:rsidRDefault="00441C32">
      <w:pPr>
        <w:spacing w:line="360" w:lineRule="auto"/>
        <w:jc w:val="both"/>
        <w:rPr>
          <w:rFonts w:ascii="Book Antiqua" w:hAnsi="Book Antiqua"/>
        </w:rPr>
      </w:pPr>
    </w:p>
    <w:p w14:paraId="19359867"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CASE SUMMARY</w:t>
      </w:r>
    </w:p>
    <w:p w14:paraId="38245520" w14:textId="7537A503" w:rsidR="00441C32" w:rsidRDefault="00636F33">
      <w:pPr>
        <w:spacing w:line="360" w:lineRule="auto"/>
        <w:jc w:val="both"/>
        <w:rPr>
          <w:rFonts w:ascii="Book Antiqua" w:hAnsi="Book Antiqua"/>
        </w:rPr>
      </w:pPr>
      <w:r>
        <w:rPr>
          <w:rFonts w:ascii="Book Antiqua" w:eastAsia="Book Antiqua" w:hAnsi="Book Antiqua" w:cs="Book Antiqua"/>
          <w:color w:val="000000"/>
        </w:rPr>
        <w:t>A 52-year-old man presented with general weakness and cytopenia. He had been taking erlotinib for 11 mo to treat NSCLC. The pathological diagnosis from the right upper lobe mass was adenocarcinoma with an EGFR mutation in exon 21 (L858R). He had previously received paclitaxel/carboplatin, gemcitabin/</w:t>
      </w:r>
      <w:r w:rsidR="00CF3056">
        <w:rPr>
          <w:rFonts w:ascii="Book Antiqua" w:eastAsia="Book Antiqua" w:hAnsi="Book Antiqua" w:cs="Book Antiqua"/>
          <w:color w:val="000000"/>
        </w:rPr>
        <w:t xml:space="preserve"> </w:t>
      </w:r>
      <w:r>
        <w:rPr>
          <w:rFonts w:ascii="Book Antiqua" w:eastAsia="Book Antiqua" w:hAnsi="Book Antiqua" w:cs="Book Antiqua"/>
          <w:color w:val="000000"/>
        </w:rPr>
        <w:t>vinorelbine chemotherapy, stereotactic radiosurgery for brain metastasis, and whole-brain radiotherapy as treatment for NSCLC. We diagnosed the patient with acute myeloid leukemia (AML). During the induction and consolidation chemotherapy for AML, the erlotinib was discontinued. When complete remission of the AML was achieved, since the lung masses were increased, pemetrexed/</w:t>
      </w:r>
      <w:r w:rsidR="009744DC">
        <w:rPr>
          <w:rFonts w:ascii="Book Antiqua" w:eastAsia="Book Antiqua" w:hAnsi="Book Antiqua" w:cs="Book Antiqua"/>
          <w:color w:val="000000"/>
        </w:rPr>
        <w:t xml:space="preserve"> </w:t>
      </w:r>
      <w:r>
        <w:rPr>
          <w:rFonts w:ascii="Book Antiqua" w:eastAsia="Book Antiqua" w:hAnsi="Book Antiqua" w:cs="Book Antiqua"/>
          <w:color w:val="000000"/>
        </w:rPr>
        <w:t>cisplatin for the NSCLC was initiated. After two cycles of chemotherapy, the cytopenia was prolonged. AML relapse occurred with the same karyotype.</w:t>
      </w:r>
    </w:p>
    <w:p w14:paraId="64E27ED2" w14:textId="77777777" w:rsidR="00441C32" w:rsidRDefault="00441C32">
      <w:pPr>
        <w:spacing w:line="360" w:lineRule="auto"/>
        <w:jc w:val="both"/>
        <w:rPr>
          <w:rFonts w:ascii="Book Antiqua" w:hAnsi="Book Antiqua"/>
        </w:rPr>
      </w:pPr>
    </w:p>
    <w:p w14:paraId="60282218"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CONCLUSION</w:t>
      </w:r>
    </w:p>
    <w:p w14:paraId="7EB0CA75"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Therapy-related acute myeloid neoplasm (t-MN) is a rare but fatal late complication. Although a patient may be taking EGFR-TKIs, the possibility of t-MN should be considered. Further studies are needed to determine whether EGFR-TKI usage is a predisposing factor for t-MN.</w:t>
      </w:r>
    </w:p>
    <w:p w14:paraId="5F53DF3E" w14:textId="77777777" w:rsidR="00441C32" w:rsidRDefault="00441C32">
      <w:pPr>
        <w:spacing w:line="360" w:lineRule="auto"/>
        <w:jc w:val="both"/>
        <w:rPr>
          <w:rFonts w:ascii="Book Antiqua" w:hAnsi="Book Antiqua"/>
        </w:rPr>
      </w:pPr>
    </w:p>
    <w:p w14:paraId="2FA8275D"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myeloid leukemia; Erlotinib; Neoplasm, second primary; Non-small cell lung cancer</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report</w:t>
      </w:r>
    </w:p>
    <w:p w14:paraId="7AC54B4F" w14:textId="77777777" w:rsidR="00516EB8" w:rsidRDefault="00516EB8" w:rsidP="00516EB8">
      <w:pPr>
        <w:spacing w:line="360" w:lineRule="auto"/>
        <w:jc w:val="both"/>
        <w:rPr>
          <w:lang w:eastAsia="zh-CN"/>
        </w:rPr>
      </w:pPr>
    </w:p>
    <w:p w14:paraId="7DE71F30" w14:textId="77777777" w:rsidR="00516EB8" w:rsidRPr="00026CB8" w:rsidRDefault="00516EB8" w:rsidP="00516EB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0FAEC75" w14:textId="77777777" w:rsidR="00441C32" w:rsidRDefault="00441C32">
      <w:pPr>
        <w:spacing w:line="360" w:lineRule="auto"/>
        <w:jc w:val="both"/>
        <w:rPr>
          <w:rFonts w:ascii="Book Antiqua" w:hAnsi="Book Antiqua"/>
        </w:rPr>
      </w:pPr>
    </w:p>
    <w:p w14:paraId="40FC4E8C" w14:textId="756034EF" w:rsidR="00696166" w:rsidRDefault="00696166">
      <w:pPr>
        <w:spacing w:line="360" w:lineRule="auto"/>
        <w:jc w:val="both"/>
        <w:rPr>
          <w:rFonts w:ascii="Book Antiqua" w:hAnsi="Book Antiqua" w:cs="Book Antiqua" w:hint="eastAsia"/>
          <w:color w:val="000000"/>
          <w:lang w:eastAsia="zh-CN"/>
        </w:rPr>
      </w:pPr>
      <w:r w:rsidRPr="00696166">
        <w:rPr>
          <w:rFonts w:ascii="Book Antiqua" w:hAnsi="Book Antiqua" w:cs="Book Antiqua" w:hint="eastAsia"/>
          <w:b/>
          <w:color w:val="000000"/>
          <w:lang w:eastAsia="zh-CN"/>
        </w:rPr>
        <w:t xml:space="preserve">Citation: </w:t>
      </w:r>
      <w:r w:rsidR="00636F33">
        <w:rPr>
          <w:rFonts w:ascii="Book Antiqua" w:eastAsia="Book Antiqua" w:hAnsi="Book Antiqua" w:cs="Book Antiqua"/>
          <w:color w:val="000000"/>
        </w:rPr>
        <w:t>Koo SM, Kim KU, Kim YK, Uh ST. Therapy-related myeloid leukemia during erlotinib treatment in a non-small cell lung cancer patient</w:t>
      </w:r>
      <w:r w:rsidR="00636F33">
        <w:rPr>
          <w:rFonts w:ascii="Book Antiqua" w:hAnsi="Book Antiqua" w:cs="Book Antiqua" w:hint="eastAsia"/>
          <w:color w:val="000000"/>
          <w:lang w:eastAsia="zh-CN"/>
        </w:rPr>
        <w:t>: A case report</w:t>
      </w:r>
      <w:r w:rsidR="00636F33">
        <w:rPr>
          <w:rFonts w:ascii="Book Antiqua" w:eastAsia="Book Antiqua" w:hAnsi="Book Antiqua" w:cs="Book Antiqua"/>
          <w:color w:val="000000"/>
        </w:rPr>
        <w:t xml:space="preserve">. </w:t>
      </w:r>
      <w:r w:rsidR="00636F33">
        <w:rPr>
          <w:rFonts w:ascii="Book Antiqua" w:eastAsia="Book Antiqua" w:hAnsi="Book Antiqua" w:cs="Book Antiqua"/>
          <w:i/>
          <w:iCs/>
          <w:color w:val="000000"/>
        </w:rPr>
        <w:t>World J Clin Cases</w:t>
      </w:r>
      <w:r w:rsidR="00636F33">
        <w:rPr>
          <w:rFonts w:ascii="Book Antiqua" w:eastAsia="Book Antiqua" w:hAnsi="Book Antiqua" w:cs="Book Antiqua"/>
          <w:color w:val="000000"/>
        </w:rPr>
        <w:t xml:space="preserve"> </w:t>
      </w:r>
      <w:r w:rsidR="00245D8E" w:rsidRPr="000A085A">
        <w:rPr>
          <w:rFonts w:ascii="Book Antiqua" w:eastAsia="Book Antiqua" w:hAnsi="Book Antiqua" w:cs="Book Antiqua"/>
          <w:color w:val="000000"/>
        </w:rPr>
        <w:t xml:space="preserve">2021; </w:t>
      </w:r>
      <w:r w:rsidR="00245D8E">
        <w:rPr>
          <w:rFonts w:ascii="Book Antiqua" w:hAnsi="Book Antiqua" w:cs="Book Antiqua" w:hint="eastAsia"/>
          <w:color w:val="000000"/>
        </w:rPr>
        <w:t>9</w:t>
      </w:r>
      <w:r w:rsidR="00245D8E" w:rsidRPr="008963A2">
        <w:rPr>
          <w:rFonts w:ascii="Book Antiqua" w:eastAsia="Book Antiqua" w:hAnsi="Book Antiqua" w:cs="Book Antiqua"/>
          <w:color w:val="000000"/>
        </w:rPr>
        <w:t>(</w:t>
      </w:r>
      <w:r w:rsidR="00245D8E">
        <w:rPr>
          <w:rFonts w:ascii="Book Antiqua" w:hAnsi="Book Antiqua" w:cs="Book Antiqua" w:hint="eastAsia"/>
          <w:color w:val="000000"/>
          <w:lang w:eastAsia="zh-CN"/>
        </w:rPr>
        <w:t>2</w:t>
      </w:r>
      <w:r w:rsidR="00245D8E">
        <w:rPr>
          <w:rFonts w:ascii="Book Antiqua" w:hAnsi="Book Antiqua" w:cs="Book Antiqua"/>
          <w:color w:val="000000"/>
          <w:lang w:eastAsia="zh-CN"/>
        </w:rPr>
        <w:t>4</w:t>
      </w:r>
      <w:r w:rsidR="00245D8E" w:rsidRPr="008963A2">
        <w:rPr>
          <w:rFonts w:ascii="Book Antiqua" w:eastAsia="Book Antiqua" w:hAnsi="Book Antiqua" w:cs="Book Antiqua"/>
          <w:color w:val="000000"/>
        </w:rPr>
        <w:t xml:space="preserve">): </w:t>
      </w:r>
      <w:r w:rsidR="00D24C91" w:rsidRPr="00D24C91">
        <w:rPr>
          <w:rFonts w:ascii="Book Antiqua" w:eastAsia="Book Antiqua" w:hAnsi="Book Antiqua" w:cs="Book Antiqua"/>
          <w:color w:val="000000"/>
        </w:rPr>
        <w:t>7205-7211</w:t>
      </w:r>
      <w:r w:rsidR="00245D8E" w:rsidRPr="008963A2">
        <w:rPr>
          <w:rFonts w:ascii="Book Antiqua" w:eastAsia="Book Antiqua" w:hAnsi="Book Antiqua" w:cs="Book Antiqua"/>
          <w:color w:val="000000"/>
        </w:rPr>
        <w:t xml:space="preserve">  </w:t>
      </w:r>
    </w:p>
    <w:p w14:paraId="7770FF87" w14:textId="77777777" w:rsidR="00696166" w:rsidRDefault="00245D8E">
      <w:pPr>
        <w:spacing w:line="360" w:lineRule="auto"/>
        <w:jc w:val="both"/>
        <w:rPr>
          <w:rFonts w:ascii="Book Antiqua" w:hAnsi="Book Antiqua" w:cs="Book Antiqua" w:hint="eastAsia"/>
          <w:color w:val="000000"/>
          <w:lang w:eastAsia="zh-CN"/>
        </w:rPr>
      </w:pPr>
      <w:r w:rsidRPr="00696166">
        <w:rPr>
          <w:rFonts w:ascii="Book Antiqua" w:eastAsia="Book Antiqua" w:hAnsi="Book Antiqua" w:cs="Book Antiqua"/>
          <w:b/>
          <w:color w:val="000000"/>
        </w:rPr>
        <w:t xml:space="preserve">URL: </w:t>
      </w:r>
      <w:r w:rsidRPr="008963A2">
        <w:rPr>
          <w:rFonts w:ascii="Book Antiqua" w:eastAsia="Book Antiqua" w:hAnsi="Book Antiqua" w:cs="Book Antiqua"/>
          <w:color w:val="000000"/>
        </w:rPr>
        <w:t>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2</w:t>
      </w:r>
      <w:r>
        <w:rPr>
          <w:rFonts w:ascii="Book Antiqua" w:hAnsi="Book Antiqua" w:cs="Book Antiqua"/>
          <w:color w:val="000000"/>
          <w:lang w:eastAsia="zh-CN"/>
        </w:rPr>
        <w:t>4</w:t>
      </w:r>
      <w:r w:rsidRPr="008963A2">
        <w:rPr>
          <w:rFonts w:ascii="Book Antiqua" w:eastAsia="Book Antiqua" w:hAnsi="Book Antiqua" w:cs="Book Antiqua"/>
          <w:color w:val="000000"/>
        </w:rPr>
        <w:t>/</w:t>
      </w:r>
      <w:r w:rsidR="00D24C91" w:rsidRPr="00D24C91">
        <w:rPr>
          <w:rFonts w:ascii="Book Antiqua" w:eastAsia="Book Antiqua" w:hAnsi="Book Antiqua" w:cs="Book Antiqua"/>
          <w:color w:val="000000"/>
        </w:rPr>
        <w:t>7205</w:t>
      </w:r>
      <w:r w:rsidRPr="008963A2">
        <w:rPr>
          <w:rFonts w:ascii="Book Antiqua" w:eastAsia="Book Antiqua" w:hAnsi="Book Antiqua" w:cs="Book Antiqua"/>
          <w:color w:val="000000"/>
        </w:rPr>
        <w:t xml:space="preserve">.htm  </w:t>
      </w:r>
    </w:p>
    <w:p w14:paraId="154E1DE5" w14:textId="4507CF69" w:rsidR="00441C32" w:rsidRDefault="00245D8E">
      <w:pPr>
        <w:spacing w:line="360" w:lineRule="auto"/>
        <w:jc w:val="both"/>
        <w:rPr>
          <w:rFonts w:ascii="Book Antiqua" w:hAnsi="Book Antiqua"/>
        </w:rPr>
      </w:pPr>
      <w:r w:rsidRPr="00696166">
        <w:rPr>
          <w:rFonts w:ascii="Book Antiqua" w:eastAsia="Book Antiqua" w:hAnsi="Book Antiqua" w:cs="Book Antiqua"/>
          <w:b/>
          <w:color w:val="000000"/>
        </w:rPr>
        <w:t>DOI:</w:t>
      </w:r>
      <w:r w:rsidRPr="008963A2">
        <w:rPr>
          <w:rFonts w:ascii="Book Antiqua" w:eastAsia="Book Antiqua" w:hAnsi="Book Antiqua" w:cs="Book Antiqua"/>
          <w:color w:val="000000"/>
        </w:rPr>
        <w:t xml:space="preserve"> 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2</w:t>
      </w:r>
      <w:r>
        <w:rPr>
          <w:rFonts w:ascii="Book Antiqua" w:hAnsi="Book Antiqua" w:cs="Book Antiqua"/>
          <w:color w:val="000000"/>
          <w:lang w:eastAsia="zh-CN"/>
        </w:rPr>
        <w:t>4</w:t>
      </w:r>
      <w:r w:rsidRPr="008963A2">
        <w:rPr>
          <w:rFonts w:ascii="Book Antiqua" w:eastAsia="Book Antiqua" w:hAnsi="Book Antiqua" w:cs="Book Antiqua"/>
          <w:color w:val="000000"/>
        </w:rPr>
        <w:t>.</w:t>
      </w:r>
      <w:r w:rsidR="00D24C91" w:rsidRPr="00D24C91">
        <w:rPr>
          <w:rFonts w:ascii="Book Antiqua" w:eastAsia="Book Antiqua" w:hAnsi="Book Antiqua" w:cs="Book Antiqua"/>
          <w:color w:val="000000"/>
        </w:rPr>
        <w:t>7205</w:t>
      </w:r>
    </w:p>
    <w:p w14:paraId="70DDA86A" w14:textId="77777777" w:rsidR="00441C32" w:rsidRDefault="00441C32">
      <w:pPr>
        <w:spacing w:line="360" w:lineRule="auto"/>
        <w:jc w:val="both"/>
        <w:rPr>
          <w:rFonts w:ascii="Book Antiqua" w:hAnsi="Book Antiqua"/>
        </w:rPr>
      </w:pPr>
    </w:p>
    <w:p w14:paraId="0292DCA1"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Therapy-related acute myeloid leukemia (t-AML) developed during erlotinib treatment in a patient with epidermal growth factor receptor (EGFR)–mutant advanced non-small cell lung cancer (NSCLC). Alkylating cytotoxic drugs and radiotherapy are common treatments for patients with NSCLC. Cases of t-AML related to alkylating agents typically have a long latency period. Since it was 20 mo in this case, EGFR–tyrosine kinase inhibitor (EGFR-TKI) usage may be related to or hasten AML development in patients who previously received cytotoxic chemotherapy. Although the mechanism remains unclear, when a patient takes an EGFR-TKI, t-AML development should be considered, especially if cytopenia persists.</w:t>
      </w:r>
    </w:p>
    <w:p w14:paraId="5726B22D" w14:textId="77777777" w:rsidR="00441C32" w:rsidRDefault="00441C32">
      <w:pPr>
        <w:spacing w:line="360" w:lineRule="auto"/>
        <w:jc w:val="both"/>
        <w:rPr>
          <w:rFonts w:ascii="Book Antiqua" w:hAnsi="Book Antiqua"/>
        </w:rPr>
      </w:pPr>
    </w:p>
    <w:p w14:paraId="028E5034"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br w:type="page"/>
        <w:t>INTRODUCTION</w:t>
      </w:r>
    </w:p>
    <w:p w14:paraId="28A79BEE"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Therapy-related acute myeloid leukemia (t-AML) is a rare but fatal late complication of cytotoxic chemotherapy. According to Surveillance, Epidemiology, and End Results data in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cancer registries, 18 patients with t-AML were identified in 2001–2008 among 37008 non-small cell lung cancer (NSCLC) patients who received initial chemotherapy in adulthood</w:t>
      </w:r>
      <w:r>
        <w:rPr>
          <w:rFonts w:ascii="Book Antiqua" w:eastAsia="Book Antiqua" w:hAnsi="Book Antiqua" w:cs="Book Antiqua"/>
          <w:color w:val="000000"/>
          <w:vertAlign w:val="superscript"/>
        </w:rPr>
        <w:t>[1]</w:t>
      </w:r>
      <w:r>
        <w:rPr>
          <w:rFonts w:ascii="Book Antiqua" w:eastAsia="Book Antiqua" w:hAnsi="Book Antiqua" w:cs="Book Antiqua"/>
          <w:color w:val="000000"/>
        </w:rPr>
        <w:t>. Since patients with NSCLC receive multiple lines of treatment, it is difficult to determine which of the cytotoxic drugs are related to the AML that occurs several years later.</w:t>
      </w:r>
    </w:p>
    <w:p w14:paraId="4115C66A"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Epidermal growth factor receptor tyrosine kinase inhibitors (EGFR-TKIs) are the target therapy for patients with EGFR-mutant NSCLC. EGFR-TKIs are known to be relatively tolerable drugs for patients and </w:t>
      </w:r>
      <w:r>
        <w:rPr>
          <w:rFonts w:ascii="Book Antiqua" w:eastAsia="Book Antiqua" w:hAnsi="Book Antiqua" w:cs="Book Antiqua"/>
          <w:color w:val="000000"/>
          <w:shd w:val="clear" w:color="auto" w:fill="FFFFFF"/>
        </w:rPr>
        <w:t>less toxic than cytotoxic agents</w:t>
      </w:r>
      <w:r>
        <w:rPr>
          <w:rFonts w:ascii="Book Antiqua" w:eastAsia="Book Antiqua" w:hAnsi="Book Antiqua" w:cs="Book Antiqua"/>
          <w:color w:val="000000"/>
        </w:rPr>
        <w:t>. Moreover, serious adverse reactions to them are uncommon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7B69AFE3"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We identified a case of AML that developed during erlotinib treatment and reviewed cases of myeloid neoplasms that occurred during EGFR-TKI treatment in the literature.</w:t>
      </w:r>
    </w:p>
    <w:p w14:paraId="208DA070" w14:textId="77777777" w:rsidR="00441C32" w:rsidRDefault="00441C32">
      <w:pPr>
        <w:spacing w:line="360" w:lineRule="auto"/>
        <w:ind w:firstLine="180"/>
        <w:jc w:val="both"/>
        <w:rPr>
          <w:rFonts w:ascii="Book Antiqua" w:hAnsi="Book Antiqua"/>
        </w:rPr>
      </w:pPr>
    </w:p>
    <w:p w14:paraId="74509DA9"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3BD4658"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Chief complaints</w:t>
      </w:r>
    </w:p>
    <w:p w14:paraId="1F4071D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A 52-year-old man presented with general weakness. His symptoms had waxed and waned during the past several months. </w:t>
      </w:r>
    </w:p>
    <w:p w14:paraId="065B1C39" w14:textId="77777777" w:rsidR="00441C32" w:rsidRDefault="00441C32">
      <w:pPr>
        <w:spacing w:line="360" w:lineRule="auto"/>
        <w:jc w:val="both"/>
        <w:rPr>
          <w:rFonts w:ascii="Book Antiqua" w:hAnsi="Book Antiqua"/>
        </w:rPr>
      </w:pPr>
    </w:p>
    <w:p w14:paraId="70565A25"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BCD3A6C"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He was under lung cancer treatment consisting of erlotinib 100 mg/d, levetiracetam 1000 mg/d, and prednisolone 10 mg/d to control his symptoms and prevent seizure that related with brain metastasis.</w:t>
      </w:r>
    </w:p>
    <w:p w14:paraId="4B471A2D" w14:textId="77777777" w:rsidR="00441C32" w:rsidRDefault="00441C32">
      <w:pPr>
        <w:spacing w:line="360" w:lineRule="auto"/>
        <w:jc w:val="both"/>
        <w:rPr>
          <w:rFonts w:ascii="Book Antiqua" w:hAnsi="Book Antiqua"/>
        </w:rPr>
      </w:pPr>
    </w:p>
    <w:p w14:paraId="01C3FB21"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685DF1A"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He had a medical history of chemotherapy and radiotherapy for NSCLC diagnosed as adenocarcinoma, T2bN2M1a by </w:t>
      </w:r>
      <w:r>
        <w:rPr>
          <w:rFonts w:ascii="Book Antiqua" w:eastAsia="Book Antiqua" w:hAnsi="Book Antiqua" w:cs="Book Antiqua"/>
          <w:color w:val="000000"/>
          <w:shd w:val="clear" w:color="auto" w:fill="FFFFFF"/>
        </w:rPr>
        <w:t>the International Association for the Study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Lung Cancer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seventh edition guidelines </w:t>
      </w:r>
      <w:r>
        <w:rPr>
          <w:rFonts w:ascii="Book Antiqua" w:eastAsia="Book Antiqua" w:hAnsi="Book Antiqua" w:cs="Book Antiqua"/>
          <w:color w:val="000000"/>
        </w:rPr>
        <w:t>20 mo prior. The pathological diagnosis of the right upper lobe mass was adenocarcinoma with an EGFR mutation in exon 21(L858R). As first-line chemotherapy, he received six cycles of combination paclitaxel (175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carboplatin (AUC 4). At that time, EGFR-TKI was not covered by medical insurance benefits as the first-line therapy, so cytotoxic chemotherapy was administered. After disease progression occurred, he received three cycles of gemcitabine (1000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vinorelbine (25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chemotherapy. He then developed memory problems and gait difficulties. Brain magnetic resonance imaging revealed a brain metastasis. We decided to perform stereotactic radiosurgery using a Cyberknife to resect multiple metastatic lesions (total 23 Gy). Six months later, the size and number of brain metastatic lesions had increased. He subsequently received whole-brain radiotherapy (total 30 cGy). </w:t>
      </w:r>
    </w:p>
    <w:p w14:paraId="68CCD88A" w14:textId="77777777" w:rsidR="00441C32" w:rsidRDefault="00441C32">
      <w:pPr>
        <w:spacing w:line="360" w:lineRule="auto"/>
        <w:jc w:val="both"/>
        <w:rPr>
          <w:rFonts w:ascii="Book Antiqua" w:hAnsi="Book Antiqua"/>
        </w:rPr>
      </w:pPr>
    </w:p>
    <w:p w14:paraId="159C0CCA"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EA34F04" w14:textId="77777777" w:rsidR="00441C32" w:rsidRDefault="00636F33">
      <w:pPr>
        <w:spacing w:line="360" w:lineRule="auto"/>
        <w:jc w:val="both"/>
        <w:rPr>
          <w:rFonts w:ascii="Book Antiqua" w:hAnsi="Book Antiqua"/>
          <w:lang w:eastAsia="zh-CN"/>
        </w:rPr>
      </w:pPr>
      <w:r>
        <w:rPr>
          <w:rFonts w:ascii="Book Antiqua" w:eastAsia="Book Antiqua" w:hAnsi="Book Antiqua" w:cs="Book Antiqua"/>
          <w:color w:val="000000"/>
        </w:rPr>
        <w:t>Our patient, who ran a flower shop, was a former smoker with a 26 pack-years history of smoking. He had quit smoking a year prior.</w:t>
      </w:r>
    </w:p>
    <w:p w14:paraId="7A1B17AE" w14:textId="77777777" w:rsidR="00441C32" w:rsidRDefault="00441C32">
      <w:pPr>
        <w:spacing w:line="360" w:lineRule="auto"/>
        <w:jc w:val="both"/>
        <w:rPr>
          <w:rFonts w:ascii="Book Antiqua" w:hAnsi="Book Antiqua"/>
        </w:rPr>
      </w:pPr>
    </w:p>
    <w:p w14:paraId="7C685622"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Physical examination</w:t>
      </w:r>
    </w:p>
    <w:p w14:paraId="49BD5428"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His vital signs and physical examination findings were unremarkable except for a chronic ill-looking appearance. </w:t>
      </w:r>
    </w:p>
    <w:p w14:paraId="7F525B78" w14:textId="77777777" w:rsidR="00441C32" w:rsidRDefault="00441C32">
      <w:pPr>
        <w:spacing w:line="360" w:lineRule="auto"/>
        <w:jc w:val="both"/>
        <w:rPr>
          <w:rFonts w:ascii="Book Antiqua" w:hAnsi="Book Antiqua"/>
        </w:rPr>
      </w:pPr>
    </w:p>
    <w:p w14:paraId="158BFBBD"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6453FE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A complete blood count revealed a white blood cell count of 7600 (absolute neutrophil count, 500), hemoglobin level of 12.4 g/dL, and platelet count of 83000/μL. A leukocyte differential count revealed an absolute neutrophil count of 500/μL, lymphocyte count of 2400/μL, and monocyte count of 1000/μL. Immature cells were observed in the peripheral blood (Figure </w:t>
      </w:r>
      <w:r>
        <w:rPr>
          <w:rFonts w:ascii="Book Antiqua" w:hAnsi="Book Antiqua" w:cs="Book Antiqua" w:hint="eastAsia"/>
          <w:color w:val="000000"/>
          <w:lang w:eastAsia="zh-CN"/>
        </w:rPr>
        <w:t>1</w:t>
      </w:r>
      <w:r>
        <w:rPr>
          <w:rFonts w:ascii="Book Antiqua" w:eastAsia="Book Antiqua" w:hAnsi="Book Antiqua" w:cs="Book Antiqua"/>
          <w:color w:val="000000"/>
        </w:rPr>
        <w:t xml:space="preserve">A). The chemistry results were normal except for a lactate dehydrogenase level of 293 U/L (reference interval, 106–211 U/L). </w:t>
      </w:r>
    </w:p>
    <w:p w14:paraId="19B23EC4" w14:textId="77777777" w:rsidR="00441C32" w:rsidRDefault="00441C32">
      <w:pPr>
        <w:spacing w:line="360" w:lineRule="auto"/>
        <w:jc w:val="both"/>
        <w:rPr>
          <w:rFonts w:ascii="Book Antiqua" w:hAnsi="Book Antiqua"/>
        </w:rPr>
      </w:pPr>
    </w:p>
    <w:p w14:paraId="661EAC9C" w14:textId="77777777" w:rsidR="00441C32" w:rsidRDefault="00636F33">
      <w:pPr>
        <w:spacing w:line="360" w:lineRule="auto"/>
        <w:jc w:val="both"/>
        <w:rPr>
          <w:rFonts w:ascii="Book Antiqua" w:hAnsi="Book Antiqua"/>
        </w:rPr>
      </w:pPr>
      <w:r>
        <w:rPr>
          <w:rFonts w:ascii="Book Antiqua" w:eastAsia="Book Antiqua" w:hAnsi="Book Antiqua" w:cs="Book Antiqua"/>
          <w:b/>
          <w:i/>
          <w:color w:val="000000"/>
        </w:rPr>
        <w:t>Imaging examinations</w:t>
      </w:r>
    </w:p>
    <w:p w14:paraId="41D0BA7B"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In the initial diagnosis, chest computed tomography revealed a 61 mm × 44 mm lobulated mass in the right upper lobe and another 31 mm × 23 mm spiculated mass in the left upper lobe. As the third-line therapy, we started erlotinib, an EGFR-TKI, at a dose of 150 mg/d 11 mo prior. During erlotinib treatment, the mass in the right upper lung became markedly improved (Figure </w:t>
      </w:r>
      <w:r>
        <w:rPr>
          <w:rFonts w:ascii="Book Antiqua" w:hAnsi="Book Antiqua" w:cs="Book Antiqua" w:hint="eastAsia"/>
          <w:color w:val="000000"/>
          <w:lang w:eastAsia="zh-CN"/>
        </w:rPr>
        <w:t>2</w:t>
      </w:r>
      <w:r>
        <w:rPr>
          <w:rFonts w:ascii="Book Antiqua" w:eastAsia="Book Antiqua" w:hAnsi="Book Antiqua" w:cs="Book Antiqua"/>
          <w:color w:val="000000"/>
        </w:rPr>
        <w:t>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 </w:t>
      </w:r>
    </w:p>
    <w:p w14:paraId="7F8EEA67" w14:textId="77777777" w:rsidR="00441C32" w:rsidRDefault="00441C32">
      <w:pPr>
        <w:spacing w:line="360" w:lineRule="auto"/>
        <w:jc w:val="both"/>
        <w:rPr>
          <w:rFonts w:ascii="Book Antiqua" w:hAnsi="Book Antiqua"/>
        </w:rPr>
      </w:pPr>
    </w:p>
    <w:p w14:paraId="28C37CF0"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E9CBF0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Bone marrow aspirate smears revealed a monocytic blast rate of 77.3% (Figure </w:t>
      </w:r>
      <w:r>
        <w:rPr>
          <w:rFonts w:ascii="Book Antiqua" w:hAnsi="Book Antiqua" w:cs="Book Antiqua" w:hint="eastAsia"/>
          <w:color w:val="000000"/>
          <w:lang w:eastAsia="zh-CN"/>
        </w:rPr>
        <w:t>1</w:t>
      </w:r>
      <w:r>
        <w:rPr>
          <w:rFonts w:ascii="Book Antiqua" w:eastAsia="Book Antiqua" w:hAnsi="Book Antiqua" w:cs="Book Antiqua"/>
          <w:color w:val="000000"/>
        </w:rPr>
        <w:t xml:space="preserve">B). Eosinophil levels in the bone marrow were increased (14.4%). A bone marrow biopsy revealed 80% cellularity. While megakaryocytes were decreased, immature cells diffusely infiltrated the bone marrow. CBFB/MYH11 rearrangement was observed by fluorescence in situ hybridization analysis. On a chromosome analysis, inv(1) and inv(16) were detected. The patient’s karyotype was 46, XY, inv(1) (p22q32), inv(16) (p13.1q22). </w:t>
      </w:r>
    </w:p>
    <w:p w14:paraId="0E5A5AF3" w14:textId="77777777" w:rsidR="00441C32" w:rsidRDefault="00441C32">
      <w:pPr>
        <w:spacing w:line="360" w:lineRule="auto"/>
        <w:jc w:val="both"/>
        <w:rPr>
          <w:rFonts w:ascii="Book Antiqua" w:hAnsi="Book Antiqua"/>
        </w:rPr>
      </w:pPr>
    </w:p>
    <w:p w14:paraId="3B5FCE41"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578735F"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After receiving the diagnosis of AML, the patient started induction chemotherapy with daunorubicin/cytarabine and consolidation chemotherapy with high-dose cytarabine. During AML treatment, the erlotinib treatment was stopped. </w:t>
      </w:r>
    </w:p>
    <w:p w14:paraId="58EEE298" w14:textId="77777777" w:rsidR="00441C32" w:rsidRDefault="00441C32">
      <w:pPr>
        <w:spacing w:line="360" w:lineRule="auto"/>
        <w:jc w:val="both"/>
        <w:rPr>
          <w:rFonts w:ascii="Book Antiqua" w:hAnsi="Book Antiqua"/>
        </w:rPr>
      </w:pPr>
    </w:p>
    <w:p w14:paraId="5F77CE50"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232BEE3"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At the time that complete remission of the AML was achieved, both upper lobe masses had increased in size (Figure </w:t>
      </w:r>
      <w:r>
        <w:rPr>
          <w:rFonts w:ascii="Book Antiqua" w:hAnsi="Book Antiqua" w:cs="Book Antiqua" w:hint="eastAsia"/>
          <w:color w:val="000000"/>
          <w:lang w:eastAsia="zh-CN"/>
        </w:rPr>
        <w:t>2</w:t>
      </w:r>
      <w:r>
        <w:rPr>
          <w:rFonts w:ascii="Book Antiqua" w:eastAsia="Book Antiqua" w:hAnsi="Book Antiqua" w:cs="Book Antiqua"/>
          <w:color w:val="000000"/>
        </w:rPr>
        <w:t>C</w:t>
      </w:r>
      <w:r>
        <w:rPr>
          <w:rFonts w:ascii="Book Antiqua" w:hAnsi="Book Antiqua" w:cs="Book Antiqua" w:hint="eastAsia"/>
          <w:color w:val="000000"/>
          <w:lang w:eastAsia="zh-CN"/>
        </w:rPr>
        <w:t xml:space="preserve"> and D</w:t>
      </w:r>
      <w:r>
        <w:rPr>
          <w:rFonts w:ascii="Book Antiqua" w:eastAsia="Book Antiqua" w:hAnsi="Book Antiqua" w:cs="Book Antiqua"/>
          <w:color w:val="000000"/>
        </w:rPr>
        <w:t xml:space="preserve">). Fourth-line chemotherapy with pemetrexed/cisplatin for NSCLC was initiated. After two cycles of chemotherapy, the cytopenia persisted. The complete blood count revealed a white blood cell count of 1800 (absolute neutrophil count, 972), hemoglobin level of 9.6 g/dL, and platelet count of 88000/μL. Immature cells were observed in the peripheral blood. The result of the bone marrow study was AML relapse with the same karyotype. Re-induction chemotherapy with mitoxantrone/etoposide did not achieve remission. We administered low-dose cytarabine chemotherapy; the patient was exhausted with poor performance status and died of respiratory failure 10 mo after receiving the AML diagnosis. </w:t>
      </w:r>
    </w:p>
    <w:p w14:paraId="3FD1CC8D" w14:textId="77777777" w:rsidR="00441C32" w:rsidRDefault="00441C32">
      <w:pPr>
        <w:spacing w:line="360" w:lineRule="auto"/>
        <w:jc w:val="both"/>
        <w:rPr>
          <w:rFonts w:ascii="Book Antiqua" w:hAnsi="Book Antiqua"/>
        </w:rPr>
      </w:pPr>
    </w:p>
    <w:p w14:paraId="6EA11F00"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62F44C7"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This case involved t-AML that developed during erlotinib treatment in a patient with NSCLC. The case was considered a therapy-related myeloid neoplasm rather than de novo AML because the patient had a clinical history of antecedent cytotoxic therapy and radiotherapy. Carboplatin and radiotherapy in this patient were risk factors for t-AML</w:t>
      </w:r>
      <w:r>
        <w:rPr>
          <w:rFonts w:ascii="Book Antiqua" w:eastAsia="Book Antiqua" w:hAnsi="Book Antiqua" w:cs="Book Antiqua"/>
          <w:color w:val="000000"/>
          <w:vertAlign w:val="superscript"/>
        </w:rPr>
        <w:t>[3]</w:t>
      </w:r>
      <w:r>
        <w:rPr>
          <w:rFonts w:ascii="Book Antiqua" w:eastAsia="Book Antiqua" w:hAnsi="Book Antiqua" w:cs="Book Antiqua"/>
          <w:color w:val="000000"/>
        </w:rPr>
        <w:t>. Patients with t-AML related to alkylating agents generally experience a longer latency period (5–7 years) than those with t-AML related to topoisomerase-2 inhibitors (2–3 years) between therapy and myeloid neoplasm development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can predict the long interval between alkylating chemotherapy and an AML diagnosis. However, in the present case, the interval between the initiation of carboplatin treatment and AML development was 20 mo, which was relatively short. </w:t>
      </w:r>
    </w:p>
    <w:p w14:paraId="4E6E50D9"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Differentiating </w:t>
      </w:r>
      <w:r>
        <w:rPr>
          <w:rFonts w:ascii="Book Antiqua" w:hAnsi="Book Antiqua" w:cs="Book Antiqua" w:hint="eastAsia"/>
          <w:color w:val="000000"/>
          <w:lang w:eastAsia="zh-CN"/>
        </w:rPr>
        <w:t>t</w:t>
      </w:r>
      <w:r>
        <w:rPr>
          <w:rFonts w:ascii="Book Antiqua" w:eastAsia="Book Antiqua" w:hAnsi="Book Antiqua" w:cs="Book Antiqua"/>
          <w:color w:val="000000"/>
        </w:rPr>
        <w:t xml:space="preserve">herapy-related acute myeloid neoplasm (t-MN) from de novo myelodysplastic syndrome (MDS)/AML is difficult because mutation profiling has demonstrated similar abnormalities for both conditions. Common patterns in recurrent mutations and chromosomal abnormalities are chromosome 5 and 7 </w:t>
      </w:r>
      <w:r>
        <w:rPr>
          <w:rFonts w:ascii="Book Antiqua" w:hAnsi="Book Antiqua" w:cs="Book Antiqua" w:hint="eastAsia"/>
          <w:color w:val="000000"/>
          <w:lang w:eastAsia="zh-CN"/>
        </w:rPr>
        <w:t>l</w:t>
      </w:r>
      <w:r>
        <w:rPr>
          <w:rFonts w:ascii="Book Antiqua" w:eastAsia="Book Antiqua" w:hAnsi="Book Antiqua" w:cs="Book Antiqua"/>
          <w:color w:val="000000"/>
        </w:rPr>
        <w:t xml:space="preserve">oss with alkylating agent exposure and </w:t>
      </w:r>
      <w:r>
        <w:rPr>
          <w:rFonts w:ascii="Book Antiqua" w:eastAsia="Book Antiqua" w:hAnsi="Book Antiqua" w:cs="Book Antiqua"/>
          <w:i/>
          <w:iCs/>
          <w:color w:val="000000"/>
        </w:rPr>
        <w:t>MLL</w:t>
      </w:r>
      <w:r>
        <w:rPr>
          <w:rFonts w:ascii="Book Antiqua" w:eastAsia="Book Antiqua" w:hAnsi="Book Antiqua" w:cs="Book Antiqua"/>
          <w:color w:val="000000"/>
        </w:rPr>
        <w:t xml:space="preserve"> translocations at 11q23 or </w:t>
      </w:r>
      <w:r>
        <w:rPr>
          <w:rFonts w:ascii="Book Antiqua" w:eastAsia="Book Antiqua" w:hAnsi="Book Antiqua" w:cs="Book Antiqua"/>
          <w:i/>
          <w:iCs/>
          <w:color w:val="000000"/>
        </w:rPr>
        <w:t>RUNX1/AML1</w:t>
      </w:r>
      <w:r>
        <w:rPr>
          <w:rFonts w:ascii="Book Antiqua" w:eastAsia="Book Antiqua" w:hAnsi="Book Antiqua" w:cs="Book Antiqua"/>
          <w:color w:val="000000"/>
        </w:rPr>
        <w:t xml:space="preserve"> at 21q22 with topoisomerase-2 inhibitor exposure</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w:t>
      </w:r>
      <w:r>
        <w:rPr>
          <w:rFonts w:ascii="Book Antiqua" w:eastAsia="Book Antiqua" w:hAnsi="Book Antiqua" w:cs="Book Antiqua"/>
          <w:i/>
          <w:color w:val="000000"/>
        </w:rPr>
        <w:t>de novo</w:t>
      </w:r>
      <w:r>
        <w:rPr>
          <w:rFonts w:ascii="Book Antiqua" w:eastAsia="Book Antiqua" w:hAnsi="Book Antiqua" w:cs="Book Antiqua"/>
          <w:color w:val="000000"/>
        </w:rPr>
        <w:t xml:space="preserve"> and therapy-related MDS/AML can share genetic features (especially the 11q23 anomaly). There are no pathognomonic morphologic or genetic features of t-MN</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9206467"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EGFR-TKIs are the current first-line treatment for patients with EGFR mutation-positive advanced NSCLC. There have been a few reports related to leukemia and EGFR-TKIs</w:t>
      </w:r>
      <w:r>
        <w:rPr>
          <w:rFonts w:ascii="Book Antiqua" w:eastAsia="Book Antiqua" w:hAnsi="Book Antiqua" w:cs="Book Antiqua"/>
          <w:color w:val="000000"/>
          <w:vertAlign w:val="superscript"/>
        </w:rPr>
        <w:t>[6-9]</w:t>
      </w:r>
      <w:r>
        <w:rPr>
          <w:rFonts w:ascii="Book Antiqua" w:eastAsia="Book Antiqua" w:hAnsi="Book Antiqua" w:cs="Book Antiqua"/>
          <w:color w:val="000000"/>
        </w:rPr>
        <w:t>. In the literature review (Table 1), we identified eight patients with t-MN after EGFR-TKI treatment for antecedent NSCLC. The mean interval from the first-line NSCLC treatment to AML development was 40.7 (range, 11–120) months. None of the patients who were diagnosed with t-MN after EGFR-TKI treatment for NSCLC had taken topoisomerase II inhibitors. Since the latency period for these patients was not longer than expected, we considered the possibility that EGFR-TKI might be associated with the development of myeloid neoplasms.</w:t>
      </w:r>
    </w:p>
    <w:p w14:paraId="6AB8BFDF"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The duration of EGFR-TKI therapy before AML was relatively short (mean, 13.4 mo; range, 5.5–26 mo). However, since cytotoxic chemotherapy drugs were administered prior to EGFR-TKI in all of these patients, the development of myeloid neoplasm may be related to both classes of drugs. It was not known whether the occurrence of t-MN was different depending on the type of EGFR mutation. This is because out of the 8 reported cases, only our case (L858R) provided the type of EGFR mutation.</w:t>
      </w:r>
    </w:p>
    <w:p w14:paraId="4CA5C2F9"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Several case reports have shown that EGFR-TKIs might have leukemogenic effects in patients with t-MN after the administration of EGFR-TKIs</w:t>
      </w:r>
      <w:r>
        <w:rPr>
          <w:rFonts w:ascii="Book Antiqua" w:eastAsia="Book Antiqua" w:hAnsi="Book Antiqua" w:cs="Book Antiqua"/>
          <w:color w:val="000000"/>
          <w:vertAlign w:val="superscript"/>
        </w:rPr>
        <w:t>[6,8,10]</w:t>
      </w:r>
      <w:r>
        <w:rPr>
          <w:rFonts w:ascii="Book Antiqua" w:eastAsia="Book Antiqua" w:hAnsi="Book Antiqua" w:cs="Book Antiqua"/>
          <w:color w:val="000000"/>
        </w:rPr>
        <w:t>. However, after EGFR-TKIs were commercially approved, to the best of our knowledge, no cases of myeloid neoplasms after the administration of EGFR-TKI alone for NSCLC treatment have been reported in the literature. All patients of case reports with t-MN received chemotherapy or radiotherapy for NSCLC treatment before receiving EGFR-TKIs. We suggest that EGFR-TKI may be related to or shorten the interval to AML development when patients previously received cytotoxic chemotherapy. According to the historical concept, cytotoxic drugs such as topoisomerase II inhibitors or radiotherapy induce DNA damage that leads to translocation. In the model for the role of clonal selection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clonal hematopoiesis of indeterminate potential (CHIP) is characterized by the absence of morphological evidence of disease and the presence of a clonal population of hematopoietic cells with somatic mutations in the genes associated with hematologic malignancies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0E35B90E"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Toxins, drugs, oligoclonality with aging, chemoradiation, chemical exposure, immune destruction, or dysfunctional hematopoiesis may be selected for mutant clones and induce CHIP. Additional somatic alterations in CHIP can promote high-risk myeloid neoplasms. We considered the possibility that certain effects of EGFR-TKI on the tyrosine kinase pathway could play a role in CHIP.</w:t>
      </w:r>
    </w:p>
    <w:p w14:paraId="3E090575" w14:textId="77777777" w:rsidR="00441C32" w:rsidRDefault="00636F3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Long-term epidemiological research is needed to clarify whether there is a relationship between EGFR-TKI treatment and the rare but serious events noted here. If the incidence of this complication in the EGFR-TKI-treated cohort is beyond that expected on the basis of patients with NSCLC before EGFR-TKIs are commercially available, we must consider EGFR-TKIs as the predisposing factor of t-MN. </w:t>
      </w:r>
    </w:p>
    <w:p w14:paraId="7B233C42" w14:textId="77777777" w:rsidR="00441C32" w:rsidRDefault="00441C32">
      <w:pPr>
        <w:spacing w:line="360" w:lineRule="auto"/>
        <w:ind w:firstLine="180"/>
        <w:jc w:val="both"/>
        <w:rPr>
          <w:rFonts w:ascii="Book Antiqua" w:hAnsi="Book Antiqua"/>
        </w:rPr>
      </w:pPr>
    </w:p>
    <w:p w14:paraId="11CB9941" w14:textId="77777777" w:rsidR="00441C32" w:rsidRDefault="00636F3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C30E08"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In summary, if cytopenia persists in patients treated with EGFR-TKIs for NSCLC, the possibility of t-MN should be considered. Further studies are needed to determine whether the administration of EGFR-TKIs is a predisposing factor for t-MN.</w:t>
      </w:r>
    </w:p>
    <w:p w14:paraId="37FE2452" w14:textId="77777777" w:rsidR="00441C32" w:rsidRDefault="00441C32">
      <w:pPr>
        <w:spacing w:line="360" w:lineRule="auto"/>
        <w:jc w:val="both"/>
        <w:rPr>
          <w:rFonts w:ascii="Book Antiqua" w:hAnsi="Book Antiqua"/>
        </w:rPr>
      </w:pPr>
    </w:p>
    <w:p w14:paraId="2BC42858"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REFERENCES</w:t>
      </w:r>
    </w:p>
    <w:p w14:paraId="1F4C878B" w14:textId="77777777" w:rsidR="00441C32" w:rsidRDefault="00636F33">
      <w:pPr>
        <w:spacing w:line="360" w:lineRule="auto"/>
        <w:jc w:val="both"/>
        <w:rPr>
          <w:rFonts w:ascii="Book Antiqua" w:hAnsi="Book Antiqua"/>
        </w:rPr>
      </w:pPr>
      <w:bookmarkStart w:id="3" w:name="OLE_LINK5"/>
      <w:r>
        <w:rPr>
          <w:rFonts w:ascii="Book Antiqua" w:eastAsia="Book Antiqua" w:hAnsi="Book Antiqua" w:cs="Book Antiqua"/>
          <w:color w:val="000000"/>
        </w:rPr>
        <w:t xml:space="preserve">1 </w:t>
      </w:r>
      <w:r>
        <w:rPr>
          <w:rFonts w:ascii="Book Antiqua" w:eastAsia="Book Antiqua" w:hAnsi="Book Antiqua" w:cs="Book Antiqua"/>
          <w:b/>
          <w:bCs/>
          <w:color w:val="000000"/>
        </w:rPr>
        <w:t>Morton LM</w:t>
      </w:r>
      <w:r>
        <w:rPr>
          <w:rFonts w:ascii="Book Antiqua" w:eastAsia="Book Antiqua" w:hAnsi="Book Antiqua" w:cs="Book Antiqua"/>
          <w:color w:val="000000"/>
        </w:rPr>
        <w:t xml:space="preserve">, Dores GM, Tucker MA, Kim CJ, Onel K, Gilbert ES, Fraumeni JF Jr, Curtis RE. Evolving risk of therapy-related acute myeloid leukemia following cancer chemotherapy among adults in the United States, 1975-2008.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2996-3004 [PMID: 23412096 DOI: 10.1182/blood-2012-08-448068]</w:t>
      </w:r>
    </w:p>
    <w:p w14:paraId="55F8B596"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Shepherd FA</w:t>
      </w:r>
      <w:r>
        <w:rPr>
          <w:rFonts w:ascii="Book Antiqua" w:eastAsia="Book Antiqua" w:hAnsi="Book Antiqua" w:cs="Book Antiqua"/>
          <w:color w:val="000000"/>
        </w:rPr>
        <w:t xml:space="preserve">, Rodrigues Pereira J, Ciuleanu T, Tan EH, Hirsh V, Thongprasert S, Campos D, Maoleekoonpiroj S, Smylie M, Martins R, van Kooten M, Dediu M, Findlay B, Tu D, Johnston D, Bezjak A, Clark G, Santabárbara P, Seymour L; National Cancer Institute of Canada Clinical Trials Group. Erlotinib in previously treated non-small-cell lung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123-132 [PMID: 16014882 DOI: 10.1056/NEJMoa050753]</w:t>
      </w:r>
    </w:p>
    <w:p w14:paraId="415B306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Beaumont M</w:t>
      </w:r>
      <w:r>
        <w:rPr>
          <w:rFonts w:ascii="Book Antiqua" w:eastAsia="Book Antiqua" w:hAnsi="Book Antiqua" w:cs="Book Antiqua"/>
          <w:color w:val="000000"/>
        </w:rPr>
        <w:t xml:space="preserve">, Sanz M, Carli PM, Maloisel F, Thomas X, Detourmignies L, Guerci A, Gratecos N, Rayon C, San Miguel J, Odriozola J, Cahn JY, Huguet F, Vekhof A, Stamatoulas A, Dombret H, Capote F, Esteve J, Stoppa AM, Fenaux P. Therapy-related acute promyelocytic leukemia.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2123-2137 [PMID: 12775738 DOI: 10.1200/JCO.2003.09.072]</w:t>
      </w:r>
    </w:p>
    <w:p w14:paraId="625BE0D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McNerney ME</w:t>
      </w:r>
      <w:r>
        <w:rPr>
          <w:rFonts w:ascii="Book Antiqua" w:eastAsia="Book Antiqua" w:hAnsi="Book Antiqua" w:cs="Book Antiqua"/>
          <w:color w:val="000000"/>
        </w:rPr>
        <w:t xml:space="preserve">, Godley LA, Le Beau MM. Therapy-related myeloid neoplasms: when genetics and environment collide.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513-527 [PMID: 28835720 DOI: 10.1038/nrc.2017.60]</w:t>
      </w:r>
    </w:p>
    <w:p w14:paraId="79CE6023"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Klimek VM</w:t>
      </w:r>
      <w:r>
        <w:rPr>
          <w:rFonts w:ascii="Book Antiqua" w:eastAsia="Book Antiqua" w:hAnsi="Book Antiqua" w:cs="Book Antiqua"/>
          <w:color w:val="000000"/>
        </w:rPr>
        <w:t xml:space="preserve">, Tray NJ. Therapy-related myeloid neoplasms: what's in a name? </w:t>
      </w:r>
      <w:r>
        <w:rPr>
          <w:rFonts w:ascii="Book Antiqua" w:eastAsia="Book Antiqua" w:hAnsi="Book Antiqua" w:cs="Book Antiqua"/>
          <w:i/>
          <w:iCs/>
          <w:color w:val="000000"/>
        </w:rPr>
        <w:t>Curr Opin Hematol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161-166 [PMID: 26779614 DOI: 10.1097/MOH.0000000000000222]</w:t>
      </w:r>
    </w:p>
    <w:p w14:paraId="7D4B2775"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Stathopoulos GP</w:t>
      </w:r>
      <w:r>
        <w:rPr>
          <w:rFonts w:ascii="Book Antiqua" w:eastAsia="Book Antiqua" w:hAnsi="Book Antiqua" w:cs="Book Antiqua"/>
          <w:color w:val="000000"/>
        </w:rPr>
        <w:t xml:space="preserve">, Trafalis D, Athanasiou A, Bardi G, Chandrinou H. Serious hematologic complications following erlotinib treatment.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973-976 [PMID: 20393022]</w:t>
      </w:r>
    </w:p>
    <w:p w14:paraId="4735A060"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Moon JJ</w:t>
      </w:r>
      <w:r>
        <w:rPr>
          <w:rFonts w:ascii="Book Antiqua" w:eastAsia="Book Antiqua" w:hAnsi="Book Antiqua" w:cs="Book Antiqua"/>
          <w:color w:val="000000"/>
        </w:rPr>
        <w:t xml:space="preserve">, Nam MH, Lim CS, Lee CK, Cho Y, Yoon SY. Therapy-related acute megakaryoblastic leukemia in a lung cancer patient.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155-158 [PMID: 24624354 DOI: 10.3343/alm.2014.34.2.155]</w:t>
      </w:r>
    </w:p>
    <w:p w14:paraId="6F5659DD"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Uchida A</w:t>
      </w:r>
      <w:r>
        <w:rPr>
          <w:rFonts w:ascii="Book Antiqua" w:eastAsia="Book Antiqua" w:hAnsi="Book Antiqua" w:cs="Book Antiqua"/>
          <w:color w:val="000000"/>
        </w:rPr>
        <w:t xml:space="preserve">, Matsuo K, Tanimoto M. APL during gefitinib treatment for non-small-cell lung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352</w:t>
      </w:r>
      <w:r>
        <w:rPr>
          <w:rFonts w:ascii="Book Antiqua" w:eastAsia="Book Antiqua" w:hAnsi="Book Antiqua" w:cs="Book Antiqua"/>
          <w:color w:val="000000"/>
        </w:rPr>
        <w:t>: 843 [PMID: 15728826 DOI: 10.1056/NEJM200502243520825]</w:t>
      </w:r>
    </w:p>
    <w:p w14:paraId="5EC26F11"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Ennishi D</w:t>
      </w:r>
      <w:r>
        <w:rPr>
          <w:rFonts w:ascii="Book Antiqua" w:eastAsia="Book Antiqua" w:hAnsi="Book Antiqua" w:cs="Book Antiqua"/>
          <w:color w:val="000000"/>
        </w:rPr>
        <w:t xml:space="preserve">, Sezaki N, Senoo T, Terui Y, Hatake K, Hino N. A case of acute promyelocytic leukemia during gefitinib treatment. </w:t>
      </w:r>
      <w:r>
        <w:rPr>
          <w:rFonts w:ascii="Book Antiqua" w:eastAsia="Book Antiqua" w:hAnsi="Book Antiqua" w:cs="Book Antiqua"/>
          <w:i/>
          <w:iCs/>
          <w:color w:val="000000"/>
        </w:rPr>
        <w:t>Int J Hematol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284-285 [PMID: 17020873 DOI: 10.1532/IJH97.06149]</w:t>
      </w:r>
    </w:p>
    <w:p w14:paraId="642BBBB6" w14:textId="3821A694" w:rsidR="00441C32" w:rsidRDefault="00636F33">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Hotta K</w:t>
      </w:r>
      <w:r>
        <w:rPr>
          <w:rFonts w:ascii="Book Antiqua" w:eastAsia="Book Antiqua" w:hAnsi="Book Antiqua" w:cs="Book Antiqua"/>
          <w:color w:val="000000"/>
        </w:rPr>
        <w:t xml:space="preserve">, Kiura K, Takigawa N, Matsuo K, Tabata M, Fujiwara Y, Tanimoto M. Paradoxical clinical effects of epidermal growth factor receptor-tyrosine kinase inhibitors for acute myelogenous leukemia.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5826-</w:t>
      </w:r>
      <w:r w:rsidR="000B78C4">
        <w:rPr>
          <w:rFonts w:ascii="Book Antiqua" w:eastAsia="Book Antiqua" w:hAnsi="Book Antiqua" w:cs="Book Antiqua"/>
          <w:color w:val="000000"/>
        </w:rPr>
        <w:t>582</w:t>
      </w:r>
      <w:r>
        <w:rPr>
          <w:rFonts w:ascii="Book Antiqua" w:eastAsia="Book Antiqua" w:hAnsi="Book Antiqua" w:cs="Book Antiqua"/>
          <w:color w:val="000000"/>
        </w:rPr>
        <w:t>7; author reply 5827 [PMID: 19001344 DOI: 10.1200/JCO.2008.19.5685]</w:t>
      </w:r>
    </w:p>
    <w:p w14:paraId="7CCD1B77" w14:textId="77777777" w:rsidR="00441C32" w:rsidRDefault="00636F3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Steensma DP</w:t>
      </w:r>
      <w:r>
        <w:rPr>
          <w:rFonts w:ascii="Book Antiqua" w:eastAsia="Book Antiqua" w:hAnsi="Book Antiqua" w:cs="Book Antiqua"/>
          <w:color w:val="000000"/>
        </w:rPr>
        <w:t xml:space="preserve">, Bejar R, Jaiswal S, Lindsley RC, Sekeres MA, Hasserjian RP, Ebert BL. Clonal hematopoiesis of indeterminate potential and its distinction from myelodysplastic syndromes.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126</w:t>
      </w:r>
      <w:r>
        <w:rPr>
          <w:rFonts w:ascii="Book Antiqua" w:eastAsia="Book Antiqua" w:hAnsi="Book Antiqua" w:cs="Book Antiqua"/>
          <w:color w:val="000000"/>
        </w:rPr>
        <w:t>: 9-16 [PMID: 25931582 DOI: 10.1182/blood-2015-03-631747]</w:t>
      </w:r>
    </w:p>
    <w:bookmarkEnd w:id="3"/>
    <w:p w14:paraId="63A3A914" w14:textId="77777777" w:rsidR="00441C32" w:rsidRDefault="00441C32">
      <w:pPr>
        <w:spacing w:line="360" w:lineRule="auto"/>
        <w:jc w:val="both"/>
        <w:rPr>
          <w:rFonts w:ascii="Book Antiqua" w:hAnsi="Book Antiqua"/>
          <w:lang w:eastAsia="zh-CN"/>
        </w:rPr>
      </w:pPr>
    </w:p>
    <w:p w14:paraId="189A400E" w14:textId="77777777" w:rsidR="00441C32" w:rsidRDefault="00441C32">
      <w:pPr>
        <w:spacing w:line="360" w:lineRule="auto"/>
        <w:jc w:val="both"/>
        <w:rPr>
          <w:rFonts w:ascii="Book Antiqua" w:hAnsi="Book Antiqua"/>
        </w:rPr>
        <w:sectPr w:rsidR="00441C32">
          <w:pgSz w:w="12240" w:h="15840"/>
          <w:pgMar w:top="1440" w:right="1440" w:bottom="1440" w:left="1440" w:header="720" w:footer="720" w:gutter="0"/>
          <w:cols w:space="720"/>
          <w:docGrid w:linePitch="360"/>
        </w:sectPr>
      </w:pPr>
    </w:p>
    <w:p w14:paraId="7098201E"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Footnotes</w:t>
      </w:r>
    </w:p>
    <w:p w14:paraId="1715003C"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bCs/>
          <w:color w:val="000000"/>
        </w:rPr>
        <w:t>The author provided informed consent.</w:t>
      </w:r>
    </w:p>
    <w:p w14:paraId="1BB6AF7A" w14:textId="77777777" w:rsidR="00441C32" w:rsidRDefault="00441C32">
      <w:pPr>
        <w:spacing w:line="360" w:lineRule="auto"/>
        <w:jc w:val="both"/>
        <w:rPr>
          <w:rFonts w:ascii="Book Antiqua" w:hAnsi="Book Antiqua"/>
        </w:rPr>
      </w:pPr>
    </w:p>
    <w:p w14:paraId="4A769F34"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 Koo has nothing to disclose.</w:t>
      </w:r>
    </w:p>
    <w:p w14:paraId="43C67D75" w14:textId="77777777" w:rsidR="00441C32" w:rsidRDefault="00441C32">
      <w:pPr>
        <w:spacing w:line="360" w:lineRule="auto"/>
        <w:jc w:val="both"/>
        <w:rPr>
          <w:rFonts w:ascii="Book Antiqua" w:hAnsi="Book Antiqua"/>
        </w:rPr>
      </w:pPr>
    </w:p>
    <w:p w14:paraId="30C7DD1A" w14:textId="77777777" w:rsidR="00441C32" w:rsidRDefault="00636F33">
      <w:pPr>
        <w:autoSpaceDE w:val="0"/>
        <w:autoSpaceDN w:val="0"/>
        <w:adjustRightInd w:val="0"/>
        <w:snapToGrid w:val="0"/>
        <w:spacing w:line="360" w:lineRule="auto"/>
        <w:jc w:val="both"/>
        <w:rPr>
          <w:rFonts w:ascii="Book Antiqua" w:hAnsi="Book Antiqua" w:cs="Garamond-Bold"/>
          <w:bCs/>
          <w:color w:val="000000" w:themeColor="text1"/>
          <w:lang w:eastAsia="zh-CN"/>
        </w:rPr>
      </w:pPr>
      <w:r>
        <w:rPr>
          <w:rFonts w:ascii="Book Antiqua" w:eastAsia="Book Antiqua" w:hAnsi="Book Antiqua" w:cs="Book Antiqua"/>
          <w:b/>
          <w:bCs/>
          <w:color w:val="000000"/>
        </w:rPr>
        <w:t xml:space="preserve">CARE Checklist (2016) statement: </w:t>
      </w:r>
      <w:bookmarkStart w:id="4" w:name="_Hlk73634427"/>
      <w:r>
        <w:rPr>
          <w:rFonts w:ascii="Book Antiqua" w:hAnsi="Book Antiqua" w:cs="Garamond"/>
          <w:color w:val="000000"/>
        </w:rPr>
        <w:t>The authors have read the CARE Checklist (2016), and the manuscript was prepared and revised according to the CARE Checklist (2016).</w:t>
      </w:r>
      <w:bookmarkEnd w:id="4"/>
    </w:p>
    <w:p w14:paraId="7E7A01FD" w14:textId="77777777" w:rsidR="00441C32" w:rsidRDefault="00441C32">
      <w:pPr>
        <w:spacing w:line="360" w:lineRule="auto"/>
        <w:jc w:val="both"/>
        <w:rPr>
          <w:rFonts w:ascii="Book Antiqua" w:hAnsi="Book Antiqua"/>
        </w:rPr>
      </w:pPr>
    </w:p>
    <w:p w14:paraId="29AB350E" w14:textId="77777777" w:rsidR="00441C32" w:rsidRDefault="00636F3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1F3487" w14:textId="77777777" w:rsidR="00441C32" w:rsidRDefault="00441C32">
      <w:pPr>
        <w:spacing w:line="360" w:lineRule="auto"/>
        <w:jc w:val="both"/>
        <w:rPr>
          <w:rFonts w:ascii="Book Antiqua" w:hAnsi="Book Antiqua"/>
        </w:rPr>
      </w:pPr>
    </w:p>
    <w:p w14:paraId="502EDBBC"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30B09A15" w14:textId="77777777" w:rsidR="00441C32" w:rsidRDefault="00441C32">
      <w:pPr>
        <w:spacing w:line="360" w:lineRule="auto"/>
        <w:jc w:val="both"/>
        <w:rPr>
          <w:rFonts w:ascii="Book Antiqua" w:hAnsi="Book Antiqua"/>
        </w:rPr>
      </w:pPr>
    </w:p>
    <w:p w14:paraId="0213E8DB"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50D8C923"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24, 2021</w:t>
      </w:r>
    </w:p>
    <w:p w14:paraId="27A92AAC" w14:textId="37CB56E2"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E01751">
        <w:rPr>
          <w:rFonts w:ascii="Book Antiqua" w:eastAsia="宋体" w:hAnsi="Book Antiqua"/>
          <w:color w:val="000000" w:themeColor="text1"/>
        </w:rPr>
        <w:t>J</w:t>
      </w:r>
      <w:r w:rsidR="00E01751">
        <w:rPr>
          <w:rFonts w:ascii="Book Antiqua" w:eastAsia="宋体" w:hAnsi="Book Antiqua" w:hint="eastAsia"/>
          <w:color w:val="000000" w:themeColor="text1"/>
        </w:rPr>
        <w:t>u</w:t>
      </w:r>
      <w:r w:rsidR="00E01751">
        <w:rPr>
          <w:rFonts w:ascii="Book Antiqua" w:eastAsia="宋体" w:hAnsi="Book Antiqua"/>
          <w:color w:val="000000" w:themeColor="text1"/>
        </w:rPr>
        <w:t>ly</w:t>
      </w:r>
      <w:r w:rsidR="00E01751" w:rsidRPr="00F06907">
        <w:rPr>
          <w:rFonts w:ascii="Book Antiqua" w:eastAsia="宋体" w:hAnsi="Book Antiqua"/>
          <w:color w:val="000000" w:themeColor="text1"/>
        </w:rPr>
        <w:t xml:space="preserve"> </w:t>
      </w:r>
      <w:r w:rsidR="00E01751">
        <w:rPr>
          <w:rFonts w:ascii="Book Antiqua" w:eastAsia="宋体" w:hAnsi="Book Antiqua"/>
          <w:color w:val="000000" w:themeColor="text1"/>
        </w:rPr>
        <w:t>15</w:t>
      </w:r>
      <w:r w:rsidR="00E01751" w:rsidRPr="00F06907">
        <w:rPr>
          <w:rFonts w:ascii="Book Antiqua" w:eastAsia="宋体" w:hAnsi="Book Antiqua"/>
          <w:color w:val="000000" w:themeColor="text1"/>
        </w:rPr>
        <w:t>, 2021</w:t>
      </w:r>
    </w:p>
    <w:p w14:paraId="1FD6C2A2" w14:textId="77777777" w:rsidR="00441C32" w:rsidRDefault="00441C32">
      <w:pPr>
        <w:spacing w:line="360" w:lineRule="auto"/>
        <w:jc w:val="both"/>
        <w:rPr>
          <w:rFonts w:ascii="Book Antiqua" w:hAnsi="Book Antiqua"/>
        </w:rPr>
      </w:pPr>
    </w:p>
    <w:p w14:paraId="0CF57288"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Pr>
          <w:rFonts w:ascii="Book Antiqua" w:eastAsia="微软雅黑" w:hAnsi="Book Antiqua" w:cs="宋体"/>
        </w:rPr>
        <w:t>Medicine, research and experimenta</w:t>
      </w:r>
      <w:bookmarkEnd w:id="5"/>
      <w:r>
        <w:rPr>
          <w:rFonts w:ascii="Book Antiqua" w:eastAsia="微软雅黑" w:hAnsi="Book Antiqua" w:cs="宋体"/>
        </w:rPr>
        <w:t>l</w:t>
      </w:r>
      <w:bookmarkEnd w:id="6"/>
      <w:bookmarkEnd w:id="7"/>
      <w:bookmarkEnd w:id="8"/>
    </w:p>
    <w:p w14:paraId="3F378F4B"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5180F973"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BEE9C5F"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A (Excellent): 0</w:t>
      </w:r>
    </w:p>
    <w:p w14:paraId="6BF1E26B"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B (Very good): B</w:t>
      </w:r>
    </w:p>
    <w:p w14:paraId="39881104"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C (Good): C</w:t>
      </w:r>
    </w:p>
    <w:p w14:paraId="3401A0E5"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D (Fair): 0</w:t>
      </w:r>
    </w:p>
    <w:p w14:paraId="3D862DE2" w14:textId="77777777" w:rsidR="00441C32" w:rsidRDefault="00636F33">
      <w:pPr>
        <w:spacing w:line="360" w:lineRule="auto"/>
        <w:jc w:val="both"/>
        <w:rPr>
          <w:rFonts w:ascii="Book Antiqua" w:hAnsi="Book Antiqua"/>
        </w:rPr>
      </w:pPr>
      <w:r>
        <w:rPr>
          <w:rFonts w:ascii="Book Antiqua" w:eastAsia="Book Antiqua" w:hAnsi="Book Antiqua" w:cs="Book Antiqua"/>
          <w:color w:val="000000"/>
        </w:rPr>
        <w:t>Grade E (Poor): 0</w:t>
      </w:r>
    </w:p>
    <w:p w14:paraId="5F9B15E2" w14:textId="77777777" w:rsidR="00441C32" w:rsidRDefault="00441C32">
      <w:pPr>
        <w:spacing w:line="360" w:lineRule="auto"/>
        <w:jc w:val="both"/>
        <w:rPr>
          <w:rFonts w:ascii="Book Antiqua" w:hAnsi="Book Antiqua"/>
        </w:rPr>
      </w:pPr>
    </w:p>
    <w:p w14:paraId="1F56F457" w14:textId="519284E6" w:rsidR="006F05EA" w:rsidRDefault="00636F33" w:rsidP="006F05EA">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Neninger E, Yang TY</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w:t>
      </w:r>
      <w:r>
        <w:rPr>
          <w:rFonts w:ascii="Book Antiqua" w:hAnsi="Book Antiqua" w:cs="Book Antiqua"/>
          <w:color w:val="000000"/>
          <w:lang w:eastAsia="zh-CN"/>
        </w:rPr>
        <w:t>n</w:t>
      </w:r>
      <w:r>
        <w:rPr>
          <w:rFonts w:ascii="Book Antiqua" w:eastAsia="Book Antiqua" w:hAnsi="Book Antiqua" w:cs="Book Antiqua"/>
          <w:color w:val="000000"/>
        </w:rPr>
        <w:t xml:space="preserve"> </w:t>
      </w:r>
      <w:r>
        <w:rPr>
          <w:rFonts w:ascii="Book Antiqua" w:hAnsi="Book Antiqua" w:cs="Book Antiqua"/>
          <w:color w:val="000000"/>
          <w:lang w:eastAsia="zh-CN"/>
        </w:rPr>
        <w:t>JR</w:t>
      </w:r>
      <w:r>
        <w:rPr>
          <w:rFonts w:ascii="Book Antiqua" w:eastAsia="Book Antiqua" w:hAnsi="Book Antiqua" w:cs="Book Antiqua"/>
          <w:b/>
          <w:color w:val="000000"/>
        </w:rPr>
        <w:t xml:space="preserve"> L-Editor: </w:t>
      </w:r>
      <w:r w:rsidR="00E823BE" w:rsidRPr="00E823BE">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6F05EA" w:rsidRPr="00B20C56">
        <w:rPr>
          <w:rFonts w:ascii="Book Antiqua" w:eastAsia="Book Antiqua" w:hAnsi="Book Antiqua" w:cs="Book Antiqua"/>
        </w:rPr>
        <w:t>L</w:t>
      </w:r>
      <w:r w:rsidR="006F05EA" w:rsidRPr="00B20C56">
        <w:rPr>
          <w:rFonts w:ascii="Book Antiqua" w:eastAsia="Book Antiqua" w:hAnsi="Book Antiqua" w:cs="Book Antiqua" w:hint="eastAsia"/>
        </w:rPr>
        <w:t>i</w:t>
      </w:r>
      <w:r w:rsidR="006F05EA" w:rsidRPr="00B20C56">
        <w:rPr>
          <w:rFonts w:ascii="Book Antiqua" w:eastAsia="Book Antiqua" w:hAnsi="Book Antiqua" w:cs="Book Antiqua"/>
        </w:rPr>
        <w:t xml:space="preserve"> X</w:t>
      </w:r>
    </w:p>
    <w:p w14:paraId="65E85ED5" w14:textId="77777777" w:rsidR="006F05EA" w:rsidRPr="00B20C56" w:rsidRDefault="006F05EA" w:rsidP="006F05EA">
      <w:pPr>
        <w:spacing w:line="360" w:lineRule="auto"/>
        <w:jc w:val="both"/>
        <w:rPr>
          <w:rFonts w:ascii="Book Antiqua" w:eastAsia="Book Antiqua" w:hAnsi="Book Antiqua" w:cs="Book Antiqua"/>
        </w:rPr>
      </w:pPr>
    </w:p>
    <w:p w14:paraId="1E8AF82F" w14:textId="77777777" w:rsidR="006F05EA" w:rsidRDefault="006F05EA" w:rsidP="006F05EA">
      <w:pPr>
        <w:spacing w:line="360" w:lineRule="auto"/>
        <w:jc w:val="both"/>
        <w:rPr>
          <w:rFonts w:ascii="Book Antiqua" w:eastAsia="Book Antiqua" w:hAnsi="Book Antiqua" w:cs="Book Antiqua"/>
          <w:b/>
        </w:rPr>
      </w:pPr>
    </w:p>
    <w:p w14:paraId="545FDEA4" w14:textId="77777777" w:rsidR="006F05EA" w:rsidRPr="005C2ECA" w:rsidRDefault="006F05EA" w:rsidP="006F05EA">
      <w:pPr>
        <w:spacing w:line="360" w:lineRule="auto"/>
        <w:jc w:val="both"/>
        <w:rPr>
          <w:rFonts w:ascii="Book Antiqua" w:hAnsi="Book Antiqua" w:cs="Book Antiqua"/>
          <w:b/>
          <w:lang w:eastAsia="zh-CN"/>
        </w:rPr>
      </w:pPr>
    </w:p>
    <w:p w14:paraId="5BA376B0" w14:textId="7CED22ED" w:rsidR="00441C32" w:rsidRDefault="00441C32">
      <w:pPr>
        <w:spacing w:line="360" w:lineRule="auto"/>
        <w:jc w:val="both"/>
        <w:rPr>
          <w:rFonts w:ascii="Book Antiqua" w:hAnsi="Book Antiqua"/>
        </w:rPr>
        <w:sectPr w:rsidR="00441C32">
          <w:pgSz w:w="12240" w:h="15840"/>
          <w:pgMar w:top="1440" w:right="1440" w:bottom="1440" w:left="1440" w:header="720" w:footer="720" w:gutter="0"/>
          <w:cols w:space="720"/>
          <w:docGrid w:linePitch="360"/>
        </w:sectPr>
      </w:pPr>
    </w:p>
    <w:p w14:paraId="290D13E2" w14:textId="77777777" w:rsidR="00441C32" w:rsidRDefault="00636F33">
      <w:pPr>
        <w:spacing w:line="360" w:lineRule="auto"/>
        <w:jc w:val="both"/>
        <w:rPr>
          <w:rFonts w:ascii="Book Antiqua" w:hAnsi="Book Antiqua"/>
        </w:rPr>
      </w:pPr>
      <w:r>
        <w:rPr>
          <w:rFonts w:ascii="Book Antiqua" w:eastAsia="Book Antiqua" w:hAnsi="Book Antiqua" w:cs="Book Antiqua"/>
          <w:b/>
          <w:color w:val="000000"/>
        </w:rPr>
        <w:t>Figure Legends</w:t>
      </w:r>
    </w:p>
    <w:p w14:paraId="75C085B0" w14:textId="77777777" w:rsidR="00441C32" w:rsidRDefault="00636F33">
      <w:pPr>
        <w:spacing w:line="360" w:lineRule="auto"/>
        <w:jc w:val="both"/>
        <w:rPr>
          <w:rFonts w:ascii="Book Antiqua" w:hAnsi="Book Antiqua"/>
        </w:rPr>
      </w:pPr>
      <w:r>
        <w:rPr>
          <w:rFonts w:ascii="Book Antiqua" w:hAnsi="Book Antiqua"/>
          <w:noProof/>
          <w:lang w:eastAsia="zh-CN"/>
        </w:rPr>
        <w:drawing>
          <wp:inline distT="0" distB="0" distL="0" distR="0" wp14:anchorId="71FF231D" wp14:editId="63F2FE0D">
            <wp:extent cx="5486400" cy="22072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2207260"/>
                    </a:xfrm>
                    <a:prstGeom prst="rect">
                      <a:avLst/>
                    </a:prstGeom>
                  </pic:spPr>
                </pic:pic>
              </a:graphicData>
            </a:graphic>
          </wp:inline>
        </w:drawing>
      </w:r>
    </w:p>
    <w:p w14:paraId="75D5A0CD" w14:textId="677A73C7" w:rsidR="00441C32" w:rsidRDefault="00636F3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Blood smear and bone marrow aspiration results</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 The blood smear shows 44% blast cells (×</w:t>
      </w:r>
      <w:r>
        <w:rPr>
          <w:rFonts w:ascii="Book Antiqua" w:hAnsi="Book Antiqua" w:cs="Book Antiqua"/>
          <w:color w:val="000000"/>
          <w:lang w:eastAsia="zh-CN"/>
        </w:rPr>
        <w:t xml:space="preserve"> </w:t>
      </w:r>
      <w:r>
        <w:rPr>
          <w:rFonts w:ascii="Book Antiqua" w:eastAsia="Book Antiqua" w:hAnsi="Book Antiqua" w:cs="Book Antiqua"/>
          <w:color w:val="000000"/>
        </w:rPr>
        <w:t>1000)</w:t>
      </w:r>
      <w:r>
        <w:rPr>
          <w:rFonts w:ascii="Book Antiqua" w:hAnsi="Book Antiqua" w:cs="Book Antiqua"/>
          <w:color w:val="000000"/>
          <w:lang w:eastAsia="zh-CN"/>
        </w:rPr>
        <w:t>;</w:t>
      </w:r>
      <w:r>
        <w:rPr>
          <w:rFonts w:ascii="Book Antiqua" w:eastAsia="Book Antiqua" w:hAnsi="Book Antiqua" w:cs="Book Antiqua"/>
          <w:color w:val="000000"/>
        </w:rPr>
        <w:t xml:space="preserve"> B: The bone marrow aspiration showed 77.3% myoblasts (×</w:t>
      </w:r>
      <w:r>
        <w:rPr>
          <w:rFonts w:ascii="Book Antiqua" w:hAnsi="Book Antiqua" w:cs="Book Antiqua"/>
          <w:color w:val="000000"/>
          <w:lang w:eastAsia="zh-CN"/>
        </w:rPr>
        <w:t xml:space="preserve"> </w:t>
      </w:r>
      <w:r>
        <w:rPr>
          <w:rFonts w:ascii="Book Antiqua" w:eastAsia="Book Antiqua" w:hAnsi="Book Antiqua" w:cs="Book Antiqua"/>
          <w:color w:val="000000"/>
        </w:rPr>
        <w:t>1000)</w:t>
      </w:r>
      <w:r>
        <w:rPr>
          <w:rFonts w:ascii="Book Antiqua" w:hAnsi="Book Antiqua" w:cs="Book Antiqua"/>
          <w:color w:val="000000"/>
          <w:lang w:eastAsia="zh-CN"/>
        </w:rPr>
        <w:t>.</w:t>
      </w:r>
    </w:p>
    <w:p w14:paraId="5FB87F58" w14:textId="77777777" w:rsidR="004C53D5" w:rsidRDefault="004C53D5">
      <w:pPr>
        <w:spacing w:line="360" w:lineRule="auto"/>
        <w:jc w:val="both"/>
        <w:rPr>
          <w:rFonts w:ascii="Book Antiqua" w:hAnsi="Book Antiqua" w:cs="Book Antiqua"/>
          <w:color w:val="000000"/>
          <w:lang w:eastAsia="zh-CN"/>
        </w:rPr>
      </w:pPr>
    </w:p>
    <w:p w14:paraId="1F86E005" w14:textId="77777777" w:rsidR="00441C32" w:rsidRDefault="00636F3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noProof/>
          <w:lang w:eastAsia="zh-CN"/>
        </w:rPr>
        <w:drawing>
          <wp:inline distT="0" distB="0" distL="0" distR="0" wp14:anchorId="7C0935ED" wp14:editId="0866B2F2">
            <wp:extent cx="5471160"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71634" cy="3810330"/>
                    </a:xfrm>
                    <a:prstGeom prst="rect">
                      <a:avLst/>
                    </a:prstGeom>
                  </pic:spPr>
                </pic:pic>
              </a:graphicData>
            </a:graphic>
          </wp:inline>
        </w:drawing>
      </w:r>
    </w:p>
    <w:p w14:paraId="144CE9EC" w14:textId="7FF93139" w:rsidR="00441C32" w:rsidRDefault="00636F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Pr>
          <w:rFonts w:ascii="Book Antiqua" w:eastAsia="Book Antiqua" w:hAnsi="Book Antiqua" w:cs="Book Antiqua"/>
          <w:b/>
          <w:bCs/>
          <w:color w:val="000000"/>
        </w:rPr>
        <w:t xml:space="preserve"> Contrast-enhanced chest computed tomography findings</w:t>
      </w:r>
      <w:r>
        <w:rPr>
          <w:rFonts w:ascii="Book Antiqua" w:hAnsi="Book Antiqua"/>
          <w:lang w:eastAsia="zh-CN"/>
        </w:rPr>
        <w:t xml:space="preserve">. </w:t>
      </w:r>
      <w:r>
        <w:rPr>
          <w:rFonts w:ascii="Book Antiqua" w:eastAsia="Book Antiqua" w:hAnsi="Book Antiqua" w:cs="Book Antiqua"/>
          <w:color w:val="000000"/>
        </w:rPr>
        <w:t>A: Before erlotinib treatment, a 59 mm × 42 mm heterogenous enhancing lobulated mass in the right upper lobe (RUL) is closely abutting the adjacent costal pleura with focal thickening and retraction</w:t>
      </w:r>
      <w:r>
        <w:rPr>
          <w:rFonts w:ascii="Book Antiqua" w:hAnsi="Book Antiqua" w:cs="Book Antiqua"/>
          <w:color w:val="000000"/>
          <w:lang w:eastAsia="zh-CN"/>
        </w:rPr>
        <w:t>;</w:t>
      </w:r>
      <w:r>
        <w:rPr>
          <w:rFonts w:ascii="Book Antiqua" w:eastAsia="Book Antiqua" w:hAnsi="Book Antiqua" w:cs="Book Antiqua"/>
          <w:color w:val="000000"/>
        </w:rPr>
        <w:t xml:space="preserve"> B: During erlotinib treatment, the mass in the RUL is markedly improved</w:t>
      </w:r>
      <w:r>
        <w:rPr>
          <w:rFonts w:ascii="Book Antiqua" w:hAnsi="Book Antiqua" w:cs="Book Antiqua"/>
          <w:color w:val="000000"/>
          <w:lang w:eastAsia="zh-CN"/>
        </w:rPr>
        <w:t>;</w:t>
      </w:r>
      <w:r>
        <w:rPr>
          <w:rFonts w:ascii="Book Antiqua" w:eastAsia="Book Antiqua" w:hAnsi="Book Antiqua" w:cs="Book Antiqua"/>
          <w:color w:val="000000"/>
        </w:rPr>
        <w:t xml:space="preserve"> C: Four months after discontinuing the erlotinib due to leukemia induction chemotherapy, the mass in the RUL is enlarged, and a spiculated mass is visible in the left upper lobe (LUL) (24 mm × 17 mm)</w:t>
      </w:r>
      <w:r>
        <w:rPr>
          <w:rFonts w:ascii="Book Antiqua" w:hAnsi="Book Antiqua" w:cs="Book Antiqua"/>
          <w:color w:val="000000"/>
          <w:lang w:eastAsia="zh-CN"/>
        </w:rPr>
        <w:t>;</w:t>
      </w:r>
      <w:r>
        <w:rPr>
          <w:rFonts w:ascii="Book Antiqua" w:eastAsia="Book Antiqua" w:hAnsi="Book Antiqua" w:cs="Book Antiqua"/>
          <w:color w:val="000000"/>
        </w:rPr>
        <w:t xml:space="preserve"> D: Two months after pemetrexed/cisplatin treatment, no remarkable changes in the RUL and LUL masses are noted.</w:t>
      </w:r>
    </w:p>
    <w:p w14:paraId="15E25EF5" w14:textId="77777777" w:rsidR="004C53D5" w:rsidRDefault="004C53D5">
      <w:pPr>
        <w:spacing w:line="360" w:lineRule="auto"/>
        <w:jc w:val="both"/>
        <w:rPr>
          <w:rFonts w:ascii="Book Antiqua" w:hAnsi="Book Antiqua"/>
        </w:rPr>
      </w:pPr>
    </w:p>
    <w:p w14:paraId="65B6CEDC" w14:textId="77777777" w:rsidR="00441C32" w:rsidRDefault="00441C32">
      <w:pPr>
        <w:spacing w:line="360" w:lineRule="auto"/>
        <w:jc w:val="both"/>
        <w:rPr>
          <w:rFonts w:ascii="Book Antiqua" w:hAnsi="Book Antiqua"/>
          <w:lang w:eastAsia="zh-CN"/>
        </w:rPr>
      </w:pPr>
    </w:p>
    <w:p w14:paraId="312ABCBE" w14:textId="77777777" w:rsidR="00441C32" w:rsidRDefault="00441C32">
      <w:pPr>
        <w:spacing w:line="360" w:lineRule="auto"/>
        <w:jc w:val="both"/>
        <w:rPr>
          <w:rFonts w:ascii="Book Antiqua" w:hAnsi="Book Antiqua"/>
        </w:rPr>
        <w:sectPr w:rsidR="00441C32">
          <w:pgSz w:w="12240" w:h="15840"/>
          <w:pgMar w:top="1440" w:right="1440" w:bottom="1440" w:left="1440" w:header="720" w:footer="720" w:gutter="0"/>
          <w:cols w:space="720"/>
          <w:docGrid w:linePitch="360"/>
        </w:sectPr>
      </w:pPr>
    </w:p>
    <w:p w14:paraId="4F97914D" w14:textId="77777777" w:rsidR="00441C32" w:rsidRDefault="00636F33">
      <w:pPr>
        <w:spacing w:line="360" w:lineRule="auto"/>
        <w:jc w:val="both"/>
        <w:rPr>
          <w:rFonts w:ascii="Book Antiqua" w:hAnsi="Book Antiqua"/>
          <w:b/>
        </w:rPr>
      </w:pPr>
      <w:r>
        <w:rPr>
          <w:rFonts w:ascii="Book Antiqua" w:hAnsi="Book Antiqua"/>
          <w:b/>
        </w:rPr>
        <w:t xml:space="preserve">Table 1 Literature review findings of therapy-related myeloid neoplasms after </w:t>
      </w:r>
      <w:r>
        <w:rPr>
          <w:rFonts w:ascii="Book Antiqua" w:hAnsi="Book Antiqua"/>
          <w:b/>
          <w:color w:val="000000"/>
        </w:rPr>
        <w:t>epidermal growth factor receptor</w:t>
      </w:r>
      <w:r>
        <w:rPr>
          <w:rFonts w:ascii="Book Antiqua" w:hAnsi="Book Antiqua"/>
          <w:b/>
        </w:rPr>
        <w:t xml:space="preserve"> tyrosine kinase inhibitor treatment in non-small cell lung cancer patients</w:t>
      </w:r>
    </w:p>
    <w:tbl>
      <w:tblPr>
        <w:tblStyle w:val="a8"/>
        <w:tblW w:w="5809"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11"/>
        <w:gridCol w:w="426"/>
        <w:gridCol w:w="851"/>
        <w:gridCol w:w="848"/>
        <w:gridCol w:w="995"/>
        <w:gridCol w:w="2409"/>
        <w:gridCol w:w="1133"/>
        <w:gridCol w:w="1274"/>
        <w:gridCol w:w="1277"/>
        <w:gridCol w:w="848"/>
        <w:gridCol w:w="1421"/>
        <w:gridCol w:w="1418"/>
        <w:gridCol w:w="1130"/>
      </w:tblGrid>
      <w:tr w:rsidR="00441C32" w14:paraId="2B5297A0" w14:textId="77777777">
        <w:trPr>
          <w:trHeight w:val="1528"/>
        </w:trPr>
        <w:tc>
          <w:tcPr>
            <w:tcW w:w="185" w:type="pct"/>
            <w:tcBorders>
              <w:top w:val="single" w:sz="4" w:space="0" w:color="auto"/>
              <w:bottom w:val="single" w:sz="4" w:space="0" w:color="auto"/>
            </w:tcBorders>
          </w:tcPr>
          <w:p w14:paraId="04AE0D5E"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Patients number</w:t>
            </w:r>
          </w:p>
        </w:tc>
        <w:tc>
          <w:tcPr>
            <w:tcW w:w="232" w:type="pct"/>
            <w:tcBorders>
              <w:top w:val="single" w:sz="4" w:space="0" w:color="auto"/>
              <w:bottom w:val="single" w:sz="4" w:space="0" w:color="auto"/>
            </w:tcBorders>
          </w:tcPr>
          <w:p w14:paraId="2443932F" w14:textId="77777777" w:rsidR="00441C32" w:rsidRDefault="00636F33">
            <w:pPr>
              <w:pStyle w:val="1"/>
              <w:wordWrap/>
              <w:spacing w:before="0" w:beforeAutospacing="0" w:line="360" w:lineRule="auto"/>
              <w:rPr>
                <w:rFonts w:ascii="Book Antiqua" w:eastAsiaTheme="minorEastAsia" w:hAnsi="Book Antiqua" w:cs="Times New Roman"/>
                <w:b/>
              </w:rPr>
            </w:pPr>
            <w:r>
              <w:rPr>
                <w:rFonts w:ascii="Book Antiqua" w:eastAsiaTheme="minorEastAsia" w:hAnsi="Book Antiqua" w:cs="Times New Roman"/>
                <w:b/>
              </w:rPr>
              <w:t>Ref.</w:t>
            </w:r>
          </w:p>
        </w:tc>
        <w:tc>
          <w:tcPr>
            <w:tcW w:w="139" w:type="pct"/>
            <w:tcBorders>
              <w:top w:val="single" w:sz="4" w:space="0" w:color="auto"/>
              <w:bottom w:val="single" w:sz="4" w:space="0" w:color="auto"/>
            </w:tcBorders>
          </w:tcPr>
          <w:p w14:paraId="4F724937"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Age/sex</w:t>
            </w:r>
          </w:p>
        </w:tc>
        <w:tc>
          <w:tcPr>
            <w:tcW w:w="278" w:type="pct"/>
            <w:tcBorders>
              <w:top w:val="single" w:sz="4" w:space="0" w:color="auto"/>
              <w:bottom w:val="single" w:sz="4" w:space="0" w:color="auto"/>
            </w:tcBorders>
          </w:tcPr>
          <w:p w14:paraId="6E6FA655"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Pathological type of NSCLC</w:t>
            </w:r>
          </w:p>
        </w:tc>
        <w:tc>
          <w:tcPr>
            <w:tcW w:w="277" w:type="pct"/>
            <w:tcBorders>
              <w:top w:val="single" w:sz="4" w:space="0" w:color="auto"/>
              <w:bottom w:val="single" w:sz="4" w:space="0" w:color="auto"/>
            </w:tcBorders>
          </w:tcPr>
          <w:p w14:paraId="4C4D0589"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Initial stage</w:t>
            </w:r>
          </w:p>
        </w:tc>
        <w:tc>
          <w:tcPr>
            <w:tcW w:w="325" w:type="pct"/>
            <w:tcBorders>
              <w:top w:val="single" w:sz="4" w:space="0" w:color="auto"/>
              <w:bottom w:val="single" w:sz="4" w:space="0" w:color="auto"/>
            </w:tcBorders>
          </w:tcPr>
          <w:p w14:paraId="41DA3FF2"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EGFR mutation</w:t>
            </w:r>
          </w:p>
        </w:tc>
        <w:tc>
          <w:tcPr>
            <w:tcW w:w="787" w:type="pct"/>
            <w:tcBorders>
              <w:top w:val="single" w:sz="4" w:space="0" w:color="auto"/>
              <w:bottom w:val="single" w:sz="4" w:space="0" w:color="auto"/>
            </w:tcBorders>
          </w:tcPr>
          <w:p w14:paraId="6CD40552"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Prior chemotherapy</w:t>
            </w:r>
          </w:p>
        </w:tc>
        <w:tc>
          <w:tcPr>
            <w:tcW w:w="370" w:type="pct"/>
            <w:tcBorders>
              <w:top w:val="single" w:sz="4" w:space="0" w:color="auto"/>
              <w:bottom w:val="single" w:sz="4" w:space="0" w:color="auto"/>
            </w:tcBorders>
          </w:tcPr>
          <w:p w14:paraId="1CDD15E6"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Interval from first line treatment</w:t>
            </w:r>
          </w:p>
        </w:tc>
        <w:tc>
          <w:tcPr>
            <w:tcW w:w="416" w:type="pct"/>
            <w:tcBorders>
              <w:top w:val="single" w:sz="4" w:space="0" w:color="auto"/>
              <w:bottom w:val="single" w:sz="4" w:space="0" w:color="auto"/>
            </w:tcBorders>
          </w:tcPr>
          <w:p w14:paraId="689DDCD0"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Prior radiotherapy</w:t>
            </w:r>
          </w:p>
        </w:tc>
        <w:tc>
          <w:tcPr>
            <w:tcW w:w="417" w:type="pct"/>
            <w:tcBorders>
              <w:top w:val="single" w:sz="4" w:space="0" w:color="auto"/>
              <w:bottom w:val="single" w:sz="4" w:space="0" w:color="auto"/>
            </w:tcBorders>
          </w:tcPr>
          <w:p w14:paraId="0B2D039D"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Duration of EGFR-TKI treatment</w:t>
            </w:r>
          </w:p>
        </w:tc>
        <w:tc>
          <w:tcPr>
            <w:tcW w:w="277" w:type="pct"/>
            <w:tcBorders>
              <w:top w:val="single" w:sz="4" w:space="0" w:color="auto"/>
              <w:bottom w:val="single" w:sz="4" w:space="0" w:color="auto"/>
            </w:tcBorders>
          </w:tcPr>
          <w:p w14:paraId="58F04EAA"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Interval from EGFR-TKI treatment until leukemia</w:t>
            </w:r>
          </w:p>
        </w:tc>
        <w:tc>
          <w:tcPr>
            <w:tcW w:w="464" w:type="pct"/>
            <w:tcBorders>
              <w:top w:val="single" w:sz="4" w:space="0" w:color="auto"/>
              <w:bottom w:val="single" w:sz="4" w:space="0" w:color="auto"/>
            </w:tcBorders>
          </w:tcPr>
          <w:p w14:paraId="1606A52E"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CBC profiles at leukemia presentation:</w:t>
            </w:r>
            <w:r>
              <w:rPr>
                <w:rFonts w:ascii="Book Antiqua" w:eastAsiaTheme="minorEastAsia" w:hAnsi="Book Antiqua" w:cs="Times New Roman"/>
                <w:b/>
              </w:rPr>
              <w:t xml:space="preserve"> </w:t>
            </w:r>
            <w:r>
              <w:rPr>
                <w:rFonts w:ascii="Book Antiqua" w:hAnsi="Book Antiqua" w:cs="TimesTen-Roman"/>
                <w:b/>
                <w:kern w:val="0"/>
              </w:rPr>
              <w:t>WBC</w:t>
            </w:r>
            <w:r>
              <w:rPr>
                <w:rFonts w:ascii="Book Antiqua" w:eastAsiaTheme="minorEastAsia" w:hAnsi="Book Antiqua" w:cs="TimesTen-Roman"/>
                <w:b/>
              </w:rPr>
              <w:t xml:space="preserve"> </w:t>
            </w:r>
            <w:r>
              <w:rPr>
                <w:rFonts w:ascii="Book Antiqua" w:hAnsi="Book Antiqua" w:cs="TimesTen-Roman"/>
                <w:b/>
                <w:kern w:val="0"/>
              </w:rPr>
              <w:t>(ANC)</w:t>
            </w:r>
            <w:r>
              <w:rPr>
                <w:rFonts w:ascii="Book Antiqua" w:eastAsiaTheme="minorEastAsia" w:hAnsi="Book Antiqua" w:cs="TimesTen-Roman"/>
                <w:b/>
              </w:rPr>
              <w:t xml:space="preserve"> </w:t>
            </w:r>
            <w:r>
              <w:rPr>
                <w:rFonts w:ascii="Book Antiqua" w:eastAsia="Times New Roman" w:hAnsi="Book Antiqua" w:cs="TimesTen-Roman"/>
                <w:b/>
              </w:rPr>
              <w:t>(μ</w:t>
            </w:r>
            <w:r>
              <w:rPr>
                <w:rFonts w:ascii="Book Antiqua" w:eastAsiaTheme="minorEastAsia" w:hAnsi="Book Antiqua" w:cs="TimesTen-Roman"/>
                <w:b/>
              </w:rPr>
              <w:t>L</w:t>
            </w:r>
            <w:r>
              <w:rPr>
                <w:rFonts w:ascii="Book Antiqua" w:hAnsi="Book Antiqua" w:cs="TimesTen-Roman"/>
                <w:b/>
                <w:kern w:val="0"/>
              </w:rPr>
              <w:t>)-hemoglobin</w:t>
            </w:r>
            <w:r>
              <w:rPr>
                <w:rFonts w:ascii="Book Antiqua" w:eastAsiaTheme="minorEastAsia" w:hAnsi="Book Antiqua" w:cs="TimesTen-Roman"/>
                <w:b/>
              </w:rPr>
              <w:t xml:space="preserve"> </w:t>
            </w:r>
            <w:r>
              <w:rPr>
                <w:rFonts w:ascii="Book Antiqua" w:hAnsi="Book Antiqua" w:cs="TimesTen-Roman"/>
                <w:b/>
                <w:kern w:val="0"/>
              </w:rPr>
              <w:t>(g/dL)/hematocrit</w:t>
            </w:r>
            <w:r>
              <w:rPr>
                <w:rFonts w:ascii="Book Antiqua" w:eastAsiaTheme="minorEastAsia" w:hAnsi="Book Antiqua" w:cs="TimesTen-Roman"/>
                <w:b/>
              </w:rPr>
              <w:t xml:space="preserve"> </w:t>
            </w:r>
            <w:r>
              <w:rPr>
                <w:rFonts w:ascii="Book Antiqua" w:hAnsi="Book Antiqua" w:cs="TimesTen-Roman"/>
                <w:b/>
                <w:kern w:val="0"/>
              </w:rPr>
              <w:t>(%)-platelets</w:t>
            </w:r>
            <w:r>
              <w:rPr>
                <w:rFonts w:ascii="Book Antiqua" w:eastAsiaTheme="minorEastAsia" w:hAnsi="Book Antiqua" w:cs="TimesTen-Roman"/>
                <w:b/>
              </w:rPr>
              <w:t xml:space="preserve"> </w:t>
            </w:r>
            <w:r>
              <w:rPr>
                <w:rFonts w:ascii="Book Antiqua" w:hAnsi="Book Antiqua" w:cs="TimesTen-Roman"/>
                <w:b/>
              </w:rPr>
              <w:t>(</w:t>
            </w:r>
            <w:r>
              <w:rPr>
                <w:rFonts w:ascii="Book Antiqua" w:hAnsi="Book Antiqua" w:cs="TimesTen-Roman"/>
                <w:b/>
                <w:kern w:val="0"/>
              </w:rPr>
              <w:t>mL)</w:t>
            </w:r>
          </w:p>
        </w:tc>
        <w:tc>
          <w:tcPr>
            <w:tcW w:w="463" w:type="pct"/>
            <w:tcBorders>
              <w:top w:val="single" w:sz="4" w:space="0" w:color="auto"/>
              <w:bottom w:val="single" w:sz="4" w:space="0" w:color="auto"/>
            </w:tcBorders>
          </w:tcPr>
          <w:p w14:paraId="17FB8BE3"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Characteristics (Karyotype)</w:t>
            </w:r>
            <w:r>
              <w:rPr>
                <w:rFonts w:ascii="Book Antiqua" w:eastAsiaTheme="minorEastAsia" w:hAnsi="Book Antiqua" w:cs="Times New Roman"/>
                <w:b/>
              </w:rPr>
              <w:t xml:space="preserve"> </w:t>
            </w:r>
            <w:r>
              <w:rPr>
                <w:rFonts w:ascii="Book Antiqua" w:hAnsi="Book Antiqua" w:cs="Times New Roman"/>
                <w:b/>
              </w:rPr>
              <w:t>of leukemia/MDS</w:t>
            </w:r>
          </w:p>
        </w:tc>
        <w:tc>
          <w:tcPr>
            <w:tcW w:w="369" w:type="pct"/>
            <w:tcBorders>
              <w:top w:val="single" w:sz="4" w:space="0" w:color="auto"/>
              <w:bottom w:val="single" w:sz="4" w:space="0" w:color="auto"/>
            </w:tcBorders>
          </w:tcPr>
          <w:p w14:paraId="28324375" w14:textId="77777777" w:rsidR="00441C32" w:rsidRDefault="00636F33">
            <w:pPr>
              <w:pStyle w:val="1"/>
              <w:wordWrap/>
              <w:spacing w:before="0" w:beforeAutospacing="0" w:line="360" w:lineRule="auto"/>
              <w:rPr>
                <w:rFonts w:ascii="Book Antiqua" w:hAnsi="Book Antiqua" w:cs="Times New Roman"/>
                <w:b/>
              </w:rPr>
            </w:pPr>
            <w:r>
              <w:rPr>
                <w:rFonts w:ascii="Book Antiqua" w:hAnsi="Book Antiqua" w:cs="Times New Roman"/>
                <w:b/>
              </w:rPr>
              <w:t>Survival after diagnosis of leukemia</w:t>
            </w:r>
          </w:p>
        </w:tc>
      </w:tr>
      <w:tr w:rsidR="00441C32" w14:paraId="4068B572" w14:textId="77777777">
        <w:tc>
          <w:tcPr>
            <w:tcW w:w="185" w:type="pct"/>
            <w:tcBorders>
              <w:top w:val="single" w:sz="4" w:space="0" w:color="auto"/>
            </w:tcBorders>
          </w:tcPr>
          <w:p w14:paraId="1A8FB0D7"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1</w:t>
            </w:r>
          </w:p>
        </w:tc>
        <w:tc>
          <w:tcPr>
            <w:tcW w:w="232" w:type="pct"/>
            <w:tcBorders>
              <w:top w:val="single" w:sz="4" w:space="0" w:color="auto"/>
            </w:tcBorders>
          </w:tcPr>
          <w:p w14:paraId="157FE82C" w14:textId="77777777" w:rsidR="00441C32" w:rsidRPr="00616EBD" w:rsidRDefault="00636F33">
            <w:pPr>
              <w:pStyle w:val="1"/>
              <w:wordWrap/>
              <w:spacing w:before="0" w:beforeAutospacing="0" w:line="360" w:lineRule="auto"/>
              <w:rPr>
                <w:rFonts w:ascii="Book Antiqua" w:eastAsiaTheme="minorEastAsia" w:hAnsi="Book Antiqua" w:cs="Times New Roman"/>
                <w:bCs/>
              </w:rPr>
            </w:pPr>
            <w:r w:rsidRPr="00616EBD">
              <w:rPr>
                <w:rFonts w:ascii="Book Antiqua" w:hAnsi="Book Antiqua" w:cs="Times New Roman"/>
                <w:bCs/>
                <w:kern w:val="0"/>
              </w:rPr>
              <w:t xml:space="preserve">Uchida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[8]</w:t>
            </w:r>
            <w:r w:rsidRPr="00616EBD">
              <w:rPr>
                <w:rFonts w:ascii="Book Antiqua" w:eastAsiaTheme="minorEastAsia" w:hAnsi="Book Antiqua" w:cs="Times New Roman"/>
                <w:bCs/>
                <w:kern w:val="0"/>
              </w:rPr>
              <w:t xml:space="preserve">, </w:t>
            </w:r>
            <w:r w:rsidRPr="00616EBD">
              <w:rPr>
                <w:rFonts w:ascii="Book Antiqua" w:hAnsi="Book Antiqua" w:cs="Times New Roman"/>
                <w:bCs/>
                <w:kern w:val="0"/>
              </w:rPr>
              <w:t>2</w:t>
            </w:r>
            <w:r w:rsidRPr="00616EBD">
              <w:rPr>
                <w:rFonts w:ascii="Book Antiqua" w:hAnsi="Book Antiqua" w:cs="Times New Roman"/>
                <w:bCs/>
              </w:rPr>
              <w:t>005</w:t>
            </w:r>
          </w:p>
        </w:tc>
        <w:tc>
          <w:tcPr>
            <w:tcW w:w="139" w:type="pct"/>
            <w:tcBorders>
              <w:top w:val="single" w:sz="4" w:space="0" w:color="auto"/>
            </w:tcBorders>
          </w:tcPr>
          <w:p w14:paraId="66FA9F1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49/M</w:t>
            </w:r>
          </w:p>
        </w:tc>
        <w:tc>
          <w:tcPr>
            <w:tcW w:w="278" w:type="pct"/>
            <w:tcBorders>
              <w:top w:val="single" w:sz="4" w:space="0" w:color="auto"/>
            </w:tcBorders>
          </w:tcPr>
          <w:p w14:paraId="37B5737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Adenocarinoma</w:t>
            </w:r>
          </w:p>
        </w:tc>
        <w:tc>
          <w:tcPr>
            <w:tcW w:w="277" w:type="pct"/>
            <w:tcBorders>
              <w:top w:val="single" w:sz="4" w:space="0" w:color="auto"/>
            </w:tcBorders>
          </w:tcPr>
          <w:p w14:paraId="471C8F9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IV</w:t>
            </w:r>
            <w:r>
              <w:rPr>
                <w:rFonts w:ascii="Book Antiqua" w:eastAsiaTheme="minorEastAsia" w:hAnsi="Book Antiqua" w:cs="Times New Roman"/>
              </w:rPr>
              <w:t xml:space="preserve"> </w:t>
            </w:r>
            <w:r>
              <w:rPr>
                <w:rFonts w:ascii="Book Antiqua" w:hAnsi="Book Antiqua" w:cs="Times New Roman"/>
              </w:rPr>
              <w:t>(T1N0M1)</w:t>
            </w:r>
          </w:p>
        </w:tc>
        <w:tc>
          <w:tcPr>
            <w:tcW w:w="325" w:type="pct"/>
            <w:tcBorders>
              <w:top w:val="single" w:sz="4" w:space="0" w:color="auto"/>
            </w:tcBorders>
          </w:tcPr>
          <w:p w14:paraId="2DBCDC5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Borders>
              <w:top w:val="single" w:sz="4" w:space="0" w:color="auto"/>
            </w:tcBorders>
          </w:tcPr>
          <w:p w14:paraId="415D923A" w14:textId="2EA3EAE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Cisplatin/docetaxel/</w:t>
            </w:r>
            <w:r w:rsidR="00AD7B49">
              <w:rPr>
                <w:rFonts w:ascii="Book Antiqua" w:hAnsi="Book Antiqua" w:cs="Times New Roman"/>
              </w:rPr>
              <w:t xml:space="preserve"> </w:t>
            </w:r>
            <w:r>
              <w:rPr>
                <w:rFonts w:ascii="Book Antiqua" w:hAnsi="Book Antiqua" w:cs="Times New Roman"/>
              </w:rPr>
              <w:t>irinotecan 2 cycles</w:t>
            </w:r>
          </w:p>
        </w:tc>
        <w:tc>
          <w:tcPr>
            <w:tcW w:w="370" w:type="pct"/>
            <w:tcBorders>
              <w:top w:val="single" w:sz="4" w:space="0" w:color="auto"/>
            </w:tcBorders>
          </w:tcPr>
          <w:p w14:paraId="3DBFA3B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36 mo</w:t>
            </w:r>
          </w:p>
        </w:tc>
        <w:tc>
          <w:tcPr>
            <w:tcW w:w="416" w:type="pct"/>
            <w:tcBorders>
              <w:top w:val="single" w:sz="4" w:space="0" w:color="auto"/>
            </w:tcBorders>
          </w:tcPr>
          <w:p w14:paraId="7BF9A6B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Cyberknife for brain metastasis (22.993Gy)</w:t>
            </w:r>
          </w:p>
        </w:tc>
        <w:tc>
          <w:tcPr>
            <w:tcW w:w="417" w:type="pct"/>
            <w:tcBorders>
              <w:top w:val="single" w:sz="4" w:space="0" w:color="auto"/>
            </w:tcBorders>
          </w:tcPr>
          <w:p w14:paraId="337D632B" w14:textId="77777777" w:rsidR="00441C32" w:rsidRDefault="00636F33">
            <w:pPr>
              <w:pStyle w:val="1"/>
              <w:wordWrap/>
              <w:spacing w:before="0" w:beforeAutospacing="0" w:line="360" w:lineRule="auto"/>
              <w:rPr>
                <w:rFonts w:ascii="Book Antiqua" w:eastAsiaTheme="minorEastAsia" w:hAnsi="Book Antiqua" w:cs="Times New Roman"/>
              </w:rPr>
            </w:pPr>
            <w:bookmarkStart w:id="9" w:name="OLE_LINK48"/>
            <w:r>
              <w:rPr>
                <w:rFonts w:ascii="Book Antiqua" w:hAnsi="Book Antiqua" w:cs="Times New Roman"/>
              </w:rPr>
              <w:t>Gefitinib</w:t>
            </w:r>
            <w:bookmarkEnd w:id="9"/>
            <w:r>
              <w:rPr>
                <w:rFonts w:ascii="Book Antiqua" w:eastAsiaTheme="minorEastAsia" w:hAnsi="Book Antiqua" w:cs="Times New Roman"/>
              </w:rPr>
              <w:t xml:space="preserve">, </w:t>
            </w:r>
            <w:r>
              <w:rPr>
                <w:rFonts w:ascii="Book Antiqua" w:hAnsi="Book Antiqua" w:cs="Times New Roman"/>
              </w:rPr>
              <w:t>15</w:t>
            </w:r>
            <w:r>
              <w:rPr>
                <w:rFonts w:ascii="Book Antiqua" w:eastAsiaTheme="minorEastAsia" w:hAnsi="Book Antiqua" w:cs="Times New Roman"/>
              </w:rPr>
              <w:t xml:space="preserve"> </w:t>
            </w:r>
            <w:r>
              <w:rPr>
                <w:rFonts w:ascii="Book Antiqua" w:hAnsi="Book Antiqua" w:cs="Times New Roman"/>
              </w:rPr>
              <w:t>mo</w:t>
            </w:r>
          </w:p>
        </w:tc>
        <w:tc>
          <w:tcPr>
            <w:tcW w:w="277" w:type="pct"/>
            <w:tcBorders>
              <w:top w:val="single" w:sz="4" w:space="0" w:color="auto"/>
            </w:tcBorders>
          </w:tcPr>
          <w:p w14:paraId="6C52345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15</w:t>
            </w:r>
            <w:r>
              <w:rPr>
                <w:rFonts w:ascii="Book Antiqua" w:eastAsiaTheme="minorEastAsia" w:hAnsi="Book Antiqua" w:cs="Times New Roman"/>
              </w:rPr>
              <w:t xml:space="preserve"> </w:t>
            </w:r>
            <w:r>
              <w:rPr>
                <w:rFonts w:ascii="Book Antiqua" w:hAnsi="Book Antiqua" w:cs="Times New Roman"/>
              </w:rPr>
              <w:t>mo</w:t>
            </w:r>
          </w:p>
        </w:tc>
        <w:tc>
          <w:tcPr>
            <w:tcW w:w="464" w:type="pct"/>
            <w:tcBorders>
              <w:top w:val="single" w:sz="4" w:space="0" w:color="auto"/>
            </w:tcBorders>
          </w:tcPr>
          <w:p w14:paraId="28B012D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63" w:type="pct"/>
            <w:tcBorders>
              <w:top w:val="single" w:sz="4" w:space="0" w:color="auto"/>
            </w:tcBorders>
          </w:tcPr>
          <w:p w14:paraId="05D0163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APL</w:t>
            </w:r>
            <w:r>
              <w:rPr>
                <w:rFonts w:ascii="Book Antiqua" w:eastAsiaTheme="minorEastAsia" w:hAnsi="Book Antiqua" w:cs="Times New Roman"/>
              </w:rPr>
              <w:t>, n</w:t>
            </w:r>
            <w:r>
              <w:rPr>
                <w:rFonts w:ascii="Book Antiqua" w:hAnsi="Book Antiqua" w:cs="Times New Roman"/>
              </w:rPr>
              <w:t>ormal karyotype, PML RARα positive</w:t>
            </w:r>
          </w:p>
        </w:tc>
        <w:tc>
          <w:tcPr>
            <w:tcW w:w="369" w:type="pct"/>
            <w:tcBorders>
              <w:top w:val="single" w:sz="4" w:space="0" w:color="auto"/>
            </w:tcBorders>
          </w:tcPr>
          <w:p w14:paraId="1AF1918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538ACEC0" w14:textId="77777777">
        <w:tc>
          <w:tcPr>
            <w:tcW w:w="185" w:type="pct"/>
          </w:tcPr>
          <w:p w14:paraId="0C05A23F"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2</w:t>
            </w:r>
          </w:p>
        </w:tc>
        <w:tc>
          <w:tcPr>
            <w:tcW w:w="232" w:type="pct"/>
          </w:tcPr>
          <w:p w14:paraId="4F2DF778"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kern w:val="0"/>
              </w:rPr>
              <w:t xml:space="preserve">Uchida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[8]</w:t>
            </w:r>
            <w:r w:rsidRPr="00616EBD">
              <w:rPr>
                <w:rFonts w:ascii="Book Antiqua" w:eastAsiaTheme="minorEastAsia" w:hAnsi="Book Antiqua" w:cs="Times New Roman"/>
                <w:bCs/>
                <w:kern w:val="0"/>
              </w:rPr>
              <w:t>, 2005</w:t>
            </w:r>
          </w:p>
        </w:tc>
        <w:tc>
          <w:tcPr>
            <w:tcW w:w="139" w:type="pct"/>
          </w:tcPr>
          <w:p w14:paraId="317B935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65/M</w:t>
            </w:r>
          </w:p>
        </w:tc>
        <w:tc>
          <w:tcPr>
            <w:tcW w:w="278" w:type="pct"/>
          </w:tcPr>
          <w:p w14:paraId="6CD0DEF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Squamous cell carcinoma</w:t>
            </w:r>
          </w:p>
        </w:tc>
        <w:tc>
          <w:tcPr>
            <w:tcW w:w="277" w:type="pct"/>
          </w:tcPr>
          <w:p w14:paraId="240608C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r>
              <w:rPr>
                <w:rFonts w:ascii="Book Antiqua" w:eastAsiaTheme="minorEastAsia" w:hAnsi="Book Antiqua" w:cs="Times New Roman"/>
              </w:rPr>
              <w:t xml:space="preserve"> </w:t>
            </w:r>
            <w:r>
              <w:rPr>
                <w:rFonts w:ascii="Book Antiqua" w:hAnsi="Book Antiqua" w:cs="Times New Roman"/>
              </w:rPr>
              <w:t>(T4N3M0)</w:t>
            </w:r>
          </w:p>
        </w:tc>
        <w:tc>
          <w:tcPr>
            <w:tcW w:w="325" w:type="pct"/>
          </w:tcPr>
          <w:p w14:paraId="168AFDA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6D32B1B5" w14:textId="61777290"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Cisplatin/mitomycin/</w:t>
            </w:r>
            <w:r w:rsidR="00AD7B49">
              <w:rPr>
                <w:rFonts w:ascii="Book Antiqua" w:hAnsi="Book Antiqua" w:cs="Times New Roman"/>
              </w:rPr>
              <w:t xml:space="preserve"> </w:t>
            </w:r>
            <w:r>
              <w:rPr>
                <w:rFonts w:ascii="Book Antiqua" w:hAnsi="Book Antiqua" w:cs="Times New Roman"/>
              </w:rPr>
              <w:t>vinorelbine 2 cycles,</w:t>
            </w:r>
            <w:r>
              <w:rPr>
                <w:rFonts w:ascii="Book Antiqua" w:eastAsiaTheme="minorEastAsia" w:hAnsi="Book Antiqua" w:cs="Times New Roman"/>
              </w:rPr>
              <w:t xml:space="preserve"> </w:t>
            </w:r>
            <w:r>
              <w:rPr>
                <w:rFonts w:ascii="Book Antiqua" w:hAnsi="Book Antiqua" w:cs="Times New Roman"/>
              </w:rPr>
              <w:t>Uracil/tegafur for 2 mo in adjuvant setting</w:t>
            </w:r>
          </w:p>
        </w:tc>
        <w:tc>
          <w:tcPr>
            <w:tcW w:w="370" w:type="pct"/>
          </w:tcPr>
          <w:p w14:paraId="4CD8611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48 mo</w:t>
            </w:r>
          </w:p>
        </w:tc>
        <w:tc>
          <w:tcPr>
            <w:tcW w:w="416" w:type="pct"/>
          </w:tcPr>
          <w:p w14:paraId="2412993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Fractionated radiotherapy (2Gy* 25)</w:t>
            </w:r>
          </w:p>
        </w:tc>
        <w:tc>
          <w:tcPr>
            <w:tcW w:w="417" w:type="pct"/>
          </w:tcPr>
          <w:p w14:paraId="788B7F6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Gefitinib</w:t>
            </w:r>
            <w:r>
              <w:rPr>
                <w:rFonts w:ascii="Book Antiqua" w:eastAsiaTheme="minorEastAsia" w:hAnsi="Book Antiqua" w:cs="Times New Roman"/>
              </w:rPr>
              <w:t xml:space="preserve">, </w:t>
            </w:r>
            <w:r>
              <w:rPr>
                <w:rFonts w:ascii="Book Antiqua" w:hAnsi="Book Antiqua" w:cs="Times New Roman"/>
              </w:rPr>
              <w:t>25</w:t>
            </w:r>
            <w:r>
              <w:rPr>
                <w:rFonts w:ascii="Book Antiqua" w:eastAsiaTheme="minorEastAsia" w:hAnsi="Book Antiqua" w:cs="Times New Roman"/>
              </w:rPr>
              <w:t xml:space="preserve"> </w:t>
            </w:r>
            <w:r>
              <w:rPr>
                <w:rFonts w:ascii="Book Antiqua" w:hAnsi="Book Antiqua" w:cs="Times New Roman"/>
              </w:rPr>
              <w:t>mo</w:t>
            </w:r>
          </w:p>
        </w:tc>
        <w:tc>
          <w:tcPr>
            <w:tcW w:w="277" w:type="pct"/>
          </w:tcPr>
          <w:p w14:paraId="1AA2AE3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25</w:t>
            </w:r>
            <w:r>
              <w:rPr>
                <w:rFonts w:ascii="Book Antiqua" w:eastAsiaTheme="minorEastAsia" w:hAnsi="Book Antiqua" w:cs="Times New Roman"/>
              </w:rPr>
              <w:t xml:space="preserve"> </w:t>
            </w:r>
            <w:r>
              <w:rPr>
                <w:rFonts w:ascii="Book Antiqua" w:hAnsi="Book Antiqua" w:cs="Times New Roman"/>
              </w:rPr>
              <w:t>mo</w:t>
            </w:r>
          </w:p>
        </w:tc>
        <w:tc>
          <w:tcPr>
            <w:tcW w:w="464" w:type="pct"/>
          </w:tcPr>
          <w:p w14:paraId="6E0339B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63" w:type="pct"/>
          </w:tcPr>
          <w:p w14:paraId="0CC92BD9"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APL</w:t>
            </w:r>
            <w:r>
              <w:rPr>
                <w:rFonts w:ascii="Book Antiqua" w:eastAsiaTheme="minorEastAsia" w:hAnsi="Book Antiqua" w:cs="Times New Roman"/>
              </w:rPr>
              <w:t>, n</w:t>
            </w:r>
            <w:r>
              <w:rPr>
                <w:rFonts w:ascii="Book Antiqua" w:hAnsi="Book Antiqua" w:cs="Times New Roman"/>
              </w:rPr>
              <w:t xml:space="preserve">ormal karyotype, PML RARα </w:t>
            </w:r>
            <w:bookmarkStart w:id="10" w:name="OLE_LINK53"/>
            <w:r>
              <w:rPr>
                <w:rFonts w:ascii="Book Antiqua" w:hAnsi="Book Antiqua" w:cs="Times New Roman"/>
              </w:rPr>
              <w:t>positive</w:t>
            </w:r>
            <w:bookmarkEnd w:id="10"/>
          </w:p>
        </w:tc>
        <w:tc>
          <w:tcPr>
            <w:tcW w:w="369" w:type="pct"/>
          </w:tcPr>
          <w:p w14:paraId="1CA3D0B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4AF1F4AB" w14:textId="77777777">
        <w:tc>
          <w:tcPr>
            <w:tcW w:w="185" w:type="pct"/>
          </w:tcPr>
          <w:p w14:paraId="0F2A8687"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3</w:t>
            </w:r>
          </w:p>
        </w:tc>
        <w:tc>
          <w:tcPr>
            <w:tcW w:w="232" w:type="pct"/>
          </w:tcPr>
          <w:p w14:paraId="6D77964C"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kern w:val="0"/>
              </w:rPr>
              <w:t xml:space="preserve">Uchida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[8]</w:t>
            </w:r>
            <w:r w:rsidRPr="00616EBD">
              <w:rPr>
                <w:rFonts w:ascii="Book Antiqua" w:eastAsiaTheme="minorEastAsia" w:hAnsi="Book Antiqua" w:cs="Times New Roman"/>
                <w:bCs/>
                <w:kern w:val="0"/>
              </w:rPr>
              <w:t>, 2005</w:t>
            </w:r>
          </w:p>
        </w:tc>
        <w:tc>
          <w:tcPr>
            <w:tcW w:w="139" w:type="pct"/>
          </w:tcPr>
          <w:p w14:paraId="1FCDD6B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72/M</w:t>
            </w:r>
          </w:p>
        </w:tc>
        <w:tc>
          <w:tcPr>
            <w:tcW w:w="278" w:type="pct"/>
          </w:tcPr>
          <w:p w14:paraId="36B34D7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Adenocarinoma</w:t>
            </w:r>
          </w:p>
        </w:tc>
        <w:tc>
          <w:tcPr>
            <w:tcW w:w="277" w:type="pct"/>
          </w:tcPr>
          <w:p w14:paraId="17AF113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IA</w:t>
            </w:r>
            <w:r>
              <w:rPr>
                <w:rFonts w:ascii="Book Antiqua" w:eastAsiaTheme="minorEastAsia" w:hAnsi="Book Antiqua" w:cs="Times New Roman"/>
              </w:rPr>
              <w:t xml:space="preserve"> </w:t>
            </w:r>
            <w:r>
              <w:rPr>
                <w:rFonts w:ascii="Book Antiqua" w:hAnsi="Book Antiqua" w:cs="Times New Roman"/>
              </w:rPr>
              <w:t>(T1N0M0)</w:t>
            </w:r>
          </w:p>
        </w:tc>
        <w:tc>
          <w:tcPr>
            <w:tcW w:w="325" w:type="pct"/>
          </w:tcPr>
          <w:p w14:paraId="3235308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3D94271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Carboplatin/paclitaxel 1 cycle,</w:t>
            </w:r>
            <w:r>
              <w:rPr>
                <w:rFonts w:ascii="Book Antiqua" w:eastAsiaTheme="minorEastAsia" w:hAnsi="Book Antiqua" w:cs="Times New Roman"/>
              </w:rPr>
              <w:t xml:space="preserve"> </w:t>
            </w:r>
            <w:r>
              <w:rPr>
                <w:rFonts w:ascii="Book Antiqua" w:hAnsi="Book Antiqua" w:cs="Times New Roman"/>
              </w:rPr>
              <w:t>Cisplatin, carboplatin, irinotecan, docetaxel, gemcitabine, vinorelbine, paclitaxel, amrubicin</w:t>
            </w:r>
          </w:p>
        </w:tc>
        <w:tc>
          <w:tcPr>
            <w:tcW w:w="370" w:type="pct"/>
          </w:tcPr>
          <w:p w14:paraId="77ACEBC8"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69 mo</w:t>
            </w:r>
          </w:p>
        </w:tc>
        <w:tc>
          <w:tcPr>
            <w:tcW w:w="416" w:type="pct"/>
          </w:tcPr>
          <w:p w14:paraId="3FDE419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None</w:t>
            </w:r>
          </w:p>
        </w:tc>
        <w:tc>
          <w:tcPr>
            <w:tcW w:w="417" w:type="pct"/>
          </w:tcPr>
          <w:p w14:paraId="4C87AB27"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Gefitinib</w:t>
            </w:r>
            <w:r>
              <w:rPr>
                <w:rFonts w:ascii="Book Antiqua" w:eastAsiaTheme="minorEastAsia" w:hAnsi="Book Antiqua" w:cs="Times New Roman"/>
              </w:rPr>
              <w:t xml:space="preserve">, </w:t>
            </w:r>
            <w:r>
              <w:rPr>
                <w:rFonts w:ascii="Book Antiqua" w:hAnsi="Book Antiqua" w:cs="Times New Roman"/>
              </w:rPr>
              <w:t>5 mo +</w:t>
            </w:r>
            <w:r>
              <w:rPr>
                <w:rFonts w:ascii="Book Antiqua" w:eastAsiaTheme="minorEastAsia" w:hAnsi="Book Antiqua" w:cs="Times New Roman"/>
              </w:rPr>
              <w:t xml:space="preserve"> </w:t>
            </w:r>
            <w:r>
              <w:rPr>
                <w:rFonts w:ascii="Book Antiqua" w:hAnsi="Book Antiqua" w:cs="Times New Roman"/>
              </w:rPr>
              <w:t>4</w:t>
            </w:r>
            <w:r>
              <w:rPr>
                <w:rFonts w:ascii="Book Antiqua" w:eastAsiaTheme="minorEastAsia" w:hAnsi="Book Antiqua" w:cs="Times New Roman"/>
              </w:rPr>
              <w:t xml:space="preserve"> </w:t>
            </w:r>
            <w:r>
              <w:rPr>
                <w:rFonts w:ascii="Book Antiqua" w:hAnsi="Book Antiqua" w:cs="Times New Roman"/>
              </w:rPr>
              <w:t>mo (discontinued and restarted)</w:t>
            </w:r>
          </w:p>
        </w:tc>
        <w:tc>
          <w:tcPr>
            <w:tcW w:w="277" w:type="pct"/>
          </w:tcPr>
          <w:p w14:paraId="0BBDDAD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26</w:t>
            </w:r>
            <w:r>
              <w:rPr>
                <w:rFonts w:ascii="Book Antiqua" w:eastAsiaTheme="minorEastAsia" w:hAnsi="Book Antiqua" w:cs="Times New Roman"/>
              </w:rPr>
              <w:t xml:space="preserve"> </w:t>
            </w:r>
            <w:r>
              <w:rPr>
                <w:rFonts w:ascii="Book Antiqua" w:hAnsi="Book Antiqua" w:cs="Times New Roman"/>
              </w:rPr>
              <w:t>mo</w:t>
            </w:r>
          </w:p>
        </w:tc>
        <w:tc>
          <w:tcPr>
            <w:tcW w:w="464" w:type="pct"/>
          </w:tcPr>
          <w:p w14:paraId="0D809A7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63" w:type="pct"/>
          </w:tcPr>
          <w:p w14:paraId="19B25120"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APL</w:t>
            </w:r>
            <w:r>
              <w:rPr>
                <w:rFonts w:ascii="Book Antiqua" w:eastAsiaTheme="minorEastAsia" w:hAnsi="Book Antiqua" w:cs="Times New Roman"/>
              </w:rPr>
              <w:t>, n</w:t>
            </w:r>
            <w:r>
              <w:rPr>
                <w:rFonts w:ascii="Book Antiqua" w:hAnsi="Book Antiqua" w:cs="Times New Roman"/>
              </w:rPr>
              <w:t>ormal karyotype, PML RARα positive</w:t>
            </w:r>
          </w:p>
        </w:tc>
        <w:tc>
          <w:tcPr>
            <w:tcW w:w="369" w:type="pct"/>
          </w:tcPr>
          <w:p w14:paraId="68DEEB3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3B189D20" w14:textId="77777777">
        <w:tc>
          <w:tcPr>
            <w:tcW w:w="185" w:type="pct"/>
          </w:tcPr>
          <w:p w14:paraId="3F44289A"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4</w:t>
            </w:r>
          </w:p>
        </w:tc>
        <w:tc>
          <w:tcPr>
            <w:tcW w:w="232" w:type="pct"/>
          </w:tcPr>
          <w:p w14:paraId="34D665AD" w14:textId="77777777" w:rsidR="00441C32" w:rsidRPr="00616EBD" w:rsidRDefault="00636F33">
            <w:pPr>
              <w:pStyle w:val="1"/>
              <w:wordWrap/>
              <w:spacing w:before="0" w:beforeAutospacing="0" w:line="360" w:lineRule="auto"/>
              <w:rPr>
                <w:rFonts w:ascii="Book Antiqua" w:eastAsiaTheme="minorEastAsia" w:hAnsi="Book Antiqua" w:cs="Times New Roman"/>
                <w:bCs/>
              </w:rPr>
            </w:pPr>
            <w:r w:rsidRPr="00616EBD">
              <w:rPr>
                <w:rFonts w:ascii="Book Antiqua" w:hAnsi="Book Antiqua" w:cs="Times New Roman"/>
                <w:bCs/>
                <w:kern w:val="0"/>
              </w:rPr>
              <w:t xml:space="preserve">Ennishi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[9]</w:t>
            </w:r>
            <w:r w:rsidRPr="00616EBD">
              <w:rPr>
                <w:rFonts w:ascii="Book Antiqua" w:eastAsiaTheme="minorEastAsia" w:hAnsi="Book Antiqua" w:cs="Times New Roman"/>
                <w:bCs/>
                <w:kern w:val="0"/>
              </w:rPr>
              <w:t xml:space="preserve">, </w:t>
            </w:r>
            <w:r w:rsidRPr="00616EBD">
              <w:rPr>
                <w:rFonts w:ascii="Book Antiqua" w:hAnsi="Book Antiqua" w:cs="Times New Roman"/>
                <w:bCs/>
                <w:kern w:val="0"/>
              </w:rPr>
              <w:t>2006</w:t>
            </w:r>
          </w:p>
        </w:tc>
        <w:tc>
          <w:tcPr>
            <w:tcW w:w="139" w:type="pct"/>
          </w:tcPr>
          <w:p w14:paraId="20076D8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51/F</w:t>
            </w:r>
          </w:p>
        </w:tc>
        <w:tc>
          <w:tcPr>
            <w:tcW w:w="278" w:type="pct"/>
          </w:tcPr>
          <w:p w14:paraId="58007E3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Adenocarcinoma</w:t>
            </w:r>
          </w:p>
        </w:tc>
        <w:tc>
          <w:tcPr>
            <w:tcW w:w="277" w:type="pct"/>
          </w:tcPr>
          <w:p w14:paraId="25F634E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Recurrence after LLL lobectomy, mediastinal LN metastasis</w:t>
            </w:r>
          </w:p>
        </w:tc>
        <w:tc>
          <w:tcPr>
            <w:tcW w:w="325" w:type="pct"/>
          </w:tcPr>
          <w:p w14:paraId="7159767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10226B3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Carboplatin/paclitaxel 6 cycles</w:t>
            </w:r>
          </w:p>
        </w:tc>
        <w:tc>
          <w:tcPr>
            <w:tcW w:w="370" w:type="pct"/>
          </w:tcPr>
          <w:p w14:paraId="137777B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16" w:type="pct"/>
          </w:tcPr>
          <w:p w14:paraId="6939834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Radiotherapy at a total dosage of 60 Gy</w:t>
            </w:r>
          </w:p>
        </w:tc>
        <w:tc>
          <w:tcPr>
            <w:tcW w:w="417" w:type="pct"/>
          </w:tcPr>
          <w:p w14:paraId="5E6EDB31"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Gefitinib</w:t>
            </w:r>
            <w:r>
              <w:rPr>
                <w:rFonts w:ascii="Book Antiqua" w:eastAsiaTheme="minorEastAsia" w:hAnsi="Book Antiqua" w:cs="Times New Roman"/>
              </w:rPr>
              <w:t xml:space="preserve">, </w:t>
            </w:r>
            <w:r>
              <w:rPr>
                <w:rFonts w:ascii="Book Antiqua" w:hAnsi="Book Antiqua" w:cs="Times New Roman"/>
              </w:rPr>
              <w:t>14 mo</w:t>
            </w:r>
          </w:p>
        </w:tc>
        <w:tc>
          <w:tcPr>
            <w:tcW w:w="277" w:type="pct"/>
          </w:tcPr>
          <w:p w14:paraId="5DDBC5C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14</w:t>
            </w:r>
            <w:r>
              <w:rPr>
                <w:rFonts w:ascii="Book Antiqua" w:eastAsiaTheme="minorEastAsia" w:hAnsi="Book Antiqua" w:cs="Times New Roman"/>
              </w:rPr>
              <w:t xml:space="preserve"> </w:t>
            </w:r>
            <w:r>
              <w:rPr>
                <w:rFonts w:ascii="Book Antiqua" w:hAnsi="Book Antiqua" w:cs="Times New Roman"/>
              </w:rPr>
              <w:t>mo</w:t>
            </w:r>
          </w:p>
        </w:tc>
        <w:tc>
          <w:tcPr>
            <w:tcW w:w="464" w:type="pct"/>
          </w:tcPr>
          <w:p w14:paraId="53407C5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2300-13.2/-15200</w:t>
            </w:r>
          </w:p>
        </w:tc>
        <w:tc>
          <w:tcPr>
            <w:tcW w:w="463" w:type="pct"/>
          </w:tcPr>
          <w:p w14:paraId="6BEE6C18" w14:textId="261AB8E3"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APL</w:t>
            </w:r>
            <w:r w:rsidR="00F3000D">
              <w:rPr>
                <w:rFonts w:ascii="Book Antiqua" w:eastAsiaTheme="minorEastAsia" w:hAnsi="Book Antiqua" w:cs="Times New Roman"/>
              </w:rPr>
              <w:t>,</w:t>
            </w:r>
            <w:r>
              <w:rPr>
                <w:rFonts w:ascii="Book Antiqua" w:eastAsiaTheme="minorEastAsia" w:hAnsi="Book Antiqua" w:cs="Times New Roman"/>
              </w:rPr>
              <w:t xml:space="preserve"> </w:t>
            </w:r>
            <w:r>
              <w:rPr>
                <w:rFonts w:ascii="Book Antiqua" w:hAnsi="Book Antiqua" w:cs="Times New Roman"/>
              </w:rPr>
              <w:t>t(15;17)(q22;q21), PML/RARα positive</w:t>
            </w:r>
          </w:p>
        </w:tc>
        <w:tc>
          <w:tcPr>
            <w:tcW w:w="369" w:type="pct"/>
          </w:tcPr>
          <w:p w14:paraId="34B5BCC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4850DC34" w14:textId="77777777">
        <w:tc>
          <w:tcPr>
            <w:tcW w:w="185" w:type="pct"/>
          </w:tcPr>
          <w:p w14:paraId="3A50A540"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5</w:t>
            </w:r>
          </w:p>
        </w:tc>
        <w:tc>
          <w:tcPr>
            <w:tcW w:w="232" w:type="pct"/>
          </w:tcPr>
          <w:p w14:paraId="42E04CCF" w14:textId="77777777" w:rsidR="00441C32" w:rsidRPr="00616EBD" w:rsidRDefault="00636F33">
            <w:pPr>
              <w:pStyle w:val="1"/>
              <w:wordWrap/>
              <w:spacing w:before="0" w:beforeAutospacing="0" w:line="360" w:lineRule="auto"/>
              <w:rPr>
                <w:rFonts w:ascii="Book Antiqua" w:eastAsiaTheme="minorEastAsia" w:hAnsi="Book Antiqua" w:cs="Times New Roman"/>
                <w:bCs/>
              </w:rPr>
            </w:pPr>
            <w:r w:rsidRPr="00616EBD">
              <w:rPr>
                <w:rFonts w:ascii="Book Antiqua" w:hAnsi="Book Antiqua" w:cs="Times New Roman"/>
                <w:bCs/>
                <w:kern w:val="0"/>
              </w:rPr>
              <w:t xml:space="preserve">Stathopoulos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[6]</w:t>
            </w:r>
            <w:r w:rsidRPr="00616EBD">
              <w:rPr>
                <w:rFonts w:ascii="Book Antiqua" w:eastAsiaTheme="minorEastAsia" w:hAnsi="Book Antiqua" w:cs="Times New Roman"/>
                <w:bCs/>
                <w:kern w:val="0"/>
              </w:rPr>
              <w:t>,</w:t>
            </w:r>
            <w:r w:rsidRPr="00616EBD">
              <w:rPr>
                <w:rFonts w:ascii="Book Antiqua" w:hAnsi="Book Antiqua" w:cs="Times New Roman"/>
                <w:bCs/>
                <w:kern w:val="0"/>
              </w:rPr>
              <w:t xml:space="preserve"> 2010</w:t>
            </w:r>
          </w:p>
        </w:tc>
        <w:tc>
          <w:tcPr>
            <w:tcW w:w="139" w:type="pct"/>
          </w:tcPr>
          <w:p w14:paraId="31EF82C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67/M</w:t>
            </w:r>
          </w:p>
        </w:tc>
        <w:tc>
          <w:tcPr>
            <w:tcW w:w="278" w:type="pct"/>
          </w:tcPr>
          <w:p w14:paraId="4C7812F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Adenocarinoma</w:t>
            </w:r>
          </w:p>
        </w:tc>
        <w:tc>
          <w:tcPr>
            <w:tcW w:w="277" w:type="pct"/>
          </w:tcPr>
          <w:p w14:paraId="357D247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p>
        </w:tc>
        <w:tc>
          <w:tcPr>
            <w:tcW w:w="325" w:type="pct"/>
          </w:tcPr>
          <w:p w14:paraId="1CECB7A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404F6ED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Cisplatin/gemcitabine 6 cycles</w:t>
            </w:r>
          </w:p>
        </w:tc>
        <w:tc>
          <w:tcPr>
            <w:tcW w:w="370" w:type="pct"/>
          </w:tcPr>
          <w:p w14:paraId="425D20A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11 mo</w:t>
            </w:r>
          </w:p>
        </w:tc>
        <w:tc>
          <w:tcPr>
            <w:tcW w:w="416" w:type="pct"/>
          </w:tcPr>
          <w:p w14:paraId="09B97C2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None</w:t>
            </w:r>
          </w:p>
        </w:tc>
        <w:tc>
          <w:tcPr>
            <w:tcW w:w="417" w:type="pct"/>
          </w:tcPr>
          <w:p w14:paraId="2BDBEE4F"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Erlotinib</w:t>
            </w:r>
            <w:r>
              <w:rPr>
                <w:rFonts w:ascii="Book Antiqua" w:eastAsiaTheme="minorEastAsia" w:hAnsi="Book Antiqua" w:cs="Times New Roman"/>
              </w:rPr>
              <w:t xml:space="preserve">, </w:t>
            </w:r>
            <w:r>
              <w:rPr>
                <w:rFonts w:ascii="Book Antiqua" w:hAnsi="Book Antiqua" w:cs="Times New Roman"/>
              </w:rPr>
              <w:t>4 mo</w:t>
            </w:r>
          </w:p>
        </w:tc>
        <w:tc>
          <w:tcPr>
            <w:tcW w:w="277" w:type="pct"/>
          </w:tcPr>
          <w:p w14:paraId="2F520AE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8 mo</w:t>
            </w:r>
          </w:p>
        </w:tc>
        <w:tc>
          <w:tcPr>
            <w:tcW w:w="464" w:type="pct"/>
          </w:tcPr>
          <w:p w14:paraId="79789D86" w14:textId="77777777" w:rsidR="00441C32" w:rsidRDefault="00636F33">
            <w:pPr>
              <w:pStyle w:val="1"/>
              <w:wordWrap/>
              <w:spacing w:before="0" w:beforeAutospacing="0" w:line="360" w:lineRule="auto"/>
              <w:rPr>
                <w:rFonts w:ascii="Book Antiqua" w:hAnsi="Book Antiqua" w:cs="Times New Roman"/>
              </w:rPr>
            </w:pPr>
            <w:r>
              <w:rPr>
                <w:rFonts w:ascii="Book Antiqua" w:eastAsiaTheme="minorEastAsia" w:hAnsi="Book Antiqua" w:cs="Times New Roman"/>
              </w:rPr>
              <w:t>G</w:t>
            </w:r>
            <w:r>
              <w:rPr>
                <w:rFonts w:ascii="Book Antiqua" w:hAnsi="Book Antiqua" w:cs="Times New Roman"/>
              </w:rPr>
              <w:t>rade 4 thrombocytopenia</w:t>
            </w:r>
          </w:p>
        </w:tc>
        <w:tc>
          <w:tcPr>
            <w:tcW w:w="463" w:type="pct"/>
          </w:tcPr>
          <w:p w14:paraId="23400F93" w14:textId="7C5C4D23"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MDS</w:t>
            </w:r>
            <w:r>
              <w:rPr>
                <w:rFonts w:ascii="Book Antiqua" w:eastAsiaTheme="minorEastAsia" w:hAnsi="Book Antiqua" w:cs="Times New Roman"/>
              </w:rPr>
              <w:t xml:space="preserve">, </w:t>
            </w:r>
            <w:r>
              <w:rPr>
                <w:rFonts w:ascii="Book Antiqua" w:hAnsi="Book Antiqua" w:cs="Times New Roman"/>
              </w:rPr>
              <w:t>46,</w:t>
            </w:r>
            <w:r w:rsidR="00F3000D">
              <w:rPr>
                <w:rFonts w:ascii="Book Antiqua" w:hAnsi="Book Antiqua" w:cs="Times New Roman"/>
              </w:rPr>
              <w:t xml:space="preserve"> </w:t>
            </w:r>
            <w:r>
              <w:rPr>
                <w:rFonts w:ascii="Book Antiqua" w:hAnsi="Book Antiqua" w:cs="Times New Roman"/>
              </w:rPr>
              <w:t>XY,</w:t>
            </w:r>
            <w:r w:rsidR="00F3000D">
              <w:rPr>
                <w:rFonts w:ascii="Book Antiqua" w:hAnsi="Book Antiqua" w:cs="Times New Roman"/>
              </w:rPr>
              <w:t xml:space="preserve"> </w:t>
            </w:r>
            <w:r>
              <w:rPr>
                <w:rFonts w:ascii="Book Antiqua" w:hAnsi="Book Antiqua" w:cs="Times New Roman"/>
              </w:rPr>
              <w:t>del(20)(q11)[15]/47,</w:t>
            </w:r>
            <w:r>
              <w:rPr>
                <w:rFonts w:ascii="Book Antiqua" w:eastAsiaTheme="minorEastAsia" w:hAnsi="Book Antiqua" w:cs="Times New Roman"/>
              </w:rPr>
              <w:t xml:space="preserve"> </w:t>
            </w:r>
            <w:r>
              <w:rPr>
                <w:rFonts w:ascii="Book Antiqua" w:hAnsi="Book Antiqua" w:cs="Times New Roman"/>
              </w:rPr>
              <w:t>idem,</w:t>
            </w:r>
            <w:r>
              <w:rPr>
                <w:rFonts w:ascii="Book Antiqua" w:eastAsiaTheme="minorEastAsia" w:hAnsi="Book Antiqua" w:cs="Times New Roman"/>
              </w:rPr>
              <w:t xml:space="preserve"> </w:t>
            </w:r>
            <w:r>
              <w:rPr>
                <w:rFonts w:ascii="Book Antiqua" w:hAnsi="Book Antiqua" w:cs="Times New Roman"/>
              </w:rPr>
              <w:t>+ 21(7)/48,idem,</w:t>
            </w:r>
            <w:r>
              <w:rPr>
                <w:rFonts w:ascii="Book Antiqua" w:eastAsiaTheme="minorEastAsia" w:hAnsi="Book Antiqua" w:cs="Times New Roman"/>
              </w:rPr>
              <w:t xml:space="preserve"> </w:t>
            </w:r>
            <w:r>
              <w:rPr>
                <w:rFonts w:ascii="Book Antiqua" w:hAnsi="Book Antiqua" w:cs="Times New Roman"/>
              </w:rPr>
              <w:t>21,</w:t>
            </w:r>
            <w:r>
              <w:rPr>
                <w:rFonts w:ascii="Book Antiqua" w:eastAsiaTheme="minorEastAsia" w:hAnsi="Book Antiqua" w:cs="Times New Roman"/>
              </w:rPr>
              <w:t xml:space="preserve"> </w:t>
            </w:r>
            <w:r>
              <w:rPr>
                <w:rFonts w:ascii="Book Antiqua" w:hAnsi="Book Antiqua" w:cs="Times New Roman"/>
              </w:rPr>
              <w:t>+</w:t>
            </w:r>
            <w:r>
              <w:rPr>
                <w:rFonts w:ascii="Book Antiqua" w:eastAsiaTheme="minorEastAsia" w:hAnsi="Book Antiqua" w:cs="Times New Roman"/>
              </w:rPr>
              <w:t xml:space="preserve"> </w:t>
            </w:r>
            <w:r>
              <w:rPr>
                <w:rFonts w:ascii="Book Antiqua" w:hAnsi="Book Antiqua" w:cs="Times New Roman"/>
              </w:rPr>
              <w:t>21[-3]</w:t>
            </w:r>
          </w:p>
        </w:tc>
        <w:tc>
          <w:tcPr>
            <w:tcW w:w="369" w:type="pct"/>
          </w:tcPr>
          <w:p w14:paraId="6BA2317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6F2A8831" w14:textId="77777777">
        <w:tc>
          <w:tcPr>
            <w:tcW w:w="185" w:type="pct"/>
          </w:tcPr>
          <w:p w14:paraId="611C8A6F"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6</w:t>
            </w:r>
          </w:p>
        </w:tc>
        <w:tc>
          <w:tcPr>
            <w:tcW w:w="232" w:type="pct"/>
          </w:tcPr>
          <w:p w14:paraId="1EF7B279"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kern w:val="0"/>
              </w:rPr>
              <w:t xml:space="preserve">Stathopoulos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[6]</w:t>
            </w:r>
            <w:r w:rsidRPr="00616EBD">
              <w:rPr>
                <w:rFonts w:ascii="Book Antiqua" w:eastAsiaTheme="minorEastAsia" w:hAnsi="Book Antiqua" w:cs="Times New Roman"/>
                <w:bCs/>
                <w:kern w:val="0"/>
              </w:rPr>
              <w:t>,</w:t>
            </w:r>
            <w:r w:rsidRPr="00616EBD">
              <w:rPr>
                <w:rFonts w:ascii="Book Antiqua" w:hAnsi="Book Antiqua" w:cs="Times New Roman"/>
                <w:bCs/>
                <w:kern w:val="0"/>
              </w:rPr>
              <w:t xml:space="preserve"> 2010</w:t>
            </w:r>
          </w:p>
        </w:tc>
        <w:tc>
          <w:tcPr>
            <w:tcW w:w="139" w:type="pct"/>
          </w:tcPr>
          <w:p w14:paraId="1F867FE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70/M</w:t>
            </w:r>
          </w:p>
        </w:tc>
        <w:tc>
          <w:tcPr>
            <w:tcW w:w="278" w:type="pct"/>
          </w:tcPr>
          <w:p w14:paraId="05E4D63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Adenocarinoma</w:t>
            </w:r>
          </w:p>
        </w:tc>
        <w:tc>
          <w:tcPr>
            <w:tcW w:w="277" w:type="pct"/>
          </w:tcPr>
          <w:p w14:paraId="36FB095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p>
        </w:tc>
        <w:tc>
          <w:tcPr>
            <w:tcW w:w="325" w:type="pct"/>
          </w:tcPr>
          <w:p w14:paraId="57A351F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2F8D0D89"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Cisplatin/paclitaxel 6 cycles</w:t>
            </w:r>
          </w:p>
        </w:tc>
        <w:tc>
          <w:tcPr>
            <w:tcW w:w="370" w:type="pct"/>
          </w:tcPr>
          <w:p w14:paraId="514D043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12 mo</w:t>
            </w:r>
          </w:p>
        </w:tc>
        <w:tc>
          <w:tcPr>
            <w:tcW w:w="416" w:type="pct"/>
          </w:tcPr>
          <w:p w14:paraId="12A72B0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None</w:t>
            </w:r>
          </w:p>
        </w:tc>
        <w:tc>
          <w:tcPr>
            <w:tcW w:w="417" w:type="pct"/>
          </w:tcPr>
          <w:p w14:paraId="3229F00D"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Erlotinib</w:t>
            </w:r>
            <w:r>
              <w:rPr>
                <w:rFonts w:ascii="Book Antiqua" w:eastAsiaTheme="minorEastAsia" w:hAnsi="Book Antiqua" w:cs="Times New Roman"/>
              </w:rPr>
              <w:t xml:space="preserve">, </w:t>
            </w:r>
            <w:r>
              <w:rPr>
                <w:rFonts w:ascii="Book Antiqua" w:hAnsi="Book Antiqua" w:cs="Times New Roman"/>
              </w:rPr>
              <w:t>8 mo</w:t>
            </w:r>
          </w:p>
        </w:tc>
        <w:tc>
          <w:tcPr>
            <w:tcW w:w="277" w:type="pct"/>
          </w:tcPr>
          <w:p w14:paraId="0DEAF40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8 mo</w:t>
            </w:r>
          </w:p>
        </w:tc>
        <w:tc>
          <w:tcPr>
            <w:tcW w:w="464" w:type="pct"/>
          </w:tcPr>
          <w:p w14:paraId="09A040B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WBC 92000</w:t>
            </w:r>
          </w:p>
        </w:tc>
        <w:tc>
          <w:tcPr>
            <w:tcW w:w="463" w:type="pct"/>
          </w:tcPr>
          <w:p w14:paraId="63E0026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CML</w:t>
            </w:r>
            <w:r>
              <w:rPr>
                <w:rFonts w:ascii="Book Antiqua" w:eastAsiaTheme="minorEastAsia" w:hAnsi="Book Antiqua" w:cs="Times New Roman"/>
              </w:rPr>
              <w:t xml:space="preserve">, </w:t>
            </w:r>
            <w:r>
              <w:rPr>
                <w:rFonts w:ascii="Book Antiqua" w:hAnsi="Book Antiqua" w:cs="Times New Roman"/>
              </w:rPr>
              <w:t>BCR-ABL+</w:t>
            </w:r>
          </w:p>
        </w:tc>
        <w:tc>
          <w:tcPr>
            <w:tcW w:w="369" w:type="pct"/>
          </w:tcPr>
          <w:p w14:paraId="23C8F34D"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r>
      <w:tr w:rsidR="00441C32" w14:paraId="6525C4EE" w14:textId="77777777">
        <w:tc>
          <w:tcPr>
            <w:tcW w:w="185" w:type="pct"/>
          </w:tcPr>
          <w:p w14:paraId="4DB7BAFB"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7</w:t>
            </w:r>
          </w:p>
        </w:tc>
        <w:tc>
          <w:tcPr>
            <w:tcW w:w="232" w:type="pct"/>
          </w:tcPr>
          <w:p w14:paraId="1C8D20B4"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kern w:val="0"/>
              </w:rPr>
              <w:t xml:space="preserve">Stathopoulos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[6]</w:t>
            </w:r>
            <w:r w:rsidRPr="00616EBD">
              <w:rPr>
                <w:rFonts w:ascii="Book Antiqua" w:eastAsiaTheme="minorEastAsia" w:hAnsi="Book Antiqua" w:cs="Times New Roman"/>
                <w:bCs/>
                <w:kern w:val="0"/>
              </w:rPr>
              <w:t>,</w:t>
            </w:r>
            <w:r w:rsidRPr="00616EBD">
              <w:rPr>
                <w:rFonts w:ascii="Book Antiqua" w:hAnsi="Book Antiqua" w:cs="Times New Roman"/>
                <w:bCs/>
                <w:kern w:val="0"/>
              </w:rPr>
              <w:t xml:space="preserve"> 2010</w:t>
            </w:r>
          </w:p>
        </w:tc>
        <w:tc>
          <w:tcPr>
            <w:tcW w:w="139" w:type="pct"/>
          </w:tcPr>
          <w:p w14:paraId="6D2C53F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60/F</w:t>
            </w:r>
          </w:p>
        </w:tc>
        <w:tc>
          <w:tcPr>
            <w:tcW w:w="278" w:type="pct"/>
          </w:tcPr>
          <w:p w14:paraId="589EC608"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Adenocarinoma</w:t>
            </w:r>
          </w:p>
        </w:tc>
        <w:tc>
          <w:tcPr>
            <w:tcW w:w="277" w:type="pct"/>
          </w:tcPr>
          <w:p w14:paraId="5E2018DD"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IIIB</w:t>
            </w:r>
          </w:p>
        </w:tc>
        <w:tc>
          <w:tcPr>
            <w:tcW w:w="325" w:type="pct"/>
          </w:tcPr>
          <w:p w14:paraId="1066CF1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5322B7E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Cisplatin/vinorelbine 6 cycles</w:t>
            </w:r>
            <w:r>
              <w:rPr>
                <w:rFonts w:ascii="Book Antiqua" w:eastAsiaTheme="minorEastAsia" w:hAnsi="Book Antiqua" w:cs="Times New Roman"/>
              </w:rPr>
              <w:t xml:space="preserve">. </w:t>
            </w:r>
            <w:r>
              <w:rPr>
                <w:rFonts w:ascii="Book Antiqua" w:hAnsi="Book Antiqua" w:cs="Times New Roman"/>
              </w:rPr>
              <w:t>Carboplatin/etoposide 3 cycles</w:t>
            </w:r>
          </w:p>
        </w:tc>
        <w:tc>
          <w:tcPr>
            <w:tcW w:w="370" w:type="pct"/>
          </w:tcPr>
          <w:p w14:paraId="75F54AD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36 mo</w:t>
            </w:r>
          </w:p>
        </w:tc>
        <w:tc>
          <w:tcPr>
            <w:tcW w:w="416" w:type="pct"/>
          </w:tcPr>
          <w:p w14:paraId="5E450FF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Radiotherapy (RT) of the primary lung lesions and of the</w:t>
            </w:r>
          </w:p>
          <w:p w14:paraId="1A826C4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mediastinum</w:t>
            </w:r>
          </w:p>
        </w:tc>
        <w:tc>
          <w:tcPr>
            <w:tcW w:w="417" w:type="pct"/>
          </w:tcPr>
          <w:p w14:paraId="188152DD" w14:textId="77777777" w:rsidR="00441C32" w:rsidRDefault="00636F33">
            <w:pPr>
              <w:pStyle w:val="1"/>
              <w:wordWrap/>
              <w:spacing w:before="0" w:beforeAutospacing="0" w:line="360" w:lineRule="auto"/>
              <w:rPr>
                <w:rFonts w:ascii="Book Antiqua" w:eastAsiaTheme="minorEastAsia" w:hAnsi="Book Antiqua" w:cs="Times New Roman"/>
              </w:rPr>
            </w:pPr>
            <w:bookmarkStart w:id="11" w:name="OLE_LINK57"/>
            <w:r>
              <w:rPr>
                <w:rFonts w:ascii="Book Antiqua" w:hAnsi="Book Antiqua" w:cs="Times New Roman"/>
              </w:rPr>
              <w:t>Erlotinib</w:t>
            </w:r>
            <w:bookmarkEnd w:id="11"/>
            <w:r>
              <w:rPr>
                <w:rFonts w:ascii="Book Antiqua" w:eastAsiaTheme="minorEastAsia" w:hAnsi="Book Antiqua" w:cs="Times New Roman"/>
              </w:rPr>
              <w:t xml:space="preserve">, </w:t>
            </w:r>
            <w:r>
              <w:rPr>
                <w:rFonts w:ascii="Book Antiqua" w:hAnsi="Book Antiqua" w:cs="Times New Roman"/>
              </w:rPr>
              <w:t>8.5 mo</w:t>
            </w:r>
          </w:p>
        </w:tc>
        <w:tc>
          <w:tcPr>
            <w:tcW w:w="277" w:type="pct"/>
          </w:tcPr>
          <w:p w14:paraId="3454A50E"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8.5 m</w:t>
            </w:r>
            <w:r>
              <w:rPr>
                <w:rFonts w:ascii="Book Antiqua" w:eastAsiaTheme="minorEastAsia" w:hAnsi="Book Antiqua" w:cs="Times New Roman"/>
              </w:rPr>
              <w:t>o</w:t>
            </w:r>
          </w:p>
        </w:tc>
        <w:tc>
          <w:tcPr>
            <w:tcW w:w="464" w:type="pct"/>
          </w:tcPr>
          <w:p w14:paraId="2E4CC97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2500-/28.8-72000</w:t>
            </w:r>
          </w:p>
        </w:tc>
        <w:tc>
          <w:tcPr>
            <w:tcW w:w="463" w:type="pct"/>
          </w:tcPr>
          <w:p w14:paraId="1434778E" w14:textId="62532452" w:rsidR="00441C32" w:rsidRDefault="00636F33" w:rsidP="002031A3">
            <w:pPr>
              <w:pStyle w:val="1"/>
              <w:wordWrap/>
              <w:spacing w:before="0" w:beforeAutospacing="0" w:line="360" w:lineRule="auto"/>
              <w:rPr>
                <w:rFonts w:ascii="Book Antiqua" w:hAnsi="Book Antiqua" w:cs="Times New Roman"/>
              </w:rPr>
            </w:pPr>
            <w:r>
              <w:rPr>
                <w:rFonts w:ascii="Book Antiqua" w:hAnsi="Book Antiqua" w:cs="Times New Roman"/>
              </w:rPr>
              <w:t>MDS, RAEB-T/t-AML</w:t>
            </w:r>
            <w:r w:rsidR="002031A3">
              <w:rPr>
                <w:rFonts w:ascii="Book Antiqua" w:hAnsi="Book Antiqua" w:cs="Times New Roman"/>
              </w:rPr>
              <w:t xml:space="preserve">, </w:t>
            </w:r>
            <w:r>
              <w:rPr>
                <w:rFonts w:ascii="Book Antiqua" w:hAnsi="Book Antiqua" w:cs="Times New Roman"/>
              </w:rPr>
              <w:t>46,</w:t>
            </w:r>
            <w:r w:rsidR="00F3000D">
              <w:rPr>
                <w:rFonts w:ascii="Book Antiqua" w:hAnsi="Book Antiqua" w:cs="Times New Roman"/>
              </w:rPr>
              <w:t xml:space="preserve"> </w:t>
            </w:r>
            <w:r>
              <w:rPr>
                <w:rFonts w:ascii="Book Antiqua" w:hAnsi="Book Antiqua" w:cs="Times New Roman"/>
              </w:rPr>
              <w:t>XX,</w:t>
            </w:r>
            <w:r w:rsidR="00F3000D">
              <w:rPr>
                <w:rFonts w:ascii="Book Antiqua" w:hAnsi="Book Antiqua" w:cs="Times New Roman"/>
              </w:rPr>
              <w:t xml:space="preserve"> </w:t>
            </w:r>
            <w:r>
              <w:rPr>
                <w:rFonts w:ascii="Book Antiqua" w:hAnsi="Book Antiqua" w:cs="Times New Roman"/>
              </w:rPr>
              <w:t>del(7)(q22),</w:t>
            </w:r>
            <w:r>
              <w:rPr>
                <w:rFonts w:ascii="Book Antiqua" w:eastAsiaTheme="minorEastAsia" w:hAnsi="Book Antiqua" w:cs="Times New Roman"/>
              </w:rPr>
              <w:t xml:space="preserve"> </w:t>
            </w:r>
            <w:r>
              <w:rPr>
                <w:rFonts w:ascii="Book Antiqua" w:hAnsi="Book Antiqua" w:cs="Times New Roman"/>
              </w:rPr>
              <w:t>add(21)(q22)</w:t>
            </w:r>
          </w:p>
        </w:tc>
        <w:tc>
          <w:tcPr>
            <w:tcW w:w="369" w:type="pct"/>
          </w:tcPr>
          <w:p w14:paraId="3BDB3FA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Died 3.5</w:t>
            </w:r>
            <w:r>
              <w:rPr>
                <w:rFonts w:ascii="Book Antiqua" w:eastAsiaTheme="minorEastAsia" w:hAnsi="Book Antiqua" w:cs="Times New Roman"/>
              </w:rPr>
              <w:t xml:space="preserve"> </w:t>
            </w:r>
            <w:r>
              <w:rPr>
                <w:rFonts w:ascii="Book Antiqua" w:hAnsi="Book Antiqua" w:cs="Times New Roman"/>
              </w:rPr>
              <w:t>mo later</w:t>
            </w:r>
          </w:p>
        </w:tc>
      </w:tr>
      <w:tr w:rsidR="00441C32" w14:paraId="10270824" w14:textId="77777777">
        <w:tc>
          <w:tcPr>
            <w:tcW w:w="185" w:type="pct"/>
          </w:tcPr>
          <w:p w14:paraId="7500C170"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8</w:t>
            </w:r>
          </w:p>
        </w:tc>
        <w:tc>
          <w:tcPr>
            <w:tcW w:w="232" w:type="pct"/>
          </w:tcPr>
          <w:p w14:paraId="3909E3DE"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kern w:val="0"/>
              </w:rPr>
              <w:t xml:space="preserve">Stathopoulos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[6]</w:t>
            </w:r>
            <w:r w:rsidRPr="00616EBD">
              <w:rPr>
                <w:rFonts w:ascii="Book Antiqua" w:eastAsiaTheme="minorEastAsia" w:hAnsi="Book Antiqua" w:cs="Times New Roman"/>
                <w:bCs/>
                <w:kern w:val="0"/>
              </w:rPr>
              <w:t>,</w:t>
            </w:r>
            <w:r w:rsidRPr="00616EBD">
              <w:rPr>
                <w:rFonts w:ascii="Book Antiqua" w:hAnsi="Book Antiqua" w:cs="Times New Roman"/>
                <w:bCs/>
                <w:kern w:val="0"/>
              </w:rPr>
              <w:t xml:space="preserve"> 2010</w:t>
            </w:r>
          </w:p>
        </w:tc>
        <w:tc>
          <w:tcPr>
            <w:tcW w:w="139" w:type="pct"/>
          </w:tcPr>
          <w:p w14:paraId="4B7790F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59/F</w:t>
            </w:r>
          </w:p>
        </w:tc>
        <w:tc>
          <w:tcPr>
            <w:tcW w:w="278" w:type="pct"/>
          </w:tcPr>
          <w:p w14:paraId="450235D7"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Squamous cell carcinoma</w:t>
            </w:r>
          </w:p>
        </w:tc>
        <w:tc>
          <w:tcPr>
            <w:tcW w:w="277" w:type="pct"/>
          </w:tcPr>
          <w:p w14:paraId="00D8639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IV</w:t>
            </w:r>
          </w:p>
        </w:tc>
        <w:tc>
          <w:tcPr>
            <w:tcW w:w="325" w:type="pct"/>
          </w:tcPr>
          <w:p w14:paraId="087102E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72882A9B"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Carboplatin/etoposide 6 cycles</w:t>
            </w:r>
          </w:p>
        </w:tc>
        <w:tc>
          <w:tcPr>
            <w:tcW w:w="370" w:type="pct"/>
          </w:tcPr>
          <w:p w14:paraId="6CD782D7"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14 mo</w:t>
            </w:r>
          </w:p>
        </w:tc>
        <w:tc>
          <w:tcPr>
            <w:tcW w:w="416" w:type="pct"/>
          </w:tcPr>
          <w:p w14:paraId="22C36460" w14:textId="77777777" w:rsidR="00441C32" w:rsidRDefault="00441C32">
            <w:pPr>
              <w:pStyle w:val="1"/>
              <w:wordWrap/>
              <w:spacing w:before="0" w:beforeAutospacing="0" w:line="360" w:lineRule="auto"/>
              <w:rPr>
                <w:rFonts w:ascii="Book Antiqua" w:hAnsi="Book Antiqua" w:cs="Times New Roman"/>
              </w:rPr>
            </w:pPr>
          </w:p>
        </w:tc>
        <w:tc>
          <w:tcPr>
            <w:tcW w:w="417" w:type="pct"/>
          </w:tcPr>
          <w:p w14:paraId="3CEE6A80" w14:textId="77777777" w:rsidR="00441C32" w:rsidRDefault="00636F33">
            <w:pPr>
              <w:pStyle w:val="1"/>
              <w:wordWrap/>
              <w:spacing w:before="0" w:beforeAutospacing="0" w:line="360" w:lineRule="auto"/>
              <w:rPr>
                <w:rFonts w:ascii="Book Antiqua" w:eastAsiaTheme="minorEastAsia" w:hAnsi="Book Antiqua" w:cs="Times New Roman"/>
              </w:rPr>
            </w:pPr>
            <w:bookmarkStart w:id="12" w:name="OLE_LINK58"/>
            <w:r>
              <w:rPr>
                <w:rFonts w:ascii="Book Antiqua" w:hAnsi="Book Antiqua" w:cs="Times New Roman"/>
              </w:rPr>
              <w:t>Erlotinib</w:t>
            </w:r>
            <w:bookmarkEnd w:id="12"/>
            <w:r>
              <w:rPr>
                <w:rFonts w:ascii="Book Antiqua" w:eastAsiaTheme="minorEastAsia" w:hAnsi="Book Antiqua" w:cs="Times New Roman"/>
              </w:rPr>
              <w:t xml:space="preserve">, </w:t>
            </w:r>
            <w:r>
              <w:rPr>
                <w:rFonts w:ascii="Book Antiqua" w:hAnsi="Book Antiqua" w:cs="Times New Roman"/>
              </w:rPr>
              <w:t>5.5 mo</w:t>
            </w:r>
          </w:p>
        </w:tc>
        <w:tc>
          <w:tcPr>
            <w:tcW w:w="277" w:type="pct"/>
          </w:tcPr>
          <w:p w14:paraId="2178901C"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5.5 mo</w:t>
            </w:r>
          </w:p>
        </w:tc>
        <w:tc>
          <w:tcPr>
            <w:tcW w:w="464" w:type="pct"/>
          </w:tcPr>
          <w:p w14:paraId="293D5352"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3200-/25.7</w:t>
            </w:r>
          </w:p>
        </w:tc>
        <w:tc>
          <w:tcPr>
            <w:tcW w:w="463" w:type="pct"/>
          </w:tcPr>
          <w:p w14:paraId="30B23FC4" w14:textId="21FA4EA4"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MDS, RAEB</w:t>
            </w:r>
            <w:r>
              <w:rPr>
                <w:rFonts w:ascii="Book Antiqua" w:eastAsiaTheme="minorEastAsia" w:hAnsi="Book Antiqua" w:cs="Times New Roman"/>
              </w:rPr>
              <w:t xml:space="preserve"> </w:t>
            </w:r>
            <w:r>
              <w:rPr>
                <w:rFonts w:ascii="Book Antiqua" w:hAnsi="Book Antiqua" w:cs="Times New Roman"/>
              </w:rPr>
              <w:t>47,</w:t>
            </w:r>
            <w:r w:rsidR="00F3000D">
              <w:rPr>
                <w:rFonts w:ascii="Book Antiqua" w:hAnsi="Book Antiqua" w:cs="Times New Roman"/>
              </w:rPr>
              <w:t xml:space="preserve"> </w:t>
            </w:r>
            <w:r>
              <w:rPr>
                <w:rFonts w:ascii="Book Antiqua" w:hAnsi="Book Antiqua" w:cs="Times New Roman"/>
              </w:rPr>
              <w:t>XX,</w:t>
            </w:r>
            <w:r w:rsidR="00F3000D">
              <w:rPr>
                <w:rFonts w:ascii="Book Antiqua" w:hAnsi="Book Antiqua" w:cs="Times New Roman"/>
              </w:rPr>
              <w:t xml:space="preserve"> </w:t>
            </w:r>
            <w:r>
              <w:rPr>
                <w:rFonts w:ascii="Book Antiqua" w:hAnsi="Book Antiqua" w:cs="Times New Roman"/>
              </w:rPr>
              <w:t>+8,</w:t>
            </w:r>
            <w:r>
              <w:rPr>
                <w:rFonts w:ascii="Book Antiqua" w:eastAsiaTheme="minorEastAsia" w:hAnsi="Book Antiqua" w:cs="Times New Roman"/>
              </w:rPr>
              <w:t xml:space="preserve"> </w:t>
            </w:r>
            <w:r>
              <w:rPr>
                <w:rFonts w:ascii="Book Antiqua" w:hAnsi="Book Antiqua" w:cs="Times New Roman"/>
              </w:rPr>
              <w:t>t(5;9)(q13;q34)</w:t>
            </w:r>
          </w:p>
        </w:tc>
        <w:tc>
          <w:tcPr>
            <w:tcW w:w="369" w:type="pct"/>
          </w:tcPr>
          <w:p w14:paraId="414506E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Died 8</w:t>
            </w:r>
            <w:r>
              <w:rPr>
                <w:rFonts w:ascii="Book Antiqua" w:eastAsiaTheme="minorEastAsia" w:hAnsi="Book Antiqua" w:cs="Times New Roman"/>
              </w:rPr>
              <w:t xml:space="preserve"> </w:t>
            </w:r>
            <w:r>
              <w:rPr>
                <w:rFonts w:ascii="Book Antiqua" w:hAnsi="Book Antiqua" w:cs="Times New Roman"/>
              </w:rPr>
              <w:t>mo later</w:t>
            </w:r>
          </w:p>
        </w:tc>
      </w:tr>
      <w:tr w:rsidR="00441C32" w14:paraId="4D46EDF9" w14:textId="77777777">
        <w:tc>
          <w:tcPr>
            <w:tcW w:w="185" w:type="pct"/>
          </w:tcPr>
          <w:p w14:paraId="44700B58"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9</w:t>
            </w:r>
          </w:p>
        </w:tc>
        <w:tc>
          <w:tcPr>
            <w:tcW w:w="232" w:type="pct"/>
          </w:tcPr>
          <w:p w14:paraId="197006A3" w14:textId="77777777" w:rsidR="00441C32" w:rsidRPr="00616EBD" w:rsidRDefault="00636F33">
            <w:pPr>
              <w:pStyle w:val="1"/>
              <w:wordWrap/>
              <w:spacing w:before="0" w:beforeAutospacing="0" w:line="360" w:lineRule="auto"/>
              <w:rPr>
                <w:rFonts w:ascii="Book Antiqua" w:eastAsiaTheme="minorEastAsia" w:hAnsi="Book Antiqua" w:cs="Times New Roman"/>
                <w:bCs/>
              </w:rPr>
            </w:pPr>
            <w:r w:rsidRPr="00616EBD">
              <w:rPr>
                <w:rFonts w:ascii="Book Antiqua" w:hAnsi="Book Antiqua" w:cs="Times New Roman"/>
                <w:bCs/>
                <w:kern w:val="0"/>
              </w:rPr>
              <w:t xml:space="preserve">Moon </w:t>
            </w:r>
            <w:r w:rsidRPr="00616EBD">
              <w:rPr>
                <w:rFonts w:ascii="Book Antiqua" w:hAnsi="Book Antiqua" w:cs="Times New Roman"/>
                <w:bCs/>
                <w:i/>
                <w:kern w:val="0"/>
              </w:rPr>
              <w:t>et al</w:t>
            </w:r>
            <w:r w:rsidRPr="00616EBD">
              <w:rPr>
                <w:rFonts w:ascii="Book Antiqua" w:eastAsiaTheme="minorEastAsia" w:hAnsi="Book Antiqua" w:cs="Times New Roman"/>
                <w:bCs/>
                <w:kern w:val="0"/>
                <w:vertAlign w:val="superscript"/>
              </w:rPr>
              <w:t>[7]</w:t>
            </w:r>
            <w:r w:rsidRPr="00616EBD">
              <w:rPr>
                <w:rFonts w:ascii="Book Antiqua" w:eastAsiaTheme="minorEastAsia" w:hAnsi="Book Antiqua" w:cs="Times New Roman"/>
                <w:bCs/>
                <w:kern w:val="0"/>
              </w:rPr>
              <w:t>,</w:t>
            </w:r>
            <w:r w:rsidRPr="00616EBD">
              <w:rPr>
                <w:rFonts w:ascii="Book Antiqua" w:hAnsi="Book Antiqua" w:cs="Times New Roman"/>
                <w:bCs/>
                <w:kern w:val="0"/>
              </w:rPr>
              <w:t xml:space="preserve"> 2014</w:t>
            </w:r>
          </w:p>
        </w:tc>
        <w:tc>
          <w:tcPr>
            <w:tcW w:w="139" w:type="pct"/>
          </w:tcPr>
          <w:p w14:paraId="79BB629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72/M</w:t>
            </w:r>
          </w:p>
        </w:tc>
        <w:tc>
          <w:tcPr>
            <w:tcW w:w="278" w:type="pct"/>
          </w:tcPr>
          <w:p w14:paraId="24C34B9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Squamous cell carcinoma</w:t>
            </w:r>
          </w:p>
        </w:tc>
        <w:tc>
          <w:tcPr>
            <w:tcW w:w="277" w:type="pct"/>
          </w:tcPr>
          <w:p w14:paraId="733709C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II</w:t>
            </w:r>
            <w:r>
              <w:rPr>
                <w:rFonts w:ascii="Book Antiqua" w:eastAsiaTheme="minorEastAsia" w:hAnsi="Book Antiqua" w:cs="Times New Roman"/>
              </w:rPr>
              <w:t xml:space="preserve"> </w:t>
            </w:r>
            <w:r>
              <w:rPr>
                <w:rFonts w:ascii="Book Antiqua" w:hAnsi="Book Antiqua" w:cs="Times New Roman"/>
              </w:rPr>
              <w:t>(T2N1M0)</w:t>
            </w:r>
          </w:p>
        </w:tc>
        <w:tc>
          <w:tcPr>
            <w:tcW w:w="325" w:type="pct"/>
          </w:tcPr>
          <w:p w14:paraId="217E62F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787" w:type="pct"/>
          </w:tcPr>
          <w:p w14:paraId="08A88C82" w14:textId="77777777" w:rsidR="00441C32" w:rsidRDefault="00636F33">
            <w:pPr>
              <w:pStyle w:val="1"/>
              <w:wordWrap/>
              <w:spacing w:before="0" w:beforeAutospacing="0" w:line="360" w:lineRule="auto"/>
              <w:rPr>
                <w:rFonts w:ascii="Book Antiqua" w:hAnsi="Book Antiqua" w:cs="Times New Roman"/>
              </w:rPr>
            </w:pPr>
            <w:r>
              <w:rPr>
                <w:rFonts w:ascii="Book Antiqua" w:eastAsiaTheme="minorEastAsia" w:hAnsi="Book Antiqua" w:cs="Times New Roman"/>
              </w:rPr>
              <w:t>A</w:t>
            </w:r>
            <w:r>
              <w:rPr>
                <w:rFonts w:ascii="Book Antiqua" w:hAnsi="Book Antiqua" w:cs="Times New Roman"/>
              </w:rPr>
              <w:t xml:space="preserve"> combination of radiotherapy and a repeated chemotherapy regimen (4 trials, 13 cycles) consisting of docetaxel, cisplatin, gemcitabine, vinorelbine, gefitinib, irinotecan, and carboplatin</w:t>
            </w:r>
          </w:p>
        </w:tc>
        <w:tc>
          <w:tcPr>
            <w:tcW w:w="370" w:type="pct"/>
          </w:tcPr>
          <w:p w14:paraId="45230FB9"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10 yr</w:t>
            </w:r>
          </w:p>
        </w:tc>
        <w:tc>
          <w:tcPr>
            <w:tcW w:w="416" w:type="pct"/>
          </w:tcPr>
          <w:p w14:paraId="6D1F046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Combination of radiotherapy and a repeated chemotherapy regimen</w:t>
            </w:r>
          </w:p>
        </w:tc>
        <w:tc>
          <w:tcPr>
            <w:tcW w:w="417" w:type="pct"/>
          </w:tcPr>
          <w:p w14:paraId="59F88EE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Gefitinib</w:t>
            </w:r>
            <w:r>
              <w:rPr>
                <w:rFonts w:ascii="Book Antiqua" w:eastAsiaTheme="minorEastAsia" w:hAnsi="Book Antiqua" w:cs="Times New Roman"/>
              </w:rPr>
              <w:t xml:space="preserve">, </w:t>
            </w:r>
            <w:r>
              <w:rPr>
                <w:rFonts w:ascii="Book Antiqua" w:hAnsi="Book Antiqua" w:cs="Times New Roman"/>
              </w:rPr>
              <w:t>Duration:NA</w:t>
            </w:r>
          </w:p>
        </w:tc>
        <w:tc>
          <w:tcPr>
            <w:tcW w:w="277" w:type="pct"/>
          </w:tcPr>
          <w:p w14:paraId="2F8E0EB4"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NA</w:t>
            </w:r>
          </w:p>
        </w:tc>
        <w:tc>
          <w:tcPr>
            <w:tcW w:w="464" w:type="pct"/>
          </w:tcPr>
          <w:p w14:paraId="77D6D55F"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1700</w:t>
            </w:r>
            <w:r>
              <w:rPr>
                <w:rFonts w:ascii="Book Antiqua" w:eastAsiaTheme="minorEastAsia" w:hAnsi="Book Antiqua" w:cs="Times New Roman"/>
              </w:rPr>
              <w:t xml:space="preserve"> </w:t>
            </w:r>
            <w:r>
              <w:rPr>
                <w:rFonts w:ascii="Book Antiqua" w:hAnsi="Book Antiqua" w:cs="Times New Roman"/>
              </w:rPr>
              <w:t>(780)-5.2/-34000</w:t>
            </w:r>
          </w:p>
        </w:tc>
        <w:tc>
          <w:tcPr>
            <w:tcW w:w="463" w:type="pct"/>
          </w:tcPr>
          <w:p w14:paraId="07C4906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T-AML (Acute megakaryoblastic leukemia)</w:t>
            </w:r>
          </w:p>
          <w:p w14:paraId="1AE39E40"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-5,-7,+2mar</w:t>
            </w:r>
          </w:p>
        </w:tc>
        <w:tc>
          <w:tcPr>
            <w:tcW w:w="369" w:type="pct"/>
          </w:tcPr>
          <w:p w14:paraId="293ABBE4" w14:textId="494AE01E" w:rsidR="00441C32" w:rsidRDefault="00A6604D">
            <w:pPr>
              <w:pStyle w:val="1"/>
              <w:wordWrap/>
              <w:spacing w:before="0" w:beforeAutospacing="0" w:line="360" w:lineRule="auto"/>
              <w:rPr>
                <w:rFonts w:ascii="Book Antiqua" w:hAnsi="Book Antiqua" w:cs="Times New Roman"/>
              </w:rPr>
            </w:pPr>
            <w:r>
              <w:rPr>
                <w:rFonts w:ascii="Book Antiqua" w:hAnsi="Book Antiqua" w:cs="Times New Roman"/>
              </w:rPr>
              <w:t>B</w:t>
            </w:r>
            <w:r w:rsidR="00636F33">
              <w:rPr>
                <w:rFonts w:ascii="Book Antiqua" w:hAnsi="Book Antiqua" w:cs="Times New Roman"/>
              </w:rPr>
              <w:t>eing followed up</w:t>
            </w:r>
          </w:p>
        </w:tc>
      </w:tr>
      <w:tr w:rsidR="00441C32" w14:paraId="4F6E68E4" w14:textId="77777777">
        <w:tc>
          <w:tcPr>
            <w:tcW w:w="185" w:type="pct"/>
          </w:tcPr>
          <w:p w14:paraId="3524429F"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10</w:t>
            </w:r>
          </w:p>
        </w:tc>
        <w:tc>
          <w:tcPr>
            <w:tcW w:w="232" w:type="pct"/>
          </w:tcPr>
          <w:p w14:paraId="4B1CAD72" w14:textId="77777777" w:rsidR="00441C32" w:rsidRPr="00616EBD" w:rsidRDefault="00636F33">
            <w:pPr>
              <w:pStyle w:val="1"/>
              <w:wordWrap/>
              <w:spacing w:before="0" w:beforeAutospacing="0" w:line="360" w:lineRule="auto"/>
              <w:rPr>
                <w:rFonts w:ascii="Book Antiqua" w:hAnsi="Book Antiqua" w:cs="Times New Roman"/>
                <w:bCs/>
              </w:rPr>
            </w:pPr>
            <w:r w:rsidRPr="00616EBD">
              <w:rPr>
                <w:rFonts w:ascii="Book Antiqua" w:hAnsi="Book Antiqua" w:cs="Times New Roman"/>
                <w:bCs/>
              </w:rPr>
              <w:t>Present case</w:t>
            </w:r>
          </w:p>
        </w:tc>
        <w:tc>
          <w:tcPr>
            <w:tcW w:w="139" w:type="pct"/>
          </w:tcPr>
          <w:p w14:paraId="2636C688"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52/M</w:t>
            </w:r>
          </w:p>
        </w:tc>
        <w:tc>
          <w:tcPr>
            <w:tcW w:w="278" w:type="pct"/>
          </w:tcPr>
          <w:p w14:paraId="1E6B1A4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Adenocarcinoma</w:t>
            </w:r>
          </w:p>
        </w:tc>
        <w:tc>
          <w:tcPr>
            <w:tcW w:w="277" w:type="pct"/>
          </w:tcPr>
          <w:p w14:paraId="0DDB416D"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IV</w:t>
            </w:r>
            <w:r>
              <w:rPr>
                <w:rFonts w:ascii="Book Antiqua" w:eastAsiaTheme="minorEastAsia" w:hAnsi="Book Antiqua" w:cs="Times New Roman"/>
              </w:rPr>
              <w:t xml:space="preserve"> </w:t>
            </w:r>
            <w:r>
              <w:rPr>
                <w:rFonts w:ascii="Book Antiqua" w:hAnsi="Book Antiqua" w:cs="Times New Roman"/>
              </w:rPr>
              <w:t>(T2bN2M1a)</w:t>
            </w:r>
          </w:p>
        </w:tc>
        <w:tc>
          <w:tcPr>
            <w:tcW w:w="325" w:type="pct"/>
          </w:tcPr>
          <w:p w14:paraId="2F69B835"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L858R</w:t>
            </w:r>
          </w:p>
        </w:tc>
        <w:tc>
          <w:tcPr>
            <w:tcW w:w="787" w:type="pct"/>
          </w:tcPr>
          <w:p w14:paraId="05CC9948"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Paclitaxel/carboplatin 6 cycles, gemcitabin/vinorelbine 3 cycles</w:t>
            </w:r>
          </w:p>
        </w:tc>
        <w:tc>
          <w:tcPr>
            <w:tcW w:w="370" w:type="pct"/>
          </w:tcPr>
          <w:p w14:paraId="15211256"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20 mo</w:t>
            </w:r>
          </w:p>
        </w:tc>
        <w:tc>
          <w:tcPr>
            <w:tcW w:w="416" w:type="pct"/>
          </w:tcPr>
          <w:p w14:paraId="30C9230B"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Cyberknife for brain metastasis (23Gy), WBRT (30Gy)</w:t>
            </w:r>
          </w:p>
        </w:tc>
        <w:tc>
          <w:tcPr>
            <w:tcW w:w="417" w:type="pct"/>
          </w:tcPr>
          <w:p w14:paraId="2F522082" w14:textId="77777777" w:rsidR="00441C32" w:rsidRDefault="00636F33">
            <w:pPr>
              <w:pStyle w:val="1"/>
              <w:wordWrap/>
              <w:spacing w:before="0" w:beforeAutospacing="0" w:line="360" w:lineRule="auto"/>
              <w:rPr>
                <w:rFonts w:ascii="Book Antiqua" w:eastAsiaTheme="minorEastAsia" w:hAnsi="Book Antiqua" w:cs="Times New Roman"/>
              </w:rPr>
            </w:pPr>
            <w:r>
              <w:rPr>
                <w:rFonts w:ascii="Book Antiqua" w:hAnsi="Book Antiqua" w:cs="Times New Roman"/>
              </w:rPr>
              <w:t>Erlotinib</w:t>
            </w:r>
            <w:r>
              <w:rPr>
                <w:rFonts w:ascii="Book Antiqua" w:eastAsiaTheme="minorEastAsia" w:hAnsi="Book Antiqua" w:cs="Times New Roman"/>
              </w:rPr>
              <w:t xml:space="preserve">, </w:t>
            </w:r>
            <w:r>
              <w:rPr>
                <w:rFonts w:ascii="Book Antiqua" w:hAnsi="Book Antiqua" w:cs="Times New Roman"/>
              </w:rPr>
              <w:t>11 mo</w:t>
            </w:r>
          </w:p>
        </w:tc>
        <w:tc>
          <w:tcPr>
            <w:tcW w:w="277" w:type="pct"/>
          </w:tcPr>
          <w:p w14:paraId="7CB5E7F3"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11 mo</w:t>
            </w:r>
          </w:p>
        </w:tc>
        <w:tc>
          <w:tcPr>
            <w:tcW w:w="464" w:type="pct"/>
          </w:tcPr>
          <w:p w14:paraId="6990557A"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7600(500)-12.4/-83000</w:t>
            </w:r>
          </w:p>
        </w:tc>
        <w:tc>
          <w:tcPr>
            <w:tcW w:w="463" w:type="pct"/>
          </w:tcPr>
          <w:p w14:paraId="612C216E"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AML</w:t>
            </w:r>
            <w:r>
              <w:rPr>
                <w:rFonts w:ascii="Book Antiqua" w:eastAsiaTheme="minorEastAsia" w:hAnsi="Book Antiqua" w:cs="Times New Roman"/>
              </w:rPr>
              <w:t xml:space="preserve">, </w:t>
            </w:r>
            <w:r>
              <w:rPr>
                <w:rFonts w:ascii="Book Antiqua" w:hAnsi="Book Antiqua" w:cs="Times New Roman"/>
              </w:rPr>
              <w:t>4</w:t>
            </w:r>
            <w:r>
              <w:rPr>
                <w:rFonts w:ascii="Book Antiqua" w:hAnsi="Book Antiqua" w:cs="Times New Roman"/>
                <w:bCs/>
              </w:rPr>
              <w:t>6, XY, inv(1) (p22q32),</w:t>
            </w:r>
            <w:r>
              <w:rPr>
                <w:rFonts w:ascii="Book Antiqua" w:eastAsiaTheme="minorEastAsia" w:hAnsi="Book Antiqua" w:cs="Times New Roman"/>
                <w:bCs/>
              </w:rPr>
              <w:t xml:space="preserve"> </w:t>
            </w:r>
            <w:r>
              <w:rPr>
                <w:rFonts w:ascii="Book Antiqua" w:hAnsi="Book Antiqua" w:cs="Times New Roman"/>
              </w:rPr>
              <w:t>inv(16)(p13.1q22)</w:t>
            </w:r>
          </w:p>
        </w:tc>
        <w:tc>
          <w:tcPr>
            <w:tcW w:w="369" w:type="pct"/>
          </w:tcPr>
          <w:p w14:paraId="750B5951" w14:textId="77777777" w:rsidR="00441C32" w:rsidRDefault="00636F33">
            <w:pPr>
              <w:pStyle w:val="1"/>
              <w:wordWrap/>
              <w:spacing w:before="0" w:beforeAutospacing="0" w:line="360" w:lineRule="auto"/>
              <w:rPr>
                <w:rFonts w:ascii="Book Antiqua" w:hAnsi="Book Antiqua" w:cs="Times New Roman"/>
              </w:rPr>
            </w:pPr>
            <w:r>
              <w:rPr>
                <w:rFonts w:ascii="Book Antiqua" w:hAnsi="Book Antiqua" w:cs="Times New Roman"/>
              </w:rPr>
              <w:t>Died 10 mo later</w:t>
            </w:r>
          </w:p>
        </w:tc>
      </w:tr>
    </w:tbl>
    <w:p w14:paraId="3D724404" w14:textId="77777777" w:rsidR="00516EB8" w:rsidRDefault="00636F33">
      <w:pPr>
        <w:pStyle w:val="1"/>
        <w:wordWrap/>
        <w:spacing w:before="0" w:beforeAutospacing="0" w:line="360" w:lineRule="auto"/>
        <w:rPr>
          <w:rFonts w:ascii="Book Antiqua" w:eastAsiaTheme="minorEastAsia" w:hAnsi="Book Antiqua" w:cs="Times New Roman"/>
        </w:rPr>
        <w:sectPr w:rsidR="00516EB8">
          <w:pgSz w:w="15840" w:h="12240" w:orient="landscape"/>
          <w:pgMar w:top="1440" w:right="1440" w:bottom="1440" w:left="1440" w:header="720" w:footer="720" w:gutter="0"/>
          <w:cols w:space="720"/>
          <w:docGrid w:linePitch="360"/>
        </w:sectPr>
      </w:pPr>
      <w:r>
        <w:rPr>
          <w:rFonts w:ascii="Book Antiqua" w:hAnsi="Book Antiqua" w:cs="Times New Roman"/>
        </w:rPr>
        <w:t>APL</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color w:val="1E1E23"/>
        </w:rPr>
        <w:t>A</w:t>
      </w:r>
      <w:r>
        <w:rPr>
          <w:rFonts w:ascii="Book Antiqua" w:hAnsi="Book Antiqua" w:cs="Times New Roman"/>
          <w:color w:val="1E1E23"/>
        </w:rPr>
        <w:t>cute promyelocytic leukemia;</w:t>
      </w:r>
      <w:r>
        <w:rPr>
          <w:rFonts w:ascii="Book Antiqua" w:hAnsi="Book Antiqua" w:cs="Times New Roman"/>
        </w:rPr>
        <w:t xml:space="preserve"> ANC</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A</w:t>
      </w:r>
      <w:r>
        <w:rPr>
          <w:rFonts w:ascii="Book Antiqua" w:hAnsi="Book Antiqua" w:cs="Times New Roman"/>
        </w:rPr>
        <w:t>bsolute neutrophil count; CML</w:t>
      </w:r>
      <w:r>
        <w:rPr>
          <w:rFonts w:ascii="Book Antiqua" w:eastAsiaTheme="minorEastAsia" w:hAnsi="Book Antiqua" w:cs="Times New Roman"/>
        </w:rPr>
        <w:t>: C</w:t>
      </w:r>
      <w:r>
        <w:rPr>
          <w:rFonts w:ascii="Book Antiqua" w:hAnsi="Book Antiqua" w:cs="Times New Roman"/>
        </w:rPr>
        <w:t>hronic myeloid leukemia; EGFR</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E</w:t>
      </w:r>
      <w:r>
        <w:rPr>
          <w:rFonts w:ascii="Book Antiqua" w:hAnsi="Book Antiqua" w:cs="Times New Roman"/>
        </w:rPr>
        <w:t>pidermal growth factor receptor; EGFR-TKI</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color w:val="000000"/>
        </w:rPr>
        <w:t>E</w:t>
      </w:r>
      <w:r>
        <w:rPr>
          <w:rFonts w:ascii="Book Antiqua" w:hAnsi="Book Antiqua" w:cs="Times New Roman"/>
          <w:color w:val="000000"/>
        </w:rPr>
        <w:t>pidermal growth factor receptor</w:t>
      </w:r>
      <w:r>
        <w:rPr>
          <w:rFonts w:ascii="Book Antiqua" w:hAnsi="Book Antiqua" w:cs="Times New Roman"/>
        </w:rPr>
        <w:t xml:space="preserve"> tyrosine kinase inhibitor; MDS</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M</w:t>
      </w:r>
      <w:r>
        <w:rPr>
          <w:rFonts w:ascii="Book Antiqua" w:hAnsi="Book Antiqua" w:cs="Times New Roman"/>
        </w:rPr>
        <w:t>yelodysplastic syndrome; NA</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N</w:t>
      </w:r>
      <w:r>
        <w:rPr>
          <w:rFonts w:ascii="Book Antiqua" w:hAnsi="Book Antiqua" w:cs="Times New Roman"/>
        </w:rPr>
        <w:t>ot applicable; NSCLC</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N</w:t>
      </w:r>
      <w:r>
        <w:rPr>
          <w:rFonts w:ascii="Book Antiqua" w:hAnsi="Book Antiqua" w:cs="Times New Roman"/>
        </w:rPr>
        <w:t>on-small cell lung cancer; RAEB-T</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shd w:val="clear" w:color="auto" w:fill="FFFFFF"/>
        </w:rPr>
        <w:t>R</w:t>
      </w:r>
      <w:r>
        <w:rPr>
          <w:rFonts w:ascii="Book Antiqua" w:hAnsi="Book Antiqua" w:cs="Times New Roman"/>
          <w:shd w:val="clear" w:color="auto" w:fill="FFFFFF"/>
        </w:rPr>
        <w:t xml:space="preserve">efractory anemia with excess blasts in transformation; </w:t>
      </w:r>
      <w:r>
        <w:rPr>
          <w:rFonts w:ascii="Book Antiqua" w:hAnsi="Book Antiqua" w:cs="Times New Roman"/>
        </w:rPr>
        <w:t>t-AML</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T</w:t>
      </w:r>
      <w:r>
        <w:rPr>
          <w:rFonts w:ascii="Book Antiqua" w:hAnsi="Book Antiqua" w:cs="Times New Roman"/>
        </w:rPr>
        <w:t>herapy-related acute myeloid leukemia; WBC</w:t>
      </w:r>
      <w:r>
        <w:rPr>
          <w:rFonts w:ascii="Book Antiqua" w:eastAsiaTheme="minorEastAsia" w:hAnsi="Book Antiqua" w:cs="Times New Roman"/>
        </w:rPr>
        <w:t>:</w:t>
      </w:r>
      <w:r>
        <w:rPr>
          <w:rFonts w:ascii="Book Antiqua" w:hAnsi="Book Antiqua" w:cs="Times New Roman"/>
        </w:rPr>
        <w:t xml:space="preserve"> </w:t>
      </w:r>
      <w:r>
        <w:rPr>
          <w:rFonts w:ascii="Book Antiqua" w:eastAsiaTheme="minorEastAsia" w:hAnsi="Book Antiqua" w:cs="Times New Roman"/>
        </w:rPr>
        <w:t>W</w:t>
      </w:r>
      <w:r>
        <w:rPr>
          <w:rFonts w:ascii="Book Antiqua" w:hAnsi="Book Antiqua" w:cs="Times New Roman"/>
        </w:rPr>
        <w:t>hite blood cell</w:t>
      </w:r>
      <w:r>
        <w:rPr>
          <w:rFonts w:ascii="Book Antiqua" w:eastAsiaTheme="minorEastAsia" w:hAnsi="Book Antiqua" w:cs="Times New Roman"/>
        </w:rPr>
        <w:t>.</w:t>
      </w:r>
    </w:p>
    <w:p w14:paraId="719A5C67" w14:textId="77777777" w:rsidR="00516EB8" w:rsidRDefault="00516EB8" w:rsidP="00516EB8">
      <w:pPr>
        <w:jc w:val="center"/>
        <w:rPr>
          <w:rFonts w:ascii="Book Antiqua" w:hAnsi="Book Antiqua"/>
          <w:lang w:eastAsia="zh-CN"/>
        </w:rPr>
      </w:pPr>
      <w:bookmarkStart w:id="13" w:name="OLE_LINK1"/>
      <w:bookmarkStart w:id="14" w:name="OLE_LINK2"/>
    </w:p>
    <w:p w14:paraId="49D7D69A" w14:textId="77777777" w:rsidR="00516EB8" w:rsidRDefault="00516EB8" w:rsidP="00516EB8">
      <w:pPr>
        <w:jc w:val="center"/>
        <w:rPr>
          <w:rFonts w:ascii="Book Antiqua" w:hAnsi="Book Antiqua"/>
          <w:lang w:eastAsia="zh-CN"/>
        </w:rPr>
      </w:pPr>
    </w:p>
    <w:p w14:paraId="78509D18" w14:textId="77777777" w:rsidR="00516EB8" w:rsidRDefault="00516EB8" w:rsidP="00516EB8">
      <w:pPr>
        <w:jc w:val="center"/>
        <w:rPr>
          <w:rFonts w:ascii="Book Antiqua" w:hAnsi="Book Antiqua"/>
          <w:lang w:eastAsia="zh-CN"/>
        </w:rPr>
      </w:pPr>
    </w:p>
    <w:p w14:paraId="47A7A90A" w14:textId="77777777" w:rsidR="00516EB8" w:rsidRDefault="00516EB8" w:rsidP="00516EB8">
      <w:pPr>
        <w:jc w:val="center"/>
        <w:rPr>
          <w:rFonts w:ascii="Book Antiqua" w:hAnsi="Book Antiqua"/>
          <w:lang w:eastAsia="zh-CN"/>
        </w:rPr>
      </w:pPr>
    </w:p>
    <w:p w14:paraId="060CC020" w14:textId="77777777" w:rsidR="00516EB8" w:rsidRDefault="00516EB8" w:rsidP="00516EB8">
      <w:pPr>
        <w:jc w:val="center"/>
        <w:rPr>
          <w:rFonts w:ascii="Book Antiqua" w:hAnsi="Book Antiqua"/>
          <w:lang w:eastAsia="zh-CN"/>
        </w:rPr>
      </w:pPr>
    </w:p>
    <w:p w14:paraId="323336C9" w14:textId="77777777" w:rsidR="00516EB8" w:rsidRDefault="00516EB8" w:rsidP="00516EB8">
      <w:pPr>
        <w:jc w:val="center"/>
        <w:rPr>
          <w:rFonts w:ascii="Book Antiqua" w:hAnsi="Book Antiqua"/>
          <w:lang w:eastAsia="zh-CN"/>
        </w:rPr>
      </w:pPr>
      <w:r>
        <w:rPr>
          <w:rFonts w:ascii="Book Antiqua" w:hAnsi="Book Antiqua"/>
          <w:noProof/>
          <w:lang w:eastAsia="zh-CN"/>
        </w:rPr>
        <w:drawing>
          <wp:inline distT="0" distB="0" distL="0" distR="0" wp14:anchorId="07E0BAB6" wp14:editId="536789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C98878" w14:textId="77777777" w:rsidR="00516EB8" w:rsidRDefault="00516EB8" w:rsidP="00516EB8">
      <w:pPr>
        <w:jc w:val="center"/>
        <w:rPr>
          <w:rFonts w:ascii="Book Antiqua" w:hAnsi="Book Antiqua"/>
          <w:lang w:eastAsia="zh-CN"/>
        </w:rPr>
      </w:pPr>
    </w:p>
    <w:p w14:paraId="5B85606C" w14:textId="77777777" w:rsidR="00516EB8" w:rsidRPr="00763D22" w:rsidRDefault="00516EB8" w:rsidP="00516EB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6D1009A" w14:textId="77777777" w:rsidR="00516EB8" w:rsidRPr="00763D22" w:rsidRDefault="00516EB8" w:rsidP="00516E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B10E6F7" w14:textId="77777777" w:rsidR="00516EB8" w:rsidRPr="00763D22" w:rsidRDefault="00516EB8" w:rsidP="00516E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797577" w14:textId="77777777" w:rsidR="00516EB8" w:rsidRPr="00763D22" w:rsidRDefault="00516EB8" w:rsidP="00516E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9C00A4" w14:textId="77777777" w:rsidR="00516EB8" w:rsidRPr="00763D22" w:rsidRDefault="00516EB8" w:rsidP="00516E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D16612" w14:textId="77777777" w:rsidR="00516EB8" w:rsidRPr="00763D22" w:rsidRDefault="00516EB8" w:rsidP="00516EB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45C038" w14:textId="77777777" w:rsidR="00516EB8" w:rsidRDefault="00516EB8" w:rsidP="00516EB8">
      <w:pPr>
        <w:jc w:val="center"/>
        <w:rPr>
          <w:rFonts w:ascii="Book Antiqua" w:hAnsi="Book Antiqua"/>
          <w:lang w:eastAsia="zh-CN"/>
        </w:rPr>
      </w:pPr>
    </w:p>
    <w:p w14:paraId="65EBEB99" w14:textId="77777777" w:rsidR="00516EB8" w:rsidRDefault="00516EB8" w:rsidP="00516EB8">
      <w:pPr>
        <w:jc w:val="center"/>
        <w:rPr>
          <w:rFonts w:ascii="Book Antiqua" w:hAnsi="Book Antiqua"/>
          <w:lang w:eastAsia="zh-CN"/>
        </w:rPr>
      </w:pPr>
    </w:p>
    <w:p w14:paraId="26BA42D2" w14:textId="77777777" w:rsidR="00516EB8" w:rsidRDefault="00516EB8" w:rsidP="00516EB8">
      <w:pPr>
        <w:jc w:val="center"/>
        <w:rPr>
          <w:rFonts w:ascii="Book Antiqua" w:hAnsi="Book Antiqua"/>
          <w:lang w:eastAsia="zh-CN"/>
        </w:rPr>
      </w:pPr>
    </w:p>
    <w:p w14:paraId="52A23DE4" w14:textId="77777777" w:rsidR="00516EB8" w:rsidRDefault="00516EB8" w:rsidP="00516EB8">
      <w:pPr>
        <w:jc w:val="center"/>
        <w:rPr>
          <w:rFonts w:ascii="Book Antiqua" w:hAnsi="Book Antiqua"/>
          <w:lang w:eastAsia="zh-CN"/>
        </w:rPr>
      </w:pPr>
      <w:r>
        <w:rPr>
          <w:rFonts w:ascii="Book Antiqua" w:hAnsi="Book Antiqua"/>
          <w:noProof/>
          <w:lang w:eastAsia="zh-CN"/>
        </w:rPr>
        <w:drawing>
          <wp:inline distT="0" distB="0" distL="0" distR="0" wp14:anchorId="460CDBC5" wp14:editId="7657F6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2D383C" w14:textId="77777777" w:rsidR="00516EB8" w:rsidRDefault="00516EB8" w:rsidP="00516EB8">
      <w:pPr>
        <w:jc w:val="center"/>
        <w:rPr>
          <w:rFonts w:ascii="Book Antiqua" w:hAnsi="Book Antiqua"/>
          <w:lang w:eastAsia="zh-CN"/>
        </w:rPr>
      </w:pPr>
    </w:p>
    <w:p w14:paraId="22D3188F" w14:textId="77777777" w:rsidR="00516EB8" w:rsidRDefault="00516EB8" w:rsidP="00516EB8">
      <w:pPr>
        <w:jc w:val="center"/>
        <w:rPr>
          <w:rFonts w:ascii="Book Antiqua" w:hAnsi="Book Antiqua"/>
          <w:lang w:eastAsia="zh-CN"/>
        </w:rPr>
      </w:pPr>
    </w:p>
    <w:p w14:paraId="1761F9B9" w14:textId="77777777" w:rsidR="00516EB8" w:rsidRDefault="00516EB8" w:rsidP="00516EB8">
      <w:pPr>
        <w:jc w:val="center"/>
        <w:rPr>
          <w:rFonts w:ascii="Book Antiqua" w:hAnsi="Book Antiqua"/>
          <w:lang w:eastAsia="zh-CN"/>
        </w:rPr>
      </w:pPr>
    </w:p>
    <w:p w14:paraId="24B5E488" w14:textId="77777777" w:rsidR="00516EB8" w:rsidRDefault="00516EB8" w:rsidP="00516EB8">
      <w:pPr>
        <w:jc w:val="center"/>
        <w:rPr>
          <w:rFonts w:ascii="Book Antiqua" w:hAnsi="Book Antiqua"/>
          <w:lang w:eastAsia="zh-CN"/>
        </w:rPr>
      </w:pPr>
    </w:p>
    <w:p w14:paraId="710D0354" w14:textId="77777777" w:rsidR="00516EB8" w:rsidRDefault="00516EB8" w:rsidP="00516EB8">
      <w:pPr>
        <w:jc w:val="center"/>
        <w:rPr>
          <w:rFonts w:ascii="Book Antiqua" w:hAnsi="Book Antiqua"/>
          <w:lang w:eastAsia="zh-CN"/>
        </w:rPr>
      </w:pPr>
    </w:p>
    <w:p w14:paraId="1B45AA20" w14:textId="77777777" w:rsidR="00516EB8" w:rsidRDefault="00516EB8" w:rsidP="00516EB8">
      <w:pPr>
        <w:jc w:val="center"/>
        <w:rPr>
          <w:rFonts w:ascii="Book Antiqua" w:hAnsi="Book Antiqua"/>
          <w:lang w:eastAsia="zh-CN"/>
        </w:rPr>
      </w:pPr>
    </w:p>
    <w:p w14:paraId="5A9C43CC" w14:textId="77777777" w:rsidR="00516EB8" w:rsidRDefault="00516EB8" w:rsidP="00516EB8">
      <w:pPr>
        <w:jc w:val="center"/>
        <w:rPr>
          <w:rFonts w:ascii="Book Antiqua" w:hAnsi="Book Antiqua"/>
          <w:lang w:eastAsia="zh-CN"/>
        </w:rPr>
      </w:pPr>
    </w:p>
    <w:p w14:paraId="37E1CF76" w14:textId="77777777" w:rsidR="00516EB8" w:rsidRDefault="00516EB8" w:rsidP="00516EB8">
      <w:pPr>
        <w:jc w:val="center"/>
        <w:rPr>
          <w:rFonts w:ascii="Book Antiqua" w:hAnsi="Book Antiqua"/>
          <w:lang w:eastAsia="zh-CN"/>
        </w:rPr>
      </w:pPr>
    </w:p>
    <w:p w14:paraId="6CE0C059" w14:textId="77777777" w:rsidR="00516EB8" w:rsidRDefault="00516EB8" w:rsidP="00516EB8">
      <w:pPr>
        <w:jc w:val="center"/>
        <w:rPr>
          <w:rFonts w:ascii="Book Antiqua" w:hAnsi="Book Antiqua"/>
          <w:lang w:eastAsia="zh-CN"/>
        </w:rPr>
      </w:pPr>
    </w:p>
    <w:p w14:paraId="05401869" w14:textId="77777777" w:rsidR="00516EB8" w:rsidRPr="00763D22" w:rsidRDefault="00516EB8" w:rsidP="00516EB8">
      <w:pPr>
        <w:jc w:val="right"/>
        <w:rPr>
          <w:rFonts w:ascii="Book Antiqua" w:hAnsi="Book Antiqua"/>
          <w:color w:val="000000" w:themeColor="text1"/>
          <w:lang w:eastAsia="zh-CN"/>
        </w:rPr>
      </w:pPr>
    </w:p>
    <w:p w14:paraId="06F53436" w14:textId="77777777" w:rsidR="00516EB8" w:rsidRPr="00763D22" w:rsidRDefault="00516EB8" w:rsidP="00516EB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bookmarkEnd w:id="14"/>
    </w:p>
    <w:p w14:paraId="59BAE564" w14:textId="0FE774A3" w:rsidR="00441C32" w:rsidRPr="00516EB8" w:rsidRDefault="00441C32">
      <w:pPr>
        <w:pStyle w:val="1"/>
        <w:wordWrap/>
        <w:spacing w:before="0" w:beforeAutospacing="0" w:line="360" w:lineRule="auto"/>
        <w:rPr>
          <w:rFonts w:ascii="Book Antiqua" w:eastAsiaTheme="minorEastAsia" w:hAnsi="Book Antiqua" w:cs="Times New Roman"/>
        </w:rPr>
      </w:pPr>
      <w:bookmarkStart w:id="15" w:name="_GoBack"/>
      <w:bookmarkEnd w:id="15"/>
    </w:p>
    <w:sectPr w:rsidR="00441C32" w:rsidRPr="00516EB8"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5A605" w14:textId="77777777" w:rsidR="00AB54E6" w:rsidRDefault="00AB54E6">
      <w:r>
        <w:separator/>
      </w:r>
    </w:p>
  </w:endnote>
  <w:endnote w:type="continuationSeparator" w:id="0">
    <w:p w14:paraId="7DD48721" w14:textId="77777777" w:rsidR="00AB54E6" w:rsidRDefault="00AB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Ten-Roman">
    <w:altName w:val="Segoe Print"/>
    <w:charset w:val="00"/>
    <w:family w:val="auto"/>
    <w:pitch w:val="default"/>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2246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0E46C14E" w14:textId="77777777" w:rsidR="00441C32" w:rsidRDefault="00636F3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B54E6">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B54E6">
              <w:rPr>
                <w:rFonts w:ascii="Book Antiqua" w:hAnsi="Book Antiqua"/>
                <w:b/>
                <w:bCs/>
                <w:noProof/>
                <w:sz w:val="24"/>
                <w:szCs w:val="24"/>
              </w:rPr>
              <w:t>1</w:t>
            </w:r>
            <w:r>
              <w:rPr>
                <w:rFonts w:ascii="Book Antiqua" w:hAnsi="Book Antiqua"/>
                <w:b/>
                <w:bCs/>
                <w:sz w:val="24"/>
                <w:szCs w:val="24"/>
              </w:rPr>
              <w:fldChar w:fldCharType="end"/>
            </w:r>
          </w:p>
        </w:sdtContent>
      </w:sdt>
    </w:sdtContent>
  </w:sdt>
  <w:p w14:paraId="4B727905" w14:textId="77777777" w:rsidR="00441C32" w:rsidRDefault="0044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5C7B5" w14:textId="77777777" w:rsidR="00AB54E6" w:rsidRDefault="00AB54E6">
      <w:r>
        <w:separator/>
      </w:r>
    </w:p>
  </w:footnote>
  <w:footnote w:type="continuationSeparator" w:id="0">
    <w:p w14:paraId="70142AB0" w14:textId="77777777" w:rsidR="00AB54E6" w:rsidRDefault="00AB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130A"/>
    <w:rsid w:val="00052ABC"/>
    <w:rsid w:val="000675D9"/>
    <w:rsid w:val="000750F9"/>
    <w:rsid w:val="00083659"/>
    <w:rsid w:val="00091144"/>
    <w:rsid w:val="000B78C4"/>
    <w:rsid w:val="00121E37"/>
    <w:rsid w:val="001526C9"/>
    <w:rsid w:val="00185872"/>
    <w:rsid w:val="0019051C"/>
    <w:rsid w:val="001A496F"/>
    <w:rsid w:val="001E75F3"/>
    <w:rsid w:val="001F5B73"/>
    <w:rsid w:val="002031A3"/>
    <w:rsid w:val="00245D8E"/>
    <w:rsid w:val="00294AEB"/>
    <w:rsid w:val="002B6DFA"/>
    <w:rsid w:val="002D5724"/>
    <w:rsid w:val="00314192"/>
    <w:rsid w:val="00324BA8"/>
    <w:rsid w:val="00350B64"/>
    <w:rsid w:val="003B1C74"/>
    <w:rsid w:val="003D7122"/>
    <w:rsid w:val="003E2505"/>
    <w:rsid w:val="00407100"/>
    <w:rsid w:val="00441C32"/>
    <w:rsid w:val="004C53D5"/>
    <w:rsid w:val="004D07A8"/>
    <w:rsid w:val="004D7CA8"/>
    <w:rsid w:val="00516EB8"/>
    <w:rsid w:val="005B3BDC"/>
    <w:rsid w:val="00616EBD"/>
    <w:rsid w:val="00636F33"/>
    <w:rsid w:val="006572FD"/>
    <w:rsid w:val="0068682E"/>
    <w:rsid w:val="006903E4"/>
    <w:rsid w:val="00695ECA"/>
    <w:rsid w:val="00696166"/>
    <w:rsid w:val="006A0D7F"/>
    <w:rsid w:val="006F05EA"/>
    <w:rsid w:val="00712B74"/>
    <w:rsid w:val="0071649D"/>
    <w:rsid w:val="00772FC0"/>
    <w:rsid w:val="007D7115"/>
    <w:rsid w:val="0080084D"/>
    <w:rsid w:val="00834D36"/>
    <w:rsid w:val="008440B8"/>
    <w:rsid w:val="008B14F3"/>
    <w:rsid w:val="008E0542"/>
    <w:rsid w:val="008F7FE5"/>
    <w:rsid w:val="009156A8"/>
    <w:rsid w:val="009304AB"/>
    <w:rsid w:val="009744DC"/>
    <w:rsid w:val="009C74FD"/>
    <w:rsid w:val="009D4745"/>
    <w:rsid w:val="00A6604D"/>
    <w:rsid w:val="00A77B3E"/>
    <w:rsid w:val="00AA276D"/>
    <w:rsid w:val="00AB54E6"/>
    <w:rsid w:val="00AD11A1"/>
    <w:rsid w:val="00AD7B49"/>
    <w:rsid w:val="00AE21BE"/>
    <w:rsid w:val="00AF5F5D"/>
    <w:rsid w:val="00B8198D"/>
    <w:rsid w:val="00BB69E3"/>
    <w:rsid w:val="00C14AF3"/>
    <w:rsid w:val="00C3030B"/>
    <w:rsid w:val="00CA2A55"/>
    <w:rsid w:val="00CF3056"/>
    <w:rsid w:val="00D152C5"/>
    <w:rsid w:val="00D24C91"/>
    <w:rsid w:val="00D53945"/>
    <w:rsid w:val="00D928EA"/>
    <w:rsid w:val="00E01751"/>
    <w:rsid w:val="00E6145C"/>
    <w:rsid w:val="00E823BE"/>
    <w:rsid w:val="00F1272B"/>
    <w:rsid w:val="00F3000D"/>
    <w:rsid w:val="00FA3775"/>
    <w:rsid w:val="00FC5163"/>
    <w:rsid w:val="00FD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99"/>
    <w:unhideWhenUs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paragraph" w:customStyle="1" w:styleId="EndNoteBibliography">
    <w:name w:val="EndNote Bibliography"/>
    <w:basedOn w:val="a"/>
    <w:pPr>
      <w:widowControl w:val="0"/>
      <w:wordWrap w:val="0"/>
      <w:autoSpaceDE w:val="0"/>
      <w:autoSpaceDN w:val="0"/>
      <w:spacing w:before="100" w:beforeAutospacing="1"/>
    </w:pPr>
    <w:rPr>
      <w:rFonts w:ascii="Malgun Gothic" w:eastAsia="Malgun Gothic" w:hAnsi="Malgun Gothic" w:cs="Arial"/>
      <w:kern w:val="2"/>
      <w:lang w:eastAsia="zh-CN"/>
    </w:rPr>
  </w:style>
  <w:style w:type="paragraph" w:customStyle="1" w:styleId="1">
    <w:name w:val="无间隔1"/>
    <w:basedOn w:val="a"/>
    <w:pPr>
      <w:widowControl w:val="0"/>
      <w:wordWrap w:val="0"/>
      <w:autoSpaceDE w:val="0"/>
      <w:autoSpaceDN w:val="0"/>
      <w:spacing w:before="100" w:beforeAutospacing="1"/>
      <w:jc w:val="both"/>
    </w:pPr>
    <w:rPr>
      <w:rFonts w:ascii="Malgun Gothic" w:eastAsia="Malgun Gothic" w:hAnsi="Malgun Gothic" w:cs="Arial"/>
      <w:kern w:val="2"/>
      <w:lang w:eastAsia="zh-CN"/>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3385</Words>
  <Characters>19301</Characters>
  <Application>Microsoft Office Word</Application>
  <DocSecurity>0</DocSecurity>
  <Lines>160</Lines>
  <Paragraphs>45</Paragraphs>
  <ScaleCrop>false</ScaleCrop>
  <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liujihong2008@qq.con</cp:lastModifiedBy>
  <cp:revision>70</cp:revision>
  <dcterms:created xsi:type="dcterms:W3CDTF">2021-07-12T09:09:00Z</dcterms:created>
  <dcterms:modified xsi:type="dcterms:W3CDTF">2021-08-18T03:29:00Z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8B7E2A4E644E4805A0D58E020A2BB3F4</vt:lpwstr>
  </property>
</Properties>
</file>