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6241F" w14:textId="77777777" w:rsidR="00A77B3E" w:rsidRDefault="008A1A5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FA48397" w14:textId="77777777" w:rsidR="00A77B3E" w:rsidRDefault="008A1A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65371</w:t>
      </w:r>
    </w:p>
    <w:p w14:paraId="455918E3" w14:textId="77777777" w:rsidR="00A77B3E" w:rsidRDefault="008A1A5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61C9EED" w14:textId="77777777" w:rsidR="00A77B3E" w:rsidRDefault="00A77B3E">
      <w:pPr>
        <w:spacing w:line="360" w:lineRule="auto"/>
        <w:jc w:val="both"/>
      </w:pPr>
    </w:p>
    <w:p w14:paraId="13099123" w14:textId="77777777" w:rsidR="00A77B3E" w:rsidRDefault="008A1A54">
      <w:pPr>
        <w:spacing w:line="360" w:lineRule="auto"/>
        <w:jc w:val="both"/>
      </w:pPr>
      <w:r w:rsidRPr="00F5431C">
        <w:rPr>
          <w:rFonts w:ascii="Book Antiqua" w:eastAsia="Book Antiqua" w:hAnsi="Book Antiqua" w:cs="Book Antiqua"/>
          <w:b/>
          <w:i/>
          <w:iCs/>
          <w:color w:val="000000"/>
        </w:rPr>
        <w:t>Listeria monocytogenes</w:t>
      </w:r>
      <w:r>
        <w:rPr>
          <w:rFonts w:ascii="Book Antiqua" w:eastAsia="Book Antiqua" w:hAnsi="Book Antiqua" w:cs="Book Antiqua"/>
          <w:b/>
          <w:color w:val="000000"/>
        </w:rPr>
        <w:t xml:space="preserve"> bacteremia in a centenarian and pathogen traceability: A case report</w:t>
      </w:r>
    </w:p>
    <w:p w14:paraId="7111B78A" w14:textId="77777777" w:rsidR="00A77B3E" w:rsidRDefault="00A77B3E">
      <w:pPr>
        <w:spacing w:line="360" w:lineRule="auto"/>
        <w:jc w:val="both"/>
      </w:pPr>
    </w:p>
    <w:p w14:paraId="4FBB2271" w14:textId="77777777" w:rsidR="00A77B3E" w:rsidRDefault="008A1A54">
      <w:pPr>
        <w:spacing w:line="360" w:lineRule="auto"/>
        <w:jc w:val="both"/>
      </w:pPr>
      <w:r>
        <w:rPr>
          <w:rFonts w:ascii="Book Antiqua" w:eastAsia="Book Antiqua" w:hAnsi="Book Antiqua" w:cs="Book Antiqua"/>
          <w:color w:val="000000"/>
        </w:rPr>
        <w:t xml:space="preserve">Zhang ZY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52416A">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bacteraemia and traceability</w:t>
      </w:r>
    </w:p>
    <w:p w14:paraId="592525E3" w14:textId="77777777" w:rsidR="00A77B3E" w:rsidRDefault="00A77B3E">
      <w:pPr>
        <w:spacing w:line="360" w:lineRule="auto"/>
        <w:jc w:val="both"/>
      </w:pPr>
    </w:p>
    <w:p w14:paraId="012B5155" w14:textId="77777777" w:rsidR="00A77B3E" w:rsidRDefault="008A1A54">
      <w:pPr>
        <w:spacing w:line="360" w:lineRule="auto"/>
        <w:jc w:val="both"/>
      </w:pPr>
      <w:r>
        <w:rPr>
          <w:rFonts w:ascii="Book Antiqua" w:eastAsia="Book Antiqua" w:hAnsi="Book Antiqua" w:cs="Book Antiqua"/>
          <w:color w:val="000000"/>
        </w:rPr>
        <w:t>Zhong-Ying Zhang, Xiao-Ai Zhang, Qian Chen, Jie-Yu Wang, Yun Li, Zhan-Yun Wei, Zi-Chen Wang</w:t>
      </w:r>
    </w:p>
    <w:p w14:paraId="75DBD183" w14:textId="77777777" w:rsidR="00A77B3E" w:rsidRDefault="00A77B3E">
      <w:pPr>
        <w:spacing w:line="360" w:lineRule="auto"/>
        <w:jc w:val="both"/>
      </w:pPr>
    </w:p>
    <w:p w14:paraId="0D01922B" w14:textId="01373C2C" w:rsidR="00A77B3E" w:rsidRDefault="008A1A54">
      <w:pPr>
        <w:spacing w:line="360" w:lineRule="auto"/>
        <w:jc w:val="both"/>
      </w:pPr>
      <w:r>
        <w:rPr>
          <w:rFonts w:ascii="Book Antiqua" w:eastAsia="Book Antiqua" w:hAnsi="Book Antiqua" w:cs="Book Antiqua"/>
          <w:b/>
          <w:bCs/>
          <w:color w:val="000000"/>
        </w:rPr>
        <w:t xml:space="preserve">Zhong-Ying Zhang, </w:t>
      </w:r>
      <w:r w:rsidR="00B468AF" w:rsidRPr="00B468AF">
        <w:rPr>
          <w:rFonts w:ascii="Book Antiqua" w:eastAsia="Book Antiqua" w:hAnsi="Book Antiqua" w:cs="Book Antiqua"/>
          <w:b/>
          <w:bCs/>
          <w:color w:val="000000"/>
        </w:rPr>
        <w:t>Jie-Yu Wang</w:t>
      </w:r>
      <w:r>
        <w:rPr>
          <w:rFonts w:ascii="Book Antiqua" w:eastAsia="Book Antiqua" w:hAnsi="Book Antiqua" w:cs="Book Antiqua"/>
          <w:b/>
          <w:bCs/>
          <w:color w:val="000000"/>
        </w:rPr>
        <w:t xml:space="preserve">, Yun Li, Zhan-Yun Wei, Zi-Chen Wang, </w:t>
      </w:r>
      <w:r>
        <w:rPr>
          <w:rFonts w:ascii="Book Antiqua" w:eastAsia="Book Antiqua" w:hAnsi="Book Antiqua" w:cs="Book Antiqua"/>
          <w:color w:val="000000"/>
        </w:rPr>
        <w:t>Department of Geriatric Medicine, Xuanwu Hospital, Capital Medical University, Beijing 100053, China</w:t>
      </w:r>
    </w:p>
    <w:p w14:paraId="10513924" w14:textId="77777777" w:rsidR="00A77B3E" w:rsidRDefault="00A77B3E">
      <w:pPr>
        <w:spacing w:line="360" w:lineRule="auto"/>
        <w:jc w:val="both"/>
      </w:pPr>
    </w:p>
    <w:p w14:paraId="1709D26D" w14:textId="77777777" w:rsidR="00A77B3E" w:rsidRDefault="008A1A54">
      <w:pPr>
        <w:spacing w:line="360" w:lineRule="auto"/>
        <w:jc w:val="both"/>
      </w:pPr>
      <w:r>
        <w:rPr>
          <w:rFonts w:ascii="Book Antiqua" w:eastAsia="Book Antiqua" w:hAnsi="Book Antiqua" w:cs="Book Antiqua"/>
          <w:b/>
          <w:bCs/>
          <w:color w:val="000000"/>
        </w:rPr>
        <w:t xml:space="preserve">Xiao-Ai Zhang, Qian Chen, </w:t>
      </w:r>
      <w:r>
        <w:rPr>
          <w:rFonts w:ascii="Book Antiqua" w:eastAsia="Book Antiqua" w:hAnsi="Book Antiqua" w:cs="Book Antiqua"/>
          <w:color w:val="000000"/>
        </w:rPr>
        <w:t>Beijing Center for Disease Prevention and Control, Institute for Nutrition and Food Hygiene, Beijing 100053, China</w:t>
      </w:r>
    </w:p>
    <w:p w14:paraId="6EDA69D9" w14:textId="77777777" w:rsidR="00A77B3E" w:rsidRDefault="00A77B3E">
      <w:pPr>
        <w:spacing w:line="360" w:lineRule="auto"/>
        <w:jc w:val="both"/>
      </w:pPr>
    </w:p>
    <w:p w14:paraId="4C1BAA42" w14:textId="6EFE463D" w:rsidR="00A77B3E" w:rsidRDefault="008A1A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Xiao-Ai Zhang, Qian Chen, </w:t>
      </w:r>
      <w:r>
        <w:rPr>
          <w:rFonts w:ascii="Book Antiqua" w:eastAsia="Book Antiqua" w:hAnsi="Book Antiqua" w:cs="Book Antiqua"/>
          <w:color w:val="000000"/>
        </w:rPr>
        <w:t>Research Centre for Preventive Medicine of Beijing, Beijing 100053, China</w:t>
      </w:r>
    </w:p>
    <w:p w14:paraId="676B5A2A" w14:textId="77777777" w:rsidR="00A77B3E" w:rsidRDefault="00A77B3E">
      <w:pPr>
        <w:spacing w:line="360" w:lineRule="auto"/>
        <w:jc w:val="both"/>
      </w:pPr>
    </w:p>
    <w:p w14:paraId="1C6EE58F" w14:textId="42372E19" w:rsidR="00A77B3E" w:rsidRDefault="008A1A54">
      <w:pPr>
        <w:spacing w:line="360" w:lineRule="auto"/>
        <w:jc w:val="both"/>
      </w:pPr>
      <w:bookmarkStart w:id="0" w:name="_Hlk71202540"/>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Zhang ZY was the </w:t>
      </w:r>
      <w:r w:rsidR="00310B24">
        <w:rPr>
          <w:rFonts w:ascii="Book Antiqua" w:eastAsia="Book Antiqua" w:hAnsi="Book Antiqua" w:cs="Book Antiqua"/>
          <w:color w:val="000000"/>
        </w:rPr>
        <w:t xml:space="preserve">patient’s </w:t>
      </w:r>
      <w:r>
        <w:rPr>
          <w:rFonts w:ascii="Book Antiqua" w:eastAsia="Book Antiqua" w:hAnsi="Book Antiqua" w:cs="Book Antiqua"/>
          <w:color w:val="000000"/>
        </w:rPr>
        <w:t>physician, collected the patient’s clinical data, reviewed the literature</w:t>
      </w:r>
      <w:r w:rsidR="00310B24">
        <w:rPr>
          <w:rFonts w:ascii="Book Antiqua" w:eastAsia="Book Antiqua" w:hAnsi="Book Antiqua" w:cs="Book Antiqua"/>
          <w:color w:val="000000"/>
        </w:rPr>
        <w:t>,</w:t>
      </w:r>
      <w:r>
        <w:rPr>
          <w:rFonts w:ascii="Book Antiqua" w:eastAsia="Book Antiqua" w:hAnsi="Book Antiqua" w:cs="Book Antiqua"/>
          <w:color w:val="000000"/>
        </w:rPr>
        <w:t xml:space="preserve"> and drafted the manuscript; Zhang XA and Chen Q performed the pathogen analys</w:t>
      </w:r>
      <w:r w:rsidR="00310B24">
        <w:rPr>
          <w:rFonts w:ascii="Book Antiqua" w:eastAsia="Book Antiqua" w:hAnsi="Book Antiqua" w:cs="Book Antiqua"/>
          <w:color w:val="000000"/>
        </w:rPr>
        <w:t>e</w:t>
      </w:r>
      <w:r>
        <w:rPr>
          <w:rFonts w:ascii="Book Antiqua" w:eastAsia="Book Antiqua" w:hAnsi="Book Antiqua" w:cs="Book Antiqua"/>
          <w:color w:val="000000"/>
        </w:rPr>
        <w:t xml:space="preserve">s of </w:t>
      </w:r>
      <w:r w:rsidR="0052416A">
        <w:rPr>
          <w:rFonts w:ascii="Book Antiqua" w:eastAsia="Book Antiqua" w:hAnsi="Book Antiqua" w:cs="Book Antiqua"/>
          <w:i/>
          <w:iCs/>
          <w:color w:val="000000"/>
        </w:rPr>
        <w:t>Listeria</w:t>
      </w:r>
      <w:r>
        <w:rPr>
          <w:rFonts w:ascii="Book Antiqua" w:eastAsia="Book Antiqua" w:hAnsi="Book Antiqua" w:cs="Book Antiqua"/>
          <w:i/>
          <w:iCs/>
          <w:color w:val="000000"/>
        </w:rPr>
        <w:t xml:space="preserve"> monocytogenes</w:t>
      </w:r>
      <w:r>
        <w:rPr>
          <w:rFonts w:ascii="Book Antiqua" w:eastAsia="Book Antiqua" w:hAnsi="Book Antiqua" w:cs="Book Antiqua"/>
          <w:color w:val="000000"/>
        </w:rPr>
        <w:t xml:space="preserve"> and reviewed the literature; Wang JY, Li Y, Wei ZY</w:t>
      </w:r>
      <w:r w:rsidR="00310B24">
        <w:rPr>
          <w:rFonts w:ascii="Book Antiqua" w:eastAsia="Book Antiqua" w:hAnsi="Book Antiqua" w:cs="Book Antiqua"/>
          <w:color w:val="000000"/>
        </w:rPr>
        <w:t>,</w:t>
      </w:r>
      <w:r>
        <w:rPr>
          <w:rFonts w:ascii="Book Antiqua" w:eastAsia="Book Antiqua" w:hAnsi="Book Antiqua" w:cs="Book Antiqua"/>
          <w:color w:val="000000"/>
        </w:rPr>
        <w:t xml:space="preserve"> and Wang ZC collected the patient</w:t>
      </w:r>
      <w:r w:rsidR="00DC3470">
        <w:rPr>
          <w:rFonts w:ascii="Book Antiqua" w:eastAsia="Book Antiqua" w:hAnsi="Book Antiqua" w:cs="Book Antiqua"/>
          <w:color w:val="000000"/>
        </w:rPr>
        <w:t>’</w:t>
      </w:r>
      <w:r>
        <w:rPr>
          <w:rFonts w:ascii="Book Antiqua" w:eastAsia="Book Antiqua" w:hAnsi="Book Antiqua" w:cs="Book Antiqua"/>
          <w:color w:val="000000"/>
        </w:rPr>
        <w:t>s clinical data, reviewed the literature, and contribute</w:t>
      </w:r>
      <w:r w:rsidR="00310B24">
        <w:rPr>
          <w:rFonts w:ascii="Book Antiqua" w:eastAsia="Book Antiqua" w:hAnsi="Book Antiqua" w:cs="Book Antiqua"/>
          <w:color w:val="000000"/>
        </w:rPr>
        <w:t>d</w:t>
      </w:r>
      <w:r>
        <w:rPr>
          <w:rFonts w:ascii="Book Antiqua" w:eastAsia="Book Antiqua" w:hAnsi="Book Antiqua" w:cs="Book Antiqua"/>
          <w:color w:val="000000"/>
        </w:rPr>
        <w:t xml:space="preserve"> to the manuscript drafting and revision</w:t>
      </w:r>
      <w:r w:rsidR="00310B24">
        <w:rPr>
          <w:rFonts w:ascii="Book Antiqua" w:eastAsia="Book Antiqua" w:hAnsi="Book Antiqua" w:cs="Book Antiqua"/>
          <w:color w:val="000000"/>
        </w:rPr>
        <w:t>s</w:t>
      </w:r>
      <w:r>
        <w:rPr>
          <w:rFonts w:ascii="Book Antiqua" w:eastAsia="Book Antiqua" w:hAnsi="Book Antiqua" w:cs="Book Antiqua"/>
          <w:color w:val="000000"/>
        </w:rPr>
        <w:t xml:space="preserve">; </w:t>
      </w:r>
      <w:r w:rsidR="00310B24">
        <w:rPr>
          <w:rFonts w:ascii="Book Antiqua" w:eastAsia="Book Antiqua" w:hAnsi="Book Antiqua" w:cs="Book Antiqua"/>
          <w:color w:val="000000"/>
        </w:rPr>
        <w:t>A</w:t>
      </w:r>
      <w:r>
        <w:rPr>
          <w:rFonts w:ascii="Book Antiqua" w:eastAsia="Book Antiqua" w:hAnsi="Book Antiqua" w:cs="Book Antiqua"/>
          <w:color w:val="000000"/>
        </w:rPr>
        <w:t xml:space="preserve">ll authors issued final approval for the </w:t>
      </w:r>
      <w:r w:rsidR="00DC3470">
        <w:rPr>
          <w:rFonts w:ascii="Book Antiqua" w:eastAsia="Book Antiqua" w:hAnsi="Book Antiqua" w:cs="Book Antiqua"/>
          <w:color w:val="000000"/>
        </w:rPr>
        <w:t xml:space="preserve">version </w:t>
      </w:r>
      <w:r>
        <w:rPr>
          <w:rFonts w:ascii="Book Antiqua" w:eastAsia="Book Antiqua" w:hAnsi="Book Antiqua" w:cs="Book Antiqua"/>
          <w:color w:val="000000"/>
        </w:rPr>
        <w:t>to be submitted.</w:t>
      </w:r>
    </w:p>
    <w:bookmarkEnd w:id="0"/>
    <w:p w14:paraId="656972CB" w14:textId="77777777" w:rsidR="00A77B3E" w:rsidRDefault="00A77B3E">
      <w:pPr>
        <w:spacing w:line="360" w:lineRule="auto"/>
        <w:jc w:val="both"/>
      </w:pPr>
    </w:p>
    <w:p w14:paraId="1965B967" w14:textId="42485D8F" w:rsidR="00A77B3E" w:rsidRDefault="008A1A54">
      <w:pPr>
        <w:spacing w:line="360" w:lineRule="auto"/>
        <w:jc w:val="both"/>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 xml:space="preserve">Teaching </w:t>
      </w:r>
      <w:r w:rsidR="0052416A">
        <w:rPr>
          <w:rFonts w:ascii="Book Antiqua" w:eastAsia="Book Antiqua" w:hAnsi="Book Antiqua" w:cs="Book Antiqua"/>
          <w:color w:val="000000"/>
        </w:rPr>
        <w:t>F</w:t>
      </w:r>
      <w:r>
        <w:rPr>
          <w:rFonts w:ascii="Book Antiqua" w:eastAsia="Book Antiqua" w:hAnsi="Book Antiqua" w:cs="Book Antiqua"/>
          <w:color w:val="000000"/>
        </w:rPr>
        <w:t>und of Xuanwu Hospital, Capital Medical University, China, No. 2018XWJXGG-29</w:t>
      </w:r>
    </w:p>
    <w:p w14:paraId="6E866E38" w14:textId="77777777" w:rsidR="00A77B3E" w:rsidRDefault="00A77B3E">
      <w:pPr>
        <w:spacing w:line="360" w:lineRule="auto"/>
        <w:jc w:val="both"/>
      </w:pPr>
    </w:p>
    <w:p w14:paraId="363F5753" w14:textId="77777777" w:rsidR="00A77B3E" w:rsidRDefault="008A1A54">
      <w:pPr>
        <w:spacing w:line="360" w:lineRule="auto"/>
        <w:jc w:val="both"/>
      </w:pPr>
      <w:r>
        <w:rPr>
          <w:rFonts w:ascii="Book Antiqua" w:eastAsia="Book Antiqua" w:hAnsi="Book Antiqua" w:cs="Book Antiqua"/>
          <w:b/>
          <w:bCs/>
          <w:color w:val="000000"/>
        </w:rPr>
        <w:t xml:space="preserve">Corresponding author: Zhong-Ying Zhang, PhD, Associate Chief Physician, </w:t>
      </w:r>
      <w:r>
        <w:rPr>
          <w:rFonts w:ascii="Book Antiqua" w:eastAsia="Book Antiqua" w:hAnsi="Book Antiqua" w:cs="Book Antiqua"/>
          <w:color w:val="000000"/>
        </w:rPr>
        <w:t>Department of Geriatric Medicine, Xuanwu Hospital, Capital Medical University, No. 45 Changchun Street, Beijing 100053, China. univadiszzy@163.com</w:t>
      </w:r>
    </w:p>
    <w:p w14:paraId="3705E418" w14:textId="77777777" w:rsidR="00A77B3E" w:rsidRDefault="00A77B3E">
      <w:pPr>
        <w:spacing w:line="360" w:lineRule="auto"/>
        <w:jc w:val="both"/>
      </w:pPr>
    </w:p>
    <w:p w14:paraId="780C377E" w14:textId="77777777" w:rsidR="00A77B3E" w:rsidRDefault="008A1A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11, 2021</w:t>
      </w:r>
    </w:p>
    <w:p w14:paraId="07B9E79F" w14:textId="77777777" w:rsidR="00A77B3E" w:rsidRDefault="008A1A5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6, 2021</w:t>
      </w:r>
    </w:p>
    <w:p w14:paraId="01F76235" w14:textId="71590628" w:rsidR="00A77B3E" w:rsidRDefault="008A1A54">
      <w:pPr>
        <w:spacing w:line="360" w:lineRule="auto"/>
        <w:jc w:val="both"/>
      </w:pPr>
      <w:r>
        <w:rPr>
          <w:rFonts w:ascii="Book Antiqua" w:eastAsia="Book Antiqua" w:hAnsi="Book Antiqua" w:cs="Book Antiqua"/>
          <w:b/>
          <w:bCs/>
          <w:color w:val="000000"/>
        </w:rPr>
        <w:t xml:space="preserve">Accepted: </w:t>
      </w:r>
      <w:r w:rsidR="007425B9" w:rsidRPr="008A516C">
        <w:rPr>
          <w:rFonts w:ascii="Book Antiqua" w:eastAsia="Book Antiqua" w:hAnsi="Book Antiqua" w:cs="Book Antiqua"/>
          <w:bCs/>
          <w:color w:val="000000"/>
        </w:rPr>
        <w:t>April 28, 2021</w:t>
      </w:r>
    </w:p>
    <w:p w14:paraId="0A7F3B83" w14:textId="77777777" w:rsidR="00A77B3E" w:rsidRDefault="008A1A54">
      <w:pPr>
        <w:spacing w:line="360" w:lineRule="auto"/>
        <w:jc w:val="both"/>
      </w:pPr>
      <w:r>
        <w:rPr>
          <w:rFonts w:ascii="Book Antiqua" w:eastAsia="Book Antiqua" w:hAnsi="Book Antiqua" w:cs="Book Antiqua"/>
          <w:b/>
          <w:bCs/>
          <w:color w:val="000000"/>
        </w:rPr>
        <w:t xml:space="preserve">Published online: </w:t>
      </w:r>
    </w:p>
    <w:p w14:paraId="4E1AC32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3BE2A64" w14:textId="77777777" w:rsidR="00A77B3E" w:rsidRDefault="008A1A54">
      <w:pPr>
        <w:spacing w:line="360" w:lineRule="auto"/>
        <w:jc w:val="both"/>
      </w:pPr>
      <w:r>
        <w:rPr>
          <w:rFonts w:ascii="Book Antiqua" w:eastAsia="Book Antiqua" w:hAnsi="Book Antiqua" w:cs="Book Antiqua"/>
          <w:b/>
          <w:color w:val="000000"/>
        </w:rPr>
        <w:lastRenderedPageBreak/>
        <w:t>Abstract</w:t>
      </w:r>
    </w:p>
    <w:p w14:paraId="616D30D1" w14:textId="77777777" w:rsidR="00A77B3E" w:rsidRDefault="008A1A54">
      <w:pPr>
        <w:spacing w:line="360" w:lineRule="auto"/>
        <w:jc w:val="both"/>
      </w:pPr>
      <w:r>
        <w:rPr>
          <w:rFonts w:ascii="Book Antiqua" w:eastAsia="Book Antiqua" w:hAnsi="Book Antiqua" w:cs="Book Antiqua"/>
          <w:color w:val="000000"/>
        </w:rPr>
        <w:t>BACKGROUND</w:t>
      </w:r>
    </w:p>
    <w:p w14:paraId="34F6B0BF" w14:textId="5498A204" w:rsidR="00A77B3E" w:rsidRDefault="008A1A54">
      <w:pPr>
        <w:spacing w:line="360" w:lineRule="auto"/>
        <w:jc w:val="both"/>
      </w:pPr>
      <w:r>
        <w:rPr>
          <w:rFonts w:ascii="Book Antiqua" w:eastAsia="Book Antiqua" w:hAnsi="Book Antiqua" w:cs="Book Antiqua"/>
          <w:color w:val="000000"/>
        </w:rPr>
        <w:t xml:space="preserve">Early diagnosis and appropriate antibiotic treatment are important to survival of </w:t>
      </w: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bacteremia. Penicillin tends to be the most commonly used antibiotic. However, there are limited data on antibiotic use in elderly patients with serious complications. We describe the clinical presentation, antibiotic therapy</w:t>
      </w:r>
      <w:r w:rsidR="004A2239">
        <w:rPr>
          <w:rFonts w:ascii="Book Antiqua" w:eastAsia="Book Antiqua" w:hAnsi="Book Antiqua" w:cs="Book Antiqua"/>
          <w:color w:val="000000"/>
        </w:rPr>
        <w:t>,</w:t>
      </w:r>
      <w:r>
        <w:rPr>
          <w:rFonts w:ascii="Book Antiqua" w:eastAsia="Book Antiqua" w:hAnsi="Book Antiqua" w:cs="Book Antiqua"/>
          <w:color w:val="000000"/>
        </w:rPr>
        <w:t xml:space="preserve"> and traceability of </w:t>
      </w:r>
      <w:r w:rsidR="00DD6A47">
        <w:rPr>
          <w:rFonts w:ascii="Book Antiqua" w:eastAsia="Book Antiqua" w:hAnsi="Book Antiqua" w:cs="Book Antiqua"/>
          <w:i/>
          <w:iCs/>
          <w:color w:val="000000"/>
        </w:rPr>
        <w:t>L. monocytogenes</w:t>
      </w:r>
      <w:r>
        <w:rPr>
          <w:rFonts w:ascii="Book Antiqua" w:eastAsia="Book Antiqua" w:hAnsi="Book Antiqua" w:cs="Book Antiqua"/>
          <w:i/>
          <w:iCs/>
          <w:color w:val="000000"/>
        </w:rPr>
        <w:t xml:space="preserve"> </w:t>
      </w:r>
      <w:r>
        <w:rPr>
          <w:rFonts w:ascii="Book Antiqua" w:eastAsia="Book Antiqua" w:hAnsi="Book Antiqua" w:cs="Book Antiqua"/>
          <w:color w:val="000000"/>
        </w:rPr>
        <w:t>in a centenarian with a history of eating frozen food.</w:t>
      </w:r>
    </w:p>
    <w:p w14:paraId="76E75BA9" w14:textId="77777777" w:rsidR="00A77B3E" w:rsidRDefault="00A77B3E">
      <w:pPr>
        <w:spacing w:line="360" w:lineRule="auto"/>
        <w:jc w:val="both"/>
      </w:pPr>
    </w:p>
    <w:p w14:paraId="24B45F27" w14:textId="77777777" w:rsidR="00A77B3E" w:rsidRDefault="008A1A54">
      <w:pPr>
        <w:spacing w:line="360" w:lineRule="auto"/>
        <w:jc w:val="both"/>
      </w:pPr>
      <w:r>
        <w:rPr>
          <w:rFonts w:ascii="Book Antiqua" w:eastAsia="Book Antiqua" w:hAnsi="Book Antiqua" w:cs="Book Antiqua"/>
          <w:color w:val="000000"/>
        </w:rPr>
        <w:t>CASE SUMMARY</w:t>
      </w:r>
    </w:p>
    <w:p w14:paraId="36B31F47" w14:textId="4E04D052" w:rsidR="00A77B3E" w:rsidRDefault="008A1A54">
      <w:pPr>
        <w:spacing w:line="360" w:lineRule="auto"/>
        <w:jc w:val="both"/>
      </w:pPr>
      <w:r>
        <w:rPr>
          <w:rFonts w:ascii="Book Antiqua" w:eastAsia="Book Antiqua" w:hAnsi="Book Antiqua" w:cs="Book Antiqua"/>
          <w:color w:val="000000"/>
        </w:rPr>
        <w:t xml:space="preserve">A 102-year-old man suffered from high fever with chill after hematochezia. Tentative diagnoses were lower gastrointestinal hemorrhage and localized peritonitis. Meropenem and ornidazole were the empirical therapy. The patient did not respond and developed multiple system dysfunction even after teicoplanin was added to the therapy.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identified from blood cultures on day 5 of admission. The patient had a history of consuming frozen dumplings. Meropenem/ornidazole/teicoplanin were replaced with meropenem/</w:t>
      </w:r>
      <w:r w:rsidR="00DD6A47">
        <w:rPr>
          <w:rFonts w:ascii="Book Antiqua" w:eastAsia="Book Antiqua" w:hAnsi="Book Antiqua" w:cs="Book Antiqua"/>
          <w:color w:val="000000"/>
        </w:rPr>
        <w:t>l</w:t>
      </w:r>
      <w:r>
        <w:rPr>
          <w:rFonts w:ascii="Book Antiqua" w:eastAsia="Book Antiqua" w:hAnsi="Book Antiqua" w:cs="Book Antiqua"/>
          <w:color w:val="000000"/>
        </w:rPr>
        <w:t>inezolid. The patient gradually became afebrile. He received meropenem/</w:t>
      </w:r>
      <w:r w:rsidR="00DD6A47">
        <w:rPr>
          <w:rFonts w:ascii="Book Antiqua" w:eastAsia="Book Antiqua" w:hAnsi="Book Antiqua" w:cs="Book Antiqua"/>
          <w:color w:val="000000"/>
        </w:rPr>
        <w:t>l</w:t>
      </w:r>
      <w:r>
        <w:rPr>
          <w:rFonts w:ascii="Book Antiqua" w:eastAsia="Book Antiqua" w:hAnsi="Book Antiqua" w:cs="Book Antiqua"/>
          <w:color w:val="000000"/>
        </w:rPr>
        <w:t xml:space="preserve">inezolid for 10 d, and piperacillin/tazobactam was applied as step-down treatment for 2 wk with good clinical results. There was no sign of relapse during follow-up after discharge.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isolates from the patient and frozen dumplings belonged to different serotypes and sequence types (STs): 1/2b and ST5 from the patient and 1/2c and ST9 from the dumplings.</w:t>
      </w:r>
    </w:p>
    <w:p w14:paraId="10C3C4E8" w14:textId="77777777" w:rsidR="00A77B3E" w:rsidRDefault="00A77B3E">
      <w:pPr>
        <w:spacing w:line="360" w:lineRule="auto"/>
        <w:jc w:val="both"/>
      </w:pPr>
    </w:p>
    <w:p w14:paraId="4165B127" w14:textId="77777777" w:rsidR="00A77B3E" w:rsidRDefault="008A1A54">
      <w:pPr>
        <w:spacing w:line="360" w:lineRule="auto"/>
        <w:jc w:val="both"/>
      </w:pPr>
      <w:r>
        <w:rPr>
          <w:rFonts w:ascii="Book Antiqua" w:eastAsia="Book Antiqua" w:hAnsi="Book Antiqua" w:cs="Book Antiqua"/>
          <w:color w:val="000000"/>
        </w:rPr>
        <w:t>CONCLUSION</w:t>
      </w:r>
    </w:p>
    <w:p w14:paraId="7549F9D6" w14:textId="77777777" w:rsidR="00A77B3E" w:rsidRDefault="008A1A54">
      <w:pPr>
        <w:spacing w:line="360" w:lineRule="auto"/>
        <w:jc w:val="both"/>
      </w:pPr>
      <w:r>
        <w:rPr>
          <w:rFonts w:ascii="Book Antiqua" w:eastAsia="Book Antiqua" w:hAnsi="Book Antiqua" w:cs="Book Antiqua"/>
          <w:color w:val="000000"/>
        </w:rPr>
        <w:t>More awareness of listeriosis should be raised. Linezolid might be an option for listeriosis in elderly people with serious complications.</w:t>
      </w:r>
    </w:p>
    <w:p w14:paraId="32026A53" w14:textId="77777777" w:rsidR="00A77B3E" w:rsidRDefault="00A77B3E">
      <w:pPr>
        <w:spacing w:line="360" w:lineRule="auto"/>
        <w:jc w:val="both"/>
      </w:pPr>
    </w:p>
    <w:p w14:paraId="21B5B511" w14:textId="77777777" w:rsidR="00A77B3E" w:rsidRDefault="008A1A54">
      <w:pPr>
        <w:spacing w:line="360" w:lineRule="auto"/>
        <w:jc w:val="both"/>
      </w:pPr>
      <w:r>
        <w:rPr>
          <w:rFonts w:ascii="Book Antiqua" w:eastAsia="Book Antiqua" w:hAnsi="Book Antiqua" w:cs="Book Antiqua"/>
          <w:b/>
          <w:bCs/>
          <w:color w:val="000000"/>
        </w:rPr>
        <w:t xml:space="preserve">Key Words: </w:t>
      </w:r>
      <w:r w:rsidRPr="00DD6A47">
        <w:rPr>
          <w:rFonts w:ascii="Book Antiqua" w:eastAsia="Book Antiqua" w:hAnsi="Book Antiqua" w:cs="Book Antiqua"/>
          <w:i/>
          <w:iCs/>
          <w:color w:val="000000"/>
        </w:rPr>
        <w:t>Listeria monocytogenes</w:t>
      </w:r>
      <w:r>
        <w:rPr>
          <w:rFonts w:ascii="Book Antiqua" w:eastAsia="Book Antiqua" w:hAnsi="Book Antiqua" w:cs="Book Antiqua"/>
          <w:color w:val="000000"/>
        </w:rPr>
        <w:t>; Centenarian; Bacteremia; Traceability; Antibiotics; Case report</w:t>
      </w:r>
    </w:p>
    <w:p w14:paraId="52F00885" w14:textId="77777777" w:rsidR="00A77B3E" w:rsidRDefault="00A77B3E">
      <w:pPr>
        <w:spacing w:line="360" w:lineRule="auto"/>
        <w:jc w:val="both"/>
      </w:pPr>
    </w:p>
    <w:p w14:paraId="5D83AAC2" w14:textId="77777777" w:rsidR="00A77B3E" w:rsidRDefault="008A1A54">
      <w:pPr>
        <w:spacing w:line="360" w:lineRule="auto"/>
        <w:jc w:val="both"/>
      </w:pPr>
      <w:r>
        <w:rPr>
          <w:rFonts w:ascii="Book Antiqua" w:eastAsia="Book Antiqua" w:hAnsi="Book Antiqua" w:cs="Book Antiqua"/>
          <w:color w:val="000000"/>
        </w:rPr>
        <w:lastRenderedPageBreak/>
        <w:t xml:space="preserve">Zhang ZY, Zhang XA, Chen Q, Wang JY, Li Y, Wei ZY, Wang ZC. Listeria monocytogenes bacteremia in a centenarian and pathogen traceability: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1F3AC984" w14:textId="77777777" w:rsidR="00A77B3E" w:rsidRDefault="00A77B3E">
      <w:pPr>
        <w:spacing w:line="360" w:lineRule="auto"/>
        <w:jc w:val="both"/>
      </w:pPr>
    </w:p>
    <w:p w14:paraId="2D519C27" w14:textId="7E8C4E56" w:rsidR="00A77B3E" w:rsidRDefault="008A1A5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Appropriate antibiotic treatment is important to survival of </w:t>
      </w:r>
      <w:r w:rsidRPr="00DD6A47">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bacteremia. Penicillin tends to be the most commonly used antibiotic. However, there are limited data on antibiotic use in elderly patients with serious complications. Linezolid might be valuable for treatment of the </w:t>
      </w:r>
      <w:r w:rsidR="00D00F4A" w:rsidRPr="00DD6A47">
        <w:rPr>
          <w:rFonts w:ascii="Book Antiqua" w:eastAsia="Book Antiqua" w:hAnsi="Book Antiqua" w:cs="Book Antiqua"/>
          <w:i/>
          <w:iCs/>
          <w:color w:val="000000"/>
        </w:rPr>
        <w:t>L</w:t>
      </w:r>
      <w:r w:rsidR="006E1D05">
        <w:rPr>
          <w:rFonts w:ascii="Book Antiqua" w:eastAsia="Book Antiqua" w:hAnsi="Book Antiqua" w:cs="Book Antiqua"/>
          <w:i/>
          <w:iCs/>
          <w:color w:val="000000"/>
        </w:rPr>
        <w:t>.</w:t>
      </w:r>
      <w:r w:rsidR="00D00F4A" w:rsidRPr="00DD6A47">
        <w:rPr>
          <w:rFonts w:ascii="Book Antiqua" w:eastAsia="Book Antiqua" w:hAnsi="Book Antiqua" w:cs="Book Antiqua"/>
          <w:i/>
          <w:iCs/>
          <w:color w:val="000000"/>
        </w:rPr>
        <w:t xml:space="preserve"> monocytogenes</w:t>
      </w:r>
      <w:r>
        <w:rPr>
          <w:rFonts w:ascii="Book Antiqua" w:eastAsia="Book Antiqua" w:hAnsi="Book Antiqua" w:cs="Book Antiqua"/>
          <w:color w:val="000000"/>
        </w:rPr>
        <w:t xml:space="preserve"> bacteremia. Geriatricians should be suspicious of listeriosis when patients do not respond to broad-spectrum antibiotics, and when patients have a history of frozen food consumption. Healthy eating habits and food processing methods should be prioritized in elderly people.</w:t>
      </w:r>
    </w:p>
    <w:p w14:paraId="707AA4C9" w14:textId="77A5D104" w:rsidR="00A77B3E" w:rsidRDefault="00D00F4A">
      <w:pPr>
        <w:spacing w:line="360" w:lineRule="auto"/>
        <w:jc w:val="both"/>
      </w:pPr>
      <w:r>
        <w:br w:type="page"/>
      </w:r>
      <w:r w:rsidR="008A1A54">
        <w:rPr>
          <w:rFonts w:ascii="Book Antiqua" w:eastAsia="Book Antiqua" w:hAnsi="Book Antiqua" w:cs="Book Antiqua"/>
          <w:b/>
          <w:caps/>
          <w:color w:val="000000"/>
          <w:u w:val="single"/>
        </w:rPr>
        <w:lastRenderedPageBreak/>
        <w:t>INTRODUCTION</w:t>
      </w:r>
    </w:p>
    <w:p w14:paraId="2C1098C6" w14:textId="524AB8E7" w:rsidR="00A77B3E" w:rsidRDefault="008A1A54">
      <w:pPr>
        <w:spacing w:line="360" w:lineRule="auto"/>
        <w:jc w:val="both"/>
      </w:pP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is a facultative anaerobic, Gram-positive pathogenic </w:t>
      </w:r>
      <w:proofErr w:type="gramStart"/>
      <w:r>
        <w:rPr>
          <w:rFonts w:ascii="Book Antiqua" w:eastAsia="Book Antiqua" w:hAnsi="Book Antiqua" w:cs="Book Antiqua"/>
          <w:color w:val="000000"/>
        </w:rPr>
        <w:t>bacterium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can present in extreme conditions, which make it possible to infect people </w:t>
      </w:r>
      <w:r>
        <w:rPr>
          <w:rFonts w:ascii="Book Antiqua" w:eastAsia="Book Antiqua" w:hAnsi="Book Antiqua" w:cs="Book Antiqua"/>
          <w:i/>
          <w:iCs/>
          <w:color w:val="000000"/>
        </w:rPr>
        <w:t>via</w:t>
      </w:r>
      <w:r>
        <w:rPr>
          <w:rFonts w:ascii="Book Antiqua" w:eastAsia="Book Antiqua" w:hAnsi="Book Antiqua" w:cs="Book Antiqua"/>
          <w:color w:val="000000"/>
        </w:rPr>
        <w:t xml:space="preserve"> ingestion of contaminated food and cause listeriosis</w:t>
      </w:r>
      <w:r>
        <w:rPr>
          <w:rFonts w:ascii="Book Antiqua" w:eastAsia="Book Antiqua" w:hAnsi="Book Antiqua" w:cs="Book Antiqua"/>
          <w:color w:val="000000"/>
          <w:szCs w:val="30"/>
          <w:vertAlign w:val="superscript"/>
        </w:rPr>
        <w:t>[2]</w:t>
      </w:r>
      <w:r>
        <w:rPr>
          <w:rFonts w:ascii="Book Antiqua" w:eastAsia="Book Antiqua" w:hAnsi="Book Antiqua" w:cs="Book Antiqua"/>
          <w:i/>
          <w:iCs/>
          <w:color w:val="000000"/>
        </w:rPr>
        <w:t xml:space="preserve">. </w:t>
      </w:r>
      <w:r>
        <w:rPr>
          <w:rFonts w:ascii="Book Antiqua" w:eastAsia="Book Antiqua" w:hAnsi="Book Antiqua" w:cs="Book Antiqua"/>
          <w:color w:val="000000"/>
        </w:rPr>
        <w:t>Listeriosis is a potentially fatal foodborne infection including gastrointestinal infection, meningitis, bacteremia</w:t>
      </w:r>
      <w:r w:rsidR="006E1D05">
        <w:rPr>
          <w:rFonts w:ascii="Book Antiqua" w:eastAsia="Book Antiqua" w:hAnsi="Book Antiqua" w:cs="Book Antiqua"/>
          <w:color w:val="000000"/>
        </w:rPr>
        <w:t>,</w:t>
      </w:r>
      <w:r>
        <w:rPr>
          <w:rFonts w:ascii="Book Antiqua" w:eastAsia="Book Antiqua" w:hAnsi="Book Antiqua" w:cs="Book Antiqua"/>
          <w:color w:val="000000"/>
        </w:rPr>
        <w:t xml:space="preserve"> and abortion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High-risk populations are pregnant women and very old people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13C1B12F" w14:textId="5784DE5D" w:rsidR="00A77B3E" w:rsidRDefault="008A1A54" w:rsidP="00D00F4A">
      <w:pPr>
        <w:spacing w:line="360" w:lineRule="auto"/>
        <w:ind w:firstLineChars="100" w:firstLine="240"/>
        <w:jc w:val="both"/>
      </w:pPr>
      <w:r>
        <w:rPr>
          <w:rFonts w:ascii="Book Antiqua" w:eastAsia="Book Antiqua" w:hAnsi="Book Antiqua" w:cs="Book Antiqua"/>
          <w:color w:val="000000"/>
        </w:rPr>
        <w:t>The incidence of human listeriosis is low</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but the mortality rate is high, especially in elderly people</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The rareness and long incubation period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of listeriosis make prompt diagnosis and tracing the source difficult. Appropriate antibiotic treatment and early diagnosis are of importance to survival</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Penicillin tends to be the most commonly used antibiotic</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However, there are limited data on antibiotic use in elderly patients with serious complications.</w:t>
      </w:r>
    </w:p>
    <w:p w14:paraId="08B715F8" w14:textId="1799FFDF" w:rsidR="00A77B3E" w:rsidRDefault="008A1A54" w:rsidP="00D00F4A">
      <w:pPr>
        <w:spacing w:line="360" w:lineRule="auto"/>
        <w:ind w:firstLineChars="100" w:firstLine="240"/>
        <w:jc w:val="both"/>
      </w:pPr>
      <w:r>
        <w:rPr>
          <w:rFonts w:ascii="Book Antiqua" w:eastAsia="Book Antiqua" w:hAnsi="Book Antiqua" w:cs="Book Antiqua"/>
          <w:color w:val="000000"/>
        </w:rPr>
        <w:t xml:space="preserve">To raise awareness of early diagnosis and antibiotic therapy of listeriosis, we report a case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 in a 102-year-old man with serious conditions who did not respond to initial broad-spectrum antibiotic therapy. An extensive source tracing of the</w:t>
      </w:r>
      <w:r>
        <w:rPr>
          <w:rFonts w:ascii="Book Antiqua" w:eastAsia="Book Antiqua" w:hAnsi="Book Antiqua" w:cs="Book Antiqua"/>
          <w:i/>
          <w:iCs/>
          <w:color w:val="000000"/>
        </w:rPr>
        <w:t xml:space="preserve"> L. monocytogenes</w:t>
      </w:r>
      <w:r>
        <w:rPr>
          <w:rFonts w:ascii="Book Antiqua" w:eastAsia="Book Antiqua" w:hAnsi="Book Antiqua" w:cs="Book Antiqua"/>
          <w:color w:val="000000"/>
        </w:rPr>
        <w:t xml:space="preserve"> infection was performed by Beijing Centers for Disease Control and Prevention (CDC).</w:t>
      </w:r>
      <w:r w:rsidR="00D00F4A">
        <w:rPr>
          <w:rFonts w:ascii="Book Antiqua" w:eastAsia="Book Antiqua" w:hAnsi="Book Antiqua" w:cs="Book Antiqua"/>
          <w:color w:val="000000"/>
        </w:rPr>
        <w:t xml:space="preserve"> </w:t>
      </w:r>
      <w:r>
        <w:rPr>
          <w:rFonts w:ascii="Book Antiqua" w:eastAsia="Book Antiqua" w:hAnsi="Book Antiqua" w:cs="Book Antiqua"/>
          <w:color w:val="000000"/>
        </w:rPr>
        <w:t>We searched PubMed from 2012 to 2019 for articles with key words “</w:t>
      </w:r>
      <w:r>
        <w:rPr>
          <w:rFonts w:ascii="Book Antiqua" w:eastAsia="Book Antiqua" w:hAnsi="Book Antiqua" w:cs="Book Antiqua"/>
          <w:i/>
          <w:iCs/>
          <w:color w:val="000000"/>
        </w:rPr>
        <w:t>Listeria monocytogenes</w:t>
      </w:r>
      <w:r w:rsidR="008B07C3">
        <w:rPr>
          <w:rFonts w:ascii="Book Antiqua" w:eastAsia="Book Antiqua" w:hAnsi="Book Antiqua" w:cs="Book Antiqua"/>
          <w:i/>
          <w:iCs/>
          <w:color w:val="000000"/>
        </w:rPr>
        <w:t>,</w:t>
      </w:r>
      <w:r>
        <w:rPr>
          <w:rFonts w:ascii="Book Antiqua" w:eastAsia="Book Antiqua" w:hAnsi="Book Antiqua" w:cs="Book Antiqua"/>
          <w:color w:val="000000"/>
        </w:rPr>
        <w:t>” “bacteremia</w:t>
      </w:r>
      <w:r w:rsidR="008B07C3">
        <w:rPr>
          <w:rFonts w:ascii="Book Antiqua" w:eastAsia="Book Antiqua" w:hAnsi="Book Antiqua" w:cs="Book Antiqua"/>
          <w:color w:val="000000"/>
        </w:rPr>
        <w:t>,</w:t>
      </w:r>
      <w:r>
        <w:rPr>
          <w:rFonts w:ascii="Book Antiqua" w:eastAsia="Book Antiqua" w:hAnsi="Book Antiqua" w:cs="Book Antiqua"/>
          <w:color w:val="000000"/>
        </w:rPr>
        <w:t>” and “septicemia</w:t>
      </w:r>
      <w:r w:rsidR="008B07C3">
        <w:rPr>
          <w:rFonts w:ascii="Book Antiqua" w:eastAsia="Book Antiqua" w:hAnsi="Book Antiqua" w:cs="Book Antiqua"/>
          <w:color w:val="000000"/>
        </w:rPr>
        <w:t>.</w:t>
      </w:r>
      <w:r>
        <w:rPr>
          <w:rFonts w:ascii="Book Antiqua" w:eastAsia="Book Antiqua" w:hAnsi="Book Antiqua" w:cs="Book Antiqua"/>
          <w:color w:val="000000"/>
        </w:rPr>
        <w:t>” The articles were limited to human infection. Fourteen case reports are summarized in Supplementary Table 1.</w:t>
      </w:r>
    </w:p>
    <w:p w14:paraId="72D27FEA" w14:textId="77777777" w:rsidR="00A77B3E" w:rsidRDefault="00A77B3E" w:rsidP="00D00F4A">
      <w:pPr>
        <w:spacing w:line="360" w:lineRule="auto"/>
        <w:jc w:val="both"/>
      </w:pPr>
    </w:p>
    <w:p w14:paraId="10823663" w14:textId="77777777" w:rsidR="00A77B3E" w:rsidRDefault="008A1A54">
      <w:pPr>
        <w:spacing w:line="360" w:lineRule="auto"/>
        <w:jc w:val="both"/>
      </w:pPr>
      <w:r>
        <w:rPr>
          <w:rFonts w:ascii="Book Antiqua" w:eastAsia="Book Antiqua" w:hAnsi="Book Antiqua" w:cs="Book Antiqua"/>
          <w:b/>
          <w:caps/>
          <w:color w:val="000000"/>
          <w:u w:val="single"/>
        </w:rPr>
        <w:t>CASE PRESENTATION</w:t>
      </w:r>
    </w:p>
    <w:p w14:paraId="6E6D2989" w14:textId="77777777" w:rsidR="00A77B3E" w:rsidRDefault="008A1A54">
      <w:pPr>
        <w:spacing w:line="360" w:lineRule="auto"/>
        <w:jc w:val="both"/>
      </w:pPr>
      <w:r>
        <w:rPr>
          <w:rFonts w:ascii="Book Antiqua" w:eastAsia="Book Antiqua" w:hAnsi="Book Antiqua" w:cs="Book Antiqua"/>
          <w:b/>
          <w:i/>
          <w:color w:val="000000"/>
        </w:rPr>
        <w:t>Chief complaints</w:t>
      </w:r>
    </w:p>
    <w:p w14:paraId="6CDF6819" w14:textId="7D74EA47" w:rsidR="00A77B3E" w:rsidRDefault="008A1A54">
      <w:pPr>
        <w:spacing w:line="360" w:lineRule="auto"/>
        <w:jc w:val="both"/>
      </w:pPr>
      <w:r>
        <w:rPr>
          <w:rFonts w:ascii="Book Antiqua" w:eastAsia="Book Antiqua" w:hAnsi="Book Antiqua" w:cs="Book Antiqua"/>
          <w:color w:val="000000"/>
        </w:rPr>
        <w:t>A 102-year-old man was admitted with hematochezia, high fever of 39.4</w:t>
      </w:r>
      <w:r w:rsidR="00D00F4A">
        <w:rPr>
          <w:rFonts w:ascii="Book Antiqua" w:eastAsia="Book Antiqua" w:hAnsi="Book Antiqua" w:cs="Book Antiqua"/>
          <w:color w:val="000000"/>
        </w:rPr>
        <w:t xml:space="preserve"> </w:t>
      </w:r>
      <w:r>
        <w:rPr>
          <w:rFonts w:ascii="Book Antiqua" w:eastAsia="Book Antiqua" w:hAnsi="Book Antiqua" w:cs="Book Antiqua"/>
          <w:color w:val="000000"/>
        </w:rPr>
        <w:t>°C, chills, and stupor.</w:t>
      </w:r>
    </w:p>
    <w:p w14:paraId="51A986AF" w14:textId="77777777" w:rsidR="00A77B3E" w:rsidRDefault="00A77B3E">
      <w:pPr>
        <w:spacing w:line="360" w:lineRule="auto"/>
        <w:jc w:val="both"/>
      </w:pPr>
    </w:p>
    <w:p w14:paraId="6FA0CE4C" w14:textId="77777777" w:rsidR="00A77B3E" w:rsidRDefault="008A1A54">
      <w:pPr>
        <w:spacing w:line="360" w:lineRule="auto"/>
        <w:jc w:val="both"/>
      </w:pPr>
      <w:r>
        <w:rPr>
          <w:rFonts w:ascii="Book Antiqua" w:eastAsia="Book Antiqua" w:hAnsi="Book Antiqua" w:cs="Book Antiqua"/>
          <w:b/>
          <w:i/>
          <w:color w:val="000000"/>
        </w:rPr>
        <w:t>History of present illness</w:t>
      </w:r>
    </w:p>
    <w:p w14:paraId="07173AF0" w14:textId="09F9DA84" w:rsidR="00A77B3E" w:rsidRDefault="008A1A54">
      <w:pPr>
        <w:spacing w:line="360" w:lineRule="auto"/>
        <w:jc w:val="both"/>
      </w:pPr>
      <w:r>
        <w:rPr>
          <w:rFonts w:ascii="Book Antiqua" w:eastAsia="Book Antiqua" w:hAnsi="Book Antiqua" w:cs="Book Antiqua"/>
          <w:color w:val="000000"/>
        </w:rPr>
        <w:t xml:space="preserve">Patient’s symptoms started 7 d before admission and worsened over </w:t>
      </w:r>
      <w:r w:rsidR="008B07C3">
        <w:rPr>
          <w:rFonts w:ascii="Book Antiqua" w:eastAsia="Book Antiqua" w:hAnsi="Book Antiqua" w:cs="Book Antiqua"/>
          <w:color w:val="000000"/>
        </w:rPr>
        <w:t xml:space="preserve">the </w:t>
      </w:r>
      <w:r>
        <w:rPr>
          <w:rFonts w:ascii="Book Antiqua" w:eastAsia="Book Antiqua" w:hAnsi="Book Antiqua" w:cs="Book Antiqua"/>
          <w:color w:val="000000"/>
        </w:rPr>
        <w:t xml:space="preserve">last 24 h. He suffered from dark red bloody stool </w:t>
      </w:r>
      <w:r w:rsidR="008B07C3">
        <w:rPr>
          <w:rFonts w:ascii="Book Antiqua" w:eastAsia="Book Antiqua" w:hAnsi="Book Antiqua" w:cs="Book Antiqua"/>
          <w:color w:val="000000"/>
        </w:rPr>
        <w:t xml:space="preserve">three </w:t>
      </w:r>
      <w:r>
        <w:rPr>
          <w:rFonts w:ascii="Book Antiqua" w:eastAsia="Book Antiqua" w:hAnsi="Book Antiqua" w:cs="Book Antiqua"/>
          <w:color w:val="000000"/>
        </w:rPr>
        <w:t xml:space="preserve">episodes for 7 d. The total amount of stool </w:t>
      </w:r>
      <w:r>
        <w:rPr>
          <w:rFonts w:ascii="Book Antiqua" w:eastAsia="Book Antiqua" w:hAnsi="Book Antiqua" w:cs="Book Antiqua"/>
          <w:color w:val="000000"/>
        </w:rPr>
        <w:lastRenderedPageBreak/>
        <w:t>was about 400 g. He also had symptoms of fatigue and anepithymia with subsequent stupor. Other symptoms such as amaurosis, syncope, nausea, vomiting</w:t>
      </w:r>
      <w:r w:rsidR="008B07C3">
        <w:rPr>
          <w:rFonts w:ascii="Book Antiqua" w:eastAsia="Book Antiqua" w:hAnsi="Book Antiqua" w:cs="Book Antiqua"/>
          <w:color w:val="000000"/>
        </w:rPr>
        <w:t>,</w:t>
      </w:r>
      <w:r>
        <w:rPr>
          <w:rFonts w:ascii="Book Antiqua" w:eastAsia="Book Antiqua" w:hAnsi="Book Antiqua" w:cs="Book Antiqua"/>
          <w:color w:val="000000"/>
        </w:rPr>
        <w:t xml:space="preserve"> and abdominal pain were unpresented. Five days prior to onset, he had consumed quick-frozen dumplings stored in the refrigerator.</w:t>
      </w:r>
    </w:p>
    <w:p w14:paraId="213CD072" w14:textId="77777777" w:rsidR="00A77B3E" w:rsidRDefault="00A77B3E">
      <w:pPr>
        <w:spacing w:line="360" w:lineRule="auto"/>
        <w:jc w:val="both"/>
      </w:pPr>
    </w:p>
    <w:p w14:paraId="3515754A" w14:textId="77777777" w:rsidR="00A77B3E" w:rsidRDefault="008A1A54">
      <w:pPr>
        <w:spacing w:line="360" w:lineRule="auto"/>
        <w:jc w:val="both"/>
      </w:pPr>
      <w:r>
        <w:rPr>
          <w:rFonts w:ascii="Book Antiqua" w:eastAsia="Book Antiqua" w:hAnsi="Book Antiqua" w:cs="Book Antiqua"/>
          <w:b/>
          <w:i/>
          <w:color w:val="000000"/>
        </w:rPr>
        <w:t>History of past illness</w:t>
      </w:r>
    </w:p>
    <w:p w14:paraId="1341637D" w14:textId="5140BEE3" w:rsidR="00A77B3E" w:rsidRDefault="008A1A54">
      <w:pPr>
        <w:spacing w:line="360" w:lineRule="auto"/>
        <w:jc w:val="both"/>
      </w:pPr>
      <w:r>
        <w:rPr>
          <w:rFonts w:ascii="Book Antiqua" w:eastAsia="Book Antiqua" w:hAnsi="Book Antiqua" w:cs="Book Antiqua"/>
          <w:color w:val="000000"/>
        </w:rPr>
        <w:t>His medical history included hypertension and stage 3 chronic kidney disease, which were well controlled. The patient took amlodipine 5 mg once a day until hematochezia. No medications for chronic renal disease. There was no history of antiplatelet/anticoagulation, glucocorticoid</w:t>
      </w:r>
      <w:r w:rsidR="008B07C3">
        <w:rPr>
          <w:rFonts w:ascii="Book Antiqua" w:eastAsia="Book Antiqua" w:hAnsi="Book Antiqua" w:cs="Book Antiqua"/>
          <w:color w:val="000000"/>
        </w:rPr>
        <w:t>,</w:t>
      </w:r>
      <w:r>
        <w:rPr>
          <w:rFonts w:ascii="Book Antiqua" w:eastAsia="Book Antiqua" w:hAnsi="Book Antiqua" w:cs="Book Antiqua"/>
          <w:color w:val="000000"/>
        </w:rPr>
        <w:t xml:space="preserve"> or immunosuppressant therapy.</w:t>
      </w:r>
    </w:p>
    <w:p w14:paraId="4E927073" w14:textId="77777777" w:rsidR="00A77B3E" w:rsidRDefault="00A77B3E">
      <w:pPr>
        <w:spacing w:line="360" w:lineRule="auto"/>
        <w:jc w:val="both"/>
      </w:pPr>
    </w:p>
    <w:p w14:paraId="62F0D4E6" w14:textId="77777777" w:rsidR="00A77B3E" w:rsidRDefault="008A1A54">
      <w:pPr>
        <w:spacing w:line="360" w:lineRule="auto"/>
        <w:jc w:val="both"/>
      </w:pPr>
      <w:r>
        <w:rPr>
          <w:rFonts w:ascii="Book Antiqua" w:eastAsia="Book Antiqua" w:hAnsi="Book Antiqua" w:cs="Book Antiqua"/>
          <w:b/>
          <w:i/>
          <w:color w:val="000000"/>
        </w:rPr>
        <w:t>Personal and family history</w:t>
      </w:r>
    </w:p>
    <w:p w14:paraId="4C2475B0" w14:textId="77777777" w:rsidR="00A77B3E" w:rsidRDefault="008A1A54">
      <w:pPr>
        <w:spacing w:line="360" w:lineRule="auto"/>
        <w:jc w:val="both"/>
      </w:pPr>
      <w:r>
        <w:rPr>
          <w:rFonts w:ascii="Book Antiqua" w:eastAsia="Book Antiqua" w:hAnsi="Book Antiqua" w:cs="Book Antiqua"/>
          <w:color w:val="000000"/>
        </w:rPr>
        <w:t>There was no history of hereditary disease. No family members had similar symptoms.</w:t>
      </w:r>
    </w:p>
    <w:p w14:paraId="2DC3BDA0" w14:textId="77777777" w:rsidR="00A77B3E" w:rsidRDefault="00A77B3E">
      <w:pPr>
        <w:spacing w:line="360" w:lineRule="auto"/>
        <w:jc w:val="both"/>
      </w:pPr>
    </w:p>
    <w:p w14:paraId="494E710D" w14:textId="77777777" w:rsidR="00A77B3E" w:rsidRDefault="008A1A54">
      <w:pPr>
        <w:spacing w:line="360" w:lineRule="auto"/>
        <w:jc w:val="both"/>
      </w:pPr>
      <w:r>
        <w:rPr>
          <w:rFonts w:ascii="Book Antiqua" w:eastAsia="Book Antiqua" w:hAnsi="Book Antiqua" w:cs="Book Antiqua"/>
          <w:b/>
          <w:i/>
          <w:color w:val="000000"/>
        </w:rPr>
        <w:t>Physical examination</w:t>
      </w:r>
    </w:p>
    <w:p w14:paraId="6153D5F7" w14:textId="6D7CF543" w:rsidR="00A77B3E" w:rsidRDefault="008A1A54">
      <w:pPr>
        <w:spacing w:line="360" w:lineRule="auto"/>
        <w:jc w:val="both"/>
      </w:pPr>
      <w:r>
        <w:rPr>
          <w:rFonts w:ascii="Book Antiqua" w:eastAsia="Book Antiqua" w:hAnsi="Book Antiqua" w:cs="Book Antiqua"/>
          <w:color w:val="000000"/>
        </w:rPr>
        <w:t>The patient was febrile with a temperature of 39.4</w:t>
      </w:r>
      <w:r w:rsidR="00D00F4A">
        <w:rPr>
          <w:rFonts w:ascii="Book Antiqua" w:eastAsia="Book Antiqua" w:hAnsi="Book Antiqua" w:cs="Book Antiqua"/>
          <w:color w:val="000000"/>
        </w:rPr>
        <w:t xml:space="preserve"> </w:t>
      </w:r>
      <w:r>
        <w:rPr>
          <w:rFonts w:ascii="Book Antiqua" w:eastAsia="Book Antiqua" w:hAnsi="Book Antiqua" w:cs="Book Antiqua"/>
          <w:color w:val="000000"/>
        </w:rPr>
        <w:t>°C, blood pressure was 149/65 mmHg, and pulse 94 beats/min. He became stuporous with Glasgow Coma Scale score 7/15. There was no nuchal rigidity, rash</w:t>
      </w:r>
      <w:r w:rsidR="008B07C3">
        <w:rPr>
          <w:rFonts w:ascii="Book Antiqua" w:eastAsia="Book Antiqua" w:hAnsi="Book Antiqua" w:cs="Book Antiqua"/>
          <w:color w:val="000000"/>
        </w:rPr>
        <w:t>,</w:t>
      </w:r>
      <w:r>
        <w:rPr>
          <w:rFonts w:ascii="Book Antiqua" w:eastAsia="Book Antiqua" w:hAnsi="Book Antiqua" w:cs="Book Antiqua"/>
          <w:color w:val="000000"/>
        </w:rPr>
        <w:t xml:space="preserve"> and lymphadenectasis. The abdomen was distended in the right lower quadrant.</w:t>
      </w:r>
    </w:p>
    <w:p w14:paraId="68444131" w14:textId="77777777" w:rsidR="00A77B3E" w:rsidRDefault="00A77B3E">
      <w:pPr>
        <w:spacing w:line="360" w:lineRule="auto"/>
        <w:jc w:val="both"/>
      </w:pPr>
    </w:p>
    <w:p w14:paraId="1D85D430" w14:textId="77777777" w:rsidR="00A77B3E" w:rsidRDefault="008A1A54">
      <w:pPr>
        <w:spacing w:line="360" w:lineRule="auto"/>
        <w:jc w:val="both"/>
      </w:pPr>
      <w:r>
        <w:rPr>
          <w:rFonts w:ascii="Book Antiqua" w:eastAsia="Book Antiqua" w:hAnsi="Book Antiqua" w:cs="Book Antiqua"/>
          <w:b/>
          <w:i/>
          <w:color w:val="000000"/>
        </w:rPr>
        <w:t>Laboratory examinations</w:t>
      </w:r>
    </w:p>
    <w:p w14:paraId="3229F1AE" w14:textId="6DD9FEA7" w:rsidR="00A77B3E" w:rsidRDefault="008A1A54">
      <w:pPr>
        <w:spacing w:line="360" w:lineRule="auto"/>
        <w:jc w:val="both"/>
      </w:pPr>
      <w:r>
        <w:rPr>
          <w:rFonts w:ascii="Book Antiqua" w:eastAsia="Book Antiqua" w:hAnsi="Book Antiqua" w:cs="Book Antiqua"/>
          <w:color w:val="000000"/>
        </w:rPr>
        <w:t>White blood count was 13270/μL with 89.8% neutrophils, hemoglobin 8.4 g/dL, and platelet count 243000/μL. Fecal occult blood was positive and there were no white blood cells in the stools. C-reactive protein and procalcitonin level were 173 mg/L (normal range, 1</w:t>
      </w:r>
      <w:r w:rsidR="00D00F4A">
        <w:rPr>
          <w:rFonts w:ascii="Book Antiqua" w:eastAsia="Book Antiqua" w:hAnsi="Book Antiqua" w:cs="Book Antiqua"/>
          <w:color w:val="000000"/>
        </w:rPr>
        <w:t>-</w:t>
      </w:r>
      <w:r>
        <w:rPr>
          <w:rFonts w:ascii="Book Antiqua" w:eastAsia="Book Antiqua" w:hAnsi="Book Antiqua" w:cs="Book Antiqua"/>
          <w:color w:val="000000"/>
        </w:rPr>
        <w:t>8 mg/L) and 0.734 ng/mL (normal range, 0</w:t>
      </w:r>
      <w:r w:rsidR="00D00F4A">
        <w:rPr>
          <w:rFonts w:ascii="Book Antiqua" w:eastAsia="Book Antiqua" w:hAnsi="Book Antiqua" w:cs="Book Antiqua"/>
          <w:color w:val="000000"/>
        </w:rPr>
        <w:t>-</w:t>
      </w:r>
      <w:r>
        <w:rPr>
          <w:rFonts w:ascii="Book Antiqua" w:eastAsia="Book Antiqua" w:hAnsi="Book Antiqua" w:cs="Book Antiqua"/>
          <w:color w:val="000000"/>
        </w:rPr>
        <w:t>0.5 ng/mL), respectively. Biochemical examination upon admission, and day</w:t>
      </w:r>
      <w:r w:rsidR="008B07C3">
        <w:rPr>
          <w:rFonts w:ascii="Book Antiqua" w:eastAsia="Book Antiqua" w:hAnsi="Book Antiqua" w:cs="Book Antiqua"/>
          <w:color w:val="000000"/>
        </w:rPr>
        <w:t>s</w:t>
      </w:r>
      <w:r>
        <w:rPr>
          <w:rFonts w:ascii="Book Antiqua" w:eastAsia="Book Antiqua" w:hAnsi="Book Antiqua" w:cs="Book Antiqua"/>
          <w:color w:val="000000"/>
        </w:rPr>
        <w:t xml:space="preserve"> 5 and 28 is summarized in Table 1, indicating deterioration of liver, kidney and myocardial damage and coagulation within 1 wk of admission.</w:t>
      </w:r>
    </w:p>
    <w:p w14:paraId="0E297B8D" w14:textId="77777777" w:rsidR="00A77B3E" w:rsidRDefault="00A77B3E">
      <w:pPr>
        <w:spacing w:line="360" w:lineRule="auto"/>
        <w:jc w:val="both"/>
      </w:pPr>
    </w:p>
    <w:p w14:paraId="687593CE" w14:textId="77777777" w:rsidR="00A77B3E" w:rsidRDefault="008A1A54">
      <w:pPr>
        <w:spacing w:line="360" w:lineRule="auto"/>
        <w:jc w:val="both"/>
      </w:pPr>
      <w:r>
        <w:rPr>
          <w:rFonts w:ascii="Book Antiqua" w:eastAsia="Book Antiqua" w:hAnsi="Book Antiqua" w:cs="Book Antiqua"/>
          <w:b/>
          <w:i/>
          <w:color w:val="000000"/>
        </w:rPr>
        <w:t>Imaging examinations</w:t>
      </w:r>
    </w:p>
    <w:p w14:paraId="01B43FE6" w14:textId="2D49668A" w:rsidR="00A77B3E" w:rsidRDefault="008A1A54">
      <w:pPr>
        <w:spacing w:line="360" w:lineRule="auto"/>
        <w:jc w:val="both"/>
      </w:pPr>
      <w:r>
        <w:rPr>
          <w:rFonts w:ascii="Book Antiqua" w:eastAsia="Book Antiqua" w:hAnsi="Book Antiqua" w:cs="Book Antiqua"/>
          <w:color w:val="000000"/>
        </w:rPr>
        <w:lastRenderedPageBreak/>
        <w:t>Echocardiography showed a depressed left ventricular ejection fraction (41%) and no evidence of vegetation or endocarditis. Abdominal ultrasound examination showed a tubular hypoechoic structure approximately 8.7 cm</w:t>
      </w:r>
      <w:r w:rsidR="00D00F4A">
        <w:rPr>
          <w:rFonts w:ascii="Book Antiqua" w:eastAsia="Book Antiqua" w:hAnsi="Book Antiqua" w:cs="Book Antiqua"/>
          <w:color w:val="000000"/>
        </w:rPr>
        <w:t xml:space="preserve"> × </w:t>
      </w:r>
      <w:r>
        <w:rPr>
          <w:rFonts w:ascii="Book Antiqua" w:eastAsia="Book Antiqua" w:hAnsi="Book Antiqua" w:cs="Book Antiqua"/>
          <w:color w:val="000000"/>
        </w:rPr>
        <w:t>3.3 cm with unclear boundary, and uneven internal echo in the right lower quadrant. Computed tomography scan of the abdomen and pelvis without contrast was performed, which showed mural thickening and exudation surrounding the ascending colon, suggesting that inflammation might be present (Figure 1).</w:t>
      </w:r>
    </w:p>
    <w:p w14:paraId="7B0409E8" w14:textId="77777777" w:rsidR="00A77B3E" w:rsidRDefault="00A77B3E">
      <w:pPr>
        <w:spacing w:line="360" w:lineRule="auto"/>
        <w:jc w:val="both"/>
      </w:pPr>
    </w:p>
    <w:p w14:paraId="64FD01B1" w14:textId="77777777" w:rsidR="00A77B3E" w:rsidRDefault="008A1A54">
      <w:pPr>
        <w:spacing w:line="360" w:lineRule="auto"/>
        <w:jc w:val="both"/>
      </w:pPr>
      <w:r>
        <w:rPr>
          <w:rFonts w:ascii="Book Antiqua" w:eastAsia="Book Antiqua" w:hAnsi="Book Antiqua" w:cs="Book Antiqua"/>
          <w:b/>
          <w:bCs/>
          <w:i/>
          <w:color w:val="000000"/>
        </w:rPr>
        <w:t>Microbiological identification of the causative agent and traceability</w:t>
      </w:r>
    </w:p>
    <w:p w14:paraId="5936D02C" w14:textId="2799FE00" w:rsidR="00A77B3E" w:rsidRDefault="008A1A54">
      <w:pPr>
        <w:spacing w:line="360" w:lineRule="auto"/>
        <w:jc w:val="both"/>
      </w:pPr>
      <w:r>
        <w:rPr>
          <w:rFonts w:ascii="Book Antiqua" w:eastAsia="Book Antiqua" w:hAnsi="Book Antiqua" w:cs="Book Antiqua"/>
          <w:color w:val="000000"/>
        </w:rPr>
        <w:t xml:space="preserve">Four sets of blood cultures were taken using BD BACTEC 92F aerobic and 93F anaerobic media on admission. Blood culture was performed by a BACTEC system (Becton Dickinson, </w:t>
      </w:r>
      <w:r w:rsidR="00D86E36">
        <w:rPr>
          <w:rFonts w:ascii="Book Antiqua" w:eastAsia="Book Antiqua" w:hAnsi="Book Antiqua" w:cs="Book Antiqua"/>
          <w:color w:val="000000"/>
        </w:rPr>
        <w:t xml:space="preserve">Sparks, </w:t>
      </w:r>
      <w:r>
        <w:rPr>
          <w:rFonts w:ascii="Book Antiqua" w:eastAsia="Book Antiqua" w:hAnsi="Book Antiqua" w:cs="Book Antiqua"/>
          <w:color w:val="000000"/>
        </w:rPr>
        <w:t>MD, U</w:t>
      </w:r>
      <w:r w:rsidR="00D00F4A">
        <w:rPr>
          <w:rFonts w:ascii="Book Antiqua" w:eastAsia="Book Antiqua" w:hAnsi="Book Antiqua" w:cs="Book Antiqua"/>
          <w:color w:val="000000"/>
        </w:rPr>
        <w:t>nited States</w:t>
      </w:r>
      <w:r>
        <w:rPr>
          <w:rFonts w:ascii="Book Antiqua" w:eastAsia="Book Antiqua" w:hAnsi="Book Antiqua" w:cs="Book Antiqua"/>
          <w:color w:val="000000"/>
        </w:rPr>
        <w:t xml:space="preserve">). On day 5 of admission,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was identified from blood cultures. Antimicrobial susceptibility testing was performed using the dilution method. The isolate was susceptible to erythromycin (32</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 gentamicin (24</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 levofloxacin (25</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 linezolid (32</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w:t>
      </w:r>
      <w:r>
        <w:rPr>
          <w:rFonts w:ascii="Book Antiqua" w:eastAsia="Book Antiqua" w:hAnsi="Book Antiqua" w:cs="Book Antiqua"/>
          <w:color w:val="000000"/>
          <w:szCs w:val="21"/>
        </w:rPr>
        <w:t xml:space="preserve"> </w:t>
      </w:r>
      <w:r>
        <w:rPr>
          <w:rFonts w:ascii="Book Antiqua" w:eastAsia="Book Antiqua" w:hAnsi="Book Antiqua" w:cs="Book Antiqua"/>
          <w:color w:val="000000"/>
        </w:rPr>
        <w:t>inhibition zone), penicillin (30</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w:t>
      </w:r>
      <w:r>
        <w:rPr>
          <w:rFonts w:ascii="Book Antiqua" w:eastAsia="Book Antiqua" w:hAnsi="Book Antiqua" w:cs="Book Antiqua"/>
          <w:color w:val="000000"/>
          <w:szCs w:val="21"/>
        </w:rPr>
        <w:t xml:space="preserve"> </w:t>
      </w:r>
      <w:r>
        <w:rPr>
          <w:rFonts w:ascii="Book Antiqua" w:eastAsia="Book Antiqua" w:hAnsi="Book Antiqua" w:cs="Book Antiqua"/>
          <w:color w:val="000000"/>
        </w:rPr>
        <w:t>inhibition zone), trimethoprim/sulfamethoxazole (29</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w:t>
      </w:r>
      <w:r>
        <w:rPr>
          <w:rFonts w:ascii="Book Antiqua" w:eastAsia="Book Antiqua" w:hAnsi="Book Antiqua" w:cs="Book Antiqua"/>
          <w:color w:val="000000"/>
          <w:szCs w:val="21"/>
        </w:rPr>
        <w:t xml:space="preserve"> </w:t>
      </w:r>
      <w:r>
        <w:rPr>
          <w:rFonts w:ascii="Book Antiqua" w:eastAsia="Book Antiqua" w:hAnsi="Book Antiqua" w:cs="Book Antiqua"/>
          <w:color w:val="000000"/>
        </w:rPr>
        <w:t>inhibition zone)</w:t>
      </w:r>
      <w:r w:rsidR="0071600C">
        <w:rPr>
          <w:rFonts w:ascii="Book Antiqua" w:eastAsia="Book Antiqua" w:hAnsi="Book Antiqua" w:cs="Book Antiqua"/>
          <w:color w:val="000000"/>
        </w:rPr>
        <w:t>,</w:t>
      </w:r>
      <w:r>
        <w:rPr>
          <w:rFonts w:ascii="Book Antiqua" w:eastAsia="Book Antiqua" w:hAnsi="Book Antiqua" w:cs="Book Antiqua"/>
          <w:color w:val="000000"/>
        </w:rPr>
        <w:t xml:space="preserve"> and vancomycin (21</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 was intermediate to ampicillin/sulbactam and there was resistance to clindamycin and oxacillin. Meropenem was not tested.</w:t>
      </w:r>
    </w:p>
    <w:p w14:paraId="26DCFEE7" w14:textId="59B20A2F" w:rsidR="00A77B3E" w:rsidRDefault="008A1A54" w:rsidP="00D00F4A">
      <w:pPr>
        <w:spacing w:line="360" w:lineRule="auto"/>
        <w:ind w:firstLineChars="100" w:firstLine="240"/>
        <w:jc w:val="both"/>
      </w:pPr>
      <w:r>
        <w:rPr>
          <w:rFonts w:ascii="Book Antiqua" w:eastAsia="Book Antiqua" w:hAnsi="Book Antiqua" w:cs="Book Antiqua"/>
          <w:color w:val="000000"/>
        </w:rPr>
        <w:t xml:space="preserve">Food and environmental samples from the patient’s home were collected by </w:t>
      </w:r>
      <w:r w:rsidR="0071600C">
        <w:rPr>
          <w:rFonts w:ascii="Book Antiqua" w:eastAsia="Book Antiqua" w:hAnsi="Book Antiqua" w:cs="Book Antiqua"/>
          <w:color w:val="000000"/>
        </w:rPr>
        <w:t xml:space="preserve">the </w:t>
      </w:r>
      <w:r>
        <w:rPr>
          <w:rFonts w:ascii="Book Antiqua" w:eastAsia="Book Antiqua" w:hAnsi="Book Antiqua" w:cs="Book Antiqua"/>
          <w:color w:val="000000"/>
        </w:rPr>
        <w:t xml:space="preserve">CDC. One deep-frozen dumpling sample from the refrigerator was positive for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The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isolate identified by the hospital was also sent to the CDC laboratory in Beijing. The strain was serotyped using multiplex polymerase chain reaction. Multilocus sequence typing was performed on the isolate by amplification and sequencing of internal fragments of seven housekeeping genes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Sequencing was performed on </w:t>
      </w:r>
      <w:r w:rsidR="0071600C">
        <w:rPr>
          <w:rFonts w:ascii="Book Antiqua" w:eastAsia="Book Antiqua" w:hAnsi="Book Antiqua" w:cs="Book Antiqua"/>
          <w:color w:val="000000"/>
        </w:rPr>
        <w:t xml:space="preserve">the </w:t>
      </w:r>
      <w:r>
        <w:rPr>
          <w:rFonts w:ascii="Book Antiqua" w:eastAsia="Book Antiqua" w:hAnsi="Book Antiqua" w:cs="Book Antiqua"/>
          <w:color w:val="000000"/>
        </w:rPr>
        <w:t xml:space="preserve">ABI 3770 automatic sequencer.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isolates from the patient and dumpling sample revealed different serotype and sequence types (STs): 1/2b and ST5 from the patient and 1/2c and ST9 from the dumpling.</w:t>
      </w:r>
    </w:p>
    <w:p w14:paraId="072BB25F" w14:textId="77777777" w:rsidR="00A77B3E" w:rsidRDefault="00A77B3E" w:rsidP="00D00F4A">
      <w:pPr>
        <w:spacing w:line="360" w:lineRule="auto"/>
        <w:jc w:val="both"/>
      </w:pPr>
    </w:p>
    <w:p w14:paraId="3266A0CF" w14:textId="77777777" w:rsidR="00A77B3E" w:rsidRDefault="008A1A54">
      <w:pPr>
        <w:spacing w:line="360" w:lineRule="auto"/>
        <w:jc w:val="both"/>
      </w:pPr>
      <w:r>
        <w:rPr>
          <w:rFonts w:ascii="Book Antiqua" w:eastAsia="Book Antiqua" w:hAnsi="Book Antiqua" w:cs="Book Antiqua"/>
          <w:b/>
          <w:caps/>
          <w:color w:val="000000"/>
          <w:u w:val="single"/>
        </w:rPr>
        <w:lastRenderedPageBreak/>
        <w:t>FINAL DIAGNOSIS</w:t>
      </w:r>
    </w:p>
    <w:p w14:paraId="2633E4D1" w14:textId="281692AE" w:rsidR="00A77B3E" w:rsidRDefault="008A1A54">
      <w:pPr>
        <w:spacing w:line="360" w:lineRule="auto"/>
        <w:jc w:val="both"/>
      </w:pPr>
      <w:r>
        <w:rPr>
          <w:rFonts w:ascii="Book Antiqua" w:eastAsia="Book Antiqua" w:hAnsi="Book Antiqua" w:cs="Book Antiqua"/>
          <w:color w:val="000000"/>
        </w:rPr>
        <w:t>The patient was finally diagnosed with</w:t>
      </w:r>
      <w:r>
        <w:rPr>
          <w:rFonts w:ascii="Book Antiqua" w:eastAsia="Book Antiqua" w:hAnsi="Book Antiqua" w:cs="Book Antiqua"/>
          <w:i/>
          <w:iCs/>
          <w:color w:val="000000"/>
        </w:rPr>
        <w:t xml:space="preserve"> L. monocytogenes</w:t>
      </w:r>
      <w:r>
        <w:rPr>
          <w:rFonts w:ascii="Book Antiqua" w:eastAsia="Book Antiqua" w:hAnsi="Book Antiqua" w:cs="Book Antiqua"/>
          <w:color w:val="000000"/>
        </w:rPr>
        <w:t xml:space="preserve"> bacteremia, localized peritonitis, sepsis, multiple system</w:t>
      </w:r>
      <w:r>
        <w:rPr>
          <w:rFonts w:ascii="Book Antiqua" w:eastAsia="Book Antiqua" w:hAnsi="Book Antiqua" w:cs="Book Antiqua"/>
          <w:color w:val="000000"/>
          <w:szCs w:val="21"/>
        </w:rPr>
        <w:t xml:space="preserve"> </w:t>
      </w:r>
      <w:r>
        <w:rPr>
          <w:rFonts w:ascii="Book Antiqua" w:eastAsia="Book Antiqua" w:hAnsi="Book Antiqua" w:cs="Book Antiqua"/>
          <w:color w:val="000000"/>
        </w:rPr>
        <w:t>dysfunction (</w:t>
      </w:r>
      <w:r w:rsidR="00D00F4A">
        <w:rPr>
          <w:rFonts w:ascii="Book Antiqua" w:eastAsia="Book Antiqua" w:hAnsi="Book Antiqua" w:cs="Book Antiqua"/>
          <w:color w:val="000000"/>
        </w:rPr>
        <w:t>r</w:t>
      </w:r>
      <w:r>
        <w:rPr>
          <w:rFonts w:ascii="Book Antiqua" w:eastAsia="Book Antiqua" w:hAnsi="Book Antiqua" w:cs="Book Antiqua"/>
          <w:color w:val="000000"/>
        </w:rPr>
        <w:t>espiration, liver, central nervous system, renal, and heart), and disseminated intravascular coagulation.</w:t>
      </w:r>
    </w:p>
    <w:p w14:paraId="2FDDE192" w14:textId="77777777" w:rsidR="00A77B3E" w:rsidRDefault="00A77B3E">
      <w:pPr>
        <w:spacing w:line="360" w:lineRule="auto"/>
        <w:jc w:val="both"/>
      </w:pPr>
    </w:p>
    <w:p w14:paraId="6E2367FE" w14:textId="77777777" w:rsidR="00A77B3E" w:rsidRDefault="008A1A54">
      <w:pPr>
        <w:spacing w:line="360" w:lineRule="auto"/>
        <w:jc w:val="both"/>
      </w:pPr>
      <w:r>
        <w:rPr>
          <w:rFonts w:ascii="Book Antiqua" w:eastAsia="Book Antiqua" w:hAnsi="Book Antiqua" w:cs="Book Antiqua"/>
          <w:b/>
          <w:caps/>
          <w:color w:val="000000"/>
          <w:u w:val="single"/>
        </w:rPr>
        <w:t>TREATMENT</w:t>
      </w:r>
    </w:p>
    <w:p w14:paraId="5F595FD3" w14:textId="145CE79B" w:rsidR="00A77B3E" w:rsidRDefault="008A1A54">
      <w:pPr>
        <w:spacing w:line="360" w:lineRule="auto"/>
        <w:jc w:val="both"/>
      </w:pPr>
      <w:r>
        <w:rPr>
          <w:rFonts w:ascii="Book Antiqua" w:eastAsia="Book Antiqua" w:hAnsi="Book Antiqua" w:cs="Book Antiqua"/>
          <w:color w:val="000000"/>
        </w:rPr>
        <w:t>As the patient was in critical condition and had abdominal infection commonly caused by Gram-negative or anaerobic bacteria, he was treated empirically with intravenous meropenem (0.5 g every 8 h), teicoplanin (0.4 g every 12 h)</w:t>
      </w:r>
      <w:r w:rsidR="00652689">
        <w:rPr>
          <w:rFonts w:ascii="Book Antiqua" w:eastAsia="Book Antiqua" w:hAnsi="Book Antiqua" w:cs="Book Antiqua"/>
          <w:color w:val="000000"/>
        </w:rPr>
        <w:t>,</w:t>
      </w:r>
      <w:r>
        <w:rPr>
          <w:rFonts w:ascii="Book Antiqua" w:eastAsia="Book Antiqua" w:hAnsi="Book Antiqua" w:cs="Book Antiqua"/>
          <w:color w:val="000000"/>
        </w:rPr>
        <w:t xml:space="preserve"> and ornidazole (0.5 g every 12 h). The patient did not respond to the initial antibiotic treatment as high fever and stupor persisted. On day 2, a Gram-positive bacterium was detected in one of the anaerobic blood cultures (time to positivity 27.92 h). On day 3, the patient presented with Biot’s breathing and oxygen saturation on room air of 88% (</w:t>
      </w:r>
      <w:r w:rsidR="00254E26">
        <w:rPr>
          <w:rFonts w:ascii="Book Antiqua" w:eastAsia="Book Antiqua" w:hAnsi="Book Antiqua" w:cs="Book Antiqua"/>
          <w:color w:val="000000"/>
        </w:rPr>
        <w:t>partial pressure of oxygen</w:t>
      </w:r>
      <w:r>
        <w:rPr>
          <w:rFonts w:ascii="Book Antiqua" w:eastAsia="Book Antiqua" w:hAnsi="Book Antiqua" w:cs="Book Antiqua"/>
          <w:color w:val="000000"/>
        </w:rPr>
        <w:t>/</w:t>
      </w:r>
      <w:r w:rsidR="00254E26">
        <w:rPr>
          <w:rFonts w:ascii="Book Antiqua" w:eastAsia="Book Antiqua" w:hAnsi="Book Antiqua" w:cs="Book Antiqua"/>
          <w:color w:val="000000"/>
        </w:rPr>
        <w:t xml:space="preserve">fraction of inspired oxygen </w:t>
      </w:r>
      <w:r>
        <w:rPr>
          <w:rFonts w:ascii="Book Antiqua" w:eastAsia="Book Antiqua" w:hAnsi="Book Antiqua" w:cs="Book Antiqua"/>
          <w:color w:val="000000"/>
        </w:rPr>
        <w:t>ratio: 276 mmHg). Oxygen therapy was administered by Venturi Mask and respiratory stimulant drugs were given. He responded subsequently with resolution of hypoxemia. During the disease course, the patient presented with myocardial damage, acute progression of chronic renal disease, liver injury</w:t>
      </w:r>
      <w:r w:rsidR="00351A0C">
        <w:rPr>
          <w:rFonts w:ascii="Book Antiqua" w:eastAsia="Book Antiqua" w:hAnsi="Book Antiqua" w:cs="Book Antiqua"/>
          <w:color w:val="000000"/>
        </w:rPr>
        <w:t>,</w:t>
      </w:r>
      <w:r>
        <w:rPr>
          <w:rFonts w:ascii="Book Antiqua" w:eastAsia="Book Antiqua" w:hAnsi="Book Antiqua" w:cs="Book Antiqua"/>
          <w:color w:val="000000"/>
        </w:rPr>
        <w:t xml:space="preserve"> and disseminated intravascular coagulation. Disseminated intravascular coagulation score was 6. The sequential organ failure assessment (SOFA)</w:t>
      </w:r>
      <w:r>
        <w:rPr>
          <w:rFonts w:ascii="Book Antiqua" w:eastAsia="Book Antiqua" w:hAnsi="Book Antiqua" w:cs="Book Antiqua"/>
          <w:color w:val="000000"/>
          <w:szCs w:val="30"/>
          <w:vertAlign w:val="superscript"/>
        </w:rPr>
        <w:t>[10]</w:t>
      </w:r>
      <w:r w:rsidRPr="00D00F4A">
        <w:rPr>
          <w:rFonts w:ascii="Book Antiqua" w:eastAsia="Book Antiqua" w:hAnsi="Book Antiqua" w:cs="Book Antiqua"/>
          <w:color w:val="000000"/>
          <w:szCs w:val="30"/>
        </w:rPr>
        <w:t xml:space="preserve"> </w:t>
      </w:r>
      <w:r>
        <w:rPr>
          <w:rFonts w:ascii="Book Antiqua" w:eastAsia="Book Antiqua" w:hAnsi="Book Antiqua" w:cs="Book Antiqua"/>
          <w:color w:val="000000"/>
        </w:rPr>
        <w:t>and SOFA of elderly</w:t>
      </w:r>
      <w:r>
        <w:rPr>
          <w:rFonts w:ascii="Book Antiqua" w:eastAsia="Book Antiqua" w:hAnsi="Book Antiqua" w:cs="Book Antiqua"/>
          <w:color w:val="000000"/>
          <w:szCs w:val="30"/>
          <w:vertAlign w:val="superscript"/>
        </w:rPr>
        <w:t>[11]</w:t>
      </w:r>
      <w:r w:rsidRPr="00D00F4A">
        <w:rPr>
          <w:rFonts w:ascii="Book Antiqua" w:eastAsia="Book Antiqua" w:hAnsi="Book Antiqua" w:cs="Book Antiqua"/>
          <w:color w:val="000000"/>
          <w:szCs w:val="30"/>
        </w:rPr>
        <w:t xml:space="preserve"> </w:t>
      </w:r>
      <w:r>
        <w:rPr>
          <w:rFonts w:ascii="Book Antiqua" w:eastAsia="Book Antiqua" w:hAnsi="Book Antiqua" w:cs="Book Antiqua"/>
          <w:color w:val="000000"/>
        </w:rPr>
        <w:t>score was 7 and 10, respectively. Glutathione and plasma were infused.</w:t>
      </w:r>
    </w:p>
    <w:p w14:paraId="02BE18DE" w14:textId="12FC9F9A" w:rsidR="00A77B3E" w:rsidRDefault="008A1A54" w:rsidP="00D00F4A">
      <w:pPr>
        <w:spacing w:line="360" w:lineRule="auto"/>
        <w:ind w:firstLineChars="100" w:firstLine="240"/>
        <w:jc w:val="both"/>
      </w:pPr>
      <w:r>
        <w:rPr>
          <w:rFonts w:ascii="Book Antiqua" w:eastAsia="Book Antiqua" w:hAnsi="Book Antiqua" w:cs="Book Antiqua"/>
          <w:color w:val="000000"/>
        </w:rPr>
        <w:t xml:space="preserve">On day 5,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identified from </w:t>
      </w:r>
      <w:r w:rsidR="00351A0C">
        <w:rPr>
          <w:rFonts w:ascii="Book Antiqua" w:eastAsia="Book Antiqua" w:hAnsi="Book Antiqua" w:cs="Book Antiqua"/>
          <w:color w:val="000000"/>
        </w:rPr>
        <w:t xml:space="preserve">the </w:t>
      </w:r>
      <w:r>
        <w:rPr>
          <w:rFonts w:ascii="Book Antiqua" w:eastAsia="Book Antiqua" w:hAnsi="Book Antiqua" w:cs="Book Antiqua"/>
          <w:color w:val="000000"/>
        </w:rPr>
        <w:t xml:space="preserve">blood cultures. We did not choose penicillin to replace meropenem to avoid antibiotic step-down in a critical condition. </w:t>
      </w:r>
      <w:bookmarkStart w:id="1" w:name="_Hlk71202860"/>
      <w:r>
        <w:rPr>
          <w:rFonts w:ascii="Book Antiqua" w:eastAsia="Book Antiqua" w:hAnsi="Book Antiqua" w:cs="Book Antiqua"/>
          <w:color w:val="000000"/>
        </w:rPr>
        <w:t xml:space="preserve">Vancomycin or sulfamethoxazole/trimethoprim </w:t>
      </w:r>
      <w:r w:rsidR="00351A0C">
        <w:rPr>
          <w:rFonts w:ascii="Book Antiqua" w:eastAsia="Book Antiqua" w:hAnsi="Book Antiqua" w:cs="Book Antiqua"/>
          <w:color w:val="000000"/>
        </w:rPr>
        <w:t xml:space="preserve">was </w:t>
      </w:r>
      <w:r>
        <w:rPr>
          <w:rFonts w:ascii="Book Antiqua" w:eastAsia="Book Antiqua" w:hAnsi="Book Antiqua" w:cs="Book Antiqua"/>
          <w:color w:val="000000"/>
        </w:rPr>
        <w:t xml:space="preserve">not administered for serious complications and renal insufficiency. </w:t>
      </w:r>
      <w:bookmarkStart w:id="2" w:name="_Hlk71202890"/>
      <w:bookmarkEnd w:id="1"/>
      <w:r>
        <w:rPr>
          <w:rFonts w:ascii="Book Antiqua" w:eastAsia="Book Antiqua" w:hAnsi="Book Antiqua" w:cs="Book Antiqua"/>
          <w:color w:val="000000"/>
        </w:rPr>
        <w:t xml:space="preserve">Gram-positive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susceptible to linezolid (32</w:t>
      </w:r>
      <w:r w:rsidR="00D00F4A">
        <w:rPr>
          <w:rFonts w:ascii="Book Antiqua" w:eastAsia="Book Antiqua" w:hAnsi="Book Antiqua" w:cs="Book Antiqua"/>
          <w:color w:val="000000"/>
        </w:rPr>
        <w:t xml:space="preserve"> </w:t>
      </w:r>
      <w:r>
        <w:rPr>
          <w:rFonts w:ascii="Book Antiqua" w:eastAsia="Book Antiqua" w:hAnsi="Book Antiqua" w:cs="Book Antiqua"/>
          <w:color w:val="000000"/>
        </w:rPr>
        <w:t>mm inhibition zone)</w:t>
      </w:r>
      <w:r w:rsidR="00351A0C">
        <w:rPr>
          <w:rFonts w:ascii="Book Antiqua" w:eastAsia="Book Antiqua" w:hAnsi="Book Antiqua" w:cs="Book Antiqua"/>
          <w:color w:val="000000"/>
        </w:rPr>
        <w:t>;</w:t>
      </w:r>
      <w:r>
        <w:rPr>
          <w:rFonts w:ascii="Book Antiqua" w:eastAsia="Book Antiqua" w:hAnsi="Book Antiqua" w:cs="Book Antiqua"/>
          <w:color w:val="000000"/>
        </w:rPr>
        <w:t xml:space="preserve"> thus, intravenous teicoplanin and ornidazole were stopped and subsequently meropenem and linezolid (0.6 g every 12 h) were initiated.</w:t>
      </w:r>
      <w:bookmarkEnd w:id="2"/>
    </w:p>
    <w:p w14:paraId="51CCAFC0" w14:textId="77777777" w:rsidR="00A77B3E" w:rsidRDefault="008A1A54" w:rsidP="00D00F4A">
      <w:pPr>
        <w:spacing w:line="360" w:lineRule="auto"/>
        <w:ind w:firstLineChars="100" w:firstLine="240"/>
        <w:jc w:val="both"/>
      </w:pPr>
      <w:r>
        <w:rPr>
          <w:rFonts w:ascii="Book Antiqua" w:eastAsia="Book Antiqua" w:hAnsi="Book Antiqua" w:cs="Book Antiqua"/>
          <w:color w:val="000000"/>
        </w:rPr>
        <w:t xml:space="preserve">The temperature gradually returned to normal. Starting from day 8, the patient was afebrile and conscious. He could answer questions correctly and no neurological sequelae developed. The abdominal signs relieved gradually. The patient received meropenem and linezolid for 10 d, and then piperacillin/tazobactam (4.5 g, every 8 h) </w:t>
      </w:r>
      <w:r>
        <w:rPr>
          <w:rFonts w:ascii="Book Antiqua" w:eastAsia="Book Antiqua" w:hAnsi="Book Antiqua" w:cs="Book Antiqua"/>
          <w:color w:val="000000"/>
        </w:rPr>
        <w:lastRenderedPageBreak/>
        <w:t>as step-down therapy was administered for a total of 2 wk. The patient received intravenous antibiotic treatment for 4 wk upon discharge, and blood cultures were negative. Antibiotics used are summarized in Figure 2.</w:t>
      </w:r>
    </w:p>
    <w:p w14:paraId="347F2DF2" w14:textId="77777777" w:rsidR="00A77B3E" w:rsidRDefault="00A77B3E" w:rsidP="00D00F4A">
      <w:pPr>
        <w:spacing w:line="360" w:lineRule="auto"/>
        <w:jc w:val="both"/>
      </w:pPr>
    </w:p>
    <w:p w14:paraId="0E127B8D" w14:textId="77777777" w:rsidR="00A77B3E" w:rsidRDefault="008A1A54">
      <w:pPr>
        <w:spacing w:line="360" w:lineRule="auto"/>
        <w:jc w:val="both"/>
      </w:pPr>
      <w:r>
        <w:rPr>
          <w:rFonts w:ascii="Book Antiqua" w:eastAsia="Book Antiqua" w:hAnsi="Book Antiqua" w:cs="Book Antiqua"/>
          <w:b/>
          <w:caps/>
          <w:color w:val="000000"/>
          <w:u w:val="single"/>
        </w:rPr>
        <w:t>OUTCOME AND FOLLOW-UP</w:t>
      </w:r>
    </w:p>
    <w:p w14:paraId="761A9381" w14:textId="39F50562" w:rsidR="00A77B3E" w:rsidRDefault="008A1A54">
      <w:pPr>
        <w:spacing w:line="360" w:lineRule="auto"/>
        <w:jc w:val="both"/>
      </w:pPr>
      <w:r>
        <w:rPr>
          <w:rFonts w:ascii="Book Antiqua" w:eastAsia="Book Antiqua" w:hAnsi="Book Antiqua" w:cs="Book Antiqua"/>
          <w:color w:val="000000"/>
        </w:rPr>
        <w:t xml:space="preserve">Abdominal ultrasound performed before discharge showed normal findings. Fecal occult blood was </w:t>
      </w:r>
      <w:proofErr w:type="gramStart"/>
      <w:r>
        <w:rPr>
          <w:rFonts w:ascii="Book Antiqua" w:eastAsia="Book Antiqua" w:hAnsi="Book Antiqua" w:cs="Book Antiqua"/>
          <w:color w:val="000000"/>
        </w:rPr>
        <w:t>negative</w:t>
      </w:r>
      <w:proofErr w:type="gramEnd"/>
      <w:r>
        <w:rPr>
          <w:rFonts w:ascii="Book Antiqua" w:eastAsia="Book Antiqua" w:hAnsi="Book Antiqua" w:cs="Book Antiqua"/>
          <w:color w:val="000000"/>
        </w:rPr>
        <w:t xml:space="preserve"> and liver, kidney</w:t>
      </w:r>
      <w:r w:rsidR="00351A0C">
        <w:rPr>
          <w:rFonts w:ascii="Book Antiqua" w:eastAsia="Book Antiqua" w:hAnsi="Book Antiqua" w:cs="Book Antiqua"/>
          <w:color w:val="000000"/>
        </w:rPr>
        <w:t>,</w:t>
      </w:r>
      <w:r>
        <w:rPr>
          <w:rFonts w:ascii="Book Antiqua" w:eastAsia="Book Antiqua" w:hAnsi="Book Antiqua" w:cs="Book Antiqua"/>
          <w:color w:val="000000"/>
        </w:rPr>
        <w:t xml:space="preserve"> and coagulation functions were normal (Table 1). The patient was discharged in fair condition and there was no sign of relapse during follow-up after discharge. No family members suffered from listeriosis. He eventually died of </w:t>
      </w:r>
      <w:r>
        <w:rPr>
          <w:rFonts w:ascii="Book Antiqua" w:eastAsia="Book Antiqua" w:hAnsi="Book Antiqua" w:cs="Book Antiqua"/>
          <w:i/>
          <w:iCs/>
          <w:color w:val="000000"/>
        </w:rPr>
        <w:t>Klebsiella</w:t>
      </w:r>
      <w:r>
        <w:rPr>
          <w:rFonts w:ascii="Book Antiqua" w:eastAsia="Book Antiqua" w:hAnsi="Book Antiqua" w:cs="Book Antiqua"/>
          <w:color w:val="000000"/>
        </w:rPr>
        <w:t xml:space="preserve"> pneumoniae after 8 mo.</w:t>
      </w:r>
    </w:p>
    <w:p w14:paraId="7499C069" w14:textId="77777777" w:rsidR="00A77B3E" w:rsidRDefault="00A77B3E">
      <w:pPr>
        <w:spacing w:line="360" w:lineRule="auto"/>
        <w:jc w:val="both"/>
      </w:pPr>
    </w:p>
    <w:p w14:paraId="4977626C" w14:textId="77777777" w:rsidR="00A77B3E" w:rsidRDefault="008A1A54">
      <w:pPr>
        <w:spacing w:line="360" w:lineRule="auto"/>
        <w:jc w:val="both"/>
      </w:pPr>
      <w:r>
        <w:rPr>
          <w:rFonts w:ascii="Book Antiqua" w:eastAsia="Book Antiqua" w:hAnsi="Book Antiqua" w:cs="Book Antiqua"/>
          <w:b/>
          <w:caps/>
          <w:color w:val="000000"/>
          <w:u w:val="single"/>
        </w:rPr>
        <w:t>DISCUSSION</w:t>
      </w:r>
    </w:p>
    <w:p w14:paraId="0407A0D4" w14:textId="29E2C59B" w:rsidR="00A77B3E" w:rsidRDefault="008A1A54">
      <w:pPr>
        <w:spacing w:line="360" w:lineRule="auto"/>
        <w:jc w:val="both"/>
      </w:pPr>
      <w:r>
        <w:rPr>
          <w:rFonts w:ascii="Book Antiqua" w:eastAsia="Book Antiqua" w:hAnsi="Book Antiqua" w:cs="Book Antiqua"/>
          <w:color w:val="000000"/>
        </w:rPr>
        <w:t xml:space="preserve">We report a case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 in a 102-year-old man with serious complications that was successfully treated by meropenem, linezolid</w:t>
      </w:r>
      <w:r w:rsidR="003055F4">
        <w:rPr>
          <w:rFonts w:ascii="Book Antiqua" w:eastAsia="Book Antiqua" w:hAnsi="Book Antiqua" w:cs="Book Antiqua"/>
          <w:color w:val="000000"/>
        </w:rPr>
        <w:t>,</w:t>
      </w:r>
      <w:r>
        <w:rPr>
          <w:rFonts w:ascii="Book Antiqua" w:eastAsia="Book Antiqua" w:hAnsi="Book Antiqua" w:cs="Book Antiqua"/>
          <w:color w:val="000000"/>
        </w:rPr>
        <w:t xml:space="preserve"> and piperacillin/tazobactam. Geriatricians should be suspicious of listeriosis when infected patients do not respond to broad-spectrum antibiotics and when the patients have history of frozen food consumption. Linezolid might be valuable </w:t>
      </w:r>
      <w:r w:rsidR="00B476ED">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treatment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strains from the patient and refrigerated dumpling belonged to different serotype and STs. Thus, the </w:t>
      </w:r>
      <w:r>
        <w:rPr>
          <w:rFonts w:ascii="Book Antiqua" w:eastAsia="Book Antiqua" w:hAnsi="Book Antiqua" w:cs="Book Antiqua"/>
          <w:i/>
          <w:iCs/>
          <w:color w:val="000000"/>
        </w:rPr>
        <w:t>L. monocytogenes</w:t>
      </w:r>
      <w:r w:rsidR="00B476ED">
        <w:rPr>
          <w:rFonts w:ascii="Book Antiqua" w:eastAsia="Book Antiqua" w:hAnsi="Book Antiqua" w:cs="Book Antiqua"/>
          <w:color w:val="000000"/>
        </w:rPr>
        <w:t>-</w:t>
      </w:r>
      <w:r>
        <w:rPr>
          <w:rFonts w:ascii="Book Antiqua" w:eastAsia="Book Antiqua" w:hAnsi="Book Antiqua" w:cs="Book Antiqua"/>
          <w:color w:val="000000"/>
        </w:rPr>
        <w:t xml:space="preserve">contaminated dumpling was not the source of the patient’s infection. To the best of our knowledge, this is the oldest patient with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w:t>
      </w:r>
    </w:p>
    <w:p w14:paraId="33B1A574" w14:textId="0A82C83B" w:rsidR="00A77B3E" w:rsidRDefault="008A1A54" w:rsidP="00D00F4A">
      <w:pPr>
        <w:spacing w:line="360" w:lineRule="auto"/>
        <w:ind w:firstLineChars="100" w:firstLine="240"/>
        <w:jc w:val="both"/>
      </w:pPr>
      <w:r>
        <w:rPr>
          <w:rFonts w:ascii="Book Antiqua" w:eastAsia="Book Antiqua" w:hAnsi="Book Antiqua" w:cs="Book Antiqua"/>
          <w:color w:val="000000"/>
        </w:rPr>
        <w:t>Listeriosis has an estimated incidence of 2</w:t>
      </w:r>
      <w:r w:rsidR="00D00F4A">
        <w:rPr>
          <w:rFonts w:ascii="Book Antiqua" w:eastAsia="Book Antiqua" w:hAnsi="Book Antiqua" w:cs="Book Antiqua"/>
          <w:color w:val="000000"/>
        </w:rPr>
        <w:t>-</w:t>
      </w:r>
      <w:r>
        <w:rPr>
          <w:rFonts w:ascii="Book Antiqua" w:eastAsia="Book Antiqua" w:hAnsi="Book Antiqua" w:cs="Book Antiqua"/>
          <w:color w:val="000000"/>
        </w:rPr>
        <w:t xml:space="preserve">15 cases per million per year in developed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There is currently no accurate incidence of listeriosis in China. The number of patients in Mainland China is higher than that reported in the previous decade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 systematic review</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extracted 136 articles about listeriosis in Mainland China. A total of 562 </w:t>
      </w:r>
      <w:r w:rsidR="00D00F4A">
        <w:rPr>
          <w:rFonts w:ascii="Book Antiqua" w:eastAsia="Book Antiqua" w:hAnsi="Book Antiqua" w:cs="Book Antiqua"/>
          <w:color w:val="000000"/>
        </w:rPr>
        <w:t>l</w:t>
      </w:r>
      <w:r>
        <w:rPr>
          <w:rFonts w:ascii="Book Antiqua" w:eastAsia="Book Antiqua" w:hAnsi="Book Antiqua" w:cs="Book Antiqua"/>
          <w:color w:val="000000"/>
        </w:rPr>
        <w:t>isteriosis patients were reported during 2011</w:t>
      </w:r>
      <w:r w:rsidR="00D00F4A">
        <w:rPr>
          <w:rFonts w:ascii="Book Antiqua" w:eastAsia="Book Antiqua" w:hAnsi="Book Antiqua" w:cs="Book Antiqua"/>
          <w:color w:val="000000"/>
        </w:rPr>
        <w:t>-</w:t>
      </w:r>
      <w:r>
        <w:rPr>
          <w:rFonts w:ascii="Book Antiqua" w:eastAsia="Book Antiqua" w:hAnsi="Book Antiqua" w:cs="Book Antiqua"/>
          <w:color w:val="000000"/>
        </w:rPr>
        <w:t xml:space="preserve">2017 including 227 (40.4%) nonperinatal patients, 231 (41.1%) perinatal patients, and 104 (18.5%) nonclustered patients. Beijing CDC received 49 clinical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infectious case reports (27 pregnancy-associated and 22 nonpregnancy-associated infections) between 2014 and 2016</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causes severe and life-threatening diseases such as meningitis </w:t>
      </w:r>
      <w:r>
        <w:rPr>
          <w:rFonts w:ascii="Book Antiqua" w:eastAsia="Book Antiqua" w:hAnsi="Book Antiqua" w:cs="Book Antiqua"/>
          <w:color w:val="000000"/>
        </w:rPr>
        <w:lastRenderedPageBreak/>
        <w:t>and bacteremia, with an estimated lethality of 10</w:t>
      </w:r>
      <w:r w:rsidR="00D00F4A">
        <w:rPr>
          <w:rFonts w:ascii="Book Antiqua" w:eastAsia="Book Antiqua" w:hAnsi="Book Antiqua" w:cs="Book Antiqua"/>
          <w:color w:val="000000"/>
        </w:rPr>
        <w:t>%-</w:t>
      </w:r>
      <w:r>
        <w:rPr>
          <w:rFonts w:ascii="Book Antiqua" w:eastAsia="Book Antiqua" w:hAnsi="Book Antiqua" w:cs="Book Antiqua"/>
          <w:color w:val="000000"/>
        </w:rPr>
        <w:t>30%</w:t>
      </w:r>
      <w:r>
        <w:rPr>
          <w:rFonts w:ascii="Book Antiqua" w:eastAsia="Book Antiqua" w:hAnsi="Book Antiqua" w:cs="Book Antiqua"/>
          <w:color w:val="000000"/>
          <w:szCs w:val="30"/>
          <w:vertAlign w:val="superscript"/>
        </w:rPr>
        <w:t>[2,5,12]</w:t>
      </w:r>
      <w:r>
        <w:rPr>
          <w:rFonts w:ascii="Book Antiqua" w:eastAsia="Book Antiqua" w:hAnsi="Book Antiqua" w:cs="Book Antiqua"/>
          <w:color w:val="000000"/>
        </w:rPr>
        <w:t>. Mortality rates increase among those reporting a delay in diagnosis and treatment and in those with severe comorbidity</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41253512" w14:textId="54D66398" w:rsidR="00A77B3E" w:rsidRDefault="008A1A54" w:rsidP="00D00F4A">
      <w:pPr>
        <w:spacing w:line="360" w:lineRule="auto"/>
        <w:ind w:firstLineChars="100" w:firstLine="240"/>
        <w:jc w:val="both"/>
      </w:pPr>
      <w:r>
        <w:rPr>
          <w:rFonts w:ascii="Book Antiqua" w:eastAsia="Book Antiqua" w:hAnsi="Book Antiqua" w:cs="Book Antiqua"/>
          <w:color w:val="000000"/>
        </w:rPr>
        <w:t xml:space="preserve">In this study, our patient’s advanced age, nonresponse to broad-spectrum antibiotics, poor dietary history and mucosal injury caused by localized peritonitis, were the clues to suspicion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infection. As described in</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Supplementary Table 1, </w:t>
      </w:r>
      <w:r w:rsidR="0081019E">
        <w:rPr>
          <w:rFonts w:ascii="Book Antiqua" w:eastAsia="Book Antiqua" w:hAnsi="Book Antiqua" w:cs="Book Antiqua"/>
          <w:color w:val="000000"/>
        </w:rPr>
        <w:t xml:space="preserve">7 </w:t>
      </w:r>
      <w:r>
        <w:rPr>
          <w:rFonts w:ascii="Book Antiqua" w:eastAsia="Book Antiqua" w:hAnsi="Book Antiqua" w:cs="Book Antiqua"/>
          <w:color w:val="000000"/>
        </w:rPr>
        <w:t xml:space="preserve">of 14 case reports were patients aged &gt; 65 years. Three cases were suspected to have come from possibly contaminated food sources, but none was traced by further analysis.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 naturally and intrinsically resistant to first-generation quinolones, fosfomycin and cephalosporins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Penicillin, amoxicillin and ampicillin are recommended as first-line drugs for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infection by current expert opinions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Cotrimoxazole can be administered as an alternative treatment for listeriosis. Linezolid and vancomycin are valuable drugs in the treatment of listeriosis. Linezolid is an oxazolidinone with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activity against </w:t>
      </w:r>
      <w:r>
        <w:rPr>
          <w:rFonts w:ascii="Book Antiqua" w:eastAsia="Book Antiqua" w:hAnsi="Book Antiqua" w:cs="Book Antiqua"/>
          <w:i/>
          <w:iCs/>
          <w:color w:val="000000"/>
        </w:rPr>
        <w:t>L. monocytogenes</w:t>
      </w:r>
      <w:r>
        <w:rPr>
          <w:rFonts w:ascii="Book Antiqua" w:eastAsia="Book Antiqua" w:hAnsi="Book Antiqua" w:cs="Book Antiqua"/>
          <w:color w:val="000000"/>
        </w:rPr>
        <w:t>. Its elevated cerebrospinal fluid and intracellular concentrations seem adequate for the treatment of neurolisteriosis and bacteremia in animal models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w:t>
      </w:r>
      <w:r w:rsidR="00D745A0">
        <w:rPr>
          <w:rFonts w:ascii="Book Antiqua" w:eastAsia="Book Antiqua" w:hAnsi="Book Antiqua" w:cs="Book Antiqua"/>
          <w:color w:val="000000"/>
        </w:rPr>
        <w:t>Multicentric Observational National Study on Listeriosis and Listeria</w:t>
      </w:r>
      <w:r w:rsidR="0081019E">
        <w:rPr>
          <w:rFonts w:ascii="Book Antiqua" w:eastAsia="Book Antiqua" w:hAnsi="Book Antiqua" w:cs="Book Antiqua"/>
          <w:color w:val="000000"/>
        </w:rPr>
        <w:t xml:space="preserve"> (MONALISA</w:t>
      </w:r>
      <w:r>
        <w:rPr>
          <w:rFonts w:ascii="Book Antiqua" w:eastAsia="Book Antiqua" w:hAnsi="Book Antiqua" w:cs="Book Antiqua"/>
          <w:color w:val="000000"/>
        </w:rPr>
        <w:t>) study reported five cases (1%) treated with linezolid for a median duration of 10</w:t>
      </w:r>
      <w:r w:rsidR="00D745A0">
        <w:rPr>
          <w:rFonts w:ascii="Book Antiqua" w:eastAsia="Book Antiqua" w:hAnsi="Book Antiqua" w:cs="Book Antiqua"/>
          <w:color w:val="000000"/>
        </w:rPr>
        <w:t>-</w:t>
      </w:r>
      <w:r>
        <w:rPr>
          <w:rFonts w:ascii="Book Antiqua" w:eastAsia="Book Antiqua" w:hAnsi="Book Antiqua" w:cs="Book Antiqua"/>
          <w:color w:val="000000"/>
        </w:rPr>
        <w:t xml:space="preserve">15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Meropenem in the treatment of listeriosis is still a matter of current debate. Meropenem displays a markedly low minimum inhibitory concentration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even lower than that of ampicillin against </w:t>
      </w:r>
      <w:r>
        <w:rPr>
          <w:rFonts w:ascii="Book Antiqua" w:eastAsia="Book Antiqua" w:hAnsi="Book Antiqua" w:cs="Book Antiqua"/>
          <w:i/>
          <w:iCs/>
          <w:color w:val="000000"/>
        </w:rPr>
        <w:t>L. monocytogenes</w:t>
      </w:r>
      <w:r>
        <w:rPr>
          <w:rFonts w:ascii="Book Antiqua" w:eastAsia="Book Antiqua" w:hAnsi="Book Antiqua" w:cs="Book Antiqua"/>
          <w:color w:val="000000"/>
          <w:szCs w:val="30"/>
          <w:vertAlign w:val="superscript"/>
        </w:rPr>
        <w:t>[15]</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However, data on the efficacy of meropenem in clinical cases of listeriosis are scarce. Meropenem therapy failure in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infection was reported on the basis of case reports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A Danish retrospective study showed that definitive therapy with meropenem was associated with significantly higher 30-d mortality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 current patient failed to respond to initial meropenem therapy until linezolid was added, indicating that linezolid is a valuable antibiotic </w:t>
      </w:r>
      <w:r w:rsidR="00732061">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treatment of the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w:t>
      </w:r>
      <w:r>
        <w:rPr>
          <w:rFonts w:ascii="Book Antiqua" w:eastAsia="Book Antiqua" w:hAnsi="Book Antiqua" w:cs="Book Antiqua"/>
          <w:i/>
          <w:iCs/>
          <w:color w:val="000000"/>
        </w:rPr>
        <w:t>.</w:t>
      </w:r>
      <w:r>
        <w:rPr>
          <w:rFonts w:ascii="Book Antiqua" w:eastAsia="Book Antiqua" w:hAnsi="Book Antiqua" w:cs="Book Antiqua"/>
          <w:color w:val="000000"/>
        </w:rPr>
        <w:t xml:space="preserve"> Meropenem, a broad-spectrum antibiotic, in combination therapy play</w:t>
      </w:r>
      <w:r w:rsidR="00732061">
        <w:rPr>
          <w:rFonts w:ascii="Book Antiqua" w:eastAsia="Book Antiqua" w:hAnsi="Book Antiqua" w:cs="Book Antiqua"/>
          <w:color w:val="000000"/>
        </w:rPr>
        <w:t>s</w:t>
      </w:r>
      <w:r>
        <w:rPr>
          <w:rFonts w:ascii="Book Antiqua" w:eastAsia="Book Antiqua" w:hAnsi="Book Antiqua" w:cs="Book Antiqua"/>
          <w:color w:val="000000"/>
        </w:rPr>
        <w:t xml:space="preserve"> a role </w:t>
      </w:r>
      <w:r w:rsidR="00732061">
        <w:rPr>
          <w:rFonts w:ascii="Book Antiqua" w:eastAsia="Book Antiqua" w:hAnsi="Book Antiqua" w:cs="Book Antiqua"/>
          <w:color w:val="000000"/>
        </w:rPr>
        <w:t xml:space="preserve">for </w:t>
      </w:r>
      <w:r>
        <w:rPr>
          <w:rFonts w:ascii="Book Antiqua" w:eastAsia="Book Antiqua" w:hAnsi="Book Antiqua" w:cs="Book Antiqua"/>
          <w:color w:val="000000"/>
        </w:rPr>
        <w:t>the treatment of abdominal infection in the current patient. To avoid the long-term use of watch and reserve group antibiotics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piperacillin/tazobactam was administered as step-down therapy.</w:t>
      </w:r>
    </w:p>
    <w:p w14:paraId="4B71DCE3" w14:textId="7E0B17CB" w:rsidR="00A77B3E" w:rsidRDefault="008A1A54" w:rsidP="00D745A0">
      <w:pPr>
        <w:spacing w:line="360" w:lineRule="auto"/>
        <w:ind w:firstLineChars="100" w:firstLine="240"/>
        <w:jc w:val="both"/>
      </w:pPr>
      <w:r>
        <w:rPr>
          <w:rFonts w:ascii="Book Antiqua" w:eastAsia="Book Antiqua" w:hAnsi="Book Antiqua" w:cs="Book Antiqua"/>
          <w:color w:val="000000"/>
        </w:rPr>
        <w:lastRenderedPageBreak/>
        <w:t xml:space="preserve">Pre-existing gastrointestinal disease was reported as a risk factor for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infection of the gastrointestinal tract</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 xml:space="preserve">possesses different virulence factors such as internalin (InI) B, InIC, InIJ and the </w:t>
      </w:r>
      <w:r w:rsidR="00D745A0">
        <w:rPr>
          <w:rFonts w:ascii="Book Antiqua" w:eastAsia="Book Antiqua" w:hAnsi="Book Antiqua" w:cs="Book Antiqua"/>
          <w:i/>
          <w:iCs/>
          <w:color w:val="000000"/>
        </w:rPr>
        <w:t>L</w:t>
      </w:r>
      <w:r>
        <w:rPr>
          <w:rFonts w:ascii="Book Antiqua" w:eastAsia="Book Antiqua" w:hAnsi="Book Antiqua" w:cs="Book Antiqua"/>
          <w:i/>
          <w:iCs/>
          <w:color w:val="000000"/>
        </w:rPr>
        <w:t>isteria</w:t>
      </w:r>
      <w:r>
        <w:rPr>
          <w:rFonts w:ascii="Book Antiqua" w:eastAsia="Book Antiqua" w:hAnsi="Book Antiqua" w:cs="Book Antiqua"/>
          <w:color w:val="000000"/>
        </w:rPr>
        <w:t>-mucin-binding invasion A that binds mucins</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xml:space="preserve">. The binding of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 xml:space="preserve">to mucins </w:t>
      </w:r>
      <w:r>
        <w:rPr>
          <w:rFonts w:ascii="Book Antiqua" w:eastAsia="Book Antiqua" w:hAnsi="Book Antiqua" w:cs="Book Antiqua"/>
          <w:i/>
          <w:iCs/>
          <w:color w:val="000000"/>
        </w:rPr>
        <w:t>via</w:t>
      </w:r>
      <w:r>
        <w:rPr>
          <w:rFonts w:ascii="Book Antiqua" w:eastAsia="Book Antiqua" w:hAnsi="Book Antiqua" w:cs="Book Antiqua"/>
          <w:color w:val="000000"/>
        </w:rPr>
        <w:t xml:space="preserve"> virulence factors may allow the bacterium to penetrate the mucus and facilitate bacterial adhesion or invasion of the host cells.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 xml:space="preserve">evolved sophisticated mechanisms to cross the intestinal epithelial cells by different </w:t>
      </w:r>
      <w:proofErr w:type="gramStart"/>
      <w:r>
        <w:rPr>
          <w:rFonts w:ascii="Book Antiqua" w:eastAsia="Book Antiqua" w:hAnsi="Book Antiqua" w:cs="Book Antiqua"/>
          <w:color w:val="000000"/>
        </w:rPr>
        <w:t>routes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Listeria </w:t>
      </w:r>
      <w:r>
        <w:rPr>
          <w:rFonts w:ascii="Book Antiqua" w:eastAsia="Book Antiqua" w:hAnsi="Book Antiqua" w:cs="Book Antiqua"/>
          <w:color w:val="000000"/>
        </w:rPr>
        <w:t xml:space="preserve">adhesion protein-mediated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translocation</w:t>
      </w:r>
      <w:r w:rsidR="00732061">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InlA</w:t>
      </w:r>
      <w:proofErr w:type="spellEnd"/>
      <w:r>
        <w:rPr>
          <w:rFonts w:ascii="Book Antiqua" w:eastAsia="Book Antiqua" w:hAnsi="Book Antiqua" w:cs="Book Antiqua"/>
          <w:color w:val="000000"/>
        </w:rPr>
        <w:t xml:space="preserve">/E-cadherin-mediated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transcytosis</w:t>
      </w:r>
      <w:r w:rsidR="00732061">
        <w:rPr>
          <w:rFonts w:ascii="Book Antiqua" w:eastAsia="Book Antiqua" w:hAnsi="Book Antiqua" w:cs="Book Antiqua"/>
          <w:color w:val="000000"/>
        </w:rPr>
        <w:t>,</w:t>
      </w:r>
      <w:r>
        <w:rPr>
          <w:rFonts w:ascii="Book Antiqua" w:eastAsia="Book Antiqua" w:hAnsi="Book Antiqua" w:cs="Book Antiqua"/>
          <w:color w:val="000000"/>
        </w:rPr>
        <w:t xml:space="preserve"> </w:t>
      </w:r>
      <w:r w:rsidR="00D745A0">
        <w:rPr>
          <w:rFonts w:ascii="Book Antiqua" w:eastAsia="Book Antiqua" w:hAnsi="Book Antiqua" w:cs="Book Antiqua"/>
          <w:color w:val="000000"/>
        </w:rPr>
        <w:t xml:space="preserve">and </w:t>
      </w:r>
      <w:r>
        <w:rPr>
          <w:rFonts w:ascii="Book Antiqua" w:eastAsia="Book Antiqua" w:hAnsi="Book Antiqua" w:cs="Book Antiqua"/>
          <w:color w:val="000000"/>
        </w:rPr>
        <w:t xml:space="preserve">M cell-mediated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translocation occurs in the Peyer’s patches. Within the host cell,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destroys the phagolysosome membrane and gains access to the cytoplasm by listeriolysin O</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After invasion through the gastrointestinal tract,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spread from cell to cell and may disseminate hematogenously. In the current patient, we speculate that the infection was probably acquired from mucosal injury caused by inflammation, which led to bacteremia and subsequent septicemia.</w:t>
      </w:r>
    </w:p>
    <w:p w14:paraId="6A33D923" w14:textId="5FC63436" w:rsidR="00A77B3E" w:rsidRDefault="008A1A54" w:rsidP="00D745A0">
      <w:pPr>
        <w:spacing w:line="360" w:lineRule="auto"/>
        <w:ind w:firstLineChars="100" w:firstLine="240"/>
        <w:jc w:val="both"/>
      </w:pPr>
      <w:r>
        <w:rPr>
          <w:rFonts w:ascii="Book Antiqua" w:eastAsia="Book Antiqua" w:hAnsi="Book Antiqua" w:cs="Book Antiqua"/>
          <w:color w:val="000000"/>
        </w:rPr>
        <w:t xml:space="preserve">The long incubation period and food diversity make it difficult to trace the source of listeriosis. In this study,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isolate from deep-frozen dumplings in the patient’s home and blood cultures had different serotype and STs and was ruled out as the cause of infection. Mandatory declaration and surveillance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is urgently needed. From May 2015 to March 2016 in Italy, the source of an outbreak due to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identified as cheese through epidemiological and microbiological surveillance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England, crab meat was identified as the most plausible vehicle of infection by retrospective whole genome sequencing and epidemiological information</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21E0A66" w14:textId="77777777" w:rsidR="00A77B3E" w:rsidRDefault="008A1A54" w:rsidP="00D745A0">
      <w:pPr>
        <w:spacing w:line="360" w:lineRule="auto"/>
        <w:ind w:firstLineChars="100" w:firstLine="240"/>
        <w:jc w:val="both"/>
      </w:pPr>
      <w:r>
        <w:rPr>
          <w:rFonts w:ascii="Book Antiqua" w:eastAsia="Book Antiqua" w:hAnsi="Book Antiqua" w:cs="Book Antiqua"/>
          <w:color w:val="000000"/>
        </w:rPr>
        <w:t xml:space="preserve">This case report had some limitations. First,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was identified after 5 d. We did not use characteristic tumbling motility of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microscopically as a cheap test to obtain a presumptive diagnosis. Second, lumbar puncture was not performed, thus neurolisteriosis could not be ruled out. Third, the endoscopy was not performed for the advanced age of the patient and refusal of the relatives. Normal findings from abdominal ultrasound before discharge and relieved abdominal signs indicated the increased likelihood of abdominal infection. However, the exact cause of </w:t>
      </w:r>
      <w:r>
        <w:rPr>
          <w:rFonts w:ascii="Book Antiqua" w:eastAsia="Book Antiqua" w:hAnsi="Book Antiqua" w:cs="Book Antiqua"/>
          <w:color w:val="000000"/>
        </w:rPr>
        <w:lastRenderedPageBreak/>
        <w:t xml:space="preserve">lower gastrointestinal bleeding is not clear. Finally, meropenem and piperacillin/tazobactam were applied as initial and step-down treatment but not narrower-spectrum antibiotics. Advanced age, serious complications, and </w:t>
      </w:r>
      <w:r>
        <w:rPr>
          <w:rFonts w:ascii="Book Antiqua" w:eastAsia="Book Antiqua" w:hAnsi="Book Antiqua" w:cs="Book Antiqua"/>
          <w:i/>
          <w:iCs/>
          <w:color w:val="000000"/>
        </w:rPr>
        <w:t xml:space="preserve">L. monocytogenes </w:t>
      </w:r>
      <w:r>
        <w:rPr>
          <w:rFonts w:ascii="Book Antiqua" w:eastAsia="Book Antiqua" w:hAnsi="Book Antiqua" w:cs="Book Antiqua"/>
          <w:color w:val="000000"/>
        </w:rPr>
        <w:t>bacteremia with localized peritonitis should be taken into account when we choose the antibiotics in clinical practice.</w:t>
      </w:r>
    </w:p>
    <w:p w14:paraId="3581E078" w14:textId="77777777" w:rsidR="00A77B3E" w:rsidRDefault="00A77B3E" w:rsidP="00D745A0">
      <w:pPr>
        <w:spacing w:line="360" w:lineRule="auto"/>
        <w:jc w:val="both"/>
      </w:pPr>
    </w:p>
    <w:p w14:paraId="528D2745" w14:textId="77777777" w:rsidR="00A77B3E" w:rsidRDefault="008A1A54">
      <w:pPr>
        <w:spacing w:line="360" w:lineRule="auto"/>
        <w:jc w:val="both"/>
      </w:pPr>
      <w:r>
        <w:rPr>
          <w:rFonts w:ascii="Book Antiqua" w:eastAsia="Book Antiqua" w:hAnsi="Book Antiqua" w:cs="Book Antiqua"/>
          <w:b/>
          <w:caps/>
          <w:color w:val="000000"/>
          <w:u w:val="single"/>
        </w:rPr>
        <w:t>CONCLUSION</w:t>
      </w:r>
    </w:p>
    <w:p w14:paraId="0C286D71" w14:textId="77777777" w:rsidR="00A77B3E" w:rsidRDefault="008A1A54">
      <w:pPr>
        <w:spacing w:line="360" w:lineRule="auto"/>
        <w:jc w:val="both"/>
      </w:pPr>
      <w:r>
        <w:rPr>
          <w:rFonts w:ascii="Book Antiqua" w:eastAsia="Book Antiqua" w:hAnsi="Book Antiqua" w:cs="Book Antiqua"/>
          <w:color w:val="000000"/>
        </w:rPr>
        <w:t xml:space="preserve">Although clinical data are currently limited, our patient seemed to benefit from linezolid therapy without linezolid-associated thrombocytopenia during 10 d of treatment. Linezolid might be a reasonable treatment option for </w:t>
      </w:r>
      <w:r>
        <w:rPr>
          <w:rFonts w:ascii="Book Antiqua" w:eastAsia="Book Antiqua" w:hAnsi="Book Antiqua" w:cs="Book Antiqua"/>
          <w:i/>
          <w:iCs/>
          <w:color w:val="000000"/>
        </w:rPr>
        <w:t>L. monocytogenes</w:t>
      </w:r>
      <w:r>
        <w:rPr>
          <w:rFonts w:ascii="Book Antiqua" w:eastAsia="Book Antiqua" w:hAnsi="Book Antiqua" w:cs="Book Antiqua"/>
          <w:color w:val="000000"/>
        </w:rPr>
        <w:t xml:space="preserve"> bacteremia in elderly patients with serious complications. More suspicion of invasive listeriosis should be raised when infected elderly patients have a history of frozen food consumption history and do not respond to broad-spectrum antibiotics. Healthy eating habits and food processing methods should be prioritized in elderly people.</w:t>
      </w:r>
    </w:p>
    <w:p w14:paraId="05FB46B2" w14:textId="77777777" w:rsidR="00A77B3E" w:rsidRDefault="00A77B3E">
      <w:pPr>
        <w:spacing w:line="360" w:lineRule="auto"/>
        <w:jc w:val="both"/>
      </w:pPr>
    </w:p>
    <w:p w14:paraId="13D3C873" w14:textId="77777777" w:rsidR="00A77B3E" w:rsidRDefault="008A1A54">
      <w:pPr>
        <w:spacing w:line="360" w:lineRule="auto"/>
        <w:jc w:val="both"/>
      </w:pPr>
      <w:r>
        <w:rPr>
          <w:rFonts w:ascii="Book Antiqua" w:eastAsia="Book Antiqua" w:hAnsi="Book Antiqua" w:cs="Book Antiqua"/>
          <w:b/>
          <w:caps/>
          <w:color w:val="000000"/>
          <w:u w:val="single"/>
        </w:rPr>
        <w:t>ACKNOWLEDGEMENTS</w:t>
      </w:r>
    </w:p>
    <w:p w14:paraId="3EBD9694" w14:textId="77777777" w:rsidR="00A77B3E" w:rsidRDefault="008A1A54">
      <w:pPr>
        <w:spacing w:line="360" w:lineRule="auto"/>
        <w:jc w:val="both"/>
      </w:pPr>
      <w:r>
        <w:rPr>
          <w:rFonts w:ascii="Book Antiqua" w:eastAsia="Book Antiqua" w:hAnsi="Book Antiqua" w:cs="Book Antiqua"/>
          <w:color w:val="000000"/>
        </w:rPr>
        <w:t>We thank the relatives of the patient for providing consent to publish this case report. We thank for the sampling staffs from Xicheng CDC in Beijing.</w:t>
      </w:r>
    </w:p>
    <w:p w14:paraId="0A468B74" w14:textId="77777777" w:rsidR="00A77B3E" w:rsidRDefault="00A77B3E">
      <w:pPr>
        <w:spacing w:line="360" w:lineRule="auto"/>
        <w:jc w:val="both"/>
      </w:pPr>
    </w:p>
    <w:p w14:paraId="4F6092E4" w14:textId="77777777" w:rsidR="00A77B3E" w:rsidRDefault="008A1A54">
      <w:pPr>
        <w:spacing w:line="360" w:lineRule="auto"/>
        <w:jc w:val="both"/>
      </w:pPr>
      <w:r>
        <w:rPr>
          <w:rFonts w:ascii="Book Antiqua" w:eastAsia="Book Antiqua" w:hAnsi="Book Antiqua" w:cs="Book Antiqua"/>
          <w:b/>
          <w:color w:val="000000"/>
        </w:rPr>
        <w:t>REFERENCES</w:t>
      </w:r>
    </w:p>
    <w:p w14:paraId="46F0260B" w14:textId="77777777" w:rsidR="00A77B3E" w:rsidRDefault="008A1A54">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Fan Z</w:t>
      </w:r>
      <w:r>
        <w:rPr>
          <w:rFonts w:ascii="Book Antiqua" w:eastAsia="Book Antiqua" w:hAnsi="Book Antiqua" w:cs="Book Antiqua"/>
          <w:color w:val="000000"/>
        </w:rPr>
        <w:t xml:space="preserve">, Xie J, Li Y, Wang H. Listeriosis in mainland China: A systematic review.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17-24 [PMID: 30641204 DOI: 10.1016/j.ijid.2019.01.007]</w:t>
      </w:r>
    </w:p>
    <w:p w14:paraId="05F05F72" w14:textId="77777777" w:rsidR="00A77B3E" w:rsidRDefault="008A1A54">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Noordhout</w:t>
      </w:r>
      <w:proofErr w:type="spellEnd"/>
      <w:r>
        <w:rPr>
          <w:rFonts w:ascii="Book Antiqua" w:eastAsia="Book Antiqua" w:hAnsi="Book Antiqua" w:cs="Book Antiqua"/>
          <w:b/>
          <w:bCs/>
          <w:color w:val="000000"/>
        </w:rPr>
        <w:t xml:space="preserve"> CM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Devleesschauwer</w:t>
      </w:r>
      <w:proofErr w:type="spellEnd"/>
      <w:r>
        <w:rPr>
          <w:rFonts w:ascii="Book Antiqua" w:eastAsia="Book Antiqua" w:hAnsi="Book Antiqua" w:cs="Book Antiqua"/>
          <w:color w:val="000000"/>
        </w:rPr>
        <w:t xml:space="preserve"> B, Angulo FJ, Verbeke G, </w:t>
      </w:r>
      <w:proofErr w:type="spellStart"/>
      <w:r>
        <w:rPr>
          <w:rFonts w:ascii="Book Antiqua" w:eastAsia="Book Antiqua" w:hAnsi="Book Antiqua" w:cs="Book Antiqua"/>
          <w:color w:val="000000"/>
        </w:rPr>
        <w:t>Haagsma</w:t>
      </w:r>
      <w:proofErr w:type="spellEnd"/>
      <w:r>
        <w:rPr>
          <w:rFonts w:ascii="Book Antiqua" w:eastAsia="Book Antiqua" w:hAnsi="Book Antiqua" w:cs="Book Antiqua"/>
          <w:color w:val="000000"/>
        </w:rPr>
        <w:t xml:space="preserve"> J, Kirk M, </w:t>
      </w:r>
      <w:proofErr w:type="spellStart"/>
      <w:r>
        <w:rPr>
          <w:rFonts w:ascii="Book Antiqua" w:eastAsia="Book Antiqua" w:hAnsi="Book Antiqua" w:cs="Book Antiqua"/>
          <w:color w:val="000000"/>
        </w:rPr>
        <w:t>Havelaar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Speybroeck</w:t>
      </w:r>
      <w:proofErr w:type="spellEnd"/>
      <w:r>
        <w:rPr>
          <w:rFonts w:ascii="Book Antiqua" w:eastAsia="Book Antiqua" w:hAnsi="Book Antiqua" w:cs="Book Antiqua"/>
          <w:color w:val="000000"/>
        </w:rPr>
        <w:t xml:space="preserve"> N. The global burden of listeriosis: a systematic review and meta-analysis.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1073-1082 [PMID: 25241232 DOI: 10.1016/S1473-3099(14)70870-9]</w:t>
      </w:r>
    </w:p>
    <w:p w14:paraId="718A5E05" w14:textId="4FCA6F61" w:rsidR="00A77B3E" w:rsidRDefault="008A1A54">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Kishnani</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Tiwari AA, Gautam V, Sharma M, </w:t>
      </w:r>
      <w:proofErr w:type="spellStart"/>
      <w:r>
        <w:rPr>
          <w:rFonts w:ascii="Book Antiqua" w:eastAsia="Book Antiqua" w:hAnsi="Book Antiqua" w:cs="Book Antiqua"/>
          <w:color w:val="000000"/>
        </w:rPr>
        <w:t>Barbuddhe</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Doijad</w:t>
      </w:r>
      <w:proofErr w:type="spellEnd"/>
      <w:r>
        <w:rPr>
          <w:rFonts w:ascii="Book Antiqua" w:eastAsia="Book Antiqua" w:hAnsi="Book Antiqua" w:cs="Book Antiqua"/>
          <w:color w:val="000000"/>
        </w:rPr>
        <w:t xml:space="preserve"> SP, Chakraborty T, Nayak AR, Bhartiya NM, </w:t>
      </w:r>
      <w:proofErr w:type="spellStart"/>
      <w:r>
        <w:rPr>
          <w:rFonts w:ascii="Book Antiqua" w:eastAsia="Book Antiqua" w:hAnsi="Book Antiqua" w:cs="Book Antiqua"/>
          <w:color w:val="000000"/>
        </w:rPr>
        <w:t>Daginawala</w:t>
      </w:r>
      <w:proofErr w:type="spellEnd"/>
      <w:r>
        <w:rPr>
          <w:rFonts w:ascii="Book Antiqua" w:eastAsia="Book Antiqua" w:hAnsi="Book Antiqua" w:cs="Book Antiqua"/>
          <w:color w:val="000000"/>
        </w:rPr>
        <w:t xml:space="preserve"> HF, Singh LR, Kashyap RS. Draft Genome Sequence of </w:t>
      </w: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Strain CIIMS-PH-1, a Serovar 4b Isolate </w:t>
      </w:r>
      <w:r>
        <w:rPr>
          <w:rFonts w:ascii="Book Antiqua" w:eastAsia="Book Antiqua" w:hAnsi="Book Antiqua" w:cs="Book Antiqua"/>
          <w:color w:val="000000"/>
        </w:rPr>
        <w:lastRenderedPageBreak/>
        <w:t xml:space="preserve">from Infant Septicemia. </w:t>
      </w:r>
      <w:r>
        <w:rPr>
          <w:rFonts w:ascii="Book Antiqua" w:eastAsia="Book Antiqua" w:hAnsi="Book Antiqua" w:cs="Book Antiqua"/>
          <w:i/>
          <w:iCs/>
          <w:color w:val="000000"/>
        </w:rPr>
        <w:t xml:space="preserve">Genome </w:t>
      </w:r>
      <w:proofErr w:type="spellStart"/>
      <w:r>
        <w:rPr>
          <w:rFonts w:ascii="Book Antiqua" w:eastAsia="Book Antiqua" w:hAnsi="Book Antiqua" w:cs="Book Antiqua"/>
          <w:i/>
          <w:iCs/>
          <w:color w:val="000000"/>
        </w:rPr>
        <w:t>Announc</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xml:space="preserve"> [PMID: 29449397 DOI: 10.1128/genomeA.01320-17]</w:t>
      </w:r>
    </w:p>
    <w:p w14:paraId="6445DC34" w14:textId="77777777" w:rsidR="00A77B3E" w:rsidRDefault="008A1A54">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Barocci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Mancini A, </w:t>
      </w:r>
      <w:proofErr w:type="spellStart"/>
      <w:r>
        <w:rPr>
          <w:rFonts w:ascii="Book Antiqua" w:eastAsia="Book Antiqua" w:hAnsi="Book Antiqua" w:cs="Book Antiqua"/>
          <w:color w:val="000000"/>
        </w:rPr>
        <w:t>Canovari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Petrelli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Sbriscia-Fioretti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Licci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D'Addesa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Petrini</w:t>
      </w:r>
      <w:proofErr w:type="spellEnd"/>
      <w:r>
        <w:rPr>
          <w:rFonts w:ascii="Book Antiqua" w:eastAsia="Book Antiqua" w:hAnsi="Book Antiqua" w:cs="Book Antiqua"/>
          <w:color w:val="000000"/>
        </w:rPr>
        <w:t xml:space="preserve"> G, Giacomini M, Renzi A, </w:t>
      </w:r>
      <w:proofErr w:type="spellStart"/>
      <w:r>
        <w:rPr>
          <w:rFonts w:ascii="Book Antiqua" w:eastAsia="Book Antiqua" w:hAnsi="Book Antiqua" w:cs="Book Antiqua"/>
          <w:color w:val="000000"/>
        </w:rPr>
        <w:t>Migali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Briscolini</w:t>
      </w:r>
      <w:proofErr w:type="spellEnd"/>
      <w:r>
        <w:rPr>
          <w:rFonts w:ascii="Book Antiqua" w:eastAsia="Book Antiqua" w:hAnsi="Book Antiqua" w:cs="Book Antiqua"/>
          <w:color w:val="000000"/>
        </w:rPr>
        <w:t xml:space="preserve"> S.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meningitis in an immunocompromised patient. </w:t>
      </w:r>
      <w:r>
        <w:rPr>
          <w:rFonts w:ascii="Book Antiqua" w:eastAsia="Book Antiqua" w:hAnsi="Book Antiqua" w:cs="Book Antiqua"/>
          <w:i/>
          <w:iCs/>
          <w:color w:val="000000"/>
        </w:rPr>
        <w:t>New Microbiol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38</w:t>
      </w:r>
      <w:r>
        <w:rPr>
          <w:rFonts w:ascii="Book Antiqua" w:eastAsia="Book Antiqua" w:hAnsi="Book Antiqua" w:cs="Book Antiqua"/>
          <w:color w:val="000000"/>
        </w:rPr>
        <w:t>: 113-118 [PMID: 25742155]</w:t>
      </w:r>
    </w:p>
    <w:p w14:paraId="671D906E" w14:textId="77777777" w:rsidR="00A77B3E" w:rsidRDefault="008A1A54">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Pagliano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Arslan F, </w:t>
      </w:r>
      <w:proofErr w:type="spellStart"/>
      <w:r>
        <w:rPr>
          <w:rFonts w:ascii="Book Antiqua" w:eastAsia="Book Antiqua" w:hAnsi="Book Antiqua" w:cs="Book Antiqua"/>
          <w:color w:val="000000"/>
        </w:rPr>
        <w:t>Ascione</w:t>
      </w:r>
      <w:proofErr w:type="spellEnd"/>
      <w:r>
        <w:rPr>
          <w:rFonts w:ascii="Book Antiqua" w:eastAsia="Book Antiqua" w:hAnsi="Book Antiqua" w:cs="Book Antiqua"/>
          <w:color w:val="000000"/>
        </w:rPr>
        <w:t xml:space="preserve"> T. Epidemiology and treatment of the commonest form of listeriosis: meningitis and bacteraemia. </w:t>
      </w:r>
      <w:proofErr w:type="spellStart"/>
      <w:r>
        <w:rPr>
          <w:rFonts w:ascii="Book Antiqua" w:eastAsia="Book Antiqua" w:hAnsi="Book Antiqua" w:cs="Book Antiqua"/>
          <w:i/>
          <w:iCs/>
          <w:color w:val="000000"/>
        </w:rPr>
        <w:t>Infez</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210-216 [PMID: 28956537]</w:t>
      </w:r>
    </w:p>
    <w:p w14:paraId="743AA81F" w14:textId="77777777" w:rsidR="00A77B3E" w:rsidRDefault="008A1A54">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Vera A</w:t>
      </w:r>
      <w:r>
        <w:rPr>
          <w:rFonts w:ascii="Book Antiqua" w:eastAsia="Book Antiqua" w:hAnsi="Book Antiqua" w:cs="Book Antiqua"/>
          <w:color w:val="000000"/>
        </w:rPr>
        <w:t xml:space="preserve">, González G, Domínguez M, Bello H. [Main virulence factors of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and its regulation].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Chilena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Infectol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30</w:t>
      </w:r>
      <w:r>
        <w:rPr>
          <w:rFonts w:ascii="Book Antiqua" w:eastAsia="Book Antiqua" w:hAnsi="Book Antiqua" w:cs="Book Antiqua"/>
          <w:color w:val="000000"/>
        </w:rPr>
        <w:t>: 407-416 [PMID: 24248111 DOI: 10.4067/S0716-10182013000400010]</w:t>
      </w:r>
    </w:p>
    <w:p w14:paraId="09509724" w14:textId="77777777" w:rsidR="00A77B3E" w:rsidRDefault="008A1A54">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Goulet V</w:t>
      </w:r>
      <w:r>
        <w:rPr>
          <w:rFonts w:ascii="Book Antiqua" w:eastAsia="Book Antiqua" w:hAnsi="Book Antiqua" w:cs="Book Antiqua"/>
          <w:color w:val="000000"/>
        </w:rPr>
        <w:t xml:space="preserve">, King LA, Vaillant V, de </w:t>
      </w:r>
      <w:proofErr w:type="spellStart"/>
      <w:r>
        <w:rPr>
          <w:rFonts w:ascii="Book Antiqua" w:eastAsia="Book Antiqua" w:hAnsi="Book Antiqua" w:cs="Book Antiqua"/>
          <w:color w:val="000000"/>
        </w:rPr>
        <w:t>Valk</w:t>
      </w:r>
      <w:proofErr w:type="spellEnd"/>
      <w:r>
        <w:rPr>
          <w:rFonts w:ascii="Book Antiqua" w:eastAsia="Book Antiqua" w:hAnsi="Book Antiqua" w:cs="Book Antiqua"/>
          <w:color w:val="000000"/>
        </w:rPr>
        <w:t xml:space="preserve"> H. What is the incubation period for listeriosis? </w:t>
      </w:r>
      <w:r>
        <w:rPr>
          <w:rFonts w:ascii="Book Antiqua" w:eastAsia="Book Antiqua" w:hAnsi="Book Antiqua" w:cs="Book Antiqua"/>
          <w:i/>
          <w:iCs/>
          <w:color w:val="000000"/>
        </w:rPr>
        <w:t>BMC Infect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11 [PMID: 23305174 DOI: 10.1186/1471-2334-13-11]</w:t>
      </w:r>
    </w:p>
    <w:p w14:paraId="73C2E683" w14:textId="77777777" w:rsidR="00A77B3E" w:rsidRDefault="008A1A54">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Charlier</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Perrodeau</w:t>
      </w:r>
      <w:proofErr w:type="spellEnd"/>
      <w:r>
        <w:rPr>
          <w:rFonts w:ascii="Book Antiqua" w:eastAsia="Book Antiqua" w:hAnsi="Book Antiqua" w:cs="Book Antiqua"/>
          <w:color w:val="000000"/>
        </w:rPr>
        <w:t xml:space="preserve"> É, </w:t>
      </w:r>
      <w:proofErr w:type="spellStart"/>
      <w:r>
        <w:rPr>
          <w:rFonts w:ascii="Book Antiqua" w:eastAsia="Book Antiqua" w:hAnsi="Book Antiqua" w:cs="Book Antiqua"/>
          <w:color w:val="000000"/>
        </w:rPr>
        <w:t>Leclercq</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Cazenave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Pilmis</w:t>
      </w:r>
      <w:proofErr w:type="spellEnd"/>
      <w:r>
        <w:rPr>
          <w:rFonts w:ascii="Book Antiqua" w:eastAsia="Book Antiqua" w:hAnsi="Book Antiqua" w:cs="Book Antiqua"/>
          <w:color w:val="000000"/>
        </w:rPr>
        <w:t xml:space="preserve"> B, Henry B, Lopes A, Maury MM, Moura A, </w:t>
      </w:r>
      <w:proofErr w:type="spellStart"/>
      <w:r>
        <w:rPr>
          <w:rFonts w:ascii="Book Antiqua" w:eastAsia="Book Antiqua" w:hAnsi="Book Antiqua" w:cs="Book Antiqua"/>
          <w:color w:val="000000"/>
        </w:rPr>
        <w:t>Goffinet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Dieye</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Thouvenot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Ungeheuer</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Tourdjman</w:t>
      </w:r>
      <w:proofErr w:type="spellEnd"/>
      <w:r>
        <w:rPr>
          <w:rFonts w:ascii="Book Antiqua" w:eastAsia="Book Antiqua" w:hAnsi="Book Antiqua" w:cs="Book Antiqua"/>
          <w:color w:val="000000"/>
        </w:rPr>
        <w:t xml:space="preserve"> M, Goulet V, de </w:t>
      </w:r>
      <w:proofErr w:type="spellStart"/>
      <w:r>
        <w:rPr>
          <w:rFonts w:ascii="Book Antiqua" w:eastAsia="Book Antiqua" w:hAnsi="Book Antiqua" w:cs="Book Antiqua"/>
          <w:color w:val="000000"/>
        </w:rPr>
        <w:t>Valk</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Lortholary</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Ravaud</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Lecuit</w:t>
      </w:r>
      <w:proofErr w:type="spellEnd"/>
      <w:r>
        <w:rPr>
          <w:rFonts w:ascii="Book Antiqua" w:eastAsia="Book Antiqua" w:hAnsi="Book Antiqua" w:cs="Book Antiqua"/>
          <w:color w:val="000000"/>
        </w:rPr>
        <w:t xml:space="preserve"> M; MONALISA study group. Clinical features and prognostic factors of listeriosis: the MONALISA national prospective cohort study.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510-519 [PMID: 28139432 DOI: 10.1016/S1473-3099(16)30521-7]</w:t>
      </w:r>
    </w:p>
    <w:p w14:paraId="171236C3" w14:textId="71B5569F" w:rsidR="00A77B3E" w:rsidRDefault="008A1A54">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Y, Liu Y, Lu Z, Wang D, Cui X, Chen Q, Ma X. Isolation and Characterization of Clinical </w:t>
      </w: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in Beijing, China, 2014-2016.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981 [PMID: 31139159 DOI: 10.3389/fmicb.2019.00981]</w:t>
      </w:r>
    </w:p>
    <w:p w14:paraId="30CBA464" w14:textId="3B7695CB" w:rsidR="00A77B3E" w:rsidRDefault="008A1A54">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Singer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Deutschman</w:t>
      </w:r>
      <w:proofErr w:type="spellEnd"/>
      <w:r>
        <w:rPr>
          <w:rFonts w:ascii="Book Antiqua" w:eastAsia="Book Antiqua" w:hAnsi="Book Antiqua" w:cs="Book Antiqua"/>
          <w:color w:val="000000"/>
        </w:rPr>
        <w:t xml:space="preserve"> CS, Seymour CW, Shankar-Hari M, </w:t>
      </w:r>
      <w:proofErr w:type="spellStart"/>
      <w:r>
        <w:rPr>
          <w:rFonts w:ascii="Book Antiqua" w:eastAsia="Book Antiqua" w:hAnsi="Book Antiqua" w:cs="Book Antiqua"/>
          <w:color w:val="000000"/>
        </w:rPr>
        <w:t>Annane</w:t>
      </w:r>
      <w:proofErr w:type="spellEnd"/>
      <w:r>
        <w:rPr>
          <w:rFonts w:ascii="Book Antiqua" w:eastAsia="Book Antiqua" w:hAnsi="Book Antiqua" w:cs="Book Antiqua"/>
          <w:color w:val="000000"/>
        </w:rPr>
        <w:t xml:space="preserve"> D, Bauer M, </w:t>
      </w:r>
      <w:proofErr w:type="spellStart"/>
      <w:r>
        <w:rPr>
          <w:rFonts w:ascii="Book Antiqua" w:eastAsia="Book Antiqua" w:hAnsi="Book Antiqua" w:cs="Book Antiqua"/>
          <w:color w:val="000000"/>
        </w:rPr>
        <w:t>Bellomo</w:t>
      </w:r>
      <w:proofErr w:type="spellEnd"/>
      <w:r>
        <w:rPr>
          <w:rFonts w:ascii="Book Antiqua" w:eastAsia="Book Antiqua" w:hAnsi="Book Antiqua" w:cs="Book Antiqua"/>
          <w:color w:val="000000"/>
        </w:rPr>
        <w:t xml:space="preserve"> R, Bernard GR,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JD, Coopersmith CM, Hotchkiss RS, Levy MM, Marshall JC, Martin GS, Opal SM, </w:t>
      </w:r>
      <w:proofErr w:type="spellStart"/>
      <w:r>
        <w:rPr>
          <w:rFonts w:ascii="Book Antiqua" w:eastAsia="Book Antiqua" w:hAnsi="Book Antiqua" w:cs="Book Antiqua"/>
          <w:color w:val="000000"/>
        </w:rPr>
        <w:t>Rubenfeld</w:t>
      </w:r>
      <w:proofErr w:type="spellEnd"/>
      <w:r>
        <w:rPr>
          <w:rFonts w:ascii="Book Antiqua" w:eastAsia="Book Antiqua" w:hAnsi="Book Antiqua" w:cs="Book Antiqua"/>
          <w:color w:val="000000"/>
        </w:rPr>
        <w:t xml:space="preserve"> GD, van der Poll T, Vincent JL, Angus DC. The Third International Consensus Definitions for Sepsis and Septic Shock (Sepsis-3).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2016; </w:t>
      </w:r>
      <w:r>
        <w:rPr>
          <w:rFonts w:ascii="Book Antiqua" w:eastAsia="Book Antiqua" w:hAnsi="Book Antiqua" w:cs="Book Antiqua"/>
          <w:b/>
          <w:bCs/>
          <w:color w:val="000000"/>
        </w:rPr>
        <w:t>315</w:t>
      </w:r>
      <w:r>
        <w:rPr>
          <w:rFonts w:ascii="Book Antiqua" w:eastAsia="Book Antiqua" w:hAnsi="Book Antiqua" w:cs="Book Antiqua"/>
          <w:color w:val="000000"/>
        </w:rPr>
        <w:t>: 801-810 [PMID: 26903338 DOI: 10.1001/jama.2016.0287]</w:t>
      </w:r>
    </w:p>
    <w:p w14:paraId="0F6E6A18" w14:textId="09ADF73E" w:rsidR="00A77B3E" w:rsidRDefault="008A1A54">
      <w:pPr>
        <w:spacing w:line="360" w:lineRule="auto"/>
        <w:jc w:val="both"/>
      </w:pPr>
      <w:r>
        <w:rPr>
          <w:rFonts w:ascii="Book Antiqua" w:eastAsia="Book Antiqua" w:hAnsi="Book Antiqua" w:cs="Book Antiqua"/>
          <w:color w:val="000000"/>
        </w:rPr>
        <w:t xml:space="preserve">11 </w:t>
      </w:r>
      <w:r w:rsidRPr="00E53B02">
        <w:rPr>
          <w:rFonts w:ascii="Book Antiqua" w:eastAsia="Book Antiqua" w:hAnsi="Book Antiqua" w:cs="Book Antiqua"/>
          <w:b/>
          <w:bCs/>
          <w:color w:val="000000"/>
        </w:rPr>
        <w:t>National Center for Clinical Medicine of Geriatric Diseases</w:t>
      </w:r>
      <w:r>
        <w:rPr>
          <w:rFonts w:ascii="Book Antiqua" w:eastAsia="Book Antiqua" w:hAnsi="Book Antiqua" w:cs="Book Antiqua"/>
          <w:color w:val="000000"/>
        </w:rPr>
        <w:t xml:space="preserve">. Chinese expert consensus on diagnosis and treatment of infection-induced senile multiple organ </w:t>
      </w:r>
      <w:r>
        <w:rPr>
          <w:rFonts w:ascii="Book Antiqua" w:eastAsia="Book Antiqua" w:hAnsi="Book Antiqua" w:cs="Book Antiqua"/>
          <w:color w:val="000000"/>
        </w:rPr>
        <w:lastRenderedPageBreak/>
        <w:t xml:space="preserve">dysfunction syndrome. </w:t>
      </w:r>
      <w:proofErr w:type="spellStart"/>
      <w:r w:rsidR="00E53B02" w:rsidRPr="00E53B02">
        <w:rPr>
          <w:rFonts w:ascii="Book Antiqua" w:eastAsia="Book Antiqua" w:hAnsi="Book Antiqua" w:cs="Book Antiqua"/>
          <w:i/>
          <w:iCs/>
          <w:color w:val="000000"/>
        </w:rPr>
        <w:t>Zhonghua</w:t>
      </w:r>
      <w:proofErr w:type="spellEnd"/>
      <w:r w:rsidR="00E53B02" w:rsidRPr="00E53B02">
        <w:rPr>
          <w:rFonts w:ascii="Book Antiqua" w:eastAsia="Book Antiqua" w:hAnsi="Book Antiqua" w:cs="Book Antiqua"/>
          <w:i/>
          <w:iCs/>
          <w:color w:val="000000"/>
        </w:rPr>
        <w:t xml:space="preserve"> </w:t>
      </w:r>
      <w:proofErr w:type="spellStart"/>
      <w:r w:rsidR="00E53B02" w:rsidRPr="00E53B02">
        <w:rPr>
          <w:rFonts w:ascii="Book Antiqua" w:eastAsia="Book Antiqua" w:hAnsi="Book Antiqua" w:cs="Book Antiqua"/>
          <w:i/>
          <w:iCs/>
          <w:color w:val="000000"/>
        </w:rPr>
        <w:t>Laonian</w:t>
      </w:r>
      <w:proofErr w:type="spellEnd"/>
      <w:r w:rsidR="00E53B02" w:rsidRPr="00E53B02">
        <w:rPr>
          <w:rFonts w:ascii="Book Antiqua" w:eastAsia="Book Antiqua" w:hAnsi="Book Antiqua" w:cs="Book Antiqua"/>
          <w:i/>
          <w:iCs/>
          <w:color w:val="000000"/>
        </w:rPr>
        <w:t xml:space="preserve"> </w:t>
      </w:r>
      <w:proofErr w:type="spellStart"/>
      <w:r w:rsidR="00E53B02" w:rsidRPr="00E53B02">
        <w:rPr>
          <w:rFonts w:ascii="Book Antiqua" w:eastAsia="Book Antiqua" w:hAnsi="Book Antiqua" w:cs="Book Antiqua"/>
          <w:i/>
          <w:iCs/>
          <w:color w:val="000000"/>
        </w:rPr>
        <w:t>Duoqiguan</w:t>
      </w:r>
      <w:proofErr w:type="spellEnd"/>
      <w:r w:rsidR="00E53B02" w:rsidRPr="00E53B02">
        <w:rPr>
          <w:rFonts w:ascii="Book Antiqua" w:eastAsia="Book Antiqua" w:hAnsi="Book Antiqua" w:cs="Book Antiqua"/>
          <w:i/>
          <w:iCs/>
          <w:color w:val="000000"/>
        </w:rPr>
        <w:t xml:space="preserve"> Jibing </w:t>
      </w:r>
      <w:proofErr w:type="spellStart"/>
      <w:r w:rsidR="00E53B02" w:rsidRPr="00E53B02">
        <w:rPr>
          <w:rFonts w:ascii="Book Antiqua" w:eastAsia="Book Antiqua" w:hAnsi="Book Antiqua" w:cs="Book Antiqua"/>
          <w:i/>
          <w:iCs/>
          <w:color w:val="000000"/>
        </w:rPr>
        <w:t>Zazhi</w:t>
      </w:r>
      <w:proofErr w:type="spellEnd"/>
      <w:r>
        <w:rPr>
          <w:rFonts w:ascii="Book Antiqua" w:eastAsia="Book Antiqua" w:hAnsi="Book Antiqua" w:cs="Book Antiqua"/>
          <w:color w:val="000000"/>
        </w:rPr>
        <w:t xml:space="preserve"> 2018;</w:t>
      </w:r>
      <w:r w:rsidR="00E53B02">
        <w:rPr>
          <w:rFonts w:ascii="Book Antiqua" w:eastAsia="Book Antiqua" w:hAnsi="Book Antiqua" w:cs="Book Antiqua"/>
          <w:color w:val="000000"/>
        </w:rPr>
        <w:t xml:space="preserve"> </w:t>
      </w:r>
      <w:r w:rsidRPr="00E53B02">
        <w:rPr>
          <w:rFonts w:ascii="Book Antiqua" w:eastAsia="Book Antiqua" w:hAnsi="Book Antiqua" w:cs="Book Antiqua"/>
          <w:b/>
          <w:bCs/>
          <w:color w:val="000000"/>
        </w:rPr>
        <w:t>17</w:t>
      </w:r>
      <w:r>
        <w:rPr>
          <w:rFonts w:ascii="Book Antiqua" w:eastAsia="Book Antiqua" w:hAnsi="Book Antiqua" w:cs="Book Antiqua"/>
          <w:color w:val="000000"/>
        </w:rPr>
        <w:t>:</w:t>
      </w:r>
      <w:r w:rsidR="00E53B02">
        <w:rPr>
          <w:rFonts w:ascii="Book Antiqua" w:eastAsia="Book Antiqua" w:hAnsi="Book Antiqua" w:cs="Book Antiqua"/>
          <w:color w:val="000000"/>
        </w:rPr>
        <w:t xml:space="preserve"> </w:t>
      </w:r>
      <w:r>
        <w:rPr>
          <w:rFonts w:ascii="Book Antiqua" w:eastAsia="Book Antiqua" w:hAnsi="Book Antiqua" w:cs="Book Antiqua"/>
          <w:color w:val="000000"/>
        </w:rPr>
        <w:t>3-15</w:t>
      </w:r>
      <w:r w:rsidR="00E53B02">
        <w:rPr>
          <w:rFonts w:ascii="Book Antiqua" w:eastAsia="Book Antiqua" w:hAnsi="Book Antiqua" w:cs="Book Antiqua"/>
          <w:color w:val="000000"/>
        </w:rPr>
        <w:t xml:space="preserve"> </w:t>
      </w:r>
      <w:r>
        <w:rPr>
          <w:rFonts w:ascii="Book Antiqua" w:eastAsia="Book Antiqua" w:hAnsi="Book Antiqua" w:cs="Book Antiqua"/>
          <w:color w:val="000000"/>
        </w:rPr>
        <w:t>[DOI: 10.11915/j.issn.1671-5403.2018.01.002]</w:t>
      </w:r>
    </w:p>
    <w:p w14:paraId="19E8E56D" w14:textId="71F2CE93" w:rsidR="00A77B3E" w:rsidRDefault="008A1A54">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European Food Safety Authority and European Centre for Disease Prevention and Control (EFSA and ECDC)</w:t>
      </w:r>
      <w:r>
        <w:rPr>
          <w:rFonts w:ascii="Book Antiqua" w:eastAsia="Book Antiqua" w:hAnsi="Book Antiqua" w:cs="Book Antiqua"/>
          <w:color w:val="000000"/>
        </w:rPr>
        <w:t xml:space="preserve">. The European Union summary report on trends and sources of zoonoses, zoonotic agents and food-borne outbreaks in 2017. </w:t>
      </w:r>
      <w:r>
        <w:rPr>
          <w:rFonts w:ascii="Book Antiqua" w:eastAsia="Book Antiqua" w:hAnsi="Book Antiqua" w:cs="Book Antiqua"/>
          <w:i/>
          <w:iCs/>
          <w:color w:val="000000"/>
        </w:rPr>
        <w:t>EFSA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e05500 [PMID: 32625785 DOI: 10.2903/j.efsa.2018.5500]</w:t>
      </w:r>
    </w:p>
    <w:p w14:paraId="16B63DBF" w14:textId="17091C45" w:rsidR="00A77B3E" w:rsidRDefault="008A1A54">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Wilson A</w:t>
      </w:r>
      <w:r>
        <w:rPr>
          <w:rFonts w:ascii="Book Antiqua" w:eastAsia="Book Antiqua" w:hAnsi="Book Antiqua" w:cs="Book Antiqua"/>
          <w:color w:val="000000"/>
        </w:rPr>
        <w:t xml:space="preserve">, Gray J, </w:t>
      </w:r>
      <w:proofErr w:type="spellStart"/>
      <w:r>
        <w:rPr>
          <w:rFonts w:ascii="Book Antiqua" w:eastAsia="Book Antiqua" w:hAnsi="Book Antiqua" w:cs="Book Antiqua"/>
          <w:color w:val="000000"/>
        </w:rPr>
        <w:t>Chandry</w:t>
      </w:r>
      <w:proofErr w:type="spellEnd"/>
      <w:r>
        <w:rPr>
          <w:rFonts w:ascii="Book Antiqua" w:eastAsia="Book Antiqua" w:hAnsi="Book Antiqua" w:cs="Book Antiqua"/>
          <w:color w:val="000000"/>
        </w:rPr>
        <w:t xml:space="preserve"> PS, Fox EM. Phenotypic and Genotypic Analysis of Antimicrobial Resistance among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Isolated from Australian Food Production Chains. </w:t>
      </w:r>
      <w:r>
        <w:rPr>
          <w:rFonts w:ascii="Book Antiqua" w:eastAsia="Book Antiqua" w:hAnsi="Book Antiqua" w:cs="Book Antiqua"/>
          <w:i/>
          <w:iCs/>
          <w:color w:val="000000"/>
        </w:rPr>
        <w:t>Genes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29425131 DOI: 10.3390/genes9020080]</w:t>
      </w:r>
    </w:p>
    <w:p w14:paraId="686B963C" w14:textId="77777777" w:rsidR="00A77B3E" w:rsidRDefault="008A1A54">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Callapina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Kretschmar M, Dietz A, </w:t>
      </w:r>
      <w:proofErr w:type="spellStart"/>
      <w:r>
        <w:rPr>
          <w:rFonts w:ascii="Book Antiqua" w:eastAsia="Book Antiqua" w:hAnsi="Book Antiqua" w:cs="Book Antiqua"/>
          <w:color w:val="000000"/>
        </w:rPr>
        <w:t>Mosbach</w:t>
      </w:r>
      <w:proofErr w:type="spellEnd"/>
      <w:r>
        <w:rPr>
          <w:rFonts w:ascii="Book Antiqua" w:eastAsia="Book Antiqua" w:hAnsi="Book Antiqua" w:cs="Book Antiqua"/>
          <w:color w:val="000000"/>
        </w:rPr>
        <w:t xml:space="preserve"> C, Hof H, </w:t>
      </w:r>
      <w:proofErr w:type="spellStart"/>
      <w:r>
        <w:rPr>
          <w:rFonts w:ascii="Book Antiqua" w:eastAsia="Book Antiqua" w:hAnsi="Book Antiqua" w:cs="Book Antiqua"/>
          <w:color w:val="000000"/>
        </w:rPr>
        <w:t>Nichterlein</w:t>
      </w:r>
      <w:proofErr w:type="spellEnd"/>
      <w:r>
        <w:rPr>
          <w:rFonts w:ascii="Book Antiqua" w:eastAsia="Book Antiqua" w:hAnsi="Book Antiqua" w:cs="Book Antiqua"/>
          <w:color w:val="000000"/>
        </w:rPr>
        <w:t xml:space="preserve"> T. Systemic and intracerebral infections of mice with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successfully treated with linezolid. </w:t>
      </w:r>
      <w:r>
        <w:rPr>
          <w:rFonts w:ascii="Book Antiqua" w:eastAsia="Book Antiqua" w:hAnsi="Book Antiqua" w:cs="Book Antiqua"/>
          <w:i/>
          <w:iCs/>
          <w:color w:val="000000"/>
        </w:rPr>
        <w:t>J Chemother</w:t>
      </w:r>
      <w:r>
        <w:rPr>
          <w:rFonts w:ascii="Book Antiqua" w:eastAsia="Book Antiqua" w:hAnsi="Book Antiqua" w:cs="Book Antiqua"/>
          <w:color w:val="000000"/>
        </w:rPr>
        <w:t xml:space="preserve"> 2001; </w:t>
      </w:r>
      <w:r>
        <w:rPr>
          <w:rFonts w:ascii="Book Antiqua" w:eastAsia="Book Antiqua" w:hAnsi="Book Antiqua" w:cs="Book Antiqua"/>
          <w:b/>
          <w:bCs/>
          <w:color w:val="000000"/>
        </w:rPr>
        <w:t>13</w:t>
      </w:r>
      <w:r>
        <w:rPr>
          <w:rFonts w:ascii="Book Antiqua" w:eastAsia="Book Antiqua" w:hAnsi="Book Antiqua" w:cs="Book Antiqua"/>
          <w:color w:val="000000"/>
        </w:rPr>
        <w:t>: 265-269 [PMID: 11450884 DOI: 10.1179/joc.2001.13.3.265]</w:t>
      </w:r>
    </w:p>
    <w:p w14:paraId="026F7170" w14:textId="77777777" w:rsidR="00A77B3E" w:rsidRDefault="008A1A54">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Carryn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Bambeke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Mingeot-Leclercq</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Tulkens</w:t>
      </w:r>
      <w:proofErr w:type="spellEnd"/>
      <w:r>
        <w:rPr>
          <w:rFonts w:ascii="Book Antiqua" w:eastAsia="Book Antiqua" w:hAnsi="Book Antiqua" w:cs="Book Antiqua"/>
          <w:color w:val="000000"/>
        </w:rPr>
        <w:t xml:space="preserve"> PM. Activity of beta-lactams (ampicillin, meropenem), gentamicin, azithromycin and moxifloxacin against intracellular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in a 24 h THP-1 human macrophage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Antimicrob</w:t>
      </w:r>
      <w:proofErr w:type="spellEnd"/>
      <w:r>
        <w:rPr>
          <w:rFonts w:ascii="Book Antiqua" w:eastAsia="Book Antiqua" w:hAnsi="Book Antiqua" w:cs="Book Antiqua"/>
          <w:i/>
          <w:iCs/>
          <w:color w:val="000000"/>
        </w:rPr>
        <w:t xml:space="preserve"> Chemother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51</w:t>
      </w:r>
      <w:r>
        <w:rPr>
          <w:rFonts w:ascii="Book Antiqua" w:eastAsia="Book Antiqua" w:hAnsi="Book Antiqua" w:cs="Book Antiqua"/>
          <w:color w:val="000000"/>
        </w:rPr>
        <w:t>: 1051-1052 [PMID: 12654747 DOI: 10.1093/</w:t>
      </w:r>
      <w:proofErr w:type="spellStart"/>
      <w:r>
        <w:rPr>
          <w:rFonts w:ascii="Book Antiqua" w:eastAsia="Book Antiqua" w:hAnsi="Book Antiqua" w:cs="Book Antiqua"/>
          <w:color w:val="000000"/>
        </w:rPr>
        <w:t>jac</w:t>
      </w:r>
      <w:proofErr w:type="spellEnd"/>
      <w:r>
        <w:rPr>
          <w:rFonts w:ascii="Book Antiqua" w:eastAsia="Book Antiqua" w:hAnsi="Book Antiqua" w:cs="Book Antiqua"/>
          <w:color w:val="000000"/>
        </w:rPr>
        <w:t>/dkg189]</w:t>
      </w:r>
    </w:p>
    <w:p w14:paraId="085F8FE9" w14:textId="77777777" w:rsidR="00A77B3E" w:rsidRDefault="008A1A54">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Stepanović</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Lazarević</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Jesić</w:t>
      </w:r>
      <w:proofErr w:type="spellEnd"/>
      <w:r>
        <w:rPr>
          <w:rFonts w:ascii="Book Antiqua" w:eastAsia="Book Antiqua" w:hAnsi="Book Antiqua" w:cs="Book Antiqua"/>
          <w:color w:val="000000"/>
        </w:rPr>
        <w:t xml:space="preserve"> M, Kos R. Meropenem therapy failure in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infection.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2004; </w:t>
      </w:r>
      <w:r>
        <w:rPr>
          <w:rFonts w:ascii="Book Antiqua" w:eastAsia="Book Antiqua" w:hAnsi="Book Antiqua" w:cs="Book Antiqua"/>
          <w:b/>
          <w:bCs/>
          <w:color w:val="000000"/>
        </w:rPr>
        <w:t>23</w:t>
      </w:r>
      <w:r>
        <w:rPr>
          <w:rFonts w:ascii="Book Antiqua" w:eastAsia="Book Antiqua" w:hAnsi="Book Antiqua" w:cs="Book Antiqua"/>
          <w:color w:val="000000"/>
        </w:rPr>
        <w:t>: 484-486 [PMID: 15141335 DOI: 10.1007/s10096-004-1135-3]</w:t>
      </w:r>
    </w:p>
    <w:p w14:paraId="5520964B" w14:textId="77777777" w:rsidR="00A77B3E" w:rsidRDefault="008A1A54">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Thønnings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Knudsen JD, </w:t>
      </w:r>
      <w:proofErr w:type="spellStart"/>
      <w:r>
        <w:rPr>
          <w:rFonts w:ascii="Book Antiqua" w:eastAsia="Book Antiqua" w:hAnsi="Book Antiqua" w:cs="Book Antiqua"/>
          <w:color w:val="000000"/>
        </w:rPr>
        <w:t>Schønheyder</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Søgaard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Gradel</w:t>
      </w:r>
      <w:proofErr w:type="spellEnd"/>
      <w:r>
        <w:rPr>
          <w:rFonts w:ascii="Book Antiqua" w:eastAsia="Book Antiqua" w:hAnsi="Book Antiqua" w:cs="Book Antiqua"/>
          <w:color w:val="000000"/>
        </w:rPr>
        <w:t xml:space="preserve"> KO, </w:t>
      </w:r>
      <w:proofErr w:type="spellStart"/>
      <w:r>
        <w:rPr>
          <w:rFonts w:ascii="Book Antiqua" w:eastAsia="Book Antiqua" w:hAnsi="Book Antiqua" w:cs="Book Antiqua"/>
          <w:color w:val="000000"/>
        </w:rPr>
        <w:t>Østergaard</w:t>
      </w:r>
      <w:proofErr w:type="spellEnd"/>
      <w:r>
        <w:rPr>
          <w:rFonts w:ascii="Book Antiqua" w:eastAsia="Book Antiqua" w:hAnsi="Book Antiqua" w:cs="Book Antiqua"/>
          <w:color w:val="000000"/>
        </w:rPr>
        <w:t xml:space="preserve"> C; Danish Collaborative Bacteraemia Network (DACOBAN). Antibiotic treatment and mortality in patients with </w:t>
      </w:r>
      <w:r w:rsidRPr="00A4263F">
        <w:rPr>
          <w:rFonts w:ascii="Book Antiqua" w:eastAsia="Book Antiqua" w:hAnsi="Book Antiqua" w:cs="Book Antiqua"/>
          <w:color w:val="000000"/>
        </w:rPr>
        <w:t>Listeria monocytogenes</w:t>
      </w:r>
      <w:r>
        <w:rPr>
          <w:rFonts w:ascii="Book Antiqua" w:eastAsia="Book Antiqua" w:hAnsi="Book Antiqua" w:cs="Book Antiqua"/>
          <w:color w:val="000000"/>
        </w:rPr>
        <w:t xml:space="preserve"> meningitis or bacteraemia. </w:t>
      </w:r>
      <w:r>
        <w:rPr>
          <w:rFonts w:ascii="Book Antiqua" w:eastAsia="Book Antiqua" w:hAnsi="Book Antiqua" w:cs="Book Antiqua"/>
          <w:i/>
          <w:iCs/>
          <w:color w:val="000000"/>
        </w:rPr>
        <w:t>Clin Microbiol Infect</w:t>
      </w:r>
      <w:r>
        <w:rPr>
          <w:rFonts w:ascii="Book Antiqua" w:eastAsia="Book Antiqua" w:hAnsi="Book Antiqua" w:cs="Book Antiqua"/>
          <w:color w:val="000000"/>
        </w:rPr>
        <w:t xml:space="preserve"> 2016; </w:t>
      </w:r>
      <w:r>
        <w:rPr>
          <w:rFonts w:ascii="Book Antiqua" w:eastAsia="Book Antiqua" w:hAnsi="Book Antiqua" w:cs="Book Antiqua"/>
          <w:b/>
          <w:bCs/>
          <w:color w:val="000000"/>
        </w:rPr>
        <w:t>22</w:t>
      </w:r>
      <w:r>
        <w:rPr>
          <w:rFonts w:ascii="Book Antiqua" w:eastAsia="Book Antiqua" w:hAnsi="Book Antiqua" w:cs="Book Antiqua"/>
          <w:color w:val="000000"/>
        </w:rPr>
        <w:t>: 725-730 [PMID: 27345176 DOI: 10.1016/j.cmi.2016.06.006]</w:t>
      </w:r>
    </w:p>
    <w:p w14:paraId="35474F41" w14:textId="511FB676" w:rsidR="00693D95" w:rsidRDefault="008A1A54" w:rsidP="00A4263F">
      <w:pPr>
        <w:spacing w:line="360" w:lineRule="auto"/>
        <w:jc w:val="both"/>
        <w:rPr>
          <w:rFonts w:ascii="Book Antiqua" w:eastAsia="Book Antiqua" w:hAnsi="Book Antiqua" w:cs="Book Antiqua"/>
          <w:color w:val="000000"/>
        </w:rPr>
      </w:pPr>
      <w:r w:rsidRPr="009536E7">
        <w:rPr>
          <w:rFonts w:ascii="Book Antiqua" w:eastAsia="Book Antiqua" w:hAnsi="Book Antiqua" w:cs="Book Antiqua"/>
          <w:color w:val="000000"/>
        </w:rPr>
        <w:t xml:space="preserve">18 </w:t>
      </w:r>
      <w:bookmarkStart w:id="3" w:name="OLE_LINK1"/>
      <w:bookmarkStart w:id="4" w:name="OLE_LINK2"/>
      <w:r w:rsidR="00FF594C" w:rsidRPr="009536E7">
        <w:rPr>
          <w:rFonts w:ascii="Book Antiqua" w:eastAsia="Book Antiqua" w:hAnsi="Book Antiqua" w:cs="Book Antiqua"/>
          <w:b/>
          <w:bCs/>
          <w:color w:val="000000"/>
        </w:rPr>
        <w:t>World Health Organization</w:t>
      </w:r>
      <w:r w:rsidR="00FF594C" w:rsidRPr="009536E7">
        <w:rPr>
          <w:rFonts w:ascii="Book Antiqua" w:eastAsia="Book Antiqua" w:hAnsi="Book Antiqua" w:cs="Book Antiqua"/>
          <w:color w:val="000000"/>
        </w:rPr>
        <w:t xml:space="preserve">. </w:t>
      </w:r>
      <w:r w:rsidR="00A4263F" w:rsidRPr="009536E7">
        <w:rPr>
          <w:rFonts w:ascii="Book Antiqua" w:eastAsia="Book Antiqua" w:hAnsi="Book Antiqua" w:cs="Book Antiqua"/>
          <w:color w:val="000000"/>
        </w:rPr>
        <w:t>World Health Organization Model List of Essential Medicines</w:t>
      </w:r>
      <w:r w:rsidR="00FF594C" w:rsidRPr="009536E7">
        <w:rPr>
          <w:rFonts w:ascii="Book Antiqua" w:eastAsia="Book Antiqua" w:hAnsi="Book Antiqua" w:cs="Book Antiqua"/>
          <w:color w:val="000000"/>
        </w:rPr>
        <w:t>. 21st list.</w:t>
      </w:r>
      <w:bookmarkEnd w:id="3"/>
      <w:bookmarkEnd w:id="4"/>
      <w:r w:rsidR="00A4263F" w:rsidRPr="009536E7">
        <w:rPr>
          <w:rFonts w:ascii="Book Antiqua" w:eastAsia="Book Antiqua" w:hAnsi="Book Antiqua" w:cs="Book Antiqua"/>
          <w:color w:val="000000"/>
        </w:rPr>
        <w:t xml:space="preserve"> Geneva: World Health Organization, 2019: 8</w:t>
      </w:r>
    </w:p>
    <w:p w14:paraId="5E329201" w14:textId="27B5411F" w:rsidR="00A77B3E" w:rsidRDefault="0086225C" w:rsidP="00A4263F">
      <w:pPr>
        <w:spacing w:line="360" w:lineRule="auto"/>
        <w:jc w:val="both"/>
      </w:pPr>
      <w:r w:rsidRPr="009B793B">
        <w:rPr>
          <w:rFonts w:ascii="Book Antiqua" w:eastAsia="Book Antiqua" w:hAnsi="Book Antiqua" w:cs="Book Antiqua"/>
          <w:color w:val="000000"/>
        </w:rPr>
        <w:t xml:space="preserve">19 </w:t>
      </w:r>
      <w:proofErr w:type="spellStart"/>
      <w:r w:rsidR="008A1A54">
        <w:rPr>
          <w:rFonts w:ascii="Book Antiqua" w:eastAsia="Book Antiqua" w:hAnsi="Book Antiqua" w:cs="Book Antiqua"/>
          <w:b/>
          <w:bCs/>
          <w:color w:val="000000"/>
        </w:rPr>
        <w:t>Barbuddhe</w:t>
      </w:r>
      <w:proofErr w:type="spellEnd"/>
      <w:r w:rsidR="008A1A54">
        <w:rPr>
          <w:rFonts w:ascii="Book Antiqua" w:eastAsia="Book Antiqua" w:hAnsi="Book Antiqua" w:cs="Book Antiqua"/>
          <w:b/>
          <w:bCs/>
          <w:color w:val="000000"/>
        </w:rPr>
        <w:t xml:space="preserve"> SB</w:t>
      </w:r>
      <w:r w:rsidR="008A1A54">
        <w:rPr>
          <w:rFonts w:ascii="Book Antiqua" w:eastAsia="Book Antiqua" w:hAnsi="Book Antiqua" w:cs="Book Antiqua"/>
          <w:color w:val="000000"/>
        </w:rPr>
        <w:t xml:space="preserve">, Chakraborty T. Listeria as an </w:t>
      </w:r>
      <w:proofErr w:type="spellStart"/>
      <w:r w:rsidR="008A1A54">
        <w:rPr>
          <w:rFonts w:ascii="Book Antiqua" w:eastAsia="Book Antiqua" w:hAnsi="Book Antiqua" w:cs="Book Antiqua"/>
          <w:color w:val="000000"/>
        </w:rPr>
        <w:t>enteroinvasive</w:t>
      </w:r>
      <w:proofErr w:type="spellEnd"/>
      <w:r w:rsidR="008A1A54">
        <w:rPr>
          <w:rFonts w:ascii="Book Antiqua" w:eastAsia="Book Antiqua" w:hAnsi="Book Antiqua" w:cs="Book Antiqua"/>
          <w:color w:val="000000"/>
        </w:rPr>
        <w:t xml:space="preserve"> gastrointestinal pathogen. </w:t>
      </w:r>
      <w:proofErr w:type="spellStart"/>
      <w:r w:rsidR="008A1A54">
        <w:rPr>
          <w:rFonts w:ascii="Book Antiqua" w:eastAsia="Book Antiqua" w:hAnsi="Book Antiqua" w:cs="Book Antiqua"/>
          <w:i/>
          <w:iCs/>
          <w:color w:val="000000"/>
        </w:rPr>
        <w:t>Curr</w:t>
      </w:r>
      <w:proofErr w:type="spellEnd"/>
      <w:r w:rsidR="008A1A54">
        <w:rPr>
          <w:rFonts w:ascii="Book Antiqua" w:eastAsia="Book Antiqua" w:hAnsi="Book Antiqua" w:cs="Book Antiqua"/>
          <w:i/>
          <w:iCs/>
          <w:color w:val="000000"/>
        </w:rPr>
        <w:t xml:space="preserve"> Top Microbiol Immunol</w:t>
      </w:r>
      <w:r w:rsidR="008A1A54">
        <w:rPr>
          <w:rFonts w:ascii="Book Antiqua" w:eastAsia="Book Antiqua" w:hAnsi="Book Antiqua" w:cs="Book Antiqua"/>
          <w:color w:val="000000"/>
        </w:rPr>
        <w:t xml:space="preserve"> 2009; </w:t>
      </w:r>
      <w:r w:rsidR="008A1A54">
        <w:rPr>
          <w:rFonts w:ascii="Book Antiqua" w:eastAsia="Book Antiqua" w:hAnsi="Book Antiqua" w:cs="Book Antiqua"/>
          <w:b/>
          <w:bCs/>
          <w:color w:val="000000"/>
        </w:rPr>
        <w:t>337</w:t>
      </w:r>
      <w:r w:rsidR="008A1A54">
        <w:rPr>
          <w:rFonts w:ascii="Book Antiqua" w:eastAsia="Book Antiqua" w:hAnsi="Book Antiqua" w:cs="Book Antiqua"/>
          <w:color w:val="000000"/>
        </w:rPr>
        <w:t>: 173-195 [PMID: 19812983 DOI: 10.1007/978-3-642-01846-6_6]</w:t>
      </w:r>
    </w:p>
    <w:p w14:paraId="551807F4" w14:textId="1D2993DD" w:rsidR="00A77B3E" w:rsidRDefault="0086225C">
      <w:pPr>
        <w:spacing w:line="360" w:lineRule="auto"/>
        <w:jc w:val="both"/>
      </w:pPr>
      <w:r>
        <w:rPr>
          <w:rFonts w:ascii="Book Antiqua" w:eastAsia="Book Antiqua" w:hAnsi="Book Antiqua" w:cs="Book Antiqua"/>
          <w:color w:val="000000"/>
        </w:rPr>
        <w:lastRenderedPageBreak/>
        <w:t>20</w:t>
      </w:r>
      <w:r w:rsidR="008A1A54">
        <w:rPr>
          <w:rFonts w:ascii="Book Antiqua" w:eastAsia="Book Antiqua" w:hAnsi="Book Antiqua" w:cs="Book Antiqua"/>
          <w:color w:val="000000"/>
        </w:rPr>
        <w:t xml:space="preserve"> </w:t>
      </w:r>
      <w:proofErr w:type="spellStart"/>
      <w:r w:rsidR="008A1A54">
        <w:rPr>
          <w:rFonts w:ascii="Book Antiqua" w:eastAsia="Book Antiqua" w:hAnsi="Book Antiqua" w:cs="Book Antiqua"/>
          <w:b/>
          <w:bCs/>
          <w:color w:val="000000"/>
        </w:rPr>
        <w:t>Lindén</w:t>
      </w:r>
      <w:proofErr w:type="spellEnd"/>
      <w:r w:rsidR="008A1A54">
        <w:rPr>
          <w:rFonts w:ascii="Book Antiqua" w:eastAsia="Book Antiqua" w:hAnsi="Book Antiqua" w:cs="Book Antiqua"/>
          <w:b/>
          <w:bCs/>
          <w:color w:val="000000"/>
        </w:rPr>
        <w:t xml:space="preserve"> SK</w:t>
      </w:r>
      <w:r w:rsidR="008A1A54">
        <w:rPr>
          <w:rFonts w:ascii="Book Antiqua" w:eastAsia="Book Antiqua" w:hAnsi="Book Antiqua" w:cs="Book Antiqua"/>
          <w:color w:val="000000"/>
        </w:rPr>
        <w:t xml:space="preserve">, </w:t>
      </w:r>
      <w:proofErr w:type="spellStart"/>
      <w:r w:rsidR="008A1A54">
        <w:rPr>
          <w:rFonts w:ascii="Book Antiqua" w:eastAsia="Book Antiqua" w:hAnsi="Book Antiqua" w:cs="Book Antiqua"/>
          <w:color w:val="000000"/>
        </w:rPr>
        <w:t>Bierne</w:t>
      </w:r>
      <w:proofErr w:type="spellEnd"/>
      <w:r w:rsidR="008A1A54">
        <w:rPr>
          <w:rFonts w:ascii="Book Antiqua" w:eastAsia="Book Antiqua" w:hAnsi="Book Antiqua" w:cs="Book Antiqua"/>
          <w:color w:val="000000"/>
        </w:rPr>
        <w:t xml:space="preserve"> H, </w:t>
      </w:r>
      <w:proofErr w:type="spellStart"/>
      <w:r w:rsidR="008A1A54">
        <w:rPr>
          <w:rFonts w:ascii="Book Antiqua" w:eastAsia="Book Antiqua" w:hAnsi="Book Antiqua" w:cs="Book Antiqua"/>
          <w:color w:val="000000"/>
        </w:rPr>
        <w:t>Sabet</w:t>
      </w:r>
      <w:proofErr w:type="spellEnd"/>
      <w:r w:rsidR="008A1A54">
        <w:rPr>
          <w:rFonts w:ascii="Book Antiqua" w:eastAsia="Book Antiqua" w:hAnsi="Book Antiqua" w:cs="Book Antiqua"/>
          <w:color w:val="000000"/>
        </w:rPr>
        <w:t xml:space="preserve"> C, </w:t>
      </w:r>
      <w:proofErr w:type="spellStart"/>
      <w:r w:rsidR="008A1A54">
        <w:rPr>
          <w:rFonts w:ascii="Book Antiqua" w:eastAsia="Book Antiqua" w:hAnsi="Book Antiqua" w:cs="Book Antiqua"/>
          <w:color w:val="000000"/>
        </w:rPr>
        <w:t>Png</w:t>
      </w:r>
      <w:proofErr w:type="spellEnd"/>
      <w:r w:rsidR="008A1A54">
        <w:rPr>
          <w:rFonts w:ascii="Book Antiqua" w:eastAsia="Book Antiqua" w:hAnsi="Book Antiqua" w:cs="Book Antiqua"/>
          <w:color w:val="000000"/>
        </w:rPr>
        <w:t xml:space="preserve"> CW, Florin TH, McGuckin MA, </w:t>
      </w:r>
      <w:proofErr w:type="spellStart"/>
      <w:r w:rsidR="008A1A54">
        <w:rPr>
          <w:rFonts w:ascii="Book Antiqua" w:eastAsia="Book Antiqua" w:hAnsi="Book Antiqua" w:cs="Book Antiqua"/>
          <w:color w:val="000000"/>
        </w:rPr>
        <w:t>Cossart</w:t>
      </w:r>
      <w:proofErr w:type="spellEnd"/>
      <w:r w:rsidR="008A1A54">
        <w:rPr>
          <w:rFonts w:ascii="Book Antiqua" w:eastAsia="Book Antiqua" w:hAnsi="Book Antiqua" w:cs="Book Antiqua"/>
          <w:color w:val="000000"/>
        </w:rPr>
        <w:t xml:space="preserve"> P. </w:t>
      </w:r>
      <w:r w:rsidR="008A1A54" w:rsidRPr="009B793B">
        <w:rPr>
          <w:rFonts w:ascii="Book Antiqua" w:eastAsia="Book Antiqua" w:hAnsi="Book Antiqua" w:cs="Book Antiqua"/>
          <w:color w:val="000000"/>
        </w:rPr>
        <w:t>Listeria monocytogenes</w:t>
      </w:r>
      <w:r w:rsidR="008A1A54">
        <w:rPr>
          <w:rFonts w:ascii="Book Antiqua" w:eastAsia="Book Antiqua" w:hAnsi="Book Antiqua" w:cs="Book Antiqua"/>
          <w:color w:val="000000"/>
        </w:rPr>
        <w:t xml:space="preserve"> </w:t>
      </w:r>
      <w:proofErr w:type="spellStart"/>
      <w:r w:rsidR="008A1A54">
        <w:rPr>
          <w:rFonts w:ascii="Book Antiqua" w:eastAsia="Book Antiqua" w:hAnsi="Book Antiqua" w:cs="Book Antiqua"/>
          <w:color w:val="000000"/>
        </w:rPr>
        <w:t>internalins</w:t>
      </w:r>
      <w:proofErr w:type="spellEnd"/>
      <w:r w:rsidR="008A1A54">
        <w:rPr>
          <w:rFonts w:ascii="Book Antiqua" w:eastAsia="Book Antiqua" w:hAnsi="Book Antiqua" w:cs="Book Antiqua"/>
          <w:color w:val="000000"/>
        </w:rPr>
        <w:t xml:space="preserve"> bind to the human intestinal mucin MUC2. </w:t>
      </w:r>
      <w:r w:rsidR="008A1A54">
        <w:rPr>
          <w:rFonts w:ascii="Book Antiqua" w:eastAsia="Book Antiqua" w:hAnsi="Book Antiqua" w:cs="Book Antiqua"/>
          <w:i/>
          <w:iCs/>
          <w:color w:val="000000"/>
        </w:rPr>
        <w:t>Arch Microbiol</w:t>
      </w:r>
      <w:r w:rsidR="008A1A54">
        <w:rPr>
          <w:rFonts w:ascii="Book Antiqua" w:eastAsia="Book Antiqua" w:hAnsi="Book Antiqua" w:cs="Book Antiqua"/>
          <w:color w:val="000000"/>
        </w:rPr>
        <w:t xml:space="preserve"> 2008; </w:t>
      </w:r>
      <w:r w:rsidR="008A1A54">
        <w:rPr>
          <w:rFonts w:ascii="Book Antiqua" w:eastAsia="Book Antiqua" w:hAnsi="Book Antiqua" w:cs="Book Antiqua"/>
          <w:b/>
          <w:bCs/>
          <w:color w:val="000000"/>
        </w:rPr>
        <w:t>190</w:t>
      </w:r>
      <w:r w:rsidR="008A1A54">
        <w:rPr>
          <w:rFonts w:ascii="Book Antiqua" w:eastAsia="Book Antiqua" w:hAnsi="Book Antiqua" w:cs="Book Antiqua"/>
          <w:color w:val="000000"/>
        </w:rPr>
        <w:t>: 101-104 [PMID: 18327567 DOI: 10.1007/s00203-008-0358-6]</w:t>
      </w:r>
    </w:p>
    <w:p w14:paraId="15F60272" w14:textId="1ADDFFBC"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Popowska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Krawczyk-</w:t>
      </w:r>
      <w:proofErr w:type="spellStart"/>
      <w:r>
        <w:rPr>
          <w:rFonts w:ascii="Book Antiqua" w:eastAsia="Book Antiqua" w:hAnsi="Book Antiqua" w:cs="Book Antiqua"/>
          <w:color w:val="000000"/>
        </w:rPr>
        <w:t>Balska</w:t>
      </w:r>
      <w:proofErr w:type="spellEnd"/>
      <w:r>
        <w:rPr>
          <w:rFonts w:ascii="Book Antiqua" w:eastAsia="Book Antiqua" w:hAnsi="Book Antiqua" w:cs="Book Antiqua"/>
          <w:color w:val="000000"/>
        </w:rPr>
        <w:t xml:space="preserve"> A, Ostrowski R, </w:t>
      </w:r>
      <w:proofErr w:type="spellStart"/>
      <w:r>
        <w:rPr>
          <w:rFonts w:ascii="Book Antiqua" w:eastAsia="Book Antiqua" w:hAnsi="Book Antiqua" w:cs="Book Antiqua"/>
          <w:color w:val="000000"/>
        </w:rPr>
        <w:t>Desvaux</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InlL</w:t>
      </w:r>
      <w:proofErr w:type="spellEnd"/>
      <w:r>
        <w:rPr>
          <w:rFonts w:ascii="Book Antiqua" w:eastAsia="Book Antiqua" w:hAnsi="Book Antiqua" w:cs="Book Antiqua"/>
          <w:color w:val="000000"/>
        </w:rPr>
        <w:t xml:space="preserve"> from </w:t>
      </w:r>
      <w:r>
        <w:rPr>
          <w:rFonts w:ascii="Book Antiqua" w:eastAsia="Book Antiqua" w:hAnsi="Book Antiqua" w:cs="Book Antiqua"/>
          <w:i/>
          <w:iCs/>
          <w:color w:val="000000"/>
        </w:rPr>
        <w:t>Listeria monocytogenes</w:t>
      </w:r>
      <w:r>
        <w:rPr>
          <w:rFonts w:ascii="Book Antiqua" w:eastAsia="Book Antiqua" w:hAnsi="Book Antiqua" w:cs="Book Antiqua"/>
          <w:color w:val="000000"/>
        </w:rPr>
        <w:t xml:space="preserve"> Is Involved in Biofilm Formation and Adhesion to Mucin.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660 [PMID: 28473809 DOI: 10.3389/fmicb.2017.00660]</w:t>
      </w:r>
    </w:p>
    <w:p w14:paraId="19C88AFC" w14:textId="51A88C10"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Mariscotti</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Quereda</w:t>
      </w:r>
      <w:proofErr w:type="spellEnd"/>
      <w:r>
        <w:rPr>
          <w:rFonts w:ascii="Book Antiqua" w:eastAsia="Book Antiqua" w:hAnsi="Book Antiqua" w:cs="Book Antiqua"/>
          <w:color w:val="000000"/>
        </w:rPr>
        <w:t xml:space="preserve"> JJ, García-Del Portillo F, </w:t>
      </w:r>
      <w:proofErr w:type="spellStart"/>
      <w:r>
        <w:rPr>
          <w:rFonts w:ascii="Book Antiqua" w:eastAsia="Book Antiqua" w:hAnsi="Book Antiqua" w:cs="Book Antiqua"/>
          <w:color w:val="000000"/>
        </w:rPr>
        <w:t>Pucciarelli</w:t>
      </w:r>
      <w:proofErr w:type="spellEnd"/>
      <w:r>
        <w:rPr>
          <w:rFonts w:ascii="Book Antiqua" w:eastAsia="Book Antiqua" w:hAnsi="Book Antiqua" w:cs="Book Antiqua"/>
          <w:color w:val="000000"/>
        </w:rPr>
        <w:t xml:space="preserve"> MG. The </w:t>
      </w:r>
      <w:r w:rsidRPr="009B793B">
        <w:rPr>
          <w:rFonts w:ascii="Book Antiqua" w:eastAsia="Book Antiqua" w:hAnsi="Book Antiqua" w:cs="Book Antiqua"/>
          <w:color w:val="000000"/>
        </w:rPr>
        <w:t>Listeria monocytogenes</w:t>
      </w:r>
      <w:r>
        <w:rPr>
          <w:rFonts w:ascii="Book Antiqua" w:eastAsia="Book Antiqua" w:hAnsi="Book Antiqua" w:cs="Book Antiqua"/>
          <w:color w:val="000000"/>
        </w:rPr>
        <w:t xml:space="preserve"> LPXTG surface protein Lmo1413 is an </w:t>
      </w:r>
      <w:proofErr w:type="spellStart"/>
      <w:r>
        <w:rPr>
          <w:rFonts w:ascii="Book Antiqua" w:eastAsia="Book Antiqua" w:hAnsi="Book Antiqua" w:cs="Book Antiqua"/>
          <w:color w:val="000000"/>
        </w:rPr>
        <w:t>invasin</w:t>
      </w:r>
      <w:proofErr w:type="spellEnd"/>
      <w:r>
        <w:rPr>
          <w:rFonts w:ascii="Book Antiqua" w:eastAsia="Book Antiqua" w:hAnsi="Book Antiqua" w:cs="Book Antiqua"/>
          <w:color w:val="000000"/>
        </w:rPr>
        <w:t xml:space="preserve"> with capacity to bind mucin. </w:t>
      </w:r>
      <w:r>
        <w:rPr>
          <w:rFonts w:ascii="Book Antiqua" w:eastAsia="Book Antiqua" w:hAnsi="Book Antiqua" w:cs="Book Antiqua"/>
          <w:i/>
          <w:iCs/>
          <w:color w:val="000000"/>
        </w:rPr>
        <w:t>Int J Med Microbiol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304</w:t>
      </w:r>
      <w:r>
        <w:rPr>
          <w:rFonts w:ascii="Book Antiqua" w:eastAsia="Book Antiqua" w:hAnsi="Book Antiqua" w:cs="Book Antiqua"/>
          <w:color w:val="000000"/>
        </w:rPr>
        <w:t>: 393-404 [PMID: 24572033 DOI: 10.1016/j.ijmm.2014.01.003]</w:t>
      </w:r>
    </w:p>
    <w:p w14:paraId="3D88A889" w14:textId="6673C0BB"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Drolia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Bhunia</w:t>
      </w:r>
      <w:proofErr w:type="spellEnd"/>
      <w:r>
        <w:rPr>
          <w:rFonts w:ascii="Book Antiqua" w:eastAsia="Book Antiqua" w:hAnsi="Book Antiqua" w:cs="Book Antiqua"/>
          <w:color w:val="000000"/>
        </w:rPr>
        <w:t xml:space="preserve"> AK. Crossing the Intestinal Barrier </w:t>
      </w:r>
      <w:r>
        <w:rPr>
          <w:rFonts w:ascii="Book Antiqua" w:eastAsia="Book Antiqua" w:hAnsi="Book Antiqua" w:cs="Book Antiqua"/>
          <w:i/>
          <w:iCs/>
          <w:color w:val="000000"/>
        </w:rPr>
        <w:t>via</w:t>
      </w:r>
      <w:r>
        <w:rPr>
          <w:rFonts w:ascii="Book Antiqua" w:eastAsia="Book Antiqua" w:hAnsi="Book Antiqua" w:cs="Book Antiqua"/>
          <w:color w:val="000000"/>
        </w:rPr>
        <w:t xml:space="preserve"> Listeria Adhesion Protein and Internalin A. </w:t>
      </w:r>
      <w:r>
        <w:rPr>
          <w:rFonts w:ascii="Book Antiqua" w:eastAsia="Book Antiqua" w:hAnsi="Book Antiqua" w:cs="Book Antiqua"/>
          <w:i/>
          <w:iCs/>
          <w:color w:val="000000"/>
        </w:rPr>
        <w:t>Trends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27</w:t>
      </w:r>
      <w:r>
        <w:rPr>
          <w:rFonts w:ascii="Book Antiqua" w:eastAsia="Book Antiqua" w:hAnsi="Book Antiqua" w:cs="Book Antiqua"/>
          <w:color w:val="000000"/>
        </w:rPr>
        <w:t>: 408-425 [PMID: 30661918 DOI: 10.1016/j.tim.2018.12.007]</w:t>
      </w:r>
    </w:p>
    <w:p w14:paraId="3EB65215" w14:textId="01B5C431"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Nguyen BN</w:t>
      </w:r>
      <w:r>
        <w:rPr>
          <w:rFonts w:ascii="Book Antiqua" w:eastAsia="Book Antiqua" w:hAnsi="Book Antiqua" w:cs="Book Antiqua"/>
          <w:color w:val="000000"/>
        </w:rPr>
        <w:t xml:space="preserve">, Peterson BN, Portnoy DA. Listeriolysin O: A phagosome-specific cytolysin revisited. </w:t>
      </w:r>
      <w:r>
        <w:rPr>
          <w:rFonts w:ascii="Book Antiqua" w:eastAsia="Book Antiqua" w:hAnsi="Book Antiqua" w:cs="Book Antiqua"/>
          <w:i/>
          <w:iCs/>
          <w:color w:val="000000"/>
        </w:rPr>
        <w:t>Cell Microbiol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21</w:t>
      </w:r>
      <w:r>
        <w:rPr>
          <w:rFonts w:ascii="Book Antiqua" w:eastAsia="Book Antiqua" w:hAnsi="Book Antiqua" w:cs="Book Antiqua"/>
          <w:color w:val="000000"/>
        </w:rPr>
        <w:t>: e12988 [PMID: 30511471 DOI: 10.1111/cmi.12988]</w:t>
      </w:r>
    </w:p>
    <w:p w14:paraId="7377BFF3" w14:textId="353441C0"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Duranti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Sabbatucci</w:t>
      </w:r>
      <w:proofErr w:type="spellEnd"/>
      <w:r>
        <w:rPr>
          <w:rFonts w:ascii="Book Antiqua" w:eastAsia="Book Antiqua" w:hAnsi="Book Antiqua" w:cs="Book Antiqua"/>
          <w:color w:val="000000"/>
        </w:rPr>
        <w:t xml:space="preserve"> M, Blasi G, </w:t>
      </w:r>
      <w:proofErr w:type="spellStart"/>
      <w:r>
        <w:rPr>
          <w:rFonts w:ascii="Book Antiqua" w:eastAsia="Book Antiqua" w:hAnsi="Book Antiqua" w:cs="Book Antiqua"/>
          <w:color w:val="000000"/>
        </w:rPr>
        <w:t>Acciari</w:t>
      </w:r>
      <w:proofErr w:type="spellEnd"/>
      <w:r>
        <w:rPr>
          <w:rFonts w:ascii="Book Antiqua" w:eastAsia="Book Antiqua" w:hAnsi="Book Antiqua" w:cs="Book Antiqua"/>
          <w:color w:val="000000"/>
        </w:rPr>
        <w:t xml:space="preserve"> VA, </w:t>
      </w:r>
      <w:proofErr w:type="spellStart"/>
      <w:r>
        <w:rPr>
          <w:rFonts w:ascii="Book Antiqua" w:eastAsia="Book Antiqua" w:hAnsi="Book Antiqua" w:cs="Book Antiqua"/>
          <w:color w:val="000000"/>
        </w:rPr>
        <w:t>Ancora</w:t>
      </w:r>
      <w:proofErr w:type="spellEnd"/>
      <w:r>
        <w:rPr>
          <w:rFonts w:ascii="Book Antiqua" w:eastAsia="Book Antiqua" w:hAnsi="Book Antiqua" w:cs="Book Antiqua"/>
          <w:color w:val="000000"/>
        </w:rPr>
        <w:t xml:space="preserve"> M, Bella A, </w:t>
      </w:r>
      <w:proofErr w:type="spellStart"/>
      <w:r>
        <w:rPr>
          <w:rFonts w:ascii="Book Antiqua" w:eastAsia="Book Antiqua" w:hAnsi="Book Antiqua" w:cs="Book Antiqua"/>
          <w:color w:val="000000"/>
        </w:rPr>
        <w:t>Busani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Centorame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Conti F, De Medici D, Di Domenico M, Di </w:t>
      </w:r>
      <w:proofErr w:type="spellStart"/>
      <w:r>
        <w:rPr>
          <w:rFonts w:ascii="Book Antiqua" w:eastAsia="Book Antiqua" w:hAnsi="Book Antiqua" w:cs="Book Antiqua"/>
          <w:color w:val="000000"/>
        </w:rPr>
        <w:t>Marzio</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Filippini</w:t>
      </w:r>
      <w:proofErr w:type="spellEnd"/>
      <w:r>
        <w:rPr>
          <w:rFonts w:ascii="Book Antiqua" w:eastAsia="Book Antiqua" w:hAnsi="Book Antiqua" w:cs="Book Antiqua"/>
          <w:color w:val="000000"/>
        </w:rPr>
        <w:t xml:space="preserve"> G, Fiore A, </w:t>
      </w:r>
      <w:proofErr w:type="spellStart"/>
      <w:r>
        <w:rPr>
          <w:rFonts w:ascii="Book Antiqua" w:eastAsia="Book Antiqua" w:hAnsi="Book Antiqua" w:cs="Book Antiqua"/>
          <w:color w:val="000000"/>
        </w:rPr>
        <w:t>Fisichella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Gattuso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Gianfranceschi</w:t>
      </w:r>
      <w:proofErr w:type="spellEnd"/>
      <w:r>
        <w:rPr>
          <w:rFonts w:ascii="Book Antiqua" w:eastAsia="Book Antiqua" w:hAnsi="Book Antiqua" w:cs="Book Antiqua"/>
          <w:color w:val="000000"/>
        </w:rPr>
        <w:t xml:space="preserve"> M, Graziani C, </w:t>
      </w:r>
      <w:proofErr w:type="spellStart"/>
      <w:r>
        <w:rPr>
          <w:rFonts w:ascii="Book Antiqua" w:eastAsia="Book Antiqua" w:hAnsi="Book Antiqua" w:cs="Book Antiqua"/>
          <w:color w:val="000000"/>
        </w:rPr>
        <w:t>Guidi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Marcacci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Marfoglia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D, Orsini M, Ottaviani D, </w:t>
      </w:r>
      <w:proofErr w:type="spellStart"/>
      <w:r>
        <w:rPr>
          <w:rFonts w:ascii="Book Antiqua" w:eastAsia="Book Antiqua" w:hAnsi="Book Antiqua" w:cs="Book Antiqua"/>
          <w:color w:val="000000"/>
        </w:rPr>
        <w:t>Petruzzelli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Pezzotti</w:t>
      </w:r>
      <w:proofErr w:type="spellEnd"/>
      <w:r>
        <w:rPr>
          <w:rFonts w:ascii="Book Antiqua" w:eastAsia="Book Antiqua" w:hAnsi="Book Antiqua" w:cs="Book Antiqua"/>
          <w:color w:val="000000"/>
        </w:rPr>
        <w:t xml:space="preserve"> P, Rizzo C, </w:t>
      </w:r>
      <w:proofErr w:type="spellStart"/>
      <w:r>
        <w:rPr>
          <w:rFonts w:ascii="Book Antiqua" w:eastAsia="Book Antiqua" w:hAnsi="Book Antiqua" w:cs="Book Antiqua"/>
          <w:color w:val="000000"/>
        </w:rPr>
        <w:t>Ruolo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Scavia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Scuota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Tagliavento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Tibaldi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Tonucci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Torresi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Migliorati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Pomilio</w:t>
      </w:r>
      <w:proofErr w:type="spellEnd"/>
      <w:r>
        <w:rPr>
          <w:rFonts w:ascii="Book Antiqua" w:eastAsia="Book Antiqua" w:hAnsi="Book Antiqua" w:cs="Book Antiqua"/>
          <w:color w:val="000000"/>
        </w:rPr>
        <w:t xml:space="preserve"> F. A severe outbreak of listeriosis in central Italy with a rare </w:t>
      </w:r>
      <w:proofErr w:type="spellStart"/>
      <w:r>
        <w:rPr>
          <w:rFonts w:ascii="Book Antiqua" w:eastAsia="Book Antiqua" w:hAnsi="Book Antiqua" w:cs="Book Antiqua"/>
          <w:color w:val="000000"/>
        </w:rPr>
        <w:t>pulsotype</w:t>
      </w:r>
      <w:proofErr w:type="spellEnd"/>
      <w:r>
        <w:rPr>
          <w:rFonts w:ascii="Book Antiqua" w:eastAsia="Book Antiqua" w:hAnsi="Book Antiqua" w:cs="Book Antiqua"/>
          <w:color w:val="000000"/>
        </w:rPr>
        <w:t xml:space="preserve"> associated with processed pork products. </w:t>
      </w:r>
      <w:r>
        <w:rPr>
          <w:rFonts w:ascii="Book Antiqua" w:eastAsia="Book Antiqua" w:hAnsi="Book Antiqua" w:cs="Book Antiqua"/>
          <w:i/>
          <w:iCs/>
          <w:color w:val="000000"/>
        </w:rPr>
        <w:t>J Med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1351-1360 [PMID: 30024370 DOI: 10.1099/jmm.0.000785]</w:t>
      </w:r>
    </w:p>
    <w:p w14:paraId="540BC2B0" w14:textId="3A9657F0" w:rsidR="00A77B3E" w:rsidRDefault="008A1A54">
      <w:pPr>
        <w:spacing w:line="360" w:lineRule="auto"/>
        <w:jc w:val="both"/>
      </w:pPr>
      <w:r>
        <w:rPr>
          <w:rFonts w:ascii="Book Antiqua" w:eastAsia="Book Antiqua" w:hAnsi="Book Antiqua" w:cs="Book Antiqua"/>
          <w:color w:val="000000"/>
        </w:rPr>
        <w:t>2</w:t>
      </w:r>
      <w:r w:rsidR="0086225C">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Elson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Awofisayo-Okuyelu</w:t>
      </w:r>
      <w:proofErr w:type="spellEnd"/>
      <w:r>
        <w:rPr>
          <w:rFonts w:ascii="Book Antiqua" w:eastAsia="Book Antiqua" w:hAnsi="Book Antiqua" w:cs="Book Antiqua"/>
          <w:color w:val="000000"/>
        </w:rPr>
        <w:t xml:space="preserve"> A, Greener T, Swift C, </w:t>
      </w:r>
      <w:proofErr w:type="spellStart"/>
      <w:r>
        <w:rPr>
          <w:rFonts w:ascii="Book Antiqua" w:eastAsia="Book Antiqua" w:hAnsi="Book Antiqua" w:cs="Book Antiqua"/>
          <w:color w:val="000000"/>
        </w:rPr>
        <w:t>Painset</w:t>
      </w:r>
      <w:proofErr w:type="spellEnd"/>
      <w:r>
        <w:rPr>
          <w:rFonts w:ascii="Book Antiqua" w:eastAsia="Book Antiqua" w:hAnsi="Book Antiqua" w:cs="Book Antiqua"/>
          <w:color w:val="000000"/>
        </w:rPr>
        <w:t xml:space="preserve"> A, Amar CFL, Newton A, </w:t>
      </w:r>
      <w:proofErr w:type="spellStart"/>
      <w:r>
        <w:rPr>
          <w:rFonts w:ascii="Book Antiqua" w:eastAsia="Book Antiqua" w:hAnsi="Book Antiqua" w:cs="Book Antiqua"/>
          <w:color w:val="000000"/>
        </w:rPr>
        <w:t>Aird</w:t>
      </w:r>
      <w:proofErr w:type="spellEnd"/>
      <w:r>
        <w:rPr>
          <w:rFonts w:ascii="Book Antiqua" w:eastAsia="Book Antiqua" w:hAnsi="Book Antiqua" w:cs="Book Antiqua"/>
          <w:color w:val="000000"/>
        </w:rPr>
        <w:t xml:space="preserve"> H, Swindlehurst M, </w:t>
      </w:r>
      <w:proofErr w:type="spellStart"/>
      <w:r>
        <w:rPr>
          <w:rFonts w:ascii="Book Antiqua" w:eastAsia="Book Antiqua" w:hAnsi="Book Antiqua" w:cs="Book Antiqua"/>
          <w:color w:val="000000"/>
        </w:rPr>
        <w:t>Elviss</w:t>
      </w:r>
      <w:proofErr w:type="spellEnd"/>
      <w:r>
        <w:rPr>
          <w:rFonts w:ascii="Book Antiqua" w:eastAsia="Book Antiqua" w:hAnsi="Book Antiqua" w:cs="Book Antiqua"/>
          <w:color w:val="000000"/>
        </w:rPr>
        <w:t xml:space="preserve"> N, Foster K, </w:t>
      </w:r>
      <w:proofErr w:type="spellStart"/>
      <w:r>
        <w:rPr>
          <w:rFonts w:ascii="Book Antiqua" w:eastAsia="Book Antiqua" w:hAnsi="Book Antiqua" w:cs="Book Antiqua"/>
          <w:color w:val="000000"/>
        </w:rPr>
        <w:t>Dallman</w:t>
      </w:r>
      <w:proofErr w:type="spellEnd"/>
      <w:r>
        <w:rPr>
          <w:rFonts w:ascii="Book Antiqua" w:eastAsia="Book Antiqua" w:hAnsi="Book Antiqua" w:cs="Book Antiqua"/>
          <w:color w:val="000000"/>
        </w:rPr>
        <w:t xml:space="preserve"> TJ, Ruggles R, Grant K. Utility of Whole Genome Sequencing To Describe the Persistence and Evolution of </w:t>
      </w:r>
      <w:r w:rsidRPr="009B793B">
        <w:rPr>
          <w:rFonts w:ascii="Book Antiqua" w:eastAsia="Book Antiqua" w:hAnsi="Book Antiqua" w:cs="Book Antiqua"/>
          <w:color w:val="000000"/>
        </w:rPr>
        <w:t>Listeria monocytogenes</w:t>
      </w:r>
      <w:r>
        <w:rPr>
          <w:rFonts w:ascii="Book Antiqua" w:eastAsia="Book Antiqua" w:hAnsi="Book Antiqua" w:cs="Book Antiqua"/>
          <w:color w:val="000000"/>
        </w:rPr>
        <w:t xml:space="preserve"> Strains within Crabmeat Processing Environments Linked to Two Outbreaks of Listeriosis. </w:t>
      </w:r>
      <w:r>
        <w:rPr>
          <w:rFonts w:ascii="Book Antiqua" w:eastAsia="Book Antiqua" w:hAnsi="Book Antiqua" w:cs="Book Antiqua"/>
          <w:i/>
          <w:iCs/>
          <w:color w:val="000000"/>
        </w:rPr>
        <w:t xml:space="preserve">J Food </w:t>
      </w:r>
      <w:proofErr w:type="spellStart"/>
      <w:r>
        <w:rPr>
          <w:rFonts w:ascii="Book Antiqua" w:eastAsia="Book Antiqua" w:hAnsi="Book Antiqua" w:cs="Book Antiqua"/>
          <w:i/>
          <w:iCs/>
          <w:color w:val="000000"/>
        </w:rPr>
        <w:t>Prot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82</w:t>
      </w:r>
      <w:r>
        <w:rPr>
          <w:rFonts w:ascii="Book Antiqua" w:eastAsia="Book Antiqua" w:hAnsi="Book Antiqua" w:cs="Book Antiqua"/>
          <w:color w:val="000000"/>
        </w:rPr>
        <w:t>: 30-38 [PMID: 30702931 DOI: 10.4315/0362-028X.JFP-18-206]</w:t>
      </w:r>
    </w:p>
    <w:p w14:paraId="6238CC0D"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7F90110" w14:textId="77777777" w:rsidR="00A77B3E" w:rsidRDefault="008A1A54">
      <w:pPr>
        <w:spacing w:line="360" w:lineRule="auto"/>
        <w:jc w:val="both"/>
      </w:pPr>
      <w:r>
        <w:rPr>
          <w:rFonts w:ascii="Book Antiqua" w:eastAsia="Book Antiqua" w:hAnsi="Book Antiqua" w:cs="Book Antiqua"/>
          <w:b/>
          <w:color w:val="000000"/>
        </w:rPr>
        <w:lastRenderedPageBreak/>
        <w:t>Footnotes</w:t>
      </w:r>
    </w:p>
    <w:p w14:paraId="66AAA3B1" w14:textId="77777777" w:rsidR="00A77B3E" w:rsidRDefault="008A1A5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Consent was obtained from relatives of the patient for publication of this report and any accompanying images.</w:t>
      </w:r>
    </w:p>
    <w:p w14:paraId="3B56B82F" w14:textId="77777777" w:rsidR="00A77B3E" w:rsidRDefault="00A77B3E">
      <w:pPr>
        <w:spacing w:line="360" w:lineRule="auto"/>
        <w:jc w:val="both"/>
      </w:pPr>
    </w:p>
    <w:p w14:paraId="08E4B8B9" w14:textId="77777777" w:rsidR="00A77B3E" w:rsidRDefault="008A1A5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498F35EC" w14:textId="77777777" w:rsidR="00A77B3E" w:rsidRDefault="00A77B3E">
      <w:pPr>
        <w:spacing w:line="360" w:lineRule="auto"/>
        <w:jc w:val="both"/>
      </w:pPr>
    </w:p>
    <w:p w14:paraId="161478BA" w14:textId="77777777" w:rsidR="00A77B3E" w:rsidRDefault="008A1A5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A6830D1" w14:textId="77777777" w:rsidR="00A77B3E" w:rsidRDefault="00A77B3E">
      <w:pPr>
        <w:spacing w:line="360" w:lineRule="auto"/>
        <w:jc w:val="both"/>
      </w:pPr>
    </w:p>
    <w:p w14:paraId="7A259312" w14:textId="77777777" w:rsidR="00A77B3E" w:rsidRDefault="008A1A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E880EE1" w14:textId="77777777" w:rsidR="00A77B3E" w:rsidRDefault="00A77B3E">
      <w:pPr>
        <w:spacing w:line="360" w:lineRule="auto"/>
        <w:jc w:val="both"/>
      </w:pPr>
    </w:p>
    <w:p w14:paraId="14AF929A" w14:textId="0AAF17A7" w:rsidR="00A77B3E" w:rsidRDefault="008A1A5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53B02">
        <w:rPr>
          <w:rFonts w:ascii="Book Antiqua" w:eastAsia="Book Antiqua" w:hAnsi="Book Antiqua" w:cs="Book Antiqua"/>
          <w:color w:val="000000"/>
        </w:rPr>
        <w:t>m</w:t>
      </w:r>
      <w:r>
        <w:rPr>
          <w:rFonts w:ascii="Book Antiqua" w:eastAsia="Book Antiqua" w:hAnsi="Book Antiqua" w:cs="Book Antiqua"/>
          <w:color w:val="000000"/>
        </w:rPr>
        <w:t>anuscript</w:t>
      </w:r>
    </w:p>
    <w:p w14:paraId="2E97CEA6" w14:textId="77777777" w:rsidR="00A77B3E" w:rsidRDefault="00A77B3E">
      <w:pPr>
        <w:spacing w:line="360" w:lineRule="auto"/>
        <w:jc w:val="both"/>
      </w:pPr>
    </w:p>
    <w:p w14:paraId="10DF92B2" w14:textId="77777777" w:rsidR="00A77B3E" w:rsidRDefault="008A1A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11, 2021</w:t>
      </w:r>
    </w:p>
    <w:p w14:paraId="6C0B68B7" w14:textId="77777777" w:rsidR="00A77B3E" w:rsidRDefault="008A1A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25, 2021</w:t>
      </w:r>
    </w:p>
    <w:p w14:paraId="0CBD1B36" w14:textId="77777777" w:rsidR="00A77B3E" w:rsidRDefault="008A1A54">
      <w:pPr>
        <w:spacing w:line="360" w:lineRule="auto"/>
        <w:jc w:val="both"/>
      </w:pPr>
      <w:r>
        <w:rPr>
          <w:rFonts w:ascii="Book Antiqua" w:eastAsia="Book Antiqua" w:hAnsi="Book Antiqua" w:cs="Book Antiqua"/>
          <w:b/>
          <w:color w:val="000000"/>
        </w:rPr>
        <w:t xml:space="preserve">Article in press: </w:t>
      </w:r>
    </w:p>
    <w:p w14:paraId="4DC99B4B" w14:textId="77777777" w:rsidR="00A77B3E" w:rsidRDefault="00A77B3E">
      <w:pPr>
        <w:spacing w:line="360" w:lineRule="auto"/>
        <w:jc w:val="both"/>
      </w:pPr>
    </w:p>
    <w:p w14:paraId="4A575A52" w14:textId="0BA4C9F7" w:rsidR="00A77B3E" w:rsidRDefault="008A1A54">
      <w:pPr>
        <w:spacing w:line="360" w:lineRule="auto"/>
        <w:jc w:val="both"/>
      </w:pPr>
      <w:r>
        <w:rPr>
          <w:rFonts w:ascii="Book Antiqua" w:eastAsia="Book Antiqua" w:hAnsi="Book Antiqua" w:cs="Book Antiqua"/>
          <w:b/>
          <w:color w:val="000000"/>
        </w:rPr>
        <w:t xml:space="preserve">Specialty type: </w:t>
      </w:r>
      <w:r w:rsidR="00E53B02" w:rsidRPr="00E53B02">
        <w:rPr>
          <w:rFonts w:ascii="Book Antiqua" w:eastAsia="Book Antiqua" w:hAnsi="Book Antiqua" w:cs="Book Antiqua"/>
          <w:color w:val="000000"/>
        </w:rPr>
        <w:t>Medicine, research and experimental</w:t>
      </w:r>
    </w:p>
    <w:p w14:paraId="1430DFF9" w14:textId="77777777" w:rsidR="00A77B3E" w:rsidRDefault="008A1A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20D0150" w14:textId="77777777" w:rsidR="00A77B3E" w:rsidRDefault="008A1A54">
      <w:pPr>
        <w:spacing w:line="360" w:lineRule="auto"/>
        <w:jc w:val="both"/>
      </w:pPr>
      <w:r>
        <w:rPr>
          <w:rFonts w:ascii="Book Antiqua" w:eastAsia="Book Antiqua" w:hAnsi="Book Antiqua" w:cs="Book Antiqua"/>
          <w:b/>
          <w:color w:val="000000"/>
        </w:rPr>
        <w:t>Peer-review report’s scientific quality classification</w:t>
      </w:r>
    </w:p>
    <w:p w14:paraId="37F83A32" w14:textId="77777777" w:rsidR="00A77B3E" w:rsidRDefault="008A1A54">
      <w:pPr>
        <w:spacing w:line="360" w:lineRule="auto"/>
        <w:jc w:val="both"/>
      </w:pPr>
      <w:r>
        <w:rPr>
          <w:rFonts w:ascii="Book Antiqua" w:eastAsia="Book Antiqua" w:hAnsi="Book Antiqua" w:cs="Book Antiqua"/>
          <w:color w:val="000000"/>
        </w:rPr>
        <w:t>Grade A (Excellent): 0</w:t>
      </w:r>
    </w:p>
    <w:p w14:paraId="48DD6BBA" w14:textId="77777777" w:rsidR="00A77B3E" w:rsidRDefault="008A1A54">
      <w:pPr>
        <w:spacing w:line="360" w:lineRule="auto"/>
        <w:jc w:val="both"/>
      </w:pPr>
      <w:r>
        <w:rPr>
          <w:rFonts w:ascii="Book Antiqua" w:eastAsia="Book Antiqua" w:hAnsi="Book Antiqua" w:cs="Book Antiqua"/>
          <w:color w:val="000000"/>
        </w:rPr>
        <w:t>Grade B (Very good): B</w:t>
      </w:r>
    </w:p>
    <w:p w14:paraId="717A970F" w14:textId="77777777" w:rsidR="00A77B3E" w:rsidRDefault="008A1A54">
      <w:pPr>
        <w:spacing w:line="360" w:lineRule="auto"/>
        <w:jc w:val="both"/>
      </w:pPr>
      <w:r>
        <w:rPr>
          <w:rFonts w:ascii="Book Antiqua" w:eastAsia="Book Antiqua" w:hAnsi="Book Antiqua" w:cs="Book Antiqua"/>
          <w:color w:val="000000"/>
        </w:rPr>
        <w:t>Grade C (Good): C</w:t>
      </w:r>
    </w:p>
    <w:p w14:paraId="07020826" w14:textId="77777777" w:rsidR="00A77B3E" w:rsidRDefault="008A1A54">
      <w:pPr>
        <w:spacing w:line="360" w:lineRule="auto"/>
        <w:jc w:val="both"/>
      </w:pPr>
      <w:r>
        <w:rPr>
          <w:rFonts w:ascii="Book Antiqua" w:eastAsia="Book Antiqua" w:hAnsi="Book Antiqua" w:cs="Book Antiqua"/>
          <w:color w:val="000000"/>
        </w:rPr>
        <w:lastRenderedPageBreak/>
        <w:t>Grade D (Fair): 0</w:t>
      </w:r>
    </w:p>
    <w:p w14:paraId="73FF4A48" w14:textId="77777777" w:rsidR="00A77B3E" w:rsidRDefault="008A1A54">
      <w:pPr>
        <w:spacing w:line="360" w:lineRule="auto"/>
        <w:jc w:val="both"/>
      </w:pPr>
      <w:r>
        <w:rPr>
          <w:rFonts w:ascii="Book Antiqua" w:eastAsia="Book Antiqua" w:hAnsi="Book Antiqua" w:cs="Book Antiqua"/>
          <w:color w:val="000000"/>
        </w:rPr>
        <w:t>Grade E (Poor): 0</w:t>
      </w:r>
    </w:p>
    <w:p w14:paraId="23D19A01" w14:textId="77777777" w:rsidR="00A77B3E" w:rsidRDefault="00A77B3E">
      <w:pPr>
        <w:spacing w:line="360" w:lineRule="auto"/>
        <w:jc w:val="both"/>
      </w:pPr>
    </w:p>
    <w:p w14:paraId="3B0DD6EE" w14:textId="6DF0D331" w:rsidR="00A77B3E" w:rsidRDefault="008A1A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Mayr J, Ong LT</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7834D8">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p w14:paraId="4BCCC84D" w14:textId="77777777" w:rsidR="005C6E57" w:rsidRDefault="005C6E57">
      <w:pPr>
        <w:spacing w:line="360" w:lineRule="auto"/>
        <w:jc w:val="both"/>
        <w:sectPr w:rsidR="005C6E57">
          <w:pgSz w:w="12240" w:h="15840"/>
          <w:pgMar w:top="1440" w:right="1440" w:bottom="1440" w:left="1440" w:header="720" w:footer="720" w:gutter="0"/>
          <w:cols w:space="720"/>
          <w:docGrid w:linePitch="360"/>
        </w:sectPr>
      </w:pPr>
    </w:p>
    <w:p w14:paraId="1CFB35A4" w14:textId="045EB427" w:rsidR="00A77B3E" w:rsidRDefault="008A1A5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031FD35" w14:textId="0F5A1841" w:rsidR="00D745A0" w:rsidRDefault="007968E1">
      <w:pPr>
        <w:spacing w:line="360" w:lineRule="auto"/>
        <w:jc w:val="both"/>
      </w:pPr>
      <w:r>
        <w:rPr>
          <w:noProof/>
          <w:lang w:eastAsia="zh-CN"/>
        </w:rPr>
        <w:drawing>
          <wp:inline distT="0" distB="0" distL="0" distR="0" wp14:anchorId="0E613D79" wp14:editId="7A47D634">
            <wp:extent cx="3065228" cy="20910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73797" cy="2096902"/>
                    </a:xfrm>
                    <a:prstGeom prst="rect">
                      <a:avLst/>
                    </a:prstGeom>
                  </pic:spPr>
                </pic:pic>
              </a:graphicData>
            </a:graphic>
          </wp:inline>
        </w:drawing>
      </w:r>
    </w:p>
    <w:p w14:paraId="6C458B80" w14:textId="2E9A9186" w:rsidR="00D745A0" w:rsidRDefault="008A1A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D745A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Abdominal and pelvis computed tomography. </w:t>
      </w:r>
      <w:r>
        <w:rPr>
          <w:rFonts w:ascii="Book Antiqua" w:eastAsia="Book Antiqua" w:hAnsi="Book Antiqua" w:cs="Book Antiqua"/>
          <w:color w:val="000000"/>
        </w:rPr>
        <w:t>Computed tomography scan of abdomen and pelvis showed mural thickening and exudation surrounding the ascending colon</w:t>
      </w:r>
      <w:r w:rsidR="00540312">
        <w:rPr>
          <w:rFonts w:ascii="Book Antiqua" w:eastAsia="Book Antiqua" w:hAnsi="Book Antiqua" w:cs="Book Antiqua"/>
          <w:color w:val="000000"/>
        </w:rPr>
        <w:t xml:space="preserve"> </w:t>
      </w:r>
      <w:r>
        <w:rPr>
          <w:rFonts w:ascii="Book Antiqua" w:eastAsia="Book Antiqua" w:hAnsi="Book Antiqua" w:cs="Book Antiqua"/>
          <w:color w:val="000000"/>
        </w:rPr>
        <w:t>(yellow arrow).</w:t>
      </w:r>
    </w:p>
    <w:p w14:paraId="60497EE4" w14:textId="71EFEC78" w:rsidR="00A77B3E" w:rsidRDefault="00D745A0">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1C4FB926" wp14:editId="4A77E517">
            <wp:extent cx="5943600" cy="36226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622675"/>
                    </a:xfrm>
                    <a:prstGeom prst="rect">
                      <a:avLst/>
                    </a:prstGeom>
                  </pic:spPr>
                </pic:pic>
              </a:graphicData>
            </a:graphic>
          </wp:inline>
        </w:drawing>
      </w:r>
    </w:p>
    <w:p w14:paraId="43058CCF" w14:textId="5E0918F7" w:rsidR="00AC077C" w:rsidRDefault="008A1A5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D745A0">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The </w:t>
      </w:r>
      <w:r w:rsidRPr="00D745A0">
        <w:rPr>
          <w:rFonts w:ascii="Book Antiqua" w:eastAsia="Book Antiqua" w:hAnsi="Book Antiqua" w:cs="Book Antiqua"/>
          <w:b/>
          <w:bCs/>
          <w:i/>
          <w:iCs/>
          <w:color w:val="000000"/>
        </w:rPr>
        <w:t>Listeria monocytogenes</w:t>
      </w:r>
      <w:r>
        <w:rPr>
          <w:rFonts w:ascii="Book Antiqua" w:eastAsia="Book Antiqua" w:hAnsi="Book Antiqua" w:cs="Book Antiqua"/>
          <w:b/>
          <w:bCs/>
          <w:color w:val="000000"/>
        </w:rPr>
        <w:t xml:space="preserve"> bacteraemia patient treatment, peak temperature</w:t>
      </w:r>
      <w:r w:rsidR="00052139">
        <w:rPr>
          <w:rFonts w:ascii="SimSun" w:eastAsia="SimSun" w:hAnsi="SimSun" w:cs="SimSun" w:hint="eastAsia"/>
          <w:b/>
          <w:bCs/>
          <w:color w:val="000000"/>
          <w:lang w:eastAsia="zh-CN"/>
        </w:rPr>
        <w:t>，</w:t>
      </w:r>
      <w:r>
        <w:rPr>
          <w:rFonts w:ascii="Book Antiqua" w:eastAsia="Book Antiqua" w:hAnsi="Book Antiqua" w:cs="Book Antiqua"/>
          <w:b/>
          <w:bCs/>
          <w:color w:val="000000"/>
        </w:rPr>
        <w:t xml:space="preserve"> and pathogen analysis</w:t>
      </w:r>
      <w:r w:rsidR="00D745A0">
        <w:rPr>
          <w:rFonts w:ascii="Book Antiqua" w:eastAsia="Book Antiqua" w:hAnsi="Book Antiqua" w:cs="Book Antiqua"/>
          <w:b/>
          <w:bCs/>
          <w:color w:val="000000"/>
        </w:rPr>
        <w:t xml:space="preserve">. </w:t>
      </w:r>
      <w:r w:rsidR="00D745A0">
        <w:rPr>
          <w:rFonts w:ascii="Book Antiqua" w:eastAsia="Book Antiqua" w:hAnsi="Book Antiqua" w:cs="Book Antiqua"/>
          <w:color w:val="000000"/>
        </w:rPr>
        <w:t>CDC:</w:t>
      </w:r>
      <w:r w:rsidR="0032751D">
        <w:rPr>
          <w:rFonts w:ascii="Book Antiqua" w:eastAsia="Book Antiqua" w:hAnsi="Book Antiqua" w:cs="Book Antiqua"/>
          <w:color w:val="000000"/>
        </w:rPr>
        <w:t xml:space="preserve"> Beijing Centers for Disease Control and Prevention; </w:t>
      </w:r>
      <w:r w:rsidR="001B6D07">
        <w:rPr>
          <w:rFonts w:ascii="Book Antiqua" w:eastAsia="Book Antiqua" w:hAnsi="Book Antiqua" w:cs="Book Antiqua"/>
          <w:i/>
          <w:iCs/>
          <w:color w:val="000000"/>
        </w:rPr>
        <w:t>L. monocytogenes</w:t>
      </w:r>
      <w:r w:rsidR="001B6D07">
        <w:rPr>
          <w:rFonts w:ascii="Book Antiqua" w:eastAsia="Book Antiqua" w:hAnsi="Book Antiqua" w:cs="Book Antiqua"/>
          <w:color w:val="000000"/>
        </w:rPr>
        <w:t xml:space="preserve">: </w:t>
      </w:r>
      <w:r w:rsidR="001B6D07">
        <w:rPr>
          <w:rFonts w:ascii="Book Antiqua" w:eastAsia="Book Antiqua" w:hAnsi="Book Antiqua" w:cs="Book Antiqua"/>
          <w:i/>
          <w:iCs/>
          <w:color w:val="000000"/>
        </w:rPr>
        <w:t>Listeria monocytogenes</w:t>
      </w:r>
      <w:r w:rsidR="001B6D07">
        <w:rPr>
          <w:rFonts w:ascii="Book Antiqua" w:eastAsia="Book Antiqua" w:hAnsi="Book Antiqua" w:cs="Book Antiqua"/>
          <w:color w:val="000000"/>
        </w:rPr>
        <w:t xml:space="preserve">; </w:t>
      </w:r>
      <w:r w:rsidR="0032751D">
        <w:rPr>
          <w:rFonts w:ascii="Book Antiqua" w:eastAsia="Book Antiqua" w:hAnsi="Book Antiqua" w:cs="Book Antiqua"/>
          <w:color w:val="000000"/>
        </w:rPr>
        <w:t>STs: Sequence types.</w:t>
      </w:r>
    </w:p>
    <w:p w14:paraId="284D5B84" w14:textId="059BB1B0" w:rsidR="00A77B3E" w:rsidRDefault="00AC077C">
      <w:pPr>
        <w:spacing w:line="360" w:lineRule="auto"/>
        <w:jc w:val="both"/>
        <w:rPr>
          <w:rFonts w:ascii="Book Antiqua" w:hAnsi="Book Antiqua"/>
          <w:b/>
          <w:bCs/>
        </w:rPr>
      </w:pPr>
      <w:r>
        <w:rPr>
          <w:rFonts w:ascii="Book Antiqua" w:eastAsia="Book Antiqua" w:hAnsi="Book Antiqua" w:cs="Book Antiqua"/>
          <w:color w:val="000000"/>
        </w:rPr>
        <w:br w:type="page"/>
      </w:r>
      <w:r w:rsidRPr="00BF5B16">
        <w:rPr>
          <w:rFonts w:ascii="Book Antiqua" w:hAnsi="Book Antiqua"/>
          <w:b/>
          <w:bCs/>
        </w:rPr>
        <w:lastRenderedPageBreak/>
        <w:t xml:space="preserve">Table 1 Laboratory findings across disease duration upon admission, on </w:t>
      </w:r>
      <w:r w:rsidR="001B6D07">
        <w:rPr>
          <w:rFonts w:ascii="Book Antiqua" w:hAnsi="Book Antiqua"/>
          <w:b/>
          <w:bCs/>
        </w:rPr>
        <w:t>days</w:t>
      </w:r>
      <w:r w:rsidR="001B6D07" w:rsidRPr="00BF5B16">
        <w:rPr>
          <w:rFonts w:ascii="Book Antiqua" w:hAnsi="Book Antiqua"/>
          <w:b/>
          <w:bCs/>
        </w:rPr>
        <w:t xml:space="preserve"> </w:t>
      </w:r>
      <w:r w:rsidRPr="00BF5B16">
        <w:rPr>
          <w:rFonts w:ascii="Book Antiqua" w:hAnsi="Book Antiqua"/>
          <w:b/>
          <w:bCs/>
        </w:rPr>
        <w:t>5 and 28</w:t>
      </w:r>
    </w:p>
    <w:tbl>
      <w:tblPr>
        <w:tblStyle w:val="TableGrid"/>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448"/>
        <w:gridCol w:w="2177"/>
        <w:gridCol w:w="2176"/>
      </w:tblGrid>
      <w:tr w:rsidR="00AC077C" w:rsidRPr="00AC077C" w14:paraId="058FB479" w14:textId="77777777" w:rsidTr="00193B03">
        <w:trPr>
          <w:trHeight w:val="434"/>
        </w:trPr>
        <w:tc>
          <w:tcPr>
            <w:tcW w:w="2802" w:type="dxa"/>
            <w:tcBorders>
              <w:top w:val="single" w:sz="4" w:space="0" w:color="auto"/>
              <w:bottom w:val="single" w:sz="4" w:space="0" w:color="auto"/>
            </w:tcBorders>
          </w:tcPr>
          <w:p w14:paraId="1B023D2D" w14:textId="77777777" w:rsidR="00AC077C" w:rsidRPr="00AC077C" w:rsidRDefault="00AC077C" w:rsidP="00AC077C">
            <w:pPr>
              <w:spacing w:line="360" w:lineRule="auto"/>
              <w:jc w:val="both"/>
              <w:rPr>
                <w:rFonts w:ascii="Book Antiqua" w:hAnsi="Book Antiqua" w:cs="Times New Roman"/>
                <w:b/>
                <w:bCs/>
              </w:rPr>
            </w:pPr>
          </w:p>
        </w:tc>
        <w:tc>
          <w:tcPr>
            <w:tcW w:w="2448" w:type="dxa"/>
            <w:tcBorders>
              <w:top w:val="single" w:sz="4" w:space="0" w:color="auto"/>
              <w:bottom w:val="single" w:sz="4" w:space="0" w:color="auto"/>
            </w:tcBorders>
          </w:tcPr>
          <w:p w14:paraId="3FF19ECC" w14:textId="2CFD3758" w:rsidR="00AC077C" w:rsidRPr="00AC077C" w:rsidRDefault="00AC077C" w:rsidP="00AC077C">
            <w:pPr>
              <w:spacing w:line="360" w:lineRule="auto"/>
              <w:jc w:val="both"/>
              <w:rPr>
                <w:rFonts w:ascii="Book Antiqua" w:hAnsi="Book Antiqua" w:cs="Times New Roman"/>
                <w:b/>
                <w:bCs/>
              </w:rPr>
            </w:pPr>
            <w:r w:rsidRPr="00AC077C">
              <w:rPr>
                <w:rFonts w:ascii="Book Antiqua" w:hAnsi="Book Antiqua" w:cs="Times New Roman"/>
                <w:b/>
                <w:bCs/>
              </w:rPr>
              <w:t>Upon admission</w:t>
            </w:r>
          </w:p>
        </w:tc>
        <w:tc>
          <w:tcPr>
            <w:tcW w:w="2177" w:type="dxa"/>
            <w:tcBorders>
              <w:top w:val="single" w:sz="4" w:space="0" w:color="auto"/>
              <w:bottom w:val="single" w:sz="4" w:space="0" w:color="auto"/>
            </w:tcBorders>
          </w:tcPr>
          <w:p w14:paraId="3365BB79" w14:textId="3DAFDBA8" w:rsidR="00AC077C" w:rsidRPr="00AC077C" w:rsidRDefault="00AC077C" w:rsidP="00AC077C">
            <w:pPr>
              <w:spacing w:line="360" w:lineRule="auto"/>
              <w:jc w:val="both"/>
              <w:rPr>
                <w:rFonts w:ascii="Book Antiqua" w:hAnsi="Book Antiqua" w:cs="Times New Roman"/>
                <w:b/>
                <w:bCs/>
              </w:rPr>
            </w:pPr>
            <w:r w:rsidRPr="00AC077C">
              <w:rPr>
                <w:rFonts w:ascii="Book Antiqua" w:hAnsi="Book Antiqua" w:cs="Times New Roman"/>
                <w:b/>
                <w:bCs/>
              </w:rPr>
              <w:t xml:space="preserve">On </w:t>
            </w:r>
            <w:r w:rsidR="001B6D07">
              <w:rPr>
                <w:rFonts w:ascii="Book Antiqua" w:hAnsi="Book Antiqua" w:cs="Times New Roman"/>
                <w:b/>
                <w:bCs/>
              </w:rPr>
              <w:t>day</w:t>
            </w:r>
            <w:r w:rsidRPr="00AC077C">
              <w:rPr>
                <w:rFonts w:ascii="Book Antiqua" w:hAnsi="Book Antiqua" w:cs="Times New Roman"/>
                <w:b/>
                <w:bCs/>
              </w:rPr>
              <w:t xml:space="preserve"> 5</w:t>
            </w:r>
          </w:p>
        </w:tc>
        <w:tc>
          <w:tcPr>
            <w:tcW w:w="2176" w:type="dxa"/>
            <w:tcBorders>
              <w:top w:val="single" w:sz="4" w:space="0" w:color="auto"/>
              <w:bottom w:val="single" w:sz="4" w:space="0" w:color="auto"/>
            </w:tcBorders>
          </w:tcPr>
          <w:p w14:paraId="60D5CFBF" w14:textId="328DEEA5" w:rsidR="00AC077C" w:rsidRPr="00AC077C" w:rsidRDefault="00AC077C" w:rsidP="00AC077C">
            <w:pPr>
              <w:spacing w:line="360" w:lineRule="auto"/>
              <w:jc w:val="both"/>
              <w:rPr>
                <w:rFonts w:ascii="Book Antiqua" w:hAnsi="Book Antiqua" w:cs="Times New Roman"/>
                <w:b/>
                <w:bCs/>
              </w:rPr>
            </w:pPr>
            <w:r w:rsidRPr="00AC077C">
              <w:rPr>
                <w:rFonts w:ascii="Book Antiqua" w:hAnsi="Book Antiqua" w:cs="Times New Roman"/>
                <w:b/>
                <w:bCs/>
              </w:rPr>
              <w:t xml:space="preserve">On </w:t>
            </w:r>
            <w:r w:rsidR="001B6D07">
              <w:rPr>
                <w:rFonts w:ascii="Book Antiqua" w:hAnsi="Book Antiqua" w:cs="Times New Roman"/>
                <w:b/>
                <w:bCs/>
              </w:rPr>
              <w:t>day</w:t>
            </w:r>
            <w:r w:rsidRPr="00AC077C">
              <w:rPr>
                <w:rFonts w:ascii="Book Antiqua" w:hAnsi="Book Antiqua" w:cs="Times New Roman"/>
                <w:b/>
                <w:bCs/>
              </w:rPr>
              <w:t xml:space="preserve"> 28</w:t>
            </w:r>
          </w:p>
        </w:tc>
      </w:tr>
      <w:tr w:rsidR="00AC077C" w:rsidRPr="00AC077C" w14:paraId="597C284C" w14:textId="77777777" w:rsidTr="00193B03">
        <w:trPr>
          <w:trHeight w:val="434"/>
        </w:trPr>
        <w:tc>
          <w:tcPr>
            <w:tcW w:w="2802" w:type="dxa"/>
            <w:tcBorders>
              <w:top w:val="single" w:sz="4" w:space="0" w:color="auto"/>
            </w:tcBorders>
          </w:tcPr>
          <w:p w14:paraId="750B3083" w14:textId="02960C3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WBC</w:t>
            </w:r>
            <w:r>
              <w:rPr>
                <w:rFonts w:ascii="Book Antiqua" w:hAnsi="Book Antiqua" w:cs="Times New Roman"/>
              </w:rPr>
              <w:t xml:space="preserve"> (</w:t>
            </w:r>
            <w:r w:rsidRPr="00AC077C">
              <w:rPr>
                <w:rFonts w:ascii="Book Antiqua" w:hAnsi="Book Antiqua" w:cs="Times New Roman"/>
              </w:rPr>
              <w:t>/μL</w:t>
            </w:r>
            <w:r>
              <w:rPr>
                <w:rFonts w:ascii="Book Antiqua" w:hAnsi="Book Antiqua" w:cs="Times New Roman"/>
              </w:rPr>
              <w:t>)</w:t>
            </w:r>
          </w:p>
        </w:tc>
        <w:tc>
          <w:tcPr>
            <w:tcW w:w="2448" w:type="dxa"/>
            <w:tcBorders>
              <w:top w:val="single" w:sz="4" w:space="0" w:color="auto"/>
            </w:tcBorders>
          </w:tcPr>
          <w:p w14:paraId="49511863" w14:textId="515F3E8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13270</w:t>
            </w:r>
          </w:p>
        </w:tc>
        <w:tc>
          <w:tcPr>
            <w:tcW w:w="2177" w:type="dxa"/>
            <w:tcBorders>
              <w:top w:val="single" w:sz="4" w:space="0" w:color="auto"/>
            </w:tcBorders>
          </w:tcPr>
          <w:p w14:paraId="47215F1D" w14:textId="4DEF4CEA"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18350</w:t>
            </w:r>
          </w:p>
        </w:tc>
        <w:tc>
          <w:tcPr>
            <w:tcW w:w="2176" w:type="dxa"/>
            <w:tcBorders>
              <w:top w:val="single" w:sz="4" w:space="0" w:color="auto"/>
            </w:tcBorders>
          </w:tcPr>
          <w:p w14:paraId="664AAA82" w14:textId="7066857F"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6130</w:t>
            </w:r>
          </w:p>
        </w:tc>
      </w:tr>
      <w:tr w:rsidR="00AC077C" w:rsidRPr="00AC077C" w14:paraId="609BE839" w14:textId="77777777" w:rsidTr="00193B03">
        <w:trPr>
          <w:trHeight w:val="447"/>
        </w:trPr>
        <w:tc>
          <w:tcPr>
            <w:tcW w:w="2802" w:type="dxa"/>
          </w:tcPr>
          <w:p w14:paraId="0B22DB1B" w14:textId="46AE00A8"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Neut</w:t>
            </w:r>
            <w:r>
              <w:rPr>
                <w:rFonts w:ascii="Book Antiqua" w:hAnsi="Book Antiqua" w:cs="Times New Roman"/>
              </w:rPr>
              <w:t xml:space="preserve"> (%)</w:t>
            </w:r>
          </w:p>
        </w:tc>
        <w:tc>
          <w:tcPr>
            <w:tcW w:w="2448" w:type="dxa"/>
          </w:tcPr>
          <w:p w14:paraId="533C5913" w14:textId="1D131D0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89.8</w:t>
            </w:r>
          </w:p>
        </w:tc>
        <w:tc>
          <w:tcPr>
            <w:tcW w:w="2177" w:type="dxa"/>
          </w:tcPr>
          <w:p w14:paraId="4D320591" w14:textId="014D2522"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90.1</w:t>
            </w:r>
          </w:p>
        </w:tc>
        <w:tc>
          <w:tcPr>
            <w:tcW w:w="2176" w:type="dxa"/>
          </w:tcPr>
          <w:p w14:paraId="130C7973" w14:textId="2866712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71.6</w:t>
            </w:r>
          </w:p>
        </w:tc>
      </w:tr>
      <w:tr w:rsidR="00AC077C" w:rsidRPr="00AC077C" w14:paraId="6BA7DB38" w14:textId="77777777" w:rsidTr="00193B03">
        <w:trPr>
          <w:trHeight w:val="447"/>
        </w:trPr>
        <w:tc>
          <w:tcPr>
            <w:tcW w:w="2802" w:type="dxa"/>
          </w:tcPr>
          <w:p w14:paraId="5828BC6E" w14:textId="43449B9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CRP</w:t>
            </w:r>
            <w:r>
              <w:rPr>
                <w:rFonts w:ascii="Book Antiqua" w:hAnsi="Book Antiqua" w:cs="Times New Roman"/>
              </w:rPr>
              <w:t xml:space="preserve"> (</w:t>
            </w:r>
            <w:r w:rsidRPr="00AC077C">
              <w:rPr>
                <w:rFonts w:ascii="Book Antiqua" w:hAnsi="Book Antiqua" w:cs="Times New Roman"/>
              </w:rPr>
              <w:t>mg/L</w:t>
            </w:r>
            <w:r>
              <w:rPr>
                <w:rFonts w:ascii="Book Antiqua" w:hAnsi="Book Antiqua" w:cs="Times New Roman"/>
              </w:rPr>
              <w:t>)</w:t>
            </w:r>
          </w:p>
        </w:tc>
        <w:tc>
          <w:tcPr>
            <w:tcW w:w="2448" w:type="dxa"/>
          </w:tcPr>
          <w:p w14:paraId="2DD1AD1E" w14:textId="3A12B5DE"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173</w:t>
            </w:r>
          </w:p>
        </w:tc>
        <w:tc>
          <w:tcPr>
            <w:tcW w:w="2177" w:type="dxa"/>
          </w:tcPr>
          <w:p w14:paraId="5FEB139D" w14:textId="7AD7EBB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180</w:t>
            </w:r>
          </w:p>
        </w:tc>
        <w:tc>
          <w:tcPr>
            <w:tcW w:w="2176" w:type="dxa"/>
          </w:tcPr>
          <w:p w14:paraId="585C6552" w14:textId="0F6ABB4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14</w:t>
            </w:r>
          </w:p>
        </w:tc>
      </w:tr>
      <w:tr w:rsidR="00AC077C" w:rsidRPr="00AC077C" w14:paraId="18156A0C" w14:textId="77777777" w:rsidTr="00193B03">
        <w:trPr>
          <w:trHeight w:val="434"/>
        </w:trPr>
        <w:tc>
          <w:tcPr>
            <w:tcW w:w="2802" w:type="dxa"/>
          </w:tcPr>
          <w:p w14:paraId="2191EAC8" w14:textId="4025EA9C"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PCT</w:t>
            </w:r>
            <w:r>
              <w:rPr>
                <w:rFonts w:ascii="Book Antiqua" w:hAnsi="Book Antiqua" w:cs="Times New Roman"/>
              </w:rPr>
              <w:t xml:space="preserve"> (</w:t>
            </w:r>
            <w:r w:rsidRPr="00AC077C">
              <w:rPr>
                <w:rFonts w:ascii="Book Antiqua" w:hAnsi="Book Antiqua" w:cs="Times New Roman"/>
              </w:rPr>
              <w:t>ng/mL</w:t>
            </w:r>
            <w:r>
              <w:rPr>
                <w:rFonts w:ascii="Book Antiqua" w:hAnsi="Book Antiqua" w:cs="Times New Roman"/>
              </w:rPr>
              <w:t>)</w:t>
            </w:r>
          </w:p>
        </w:tc>
        <w:tc>
          <w:tcPr>
            <w:tcW w:w="2448" w:type="dxa"/>
          </w:tcPr>
          <w:p w14:paraId="75E8C2CF" w14:textId="035A8B21"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0.734</w:t>
            </w:r>
          </w:p>
        </w:tc>
        <w:tc>
          <w:tcPr>
            <w:tcW w:w="2177" w:type="dxa"/>
          </w:tcPr>
          <w:p w14:paraId="7D867C53" w14:textId="09A62789"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0.905</w:t>
            </w:r>
          </w:p>
        </w:tc>
        <w:tc>
          <w:tcPr>
            <w:tcW w:w="2176" w:type="dxa"/>
          </w:tcPr>
          <w:p w14:paraId="2B5C898B" w14:textId="46476379"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0.042</w:t>
            </w:r>
          </w:p>
        </w:tc>
      </w:tr>
      <w:tr w:rsidR="00AC077C" w:rsidRPr="00AC077C" w14:paraId="12D67B3A" w14:textId="77777777" w:rsidTr="00193B03">
        <w:trPr>
          <w:trHeight w:val="447"/>
        </w:trPr>
        <w:tc>
          <w:tcPr>
            <w:tcW w:w="2802" w:type="dxa"/>
          </w:tcPr>
          <w:p w14:paraId="08920BF4" w14:textId="5D2B9F40"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AST</w:t>
            </w:r>
            <w:r>
              <w:rPr>
                <w:rFonts w:ascii="Book Antiqua" w:hAnsi="Book Antiqua" w:cs="Times New Roman"/>
              </w:rPr>
              <w:t xml:space="preserve"> (</w:t>
            </w:r>
            <w:r w:rsidRPr="00AC077C">
              <w:rPr>
                <w:rFonts w:ascii="Book Antiqua" w:hAnsi="Book Antiqua" w:cs="Times New Roman"/>
              </w:rPr>
              <w:t>IU/L</w:t>
            </w:r>
            <w:r>
              <w:rPr>
                <w:rFonts w:ascii="Book Antiqua" w:hAnsi="Book Antiqua" w:cs="Times New Roman"/>
              </w:rPr>
              <w:t>)</w:t>
            </w:r>
          </w:p>
        </w:tc>
        <w:tc>
          <w:tcPr>
            <w:tcW w:w="2448" w:type="dxa"/>
          </w:tcPr>
          <w:p w14:paraId="65E14EF4" w14:textId="6D89504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25</w:t>
            </w:r>
          </w:p>
        </w:tc>
        <w:tc>
          <w:tcPr>
            <w:tcW w:w="2177" w:type="dxa"/>
          </w:tcPr>
          <w:p w14:paraId="0F9ED324" w14:textId="47D90E6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93</w:t>
            </w:r>
          </w:p>
        </w:tc>
        <w:tc>
          <w:tcPr>
            <w:tcW w:w="2176" w:type="dxa"/>
          </w:tcPr>
          <w:p w14:paraId="5B16C027" w14:textId="6D0A6D31"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36</w:t>
            </w:r>
          </w:p>
        </w:tc>
      </w:tr>
      <w:tr w:rsidR="00AC077C" w:rsidRPr="00AC077C" w14:paraId="121B1E5A" w14:textId="77777777" w:rsidTr="00193B03">
        <w:trPr>
          <w:trHeight w:val="447"/>
        </w:trPr>
        <w:tc>
          <w:tcPr>
            <w:tcW w:w="2802" w:type="dxa"/>
          </w:tcPr>
          <w:p w14:paraId="4942187E" w14:textId="11615355"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T-Bil</w:t>
            </w:r>
            <w:r>
              <w:rPr>
                <w:rFonts w:ascii="Book Antiqua" w:hAnsi="Book Antiqua" w:cs="Times New Roman"/>
              </w:rPr>
              <w:t xml:space="preserve"> (</w:t>
            </w:r>
            <w:r w:rsidRPr="00AC077C">
              <w:rPr>
                <w:rFonts w:ascii="Book Antiqua" w:hAnsi="Book Antiqua" w:cs="Times New Roman"/>
              </w:rPr>
              <w:t>μmol/L</w:t>
            </w:r>
            <w:r>
              <w:rPr>
                <w:rFonts w:ascii="Book Antiqua" w:hAnsi="Book Antiqua" w:cs="Times New Roman"/>
              </w:rPr>
              <w:t>)</w:t>
            </w:r>
          </w:p>
        </w:tc>
        <w:tc>
          <w:tcPr>
            <w:tcW w:w="2448" w:type="dxa"/>
          </w:tcPr>
          <w:p w14:paraId="07B26B00" w14:textId="61F7F2E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14.22</w:t>
            </w:r>
          </w:p>
        </w:tc>
        <w:tc>
          <w:tcPr>
            <w:tcW w:w="2177" w:type="dxa"/>
          </w:tcPr>
          <w:p w14:paraId="62BF8E94" w14:textId="002E5B05"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20.43</w:t>
            </w:r>
          </w:p>
        </w:tc>
        <w:tc>
          <w:tcPr>
            <w:tcW w:w="2176" w:type="dxa"/>
          </w:tcPr>
          <w:p w14:paraId="69CDAAB7" w14:textId="0D666CC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15.53</w:t>
            </w:r>
          </w:p>
        </w:tc>
      </w:tr>
      <w:tr w:rsidR="00AC077C" w:rsidRPr="00AC077C" w14:paraId="19B17728" w14:textId="77777777" w:rsidTr="00193B03">
        <w:trPr>
          <w:trHeight w:val="447"/>
        </w:trPr>
        <w:tc>
          <w:tcPr>
            <w:tcW w:w="2802" w:type="dxa"/>
          </w:tcPr>
          <w:p w14:paraId="35681D71" w14:textId="713DF08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ALT</w:t>
            </w:r>
            <w:r>
              <w:rPr>
                <w:rFonts w:ascii="Book Antiqua" w:hAnsi="Book Antiqua" w:cs="Times New Roman"/>
              </w:rPr>
              <w:t xml:space="preserve"> (</w:t>
            </w:r>
            <w:r w:rsidRPr="00AC077C">
              <w:rPr>
                <w:rFonts w:ascii="Book Antiqua" w:hAnsi="Book Antiqua" w:cs="Times New Roman"/>
              </w:rPr>
              <w:t>IU/L</w:t>
            </w:r>
            <w:r>
              <w:rPr>
                <w:rFonts w:ascii="Book Antiqua" w:hAnsi="Book Antiqua" w:cs="Times New Roman"/>
              </w:rPr>
              <w:t>)</w:t>
            </w:r>
          </w:p>
        </w:tc>
        <w:tc>
          <w:tcPr>
            <w:tcW w:w="2448" w:type="dxa"/>
          </w:tcPr>
          <w:p w14:paraId="763E3B1C" w14:textId="704153A4"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35</w:t>
            </w:r>
          </w:p>
        </w:tc>
        <w:tc>
          <w:tcPr>
            <w:tcW w:w="2177" w:type="dxa"/>
          </w:tcPr>
          <w:p w14:paraId="4C6E90D1" w14:textId="1532AA4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51</w:t>
            </w:r>
          </w:p>
        </w:tc>
        <w:tc>
          <w:tcPr>
            <w:tcW w:w="2176" w:type="dxa"/>
          </w:tcPr>
          <w:p w14:paraId="48B66E47" w14:textId="53BBF8D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38</w:t>
            </w:r>
          </w:p>
        </w:tc>
      </w:tr>
      <w:tr w:rsidR="00AC077C" w:rsidRPr="00AC077C" w14:paraId="7C7142BB" w14:textId="77777777" w:rsidTr="00193B03">
        <w:trPr>
          <w:trHeight w:val="434"/>
        </w:trPr>
        <w:tc>
          <w:tcPr>
            <w:tcW w:w="2802" w:type="dxa"/>
          </w:tcPr>
          <w:p w14:paraId="4834F972" w14:textId="27A5AD1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CRE</w:t>
            </w:r>
            <w:r>
              <w:rPr>
                <w:rFonts w:ascii="Book Antiqua" w:hAnsi="Book Antiqua" w:cs="Times New Roman"/>
              </w:rPr>
              <w:t xml:space="preserve"> (</w:t>
            </w:r>
            <w:r w:rsidRPr="00AC077C">
              <w:rPr>
                <w:rFonts w:ascii="Book Antiqua" w:hAnsi="Book Antiqua" w:cs="Times New Roman"/>
              </w:rPr>
              <w:t>μmol/L</w:t>
            </w:r>
            <w:r>
              <w:rPr>
                <w:rFonts w:ascii="Book Antiqua" w:hAnsi="Book Antiqua" w:cs="Times New Roman"/>
              </w:rPr>
              <w:t>)</w:t>
            </w:r>
          </w:p>
        </w:tc>
        <w:tc>
          <w:tcPr>
            <w:tcW w:w="2448" w:type="dxa"/>
          </w:tcPr>
          <w:p w14:paraId="335261EE" w14:textId="19EE04FA"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92</w:t>
            </w:r>
          </w:p>
        </w:tc>
        <w:tc>
          <w:tcPr>
            <w:tcW w:w="2177" w:type="dxa"/>
          </w:tcPr>
          <w:p w14:paraId="7A83C74A" w14:textId="5B41B872"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121</w:t>
            </w:r>
          </w:p>
        </w:tc>
        <w:tc>
          <w:tcPr>
            <w:tcW w:w="2176" w:type="dxa"/>
          </w:tcPr>
          <w:p w14:paraId="2C816E4D" w14:textId="034DCE2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82</w:t>
            </w:r>
          </w:p>
        </w:tc>
      </w:tr>
      <w:tr w:rsidR="00AC077C" w:rsidRPr="00AC077C" w14:paraId="1730FBCB" w14:textId="77777777" w:rsidTr="00193B03">
        <w:trPr>
          <w:trHeight w:val="447"/>
        </w:trPr>
        <w:tc>
          <w:tcPr>
            <w:tcW w:w="2802" w:type="dxa"/>
          </w:tcPr>
          <w:p w14:paraId="2019FA12" w14:textId="15D2FFF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BUN</w:t>
            </w:r>
            <w:r>
              <w:rPr>
                <w:rFonts w:ascii="Book Antiqua" w:hAnsi="Book Antiqua" w:cs="Times New Roman"/>
              </w:rPr>
              <w:t xml:space="preserve"> (</w:t>
            </w:r>
            <w:r w:rsidRPr="00AC077C">
              <w:rPr>
                <w:rFonts w:ascii="Book Antiqua" w:hAnsi="Book Antiqua" w:cs="Times New Roman"/>
              </w:rPr>
              <w:t>mmol/L</w:t>
            </w:r>
            <w:r>
              <w:rPr>
                <w:rFonts w:ascii="Book Antiqua" w:hAnsi="Book Antiqua" w:cs="Times New Roman"/>
              </w:rPr>
              <w:t>)</w:t>
            </w:r>
          </w:p>
        </w:tc>
        <w:tc>
          <w:tcPr>
            <w:tcW w:w="2448" w:type="dxa"/>
          </w:tcPr>
          <w:p w14:paraId="1F9B3B04" w14:textId="5AB1BDF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12.45</w:t>
            </w:r>
          </w:p>
        </w:tc>
        <w:tc>
          <w:tcPr>
            <w:tcW w:w="2177" w:type="dxa"/>
          </w:tcPr>
          <w:p w14:paraId="2133BDF4" w14:textId="6FD22291"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19.48</w:t>
            </w:r>
          </w:p>
        </w:tc>
        <w:tc>
          <w:tcPr>
            <w:tcW w:w="2176" w:type="dxa"/>
          </w:tcPr>
          <w:p w14:paraId="590B07A4" w14:textId="6B851374"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9.68</w:t>
            </w:r>
          </w:p>
        </w:tc>
      </w:tr>
      <w:tr w:rsidR="00AC077C" w:rsidRPr="00AC077C" w14:paraId="09D446DB" w14:textId="77777777" w:rsidTr="00193B03">
        <w:trPr>
          <w:trHeight w:val="447"/>
        </w:trPr>
        <w:tc>
          <w:tcPr>
            <w:tcW w:w="2802" w:type="dxa"/>
          </w:tcPr>
          <w:p w14:paraId="4D384CB9" w14:textId="6AE2581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TnI</w:t>
            </w:r>
            <w:r>
              <w:rPr>
                <w:rFonts w:ascii="Book Antiqua" w:hAnsi="Book Antiqua" w:cs="Times New Roman"/>
              </w:rPr>
              <w:t xml:space="preserve"> (</w:t>
            </w:r>
            <w:r w:rsidRPr="00AC077C">
              <w:rPr>
                <w:rFonts w:ascii="Book Antiqua" w:hAnsi="Book Antiqua" w:cs="Times New Roman"/>
              </w:rPr>
              <w:t>ng/mL</w:t>
            </w:r>
            <w:r>
              <w:rPr>
                <w:rFonts w:ascii="Book Antiqua" w:hAnsi="Book Antiqua" w:cs="Times New Roman"/>
              </w:rPr>
              <w:t>)</w:t>
            </w:r>
          </w:p>
        </w:tc>
        <w:tc>
          <w:tcPr>
            <w:tcW w:w="2448" w:type="dxa"/>
          </w:tcPr>
          <w:p w14:paraId="03E434F8" w14:textId="085A2F25"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0.001</w:t>
            </w:r>
          </w:p>
        </w:tc>
        <w:tc>
          <w:tcPr>
            <w:tcW w:w="2177" w:type="dxa"/>
          </w:tcPr>
          <w:p w14:paraId="64D0C6D0" w14:textId="06CF4855"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0.253</w:t>
            </w:r>
          </w:p>
        </w:tc>
        <w:tc>
          <w:tcPr>
            <w:tcW w:w="2176" w:type="dxa"/>
          </w:tcPr>
          <w:p w14:paraId="386806A9" w14:textId="59168698"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0.003</w:t>
            </w:r>
          </w:p>
        </w:tc>
      </w:tr>
      <w:tr w:rsidR="00AC077C" w:rsidRPr="00AC077C" w14:paraId="3C156513" w14:textId="77777777" w:rsidTr="00193B03">
        <w:trPr>
          <w:trHeight w:val="447"/>
        </w:trPr>
        <w:tc>
          <w:tcPr>
            <w:tcW w:w="2802" w:type="dxa"/>
          </w:tcPr>
          <w:p w14:paraId="2FAF01A6" w14:textId="1157E46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NTproBNP</w:t>
            </w:r>
            <w:r>
              <w:rPr>
                <w:rFonts w:ascii="Book Antiqua" w:hAnsi="Book Antiqua" w:cs="Times New Roman"/>
              </w:rPr>
              <w:t xml:space="preserve"> (p</w:t>
            </w:r>
            <w:r w:rsidRPr="00AC077C">
              <w:rPr>
                <w:rFonts w:ascii="Book Antiqua" w:hAnsi="Book Antiqua" w:cs="Times New Roman"/>
              </w:rPr>
              <w:t>g/mL</w:t>
            </w:r>
            <w:r>
              <w:rPr>
                <w:rFonts w:ascii="Book Antiqua" w:hAnsi="Book Antiqua" w:cs="Times New Roman"/>
              </w:rPr>
              <w:t>)</w:t>
            </w:r>
          </w:p>
        </w:tc>
        <w:tc>
          <w:tcPr>
            <w:tcW w:w="2448" w:type="dxa"/>
          </w:tcPr>
          <w:p w14:paraId="67DEF8B9" w14:textId="73E2F48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10031</w:t>
            </w:r>
          </w:p>
        </w:tc>
        <w:tc>
          <w:tcPr>
            <w:tcW w:w="2177" w:type="dxa"/>
          </w:tcPr>
          <w:p w14:paraId="6FF8AC9E" w14:textId="64CBAB18"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11560</w:t>
            </w:r>
          </w:p>
        </w:tc>
        <w:tc>
          <w:tcPr>
            <w:tcW w:w="2176" w:type="dxa"/>
          </w:tcPr>
          <w:p w14:paraId="32031A51" w14:textId="746F9FA4"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5642</w:t>
            </w:r>
          </w:p>
        </w:tc>
      </w:tr>
      <w:tr w:rsidR="00AC077C" w:rsidRPr="00AC077C" w14:paraId="28CE5BAF" w14:textId="77777777" w:rsidTr="00193B03">
        <w:trPr>
          <w:trHeight w:val="434"/>
        </w:trPr>
        <w:tc>
          <w:tcPr>
            <w:tcW w:w="2802" w:type="dxa"/>
          </w:tcPr>
          <w:p w14:paraId="1BD366F7" w14:textId="7777777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INR</w:t>
            </w:r>
          </w:p>
        </w:tc>
        <w:tc>
          <w:tcPr>
            <w:tcW w:w="2448" w:type="dxa"/>
          </w:tcPr>
          <w:p w14:paraId="1821DC23" w14:textId="7777777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1.12</w:t>
            </w:r>
          </w:p>
        </w:tc>
        <w:tc>
          <w:tcPr>
            <w:tcW w:w="2177" w:type="dxa"/>
          </w:tcPr>
          <w:p w14:paraId="6606EC5A" w14:textId="7777777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1.33</w:t>
            </w:r>
          </w:p>
        </w:tc>
        <w:tc>
          <w:tcPr>
            <w:tcW w:w="2176" w:type="dxa"/>
          </w:tcPr>
          <w:p w14:paraId="32A61708" w14:textId="7777777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1.15</w:t>
            </w:r>
          </w:p>
        </w:tc>
      </w:tr>
      <w:tr w:rsidR="00AC077C" w:rsidRPr="00AC077C" w14:paraId="332430E5" w14:textId="77777777" w:rsidTr="00193B03">
        <w:trPr>
          <w:trHeight w:val="447"/>
        </w:trPr>
        <w:tc>
          <w:tcPr>
            <w:tcW w:w="2802" w:type="dxa"/>
          </w:tcPr>
          <w:p w14:paraId="0FA010E2" w14:textId="66AA3AE4"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PT</w:t>
            </w:r>
            <w:r>
              <w:rPr>
                <w:rFonts w:ascii="Book Antiqua" w:hAnsi="Book Antiqua" w:cs="Times New Roman"/>
              </w:rPr>
              <w:t xml:space="preserve"> (s)</w:t>
            </w:r>
          </w:p>
        </w:tc>
        <w:tc>
          <w:tcPr>
            <w:tcW w:w="2448" w:type="dxa"/>
          </w:tcPr>
          <w:p w14:paraId="0AB46C72" w14:textId="2BA22069"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13.2</w:t>
            </w:r>
          </w:p>
        </w:tc>
        <w:tc>
          <w:tcPr>
            <w:tcW w:w="2177" w:type="dxa"/>
          </w:tcPr>
          <w:p w14:paraId="46B109AF" w14:textId="05C21EFC"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16.8</w:t>
            </w:r>
          </w:p>
        </w:tc>
        <w:tc>
          <w:tcPr>
            <w:tcW w:w="2176" w:type="dxa"/>
          </w:tcPr>
          <w:p w14:paraId="10CD683A" w14:textId="032B5DED"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14.9</w:t>
            </w:r>
          </w:p>
        </w:tc>
      </w:tr>
      <w:tr w:rsidR="00AC077C" w:rsidRPr="00AC077C" w14:paraId="00E32B31" w14:textId="77777777" w:rsidTr="00193B03">
        <w:trPr>
          <w:trHeight w:val="447"/>
        </w:trPr>
        <w:tc>
          <w:tcPr>
            <w:tcW w:w="2802" w:type="dxa"/>
          </w:tcPr>
          <w:p w14:paraId="0E748109" w14:textId="6238962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APTT</w:t>
            </w:r>
            <w:r>
              <w:rPr>
                <w:rFonts w:ascii="Book Antiqua" w:hAnsi="Book Antiqua" w:cs="Times New Roman"/>
              </w:rPr>
              <w:t xml:space="preserve"> (s)</w:t>
            </w:r>
          </w:p>
        </w:tc>
        <w:tc>
          <w:tcPr>
            <w:tcW w:w="2448" w:type="dxa"/>
          </w:tcPr>
          <w:p w14:paraId="2686E075" w14:textId="2FE53B5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45.1</w:t>
            </w:r>
          </w:p>
        </w:tc>
        <w:tc>
          <w:tcPr>
            <w:tcW w:w="2177" w:type="dxa"/>
          </w:tcPr>
          <w:p w14:paraId="1F5DA619" w14:textId="08219AE0"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54.2</w:t>
            </w:r>
          </w:p>
        </w:tc>
        <w:tc>
          <w:tcPr>
            <w:tcW w:w="2176" w:type="dxa"/>
          </w:tcPr>
          <w:p w14:paraId="66B9CC65" w14:textId="0C3F2DF0"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45.9</w:t>
            </w:r>
          </w:p>
        </w:tc>
      </w:tr>
      <w:tr w:rsidR="00AC077C" w:rsidRPr="00AC077C" w14:paraId="34BE8CC5" w14:textId="77777777" w:rsidTr="00193B03">
        <w:trPr>
          <w:trHeight w:val="434"/>
        </w:trPr>
        <w:tc>
          <w:tcPr>
            <w:tcW w:w="2802" w:type="dxa"/>
          </w:tcPr>
          <w:p w14:paraId="25FCAAE1" w14:textId="054C1C37"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Fib</w:t>
            </w:r>
            <w:r>
              <w:rPr>
                <w:rFonts w:ascii="Book Antiqua" w:hAnsi="Book Antiqua" w:cs="Times New Roman"/>
              </w:rPr>
              <w:t xml:space="preserve"> (</w:t>
            </w:r>
            <w:r w:rsidRPr="00AC077C">
              <w:rPr>
                <w:rFonts w:ascii="Book Antiqua" w:hAnsi="Book Antiqua" w:cs="Times New Roman"/>
              </w:rPr>
              <w:t>g/L</w:t>
            </w:r>
            <w:r>
              <w:rPr>
                <w:rFonts w:ascii="Book Antiqua" w:hAnsi="Book Antiqua" w:cs="Times New Roman"/>
              </w:rPr>
              <w:t>)</w:t>
            </w:r>
          </w:p>
        </w:tc>
        <w:tc>
          <w:tcPr>
            <w:tcW w:w="2448" w:type="dxa"/>
          </w:tcPr>
          <w:p w14:paraId="6934366E" w14:textId="53E31956"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4.61</w:t>
            </w:r>
          </w:p>
        </w:tc>
        <w:tc>
          <w:tcPr>
            <w:tcW w:w="2177" w:type="dxa"/>
          </w:tcPr>
          <w:p w14:paraId="13190440" w14:textId="4A4FCA4A"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5.41</w:t>
            </w:r>
          </w:p>
        </w:tc>
        <w:tc>
          <w:tcPr>
            <w:tcW w:w="2176" w:type="dxa"/>
          </w:tcPr>
          <w:p w14:paraId="41C4C4CC" w14:textId="72104EBF"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3.17</w:t>
            </w:r>
          </w:p>
        </w:tc>
      </w:tr>
      <w:tr w:rsidR="00AC077C" w:rsidRPr="00AC077C" w14:paraId="333394EC" w14:textId="77777777" w:rsidTr="00193B03">
        <w:trPr>
          <w:trHeight w:val="459"/>
        </w:trPr>
        <w:tc>
          <w:tcPr>
            <w:tcW w:w="2802" w:type="dxa"/>
            <w:tcBorders>
              <w:bottom w:val="single" w:sz="4" w:space="0" w:color="auto"/>
            </w:tcBorders>
          </w:tcPr>
          <w:p w14:paraId="0D2B200F" w14:textId="49DEE403"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D-dimmer</w:t>
            </w:r>
            <w:r>
              <w:rPr>
                <w:rFonts w:ascii="Book Antiqua" w:hAnsi="Book Antiqua" w:cs="Times New Roman"/>
              </w:rPr>
              <w:t xml:space="preserve"> (</w:t>
            </w:r>
            <w:r w:rsidRPr="00AC077C">
              <w:rPr>
                <w:rFonts w:ascii="Book Antiqua" w:hAnsi="Book Antiqua" w:cs="Times New Roman"/>
              </w:rPr>
              <w:t>μg/mL</w:t>
            </w:r>
            <w:r>
              <w:rPr>
                <w:rFonts w:ascii="Book Antiqua" w:hAnsi="Book Antiqua" w:cs="Times New Roman"/>
              </w:rPr>
              <w:t>)</w:t>
            </w:r>
          </w:p>
        </w:tc>
        <w:tc>
          <w:tcPr>
            <w:tcW w:w="2448" w:type="dxa"/>
            <w:tcBorders>
              <w:bottom w:val="single" w:sz="4" w:space="0" w:color="auto"/>
            </w:tcBorders>
          </w:tcPr>
          <w:p w14:paraId="4A79A5A8" w14:textId="06DE1372"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4.62</w:t>
            </w:r>
          </w:p>
        </w:tc>
        <w:tc>
          <w:tcPr>
            <w:tcW w:w="2177" w:type="dxa"/>
            <w:tcBorders>
              <w:bottom w:val="single" w:sz="4" w:space="0" w:color="auto"/>
            </w:tcBorders>
          </w:tcPr>
          <w:p w14:paraId="37D4FF70" w14:textId="109CB36A"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5.63</w:t>
            </w:r>
          </w:p>
        </w:tc>
        <w:tc>
          <w:tcPr>
            <w:tcW w:w="2176" w:type="dxa"/>
            <w:tcBorders>
              <w:bottom w:val="single" w:sz="4" w:space="0" w:color="auto"/>
            </w:tcBorders>
          </w:tcPr>
          <w:p w14:paraId="01584AA0" w14:textId="669BA96B" w:rsidR="00AC077C" w:rsidRPr="00AC077C" w:rsidRDefault="00AC077C" w:rsidP="00AC077C">
            <w:pPr>
              <w:spacing w:line="360" w:lineRule="auto"/>
              <w:jc w:val="both"/>
              <w:rPr>
                <w:rFonts w:ascii="Book Antiqua" w:hAnsi="Book Antiqua" w:cs="Times New Roman"/>
              </w:rPr>
            </w:pPr>
            <w:r w:rsidRPr="00AC077C">
              <w:rPr>
                <w:rFonts w:ascii="Book Antiqua" w:hAnsi="Book Antiqua" w:cs="Times New Roman"/>
              </w:rPr>
              <w:t>3.15</w:t>
            </w:r>
          </w:p>
        </w:tc>
      </w:tr>
    </w:tbl>
    <w:p w14:paraId="4AE90131" w14:textId="00084894" w:rsidR="00AC077C" w:rsidRPr="00D745A0" w:rsidRDefault="001B6D07">
      <w:pPr>
        <w:spacing w:line="360" w:lineRule="auto"/>
        <w:jc w:val="both"/>
      </w:pPr>
      <w:r w:rsidRPr="000D694E">
        <w:rPr>
          <w:rFonts w:ascii="Book Antiqua" w:hAnsi="Book Antiqua"/>
        </w:rPr>
        <w:t xml:space="preserve">ALT: </w:t>
      </w:r>
      <w:r>
        <w:rPr>
          <w:rFonts w:ascii="Book Antiqua" w:hAnsi="Book Antiqua"/>
        </w:rPr>
        <w:t>A</w:t>
      </w:r>
      <w:r w:rsidRPr="000D694E">
        <w:rPr>
          <w:rFonts w:ascii="Book Antiqua" w:hAnsi="Book Antiqua"/>
        </w:rPr>
        <w:t>lanine aminotransferase</w:t>
      </w:r>
      <w:r>
        <w:rPr>
          <w:rFonts w:ascii="Book Antiqua" w:hAnsi="Book Antiqua"/>
        </w:rPr>
        <w:t>;</w:t>
      </w:r>
      <w:r w:rsidRPr="000D694E">
        <w:rPr>
          <w:rFonts w:ascii="Book Antiqua" w:hAnsi="Book Antiqua"/>
        </w:rPr>
        <w:t xml:space="preserve"> APTT: </w:t>
      </w:r>
      <w:r>
        <w:rPr>
          <w:rFonts w:ascii="Book Antiqua" w:hAnsi="Book Antiqua"/>
        </w:rPr>
        <w:t>A</w:t>
      </w:r>
      <w:r w:rsidRPr="000D694E">
        <w:rPr>
          <w:rFonts w:ascii="Book Antiqua" w:hAnsi="Book Antiqua"/>
        </w:rPr>
        <w:t>ctivated partial thromboplastin time</w:t>
      </w:r>
      <w:r>
        <w:rPr>
          <w:rFonts w:ascii="Book Antiqua" w:hAnsi="Book Antiqua"/>
        </w:rPr>
        <w:t xml:space="preserve">; </w:t>
      </w:r>
      <w:r w:rsidRPr="000D694E">
        <w:rPr>
          <w:rFonts w:ascii="Book Antiqua" w:hAnsi="Book Antiqua"/>
        </w:rPr>
        <w:t xml:space="preserve">AST: </w:t>
      </w:r>
      <w:r>
        <w:rPr>
          <w:rFonts w:ascii="Book Antiqua" w:hAnsi="Book Antiqua"/>
        </w:rPr>
        <w:t>A</w:t>
      </w:r>
      <w:r w:rsidRPr="000D694E">
        <w:rPr>
          <w:rFonts w:ascii="Book Antiqua" w:hAnsi="Book Antiqua"/>
        </w:rPr>
        <w:t>spar</w:t>
      </w:r>
      <w:r>
        <w:rPr>
          <w:rFonts w:ascii="Book Antiqua" w:hAnsi="Book Antiqua"/>
        </w:rPr>
        <w:t>t</w:t>
      </w:r>
      <w:r w:rsidRPr="000D694E">
        <w:rPr>
          <w:rFonts w:ascii="Book Antiqua" w:hAnsi="Book Antiqua"/>
        </w:rPr>
        <w:t>ate aminotransferase</w:t>
      </w:r>
      <w:r>
        <w:rPr>
          <w:rFonts w:ascii="Book Antiqua" w:hAnsi="Book Antiqua"/>
        </w:rPr>
        <w:t>;</w:t>
      </w:r>
      <w:r w:rsidRPr="000D694E">
        <w:rPr>
          <w:rFonts w:ascii="Book Antiqua" w:hAnsi="Book Antiqua"/>
        </w:rPr>
        <w:t xml:space="preserve"> BUN: </w:t>
      </w:r>
      <w:r>
        <w:rPr>
          <w:rFonts w:ascii="Book Antiqua" w:hAnsi="Book Antiqua"/>
        </w:rPr>
        <w:t>B</w:t>
      </w:r>
      <w:r w:rsidRPr="000D694E">
        <w:rPr>
          <w:rFonts w:ascii="Book Antiqua" w:hAnsi="Book Antiqua"/>
        </w:rPr>
        <w:t>lood urea nitrogen</w:t>
      </w:r>
      <w:r>
        <w:rPr>
          <w:rFonts w:ascii="Book Antiqua" w:hAnsi="Book Antiqua"/>
        </w:rPr>
        <w:t>;</w:t>
      </w:r>
      <w:r w:rsidRPr="000D694E">
        <w:rPr>
          <w:rFonts w:ascii="Book Antiqua" w:hAnsi="Book Antiqua"/>
        </w:rPr>
        <w:t xml:space="preserve"> CRE: </w:t>
      </w:r>
      <w:r>
        <w:rPr>
          <w:rFonts w:ascii="Book Antiqua" w:hAnsi="Book Antiqua"/>
        </w:rPr>
        <w:t>C</w:t>
      </w:r>
      <w:r w:rsidRPr="000D694E">
        <w:rPr>
          <w:rFonts w:ascii="Book Antiqua" w:hAnsi="Book Antiqua"/>
        </w:rPr>
        <w:t>reatinine</w:t>
      </w:r>
      <w:r>
        <w:rPr>
          <w:rFonts w:ascii="Book Antiqua" w:hAnsi="Book Antiqua"/>
        </w:rPr>
        <w:t>;</w:t>
      </w:r>
      <w:r w:rsidRPr="000D694E">
        <w:rPr>
          <w:rFonts w:ascii="Book Antiqua" w:hAnsi="Book Antiqua"/>
        </w:rPr>
        <w:t xml:space="preserve"> CRP: C-reactive protein</w:t>
      </w:r>
      <w:r>
        <w:rPr>
          <w:rFonts w:ascii="Book Antiqua" w:hAnsi="Book Antiqua"/>
        </w:rPr>
        <w:t xml:space="preserve">; </w:t>
      </w:r>
      <w:r w:rsidRPr="000D694E">
        <w:rPr>
          <w:rFonts w:ascii="Book Antiqua" w:hAnsi="Book Antiqua"/>
        </w:rPr>
        <w:t xml:space="preserve">Fib: </w:t>
      </w:r>
      <w:r>
        <w:rPr>
          <w:rFonts w:ascii="Book Antiqua" w:hAnsi="Book Antiqua"/>
        </w:rPr>
        <w:t>F</w:t>
      </w:r>
      <w:r w:rsidRPr="000D694E">
        <w:rPr>
          <w:rFonts w:ascii="Book Antiqua" w:hAnsi="Book Antiqua"/>
        </w:rPr>
        <w:t>ibrinogen</w:t>
      </w:r>
      <w:r>
        <w:rPr>
          <w:rFonts w:ascii="Book Antiqua" w:hAnsi="Book Antiqua"/>
        </w:rPr>
        <w:t xml:space="preserve">; </w:t>
      </w:r>
      <w:r w:rsidRPr="000D694E">
        <w:rPr>
          <w:rFonts w:ascii="Book Antiqua" w:hAnsi="Book Antiqua"/>
        </w:rPr>
        <w:t>INR: International normalized ratio</w:t>
      </w:r>
      <w:r>
        <w:rPr>
          <w:rFonts w:ascii="Book Antiqua" w:hAnsi="Book Antiqua"/>
        </w:rPr>
        <w:t xml:space="preserve">; </w:t>
      </w:r>
      <w:r w:rsidRPr="000D694E">
        <w:rPr>
          <w:rFonts w:ascii="Book Antiqua" w:hAnsi="Book Antiqua"/>
        </w:rPr>
        <w:t xml:space="preserve">Neut: </w:t>
      </w:r>
      <w:r>
        <w:rPr>
          <w:rFonts w:ascii="Book Antiqua" w:hAnsi="Book Antiqua"/>
        </w:rPr>
        <w:t>N</w:t>
      </w:r>
      <w:r w:rsidRPr="000D694E">
        <w:rPr>
          <w:rFonts w:ascii="Book Antiqua" w:hAnsi="Book Antiqua"/>
        </w:rPr>
        <w:t>eutrophile granulocyte</w:t>
      </w:r>
      <w:r>
        <w:rPr>
          <w:rFonts w:ascii="Book Antiqua" w:hAnsi="Book Antiqua"/>
        </w:rPr>
        <w:t>;</w:t>
      </w:r>
      <w:r w:rsidRPr="000D694E">
        <w:rPr>
          <w:rFonts w:ascii="Book Antiqua" w:hAnsi="Book Antiqua"/>
        </w:rPr>
        <w:t xml:space="preserve"> </w:t>
      </w:r>
      <w:r w:rsidRPr="00FE7A92">
        <w:rPr>
          <w:rFonts w:ascii="Book Antiqua" w:hAnsi="Book Antiqua"/>
        </w:rPr>
        <w:t>NTproBNP</w:t>
      </w:r>
      <w:r>
        <w:rPr>
          <w:rFonts w:ascii="Book Antiqua" w:hAnsi="Book Antiqua"/>
        </w:rPr>
        <w:t xml:space="preserve">: </w:t>
      </w:r>
      <w:r w:rsidRPr="00FE7A92">
        <w:rPr>
          <w:rFonts w:ascii="Book Antiqua" w:hAnsi="Book Antiqua"/>
        </w:rPr>
        <w:t>N-Terminal pro-brain natriuretic peptide</w:t>
      </w:r>
      <w:r>
        <w:rPr>
          <w:rFonts w:ascii="Book Antiqua" w:hAnsi="Book Antiqua"/>
        </w:rPr>
        <w:t xml:space="preserve">; </w:t>
      </w:r>
      <w:r w:rsidRPr="000D694E">
        <w:rPr>
          <w:rFonts w:ascii="Book Antiqua" w:hAnsi="Book Antiqua"/>
        </w:rPr>
        <w:t>PCT: Procalcitonin</w:t>
      </w:r>
      <w:r>
        <w:rPr>
          <w:rFonts w:ascii="Book Antiqua" w:hAnsi="Book Antiqua"/>
        </w:rPr>
        <w:t>;</w:t>
      </w:r>
      <w:r w:rsidRPr="000D694E">
        <w:rPr>
          <w:rFonts w:ascii="Book Antiqua" w:hAnsi="Book Antiqua"/>
        </w:rPr>
        <w:t xml:space="preserve"> PT: </w:t>
      </w:r>
      <w:r>
        <w:rPr>
          <w:rFonts w:ascii="Book Antiqua" w:hAnsi="Book Antiqua"/>
        </w:rPr>
        <w:t>P</w:t>
      </w:r>
      <w:r w:rsidRPr="000D694E">
        <w:rPr>
          <w:rFonts w:ascii="Book Antiqua" w:hAnsi="Book Antiqua"/>
        </w:rPr>
        <w:t>rothrombin time</w:t>
      </w:r>
      <w:r>
        <w:rPr>
          <w:rFonts w:ascii="Book Antiqua" w:hAnsi="Book Antiqua"/>
        </w:rPr>
        <w:t>;</w:t>
      </w:r>
      <w:r w:rsidRPr="000D694E">
        <w:rPr>
          <w:rFonts w:ascii="Book Antiqua" w:hAnsi="Book Antiqua"/>
        </w:rPr>
        <w:t xml:space="preserve"> </w:t>
      </w:r>
      <w:r w:rsidR="00990D48" w:rsidRPr="0090526A">
        <w:rPr>
          <w:rFonts w:ascii="Book Antiqua" w:hAnsi="Book Antiqua"/>
        </w:rPr>
        <w:t>T-Bil</w:t>
      </w:r>
      <w:r w:rsidR="00990D48">
        <w:rPr>
          <w:rFonts w:ascii="Book Antiqua" w:hAnsi="Book Antiqua"/>
        </w:rPr>
        <w:t>: T</w:t>
      </w:r>
      <w:r w:rsidR="00990D48" w:rsidRPr="0090526A">
        <w:rPr>
          <w:rFonts w:ascii="Book Antiqua" w:hAnsi="Book Antiqua"/>
        </w:rPr>
        <w:t>otal bilirubin</w:t>
      </w:r>
      <w:r w:rsidR="00990D48">
        <w:rPr>
          <w:rFonts w:ascii="Book Antiqua" w:hAnsi="Book Antiqua"/>
        </w:rPr>
        <w:t xml:space="preserve">; </w:t>
      </w:r>
      <w:r w:rsidR="00990D48" w:rsidRPr="000D694E">
        <w:rPr>
          <w:rFonts w:ascii="Book Antiqua" w:hAnsi="Book Antiqua"/>
        </w:rPr>
        <w:t>TnI: Phosphorylation of troponin I</w:t>
      </w:r>
      <w:r w:rsidR="00990D48">
        <w:rPr>
          <w:rFonts w:ascii="Book Antiqua" w:hAnsi="Book Antiqua"/>
        </w:rPr>
        <w:t>;</w:t>
      </w:r>
      <w:r w:rsidR="00990D48" w:rsidRPr="000D694E">
        <w:rPr>
          <w:rFonts w:ascii="Book Antiqua" w:hAnsi="Book Antiqua"/>
        </w:rPr>
        <w:t xml:space="preserve"> </w:t>
      </w:r>
      <w:r w:rsidR="00AC077C" w:rsidRPr="000D694E">
        <w:rPr>
          <w:rFonts w:ascii="Book Antiqua" w:hAnsi="Book Antiqua"/>
        </w:rPr>
        <w:t xml:space="preserve">WBC: </w:t>
      </w:r>
      <w:r w:rsidR="00AC077C">
        <w:rPr>
          <w:rFonts w:ascii="Book Antiqua" w:hAnsi="Book Antiqua"/>
        </w:rPr>
        <w:t>W</w:t>
      </w:r>
      <w:r w:rsidR="00AC077C" w:rsidRPr="000D694E">
        <w:rPr>
          <w:rFonts w:ascii="Book Antiqua" w:hAnsi="Book Antiqua"/>
        </w:rPr>
        <w:t>hite blood cell</w:t>
      </w:r>
      <w:r w:rsidR="00990D48">
        <w:rPr>
          <w:rFonts w:ascii="Book Antiqua" w:hAnsi="Book Antiqua"/>
        </w:rPr>
        <w:t>.</w:t>
      </w:r>
      <w:r w:rsidR="00AC077C" w:rsidRPr="000D694E">
        <w:rPr>
          <w:rFonts w:ascii="Book Antiqua" w:hAnsi="Book Antiqua"/>
        </w:rPr>
        <w:t xml:space="preserve"> </w:t>
      </w:r>
    </w:p>
    <w:sectPr w:rsidR="00AC077C" w:rsidRPr="00D745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0A526" w14:textId="77777777" w:rsidR="00972097" w:rsidRDefault="00972097" w:rsidP="00026532">
      <w:r>
        <w:separator/>
      </w:r>
    </w:p>
  </w:endnote>
  <w:endnote w:type="continuationSeparator" w:id="0">
    <w:p w14:paraId="4011755C" w14:textId="77777777" w:rsidR="00972097" w:rsidRDefault="00972097" w:rsidP="000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11587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C27764F" w14:textId="00DDBDA4" w:rsidR="00026532" w:rsidRPr="00026532" w:rsidRDefault="00026532" w:rsidP="00026532">
            <w:pPr>
              <w:pStyle w:val="Footer"/>
              <w:jc w:val="right"/>
              <w:rPr>
                <w:rFonts w:ascii="Book Antiqua" w:hAnsi="Book Antiqua"/>
                <w:sz w:val="24"/>
                <w:szCs w:val="24"/>
              </w:rPr>
            </w:pPr>
            <w:r w:rsidRPr="00026532">
              <w:rPr>
                <w:rFonts w:ascii="Book Antiqua" w:hAnsi="Book Antiqua"/>
                <w:sz w:val="24"/>
                <w:szCs w:val="24"/>
                <w:lang w:val="zh-CN" w:eastAsia="zh-CN"/>
              </w:rPr>
              <w:t xml:space="preserve"> </w:t>
            </w:r>
            <w:r w:rsidRPr="00026532">
              <w:rPr>
                <w:rFonts w:ascii="Book Antiqua" w:hAnsi="Book Antiqua"/>
                <w:sz w:val="24"/>
                <w:szCs w:val="24"/>
              </w:rPr>
              <w:fldChar w:fldCharType="begin"/>
            </w:r>
            <w:r w:rsidRPr="00026532">
              <w:rPr>
                <w:rFonts w:ascii="Book Antiqua" w:hAnsi="Book Antiqua"/>
                <w:sz w:val="24"/>
                <w:szCs w:val="24"/>
              </w:rPr>
              <w:instrText>PAGE</w:instrText>
            </w:r>
            <w:r w:rsidRPr="00026532">
              <w:rPr>
                <w:rFonts w:ascii="Book Antiqua" w:hAnsi="Book Antiqua"/>
                <w:sz w:val="24"/>
                <w:szCs w:val="24"/>
              </w:rPr>
              <w:fldChar w:fldCharType="separate"/>
            </w:r>
            <w:r w:rsidR="007425B9">
              <w:rPr>
                <w:rFonts w:ascii="Book Antiqua" w:hAnsi="Book Antiqua"/>
                <w:noProof/>
                <w:sz w:val="24"/>
                <w:szCs w:val="24"/>
              </w:rPr>
              <w:t>21</w:t>
            </w:r>
            <w:r w:rsidRPr="00026532">
              <w:rPr>
                <w:rFonts w:ascii="Book Antiqua" w:hAnsi="Book Antiqua"/>
                <w:sz w:val="24"/>
                <w:szCs w:val="24"/>
              </w:rPr>
              <w:fldChar w:fldCharType="end"/>
            </w:r>
            <w:r w:rsidRPr="00026532">
              <w:rPr>
                <w:rFonts w:ascii="Book Antiqua" w:hAnsi="Book Antiqua"/>
                <w:sz w:val="24"/>
                <w:szCs w:val="24"/>
                <w:lang w:val="zh-CN" w:eastAsia="zh-CN"/>
              </w:rPr>
              <w:t xml:space="preserve"> / </w:t>
            </w:r>
            <w:r w:rsidRPr="00026532">
              <w:rPr>
                <w:rFonts w:ascii="Book Antiqua" w:hAnsi="Book Antiqua"/>
                <w:sz w:val="24"/>
                <w:szCs w:val="24"/>
              </w:rPr>
              <w:fldChar w:fldCharType="begin"/>
            </w:r>
            <w:r w:rsidRPr="00026532">
              <w:rPr>
                <w:rFonts w:ascii="Book Antiqua" w:hAnsi="Book Antiqua"/>
                <w:sz w:val="24"/>
                <w:szCs w:val="24"/>
              </w:rPr>
              <w:instrText>NUMPAGES</w:instrText>
            </w:r>
            <w:r w:rsidRPr="00026532">
              <w:rPr>
                <w:rFonts w:ascii="Book Antiqua" w:hAnsi="Book Antiqua"/>
                <w:sz w:val="24"/>
                <w:szCs w:val="24"/>
              </w:rPr>
              <w:fldChar w:fldCharType="separate"/>
            </w:r>
            <w:r w:rsidR="007425B9">
              <w:rPr>
                <w:rFonts w:ascii="Book Antiqua" w:hAnsi="Book Antiqua"/>
                <w:noProof/>
                <w:sz w:val="24"/>
                <w:szCs w:val="24"/>
              </w:rPr>
              <w:t>21</w:t>
            </w:r>
            <w:r w:rsidRPr="00026532">
              <w:rPr>
                <w:rFonts w:ascii="Book Antiqua" w:hAnsi="Book Antiqua"/>
                <w:sz w:val="24"/>
                <w:szCs w:val="24"/>
              </w:rPr>
              <w:fldChar w:fldCharType="end"/>
            </w:r>
          </w:p>
        </w:sdtContent>
      </w:sdt>
    </w:sdtContent>
  </w:sdt>
  <w:p w14:paraId="49F9ED12" w14:textId="77777777" w:rsidR="00026532" w:rsidRPr="00026532" w:rsidRDefault="00026532" w:rsidP="00026532">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1B50B" w14:textId="77777777" w:rsidR="00972097" w:rsidRDefault="00972097" w:rsidP="00026532">
      <w:r>
        <w:separator/>
      </w:r>
    </w:p>
  </w:footnote>
  <w:footnote w:type="continuationSeparator" w:id="0">
    <w:p w14:paraId="53F98F72" w14:textId="77777777" w:rsidR="00972097" w:rsidRDefault="00972097" w:rsidP="00026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532"/>
    <w:rsid w:val="00042D62"/>
    <w:rsid w:val="00052139"/>
    <w:rsid w:val="00096AD9"/>
    <w:rsid w:val="00126D5B"/>
    <w:rsid w:val="00193B03"/>
    <w:rsid w:val="001B6D07"/>
    <w:rsid w:val="001F1B84"/>
    <w:rsid w:val="002112B6"/>
    <w:rsid w:val="00254E26"/>
    <w:rsid w:val="00267343"/>
    <w:rsid w:val="002F0A5D"/>
    <w:rsid w:val="003055F4"/>
    <w:rsid w:val="00310B24"/>
    <w:rsid w:val="00311635"/>
    <w:rsid w:val="0032751D"/>
    <w:rsid w:val="00351A0C"/>
    <w:rsid w:val="003845CF"/>
    <w:rsid w:val="00431119"/>
    <w:rsid w:val="0043158E"/>
    <w:rsid w:val="00456886"/>
    <w:rsid w:val="00461BAD"/>
    <w:rsid w:val="004A2239"/>
    <w:rsid w:val="00510EF9"/>
    <w:rsid w:val="0052416A"/>
    <w:rsid w:val="00540312"/>
    <w:rsid w:val="005C6E57"/>
    <w:rsid w:val="00640306"/>
    <w:rsid w:val="00652689"/>
    <w:rsid w:val="00693D95"/>
    <w:rsid w:val="006D1407"/>
    <w:rsid w:val="006E1D05"/>
    <w:rsid w:val="00703BD3"/>
    <w:rsid w:val="0071600C"/>
    <w:rsid w:val="00732061"/>
    <w:rsid w:val="007425B9"/>
    <w:rsid w:val="007834D8"/>
    <w:rsid w:val="00785486"/>
    <w:rsid w:val="007968E1"/>
    <w:rsid w:val="007B338E"/>
    <w:rsid w:val="0081019E"/>
    <w:rsid w:val="0085190D"/>
    <w:rsid w:val="0086225C"/>
    <w:rsid w:val="008A1A54"/>
    <w:rsid w:val="008B07C3"/>
    <w:rsid w:val="009536E7"/>
    <w:rsid w:val="00972097"/>
    <w:rsid w:val="00990D48"/>
    <w:rsid w:val="009B793B"/>
    <w:rsid w:val="009C2A87"/>
    <w:rsid w:val="009F0D2A"/>
    <w:rsid w:val="00A4263F"/>
    <w:rsid w:val="00A505A9"/>
    <w:rsid w:val="00A77B3E"/>
    <w:rsid w:val="00A81424"/>
    <w:rsid w:val="00AA1069"/>
    <w:rsid w:val="00AC077C"/>
    <w:rsid w:val="00AC4117"/>
    <w:rsid w:val="00AE37A1"/>
    <w:rsid w:val="00B011CA"/>
    <w:rsid w:val="00B468AF"/>
    <w:rsid w:val="00B476ED"/>
    <w:rsid w:val="00B66F0C"/>
    <w:rsid w:val="00B719CD"/>
    <w:rsid w:val="00B93058"/>
    <w:rsid w:val="00BA0873"/>
    <w:rsid w:val="00BB154A"/>
    <w:rsid w:val="00BB738B"/>
    <w:rsid w:val="00BC2898"/>
    <w:rsid w:val="00BD4898"/>
    <w:rsid w:val="00C2040B"/>
    <w:rsid w:val="00CA2A55"/>
    <w:rsid w:val="00CC51FB"/>
    <w:rsid w:val="00D00F4A"/>
    <w:rsid w:val="00D47478"/>
    <w:rsid w:val="00D745A0"/>
    <w:rsid w:val="00D86E36"/>
    <w:rsid w:val="00DB28EC"/>
    <w:rsid w:val="00DC3470"/>
    <w:rsid w:val="00DD6A47"/>
    <w:rsid w:val="00DF4417"/>
    <w:rsid w:val="00E2551E"/>
    <w:rsid w:val="00E53B02"/>
    <w:rsid w:val="00EC090F"/>
    <w:rsid w:val="00F24200"/>
    <w:rsid w:val="00F5431C"/>
    <w:rsid w:val="00F66CB4"/>
    <w:rsid w:val="00F94714"/>
    <w:rsid w:val="00FB3A87"/>
    <w:rsid w:val="00FC46D8"/>
    <w:rsid w:val="00FF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143D34"/>
  <w15:docId w15:val="{A4C37337-C02E-4A69-B902-DDDDB89B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D6A47"/>
    <w:rPr>
      <w:sz w:val="21"/>
      <w:szCs w:val="21"/>
    </w:rPr>
  </w:style>
  <w:style w:type="paragraph" w:styleId="CommentText">
    <w:name w:val="annotation text"/>
    <w:basedOn w:val="Normal"/>
    <w:link w:val="CommentTextChar"/>
    <w:semiHidden/>
    <w:unhideWhenUsed/>
    <w:rsid w:val="00DD6A47"/>
  </w:style>
  <w:style w:type="character" w:customStyle="1" w:styleId="CommentTextChar">
    <w:name w:val="Comment Text Char"/>
    <w:basedOn w:val="DefaultParagraphFont"/>
    <w:link w:val="CommentText"/>
    <w:semiHidden/>
    <w:rsid w:val="00DD6A47"/>
    <w:rPr>
      <w:sz w:val="24"/>
      <w:szCs w:val="24"/>
    </w:rPr>
  </w:style>
  <w:style w:type="paragraph" w:styleId="CommentSubject">
    <w:name w:val="annotation subject"/>
    <w:basedOn w:val="CommentText"/>
    <w:next w:val="CommentText"/>
    <w:link w:val="CommentSubjectChar"/>
    <w:semiHidden/>
    <w:unhideWhenUsed/>
    <w:rsid w:val="00DD6A47"/>
    <w:rPr>
      <w:b/>
      <w:bCs/>
    </w:rPr>
  </w:style>
  <w:style w:type="character" w:customStyle="1" w:styleId="CommentSubjectChar">
    <w:name w:val="Comment Subject Char"/>
    <w:basedOn w:val="CommentTextChar"/>
    <w:link w:val="CommentSubject"/>
    <w:semiHidden/>
    <w:rsid w:val="00DD6A47"/>
    <w:rPr>
      <w:b/>
      <w:bCs/>
      <w:sz w:val="24"/>
      <w:szCs w:val="24"/>
    </w:rPr>
  </w:style>
  <w:style w:type="table" w:styleId="TableGrid">
    <w:name w:val="Table Grid"/>
    <w:basedOn w:val="TableNormal"/>
    <w:uiPriority w:val="39"/>
    <w:rsid w:val="00AC077C"/>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5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26532"/>
    <w:rPr>
      <w:sz w:val="18"/>
      <w:szCs w:val="18"/>
    </w:rPr>
  </w:style>
  <w:style w:type="paragraph" w:styleId="Footer">
    <w:name w:val="footer"/>
    <w:basedOn w:val="Normal"/>
    <w:link w:val="FooterChar"/>
    <w:uiPriority w:val="99"/>
    <w:unhideWhenUsed/>
    <w:rsid w:val="00026532"/>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265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Donna Fox</cp:lastModifiedBy>
  <cp:revision>2</cp:revision>
  <dcterms:created xsi:type="dcterms:W3CDTF">2021-05-06T21:02:00Z</dcterms:created>
  <dcterms:modified xsi:type="dcterms:W3CDTF">2021-05-06T21:02:00Z</dcterms:modified>
</cp:coreProperties>
</file>