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0E181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t>Name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of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Journal: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color w:val="000000"/>
        </w:rPr>
        <w:t>World</w:t>
      </w:r>
      <w:r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color w:val="000000"/>
        </w:rPr>
        <w:t>Journal</w:t>
      </w:r>
      <w:r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color w:val="000000"/>
        </w:rPr>
        <w:t>of</w:t>
      </w:r>
      <w:r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color w:val="000000"/>
        </w:rPr>
        <w:t>Diabetes</w:t>
      </w:r>
    </w:p>
    <w:p w14:paraId="4C881643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t>Manuscript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NO: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65624</w:t>
      </w:r>
    </w:p>
    <w:p w14:paraId="1BCAE0AF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t>Manuscript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Type: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OPINION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REVIEW</w:t>
      </w:r>
    </w:p>
    <w:p w14:paraId="511A52F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EDD32D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</w:rPr>
        <w:t>Exploring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new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treatment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options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for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polycystic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ovary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syndrome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: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Review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of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a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novel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antidiabetic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agent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SGLT2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inhibitor</w:t>
      </w:r>
    </w:p>
    <w:p w14:paraId="33CB5272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26A4E0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70E00">
        <w:rPr>
          <w:rFonts w:ascii="Book Antiqua" w:eastAsia="Times New Roman" w:hAnsi="Book Antiqua" w:cs="Book Antiqua"/>
          <w:color w:val="000000"/>
          <w:lang w:val="fr-FR"/>
        </w:rPr>
        <w:t xml:space="preserve">Marinkovic-Radosevic J </w:t>
      </w:r>
      <w:r w:rsidRPr="00C70E00">
        <w:rPr>
          <w:rFonts w:ascii="Book Antiqua" w:eastAsia="Times New Roman" w:hAnsi="Book Antiqua" w:cs="Book Antiqua"/>
          <w:i/>
          <w:iCs/>
          <w:color w:val="000000"/>
          <w:lang w:val="fr-FR"/>
        </w:rPr>
        <w:t>et al.</w:t>
      </w:r>
      <w:r w:rsidRPr="00C70E00">
        <w:rPr>
          <w:rFonts w:ascii="Book Antiqua" w:eastAsia="Times New Roman" w:hAnsi="Book Antiqua" w:cs="Book Antiqua"/>
          <w:color w:val="000000"/>
          <w:lang w:val="fr-FR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SLGT2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</w:p>
    <w:p w14:paraId="578FE776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AF7BA6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Jelena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Marinkovic-Radosevic,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Maja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Cigrovski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Berkovic,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Egon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Kruezi,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Bilic</w:t>
      </w:r>
      <w:r>
        <w:rPr>
          <w:rFonts w:ascii="Book Antiqua" w:eastAsia="Times New Roman" w:hAnsi="Book Antiqua" w:cs="Book Antiqua"/>
          <w:color w:val="000000"/>
        </w:rPr>
        <w:t>-</w:t>
      </w:r>
      <w:r w:rsidRPr="009C5DB0">
        <w:rPr>
          <w:rFonts w:ascii="Book Antiqua" w:eastAsia="Times New Roman" w:hAnsi="Book Antiqua" w:cs="Book Antiqua"/>
          <w:color w:val="000000"/>
        </w:rPr>
        <w:t>Curcic,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Anna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Mrzljak</w:t>
      </w:r>
    </w:p>
    <w:p w14:paraId="55276AB7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35DF65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b/>
          <w:bCs/>
          <w:color w:val="201F35"/>
        </w:rPr>
        <w:t xml:space="preserve">Jelena Marinkovic-Radosevic, </w:t>
      </w:r>
      <w:r>
        <w:rPr>
          <w:rFonts w:ascii="Book Antiqua" w:hAnsi="Book Antiqua"/>
          <w:color w:val="201F35"/>
        </w:rPr>
        <w:t>Department of Endocrinology, Diabetes and Metabolism, Sisters of Charity Clinical Hospital Centre, Zagreb 10000, Croatia</w:t>
      </w:r>
    </w:p>
    <w:p w14:paraId="01C81BA2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</w:p>
    <w:p w14:paraId="74D8C594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b/>
          <w:bCs/>
          <w:color w:val="201F35"/>
        </w:rPr>
        <w:t xml:space="preserve">Maja Cigrovski Berkovic, </w:t>
      </w:r>
      <w:r>
        <w:rPr>
          <w:rFonts w:ascii="Book Antiqua" w:hAnsi="Book Antiqua"/>
          <w:color w:val="201F35"/>
        </w:rPr>
        <w:t>Department of Endocrinology, Diabetes, Metabolism and Clinical Pharmacology, Clinical Hospital Dubrava, Zagreb 10000, Croatia</w:t>
      </w:r>
    </w:p>
    <w:p w14:paraId="3B20B3A8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</w:p>
    <w:p w14:paraId="70990C5E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b/>
          <w:bCs/>
          <w:color w:val="201F35"/>
        </w:rPr>
        <w:t xml:space="preserve">Maja Cigrovski Berkovic, </w:t>
      </w:r>
      <w:r>
        <w:rPr>
          <w:rFonts w:ascii="Book Antiqua" w:hAnsi="Book Antiqua"/>
          <w:color w:val="201F35"/>
        </w:rPr>
        <w:t>Department of Kinesiological Anthropology and Methodology, Faculty of Kinesiology, University of Zagreb, Zagreb 10000, Croatia</w:t>
      </w:r>
    </w:p>
    <w:p w14:paraId="3A7C7845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</w:p>
    <w:p w14:paraId="541ECE4D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b/>
          <w:bCs/>
          <w:color w:val="201F35"/>
        </w:rPr>
        <w:t xml:space="preserve">Egon Kruezi, </w:t>
      </w:r>
      <w:r>
        <w:rPr>
          <w:rFonts w:ascii="Book Antiqua" w:hAnsi="Book Antiqua"/>
          <w:color w:val="201F35"/>
        </w:rPr>
        <w:t>Department of Gynecology and Obstetrics, Sisters of Charity Clinical Hospital Centre, Zagreb 10000, Croatia</w:t>
      </w:r>
    </w:p>
    <w:p w14:paraId="3CDD34A4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</w:p>
    <w:p w14:paraId="0D395B29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b/>
          <w:bCs/>
          <w:color w:val="201F35"/>
        </w:rPr>
        <w:t xml:space="preserve">Ines Bilic-Curcic, </w:t>
      </w:r>
      <w:r>
        <w:rPr>
          <w:rFonts w:ascii="Book Antiqua" w:hAnsi="Book Antiqua"/>
          <w:color w:val="201F35"/>
        </w:rPr>
        <w:t>Department of Pharmacology, Faculty of Medicine, University of J. J. Strossmayer Osijek, Osijek 31000, Croatia</w:t>
      </w:r>
    </w:p>
    <w:p w14:paraId="6C6AF6BA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</w:p>
    <w:p w14:paraId="5E883EAC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b/>
          <w:bCs/>
          <w:color w:val="201F35"/>
        </w:rPr>
        <w:t>Ines Bilic-Curcic,</w:t>
      </w:r>
      <w:r>
        <w:rPr>
          <w:rFonts w:ascii="Book Antiqua" w:hAnsi="Book Antiqua"/>
          <w:color w:val="201F35"/>
        </w:rPr>
        <w:t xml:space="preserve"> Clinical Hospital Center Osijek, Osijek 31000, Croatia</w:t>
      </w:r>
    </w:p>
    <w:p w14:paraId="2BD92520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</w:p>
    <w:p w14:paraId="447211E5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b/>
          <w:bCs/>
          <w:color w:val="201F35"/>
        </w:rPr>
        <w:t xml:space="preserve">Anna Mrzljak, </w:t>
      </w:r>
      <w:r>
        <w:rPr>
          <w:rFonts w:ascii="Book Antiqua" w:hAnsi="Book Antiqua"/>
          <w:color w:val="201F35"/>
        </w:rPr>
        <w:t>School of Medicine, University of Zagreb, Zagreb 10000, Croatia</w:t>
      </w:r>
    </w:p>
    <w:p w14:paraId="67254CCA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</w:p>
    <w:p w14:paraId="1CFFCFFB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b/>
          <w:bCs/>
          <w:color w:val="201F35"/>
        </w:rPr>
        <w:t xml:space="preserve">Anna Mrzljak, </w:t>
      </w:r>
      <w:r>
        <w:rPr>
          <w:rFonts w:ascii="Book Antiqua" w:hAnsi="Book Antiqua"/>
          <w:color w:val="201F35"/>
        </w:rPr>
        <w:t>Department of Gastroenterology and Hepatology, University Hospital Centre Zagreb, Zagreb 10000, Croatia</w:t>
      </w:r>
    </w:p>
    <w:p w14:paraId="1CDA878F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8F355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</w:rPr>
        <w:t>Author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contributions: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Marinkovic-Radosevic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Cigrovski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Berkovic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contributions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conception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design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drafted,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revised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manuscript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critically;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Kruezi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Bilic-Curcic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Mrzljak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collected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data,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drafted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wrote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manuscript;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authors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read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approved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final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manuscript.</w:t>
      </w:r>
    </w:p>
    <w:p w14:paraId="3EFE33E1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192072" w14:textId="4B8462A1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</w:rPr>
        <w:t>Correspond</w:t>
      </w:r>
      <w:r>
        <w:rPr>
          <w:rFonts w:ascii="Book Antiqua" w:eastAsia="Times New Roman" w:hAnsi="Book Antiqua" w:cs="Book Antiqua"/>
          <w:b/>
          <w:bCs/>
          <w:color w:val="000000"/>
        </w:rPr>
        <w:t>ence to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: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591546">
        <w:rPr>
          <w:rFonts w:ascii="Book Antiqua" w:hAnsi="Book Antiqua"/>
          <w:b/>
          <w:bCs/>
          <w:color w:val="201F35"/>
        </w:rPr>
        <w:t>Maja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591546">
        <w:rPr>
          <w:rFonts w:ascii="Book Antiqua" w:hAnsi="Book Antiqua"/>
          <w:b/>
          <w:bCs/>
          <w:color w:val="201F35"/>
        </w:rPr>
        <w:t>Cigrovski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591546">
        <w:rPr>
          <w:rFonts w:ascii="Book Antiqua" w:hAnsi="Book Antiqua"/>
          <w:b/>
          <w:bCs/>
          <w:color w:val="201F35"/>
        </w:rPr>
        <w:t>Berkovic,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591546">
        <w:rPr>
          <w:rFonts w:ascii="Book Antiqua" w:hAnsi="Book Antiqua"/>
          <w:b/>
          <w:bCs/>
          <w:color w:val="201F35"/>
        </w:rPr>
        <w:t>MD,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591546">
        <w:rPr>
          <w:rFonts w:ascii="Book Antiqua" w:hAnsi="Book Antiqua"/>
          <w:b/>
          <w:bCs/>
          <w:color w:val="201F35"/>
        </w:rPr>
        <w:t>Assistant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591546">
        <w:rPr>
          <w:rFonts w:ascii="Book Antiqua" w:hAnsi="Book Antiqua"/>
          <w:b/>
          <w:bCs/>
          <w:color w:val="201F35"/>
        </w:rPr>
        <w:t>Professor</w:t>
      </w:r>
      <w:r>
        <w:rPr>
          <w:rFonts w:ascii="Book Antiqua" w:hAnsi="Book Antiqua"/>
          <w:color w:val="201F35"/>
        </w:rPr>
        <w:t>, Department of Endocrinology, Diabetes, Metabolism and Clinical Pharmacology, Clinical Hospital Dubrava, Ulica Gojka Šuška 6, Zagreb 10000, Croatia. maja.cigrovskiberkovic@gmail.com</w:t>
      </w:r>
    </w:p>
    <w:p w14:paraId="13FE89DC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FB8B99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</w:rPr>
        <w:t>Received: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March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13,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2021</w:t>
      </w:r>
    </w:p>
    <w:p w14:paraId="1B273BC9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</w:rPr>
        <w:t>Revised: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March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30,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2021</w:t>
      </w:r>
    </w:p>
    <w:p w14:paraId="4B2D4145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</w:rPr>
        <w:t>Accepted: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>
        <w:rPr>
          <w:rFonts w:ascii="Book Antiqua" w:hAnsi="Book Antiqua"/>
          <w:color w:val="000000"/>
        </w:rPr>
        <w:t>June</w:t>
      </w:r>
      <w:r w:rsidRPr="00F0690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22</w:t>
      </w:r>
      <w:r w:rsidRPr="00F06907">
        <w:rPr>
          <w:rFonts w:ascii="Book Antiqua" w:hAnsi="Book Antiqua"/>
          <w:color w:val="000000"/>
        </w:rPr>
        <w:t>, 2021</w:t>
      </w:r>
      <w:bookmarkEnd w:id="0"/>
      <w:bookmarkEnd w:id="1"/>
      <w:bookmarkEnd w:id="2"/>
    </w:p>
    <w:p w14:paraId="222DD733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</w:rPr>
        <w:t>Published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online: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</w:p>
    <w:p w14:paraId="53A57EEA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9B3205" w:rsidRPr="009C5DB0">
          <w:footerReference w:type="default" r:id="rId6"/>
          <w:pgSz w:w="12240" w:h="15840"/>
          <w:pgMar w:top="1417" w:right="1440" w:bottom="1417" w:left="1440" w:header="720" w:footer="720" w:gutter="0"/>
          <w:cols w:space="720"/>
          <w:docGrid w:linePitch="360"/>
        </w:sectPr>
      </w:pPr>
    </w:p>
    <w:p w14:paraId="0F02CA7A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lastRenderedPageBreak/>
        <w:t>Abstract</w:t>
      </w:r>
    </w:p>
    <w:p w14:paraId="791E5A45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(PCOS)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most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common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endocrinopathy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reproductive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associated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long-term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consequences.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plethora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symptoms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their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severity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differentiate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individual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level,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giving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numerous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phenotypes.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Due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menstrual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cycle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abnormalities,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suffer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from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irregular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menstrual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bleeding,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difficulty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conception,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infertility.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Furthermore,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pregnancy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complications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gestational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mellitus,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hypertensive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disorders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pregnancy,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preterm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birth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higher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general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population.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Often,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have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comorbidities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dyslipidemia,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obesity,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intolerance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type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non-alcoholic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fatty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liver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which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influence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plan.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Historic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insulin-sensitizing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agents,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although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good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derangements,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offer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long-term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benefits;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therefore,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new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options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paramount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importance.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Sodium-glucose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co-transporter-2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(SGLT-2)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new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class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antidiabetic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beneficial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bodyweight,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antihyperglycemic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although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approved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might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attractive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therapeutic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addition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armamentarium.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Namely,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studies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showed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promising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improvements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anthropometric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parameters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body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composition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important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further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explore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potential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early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therapeutic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option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because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PCOS-related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reproductive,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psychological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consequences.</w:t>
      </w:r>
      <w:r>
        <w:rPr>
          <w:rFonts w:ascii="Book Antiqua" w:eastAsia="Times New Roman" w:hAnsi="Book Antiqua" w:cs="Book Antiqua"/>
          <w:color w:val="000000"/>
        </w:rPr>
        <w:t xml:space="preserve"> </w:t>
      </w:r>
    </w:p>
    <w:p w14:paraId="1C7A12DD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325D43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</w:rPr>
        <w:t>Key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Words: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Polycystic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ovary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syndrome;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Sodium-glucose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co-transporter-2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inhibitors;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Metabolic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risk;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Cardiovascular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risk;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Metabolic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syndrome;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Insulin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resistance;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Obesity;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Type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2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diabetes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mellitus;</w:t>
      </w:r>
      <w:r>
        <w:rPr>
          <w:rFonts w:ascii="Book Antiqua" w:eastAsia="Times New Roman" w:hAnsi="Book Antiqua" w:cs="Book Antiqua"/>
          <w:color w:val="000000"/>
          <w:shd w:val="clear" w:color="auto" w:fill="FFFFFF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  <w:shd w:val="clear" w:color="auto" w:fill="FFFFFF"/>
        </w:rPr>
        <w:t>Dyslipidemia</w:t>
      </w:r>
    </w:p>
    <w:p w14:paraId="313096ED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1AD5CB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5889">
        <w:rPr>
          <w:rFonts w:ascii="Book Antiqua" w:eastAsia="Times New Roman" w:hAnsi="Book Antiqua" w:cs="Book Antiqua"/>
          <w:color w:val="000000"/>
        </w:rPr>
        <w:t>Marinkovic-Radosevic J, Cigrovski Berkovic M, Kruezi E, Bilic-Curcic I, Mrzljak A. Exploring new treatment options for polycystic ovary syndrome</w:t>
      </w:r>
      <w:r>
        <w:rPr>
          <w:rFonts w:ascii="Book Antiqua" w:eastAsia="Times New Roman" w:hAnsi="Book Antiqua" w:cs="Book Antiqua"/>
          <w:color w:val="000000"/>
        </w:rPr>
        <w:t>:</w:t>
      </w:r>
      <w:r w:rsidRPr="00EA5889">
        <w:rPr>
          <w:rFonts w:ascii="Book Antiqua" w:eastAsia="Times New Roman" w:hAnsi="Book Antiqua" w:cs="Book Antiqua"/>
          <w:color w:val="000000"/>
        </w:rPr>
        <w:t xml:space="preserve"> Review of a novel antidiabetic agent SGLT2 inhibitor. </w:t>
      </w:r>
      <w:r w:rsidRPr="00F40A27">
        <w:rPr>
          <w:rFonts w:ascii="Book Antiqua" w:eastAsia="Times New Roman" w:hAnsi="Book Antiqua" w:cs="Book Antiqua"/>
          <w:i/>
          <w:iCs/>
          <w:color w:val="000000"/>
        </w:rPr>
        <w:t>World J Diabetes</w:t>
      </w:r>
      <w:r w:rsidRPr="00EA5889">
        <w:rPr>
          <w:rFonts w:ascii="Book Antiqua" w:eastAsia="Times New Roman" w:hAnsi="Book Antiqua" w:cs="Book Antiqua"/>
          <w:color w:val="000000"/>
        </w:rPr>
        <w:t xml:space="preserve"> 2021; In press</w:t>
      </w:r>
    </w:p>
    <w:p w14:paraId="1088A27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</w:rPr>
        <w:lastRenderedPageBreak/>
        <w:t>Core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Tip: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Sodium-glucose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co-transporter-2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(SGLT-2)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new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class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antidiabetic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beneficial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bodyweight,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antihyperglycemic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Although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approved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(PCOS),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might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attractive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therapeutic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addition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related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reproductive,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psychological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consequences.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studies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showed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promising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improvements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anthropometric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parameters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body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composition.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Thus,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important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explore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potential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early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therapeutic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option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due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high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risk.</w:t>
      </w:r>
    </w:p>
    <w:p w14:paraId="64CD8146" w14:textId="77777777" w:rsidR="009B3205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9B3205">
          <w:pgSz w:w="12240" w:h="15840"/>
          <w:pgMar w:top="1417" w:right="1440" w:bottom="1417" w:left="1440" w:header="720" w:footer="720" w:gutter="0"/>
          <w:cols w:space="720"/>
          <w:docGrid w:linePitch="360"/>
        </w:sectPr>
      </w:pPr>
    </w:p>
    <w:p w14:paraId="3AE556A9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B3A7162" w14:textId="5A89664A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(PCOS)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complex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condition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defined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fertility,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psychological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consequences,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up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20%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among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females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reproductive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age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[1]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diagnosed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according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Rotterdam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criteria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</w:t>
      </w:r>
      <w:r>
        <w:rPr>
          <w:rFonts w:ascii="Book Antiqua" w:eastAsia="Times New Roman" w:hAnsi="Book Antiqua" w:cs="Book Antiqua"/>
          <w:color w:val="000000"/>
        </w:rPr>
        <w:t xml:space="preserve">2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following):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Oligo-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anovulation,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clinical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and/or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biochemical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hyperandrogenemia,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ovarian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morphology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ultrasound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[2]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Underlying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pathologic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processes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create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broad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spectrum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clinical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laboratory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abnormalities.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underlying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mechanisms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still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inconclusive,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however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certain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genetic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traits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[3-5]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altered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gonadotropin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secretion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[6,7]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faulty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ovarian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follicle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maturation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[8]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resistance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(IR)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[9]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considered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most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important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etiological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factors.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leads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hyperinsulinemia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which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precipitates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hyperandrogenaemia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stimulating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ovarian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androgen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secretion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hepatic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sex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hormone-binding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globulin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(SHBG)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production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[10]</w:t>
      </w:r>
      <w:r w:rsidRPr="009C5DB0">
        <w:rPr>
          <w:rFonts w:ascii="Book Antiqua" w:eastAsia="Times New Roman" w:hAnsi="Book Antiqua" w:cs="Book Antiqua"/>
          <w:color w:val="000000"/>
        </w:rPr>
        <w:t>.</w:t>
      </w:r>
    </w:p>
    <w:p w14:paraId="5C1C63DD" w14:textId="77777777" w:rsidR="009B3205" w:rsidRPr="009C5DB0" w:rsidRDefault="009B3205" w:rsidP="009C5D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plethora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symptoms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their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severity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differentiate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individual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level,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giving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numerous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phenotypes.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Due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menstrual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cycle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abnormalities,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suffer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from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irregular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menstrual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bleeding,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difficulty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conception,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infertility.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Furthermore,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pregnancy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complications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gestational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mellitus,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hypertensive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disorders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pregnancy,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preterm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birth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higher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general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population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[11,12]</w:t>
      </w:r>
      <w:r w:rsidRPr="009C5DB0">
        <w:rPr>
          <w:rFonts w:ascii="Book Antiqua" w:eastAsia="Times New Roman" w:hAnsi="Book Antiqua" w:cs="Book Antiqua"/>
          <w:color w:val="000000"/>
        </w:rPr>
        <w:t>.</w:t>
      </w:r>
    </w:p>
    <w:p w14:paraId="482FF604" w14:textId="77777777" w:rsidR="009B3205" w:rsidRPr="009C5DB0" w:rsidRDefault="009B3205" w:rsidP="009C5D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Although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factors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part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diagnostic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criteria,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impact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prognosis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[13]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issues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related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increase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long-term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consequences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dyslipidemia,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obesity,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intolerance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[14]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type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[15-17]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low-grade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chronic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inflammation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[18]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non-alcoholic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fatty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liver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[19,20]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[21,22]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Consequently,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should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assessed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factors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global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[2]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</w:p>
    <w:p w14:paraId="72FDE465" w14:textId="77777777" w:rsidR="009B3205" w:rsidRPr="009C5DB0" w:rsidRDefault="009B3205" w:rsidP="009C5D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goals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include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diminishing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clinical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hyperandrogenism,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managing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menstrual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dysfunction,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preventing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endometrial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hyperplasia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carcinoma,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accomplishing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ovulation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pursuit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pregnancy,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regulating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issues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term.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Lifestyle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changes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weight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cornerstones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[23]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lastRenderedPageBreak/>
        <w:t>contraceptives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(OCs)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first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pharmacotherapy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due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their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hyperandrogenism,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menstrual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irregularity,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endometrial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carcinoma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prevention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[2,24]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cases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hyperandrogenism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despite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OCs,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antiandrogens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added.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When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pursuing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pregnancy,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ovulation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induction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should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considered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clomiphene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citrate,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letrozole,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rarely,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gonadotropins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[25]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weight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ovulation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induction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successful,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next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step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vitro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fertilization.</w:t>
      </w:r>
      <w:r>
        <w:rPr>
          <w:rFonts w:ascii="Book Antiqua" w:eastAsia="Times New Roman" w:hAnsi="Book Antiqua" w:cs="Book Antiqua"/>
          <w:color w:val="000000"/>
        </w:rPr>
        <w:t xml:space="preserve"> </w:t>
      </w:r>
    </w:p>
    <w:p w14:paraId="112FFAF1" w14:textId="77777777" w:rsidR="009B3205" w:rsidRPr="009C5DB0" w:rsidRDefault="009B3205" w:rsidP="009C5D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derangements,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insulin-sensitizing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agents,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primarily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metformin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thiazolidinediones,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widely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alternative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add-on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OCs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[26,27]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Studies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newer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glucose-lowering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agents,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glucagon-like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peptide-1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receptor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analogs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(GLP-1RA)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revealed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reduction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body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weight,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increase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menstrual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frequency,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improvement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hyperandrogenemia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derangements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even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effectively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metformin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[28,29]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down-side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mentioned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therapy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might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subcutaneous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way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application.</w:t>
      </w:r>
    </w:p>
    <w:p w14:paraId="78BAB9F4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7CADA4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aps/>
          <w:color w:val="000000"/>
          <w:u w:val="single"/>
        </w:rPr>
        <w:t>PCOS</w:t>
      </w:r>
      <w:r>
        <w:rPr>
          <w:rFonts w:ascii="Book Antiqua" w:eastAsia="Times New Roman" w:hAnsi="Book Antiqua" w:cs="Book Antiqua"/>
          <w:b/>
          <w:caps/>
          <w:color w:val="000000"/>
          <w:u w:val="single"/>
        </w:rPr>
        <w:t xml:space="preserve"> </w:t>
      </w:r>
      <w:r w:rsidRPr="009C5DB0">
        <w:rPr>
          <w:rFonts w:ascii="Book Antiqua" w:eastAsia="Times New Roman" w:hAnsi="Book Antiqua" w:cs="Book Antiqua"/>
          <w:b/>
          <w:caps/>
          <w:color w:val="000000"/>
          <w:u w:val="single"/>
        </w:rPr>
        <w:t>AND</w:t>
      </w:r>
      <w:r>
        <w:rPr>
          <w:rFonts w:ascii="Book Antiqua" w:eastAsia="Times New Roman" w:hAnsi="Book Antiqua" w:cs="Book Antiqua"/>
          <w:b/>
          <w:caps/>
          <w:color w:val="000000"/>
          <w:u w:val="single"/>
        </w:rPr>
        <w:t xml:space="preserve"> </w:t>
      </w:r>
      <w:r w:rsidRPr="009C5DB0">
        <w:rPr>
          <w:rFonts w:ascii="Book Antiqua" w:eastAsia="Times New Roman" w:hAnsi="Book Antiqua" w:cs="Book Antiqua"/>
          <w:b/>
          <w:caps/>
          <w:color w:val="000000"/>
          <w:u w:val="single"/>
        </w:rPr>
        <w:t>CARDIOMETABOLIC</w:t>
      </w:r>
      <w:r>
        <w:rPr>
          <w:rFonts w:ascii="Book Antiqua" w:eastAsia="Times New Roman" w:hAnsi="Book Antiqua" w:cs="Book Antiqua"/>
          <w:b/>
          <w:caps/>
          <w:color w:val="000000"/>
          <w:u w:val="single"/>
        </w:rPr>
        <w:t xml:space="preserve"> </w:t>
      </w:r>
      <w:r w:rsidRPr="009C5DB0">
        <w:rPr>
          <w:rFonts w:ascii="Book Antiqua" w:eastAsia="Times New Roman" w:hAnsi="Book Antiqua" w:cs="Book Antiqua"/>
          <w:b/>
          <w:caps/>
          <w:color w:val="000000"/>
          <w:u w:val="single"/>
        </w:rPr>
        <w:t>RISK</w:t>
      </w:r>
      <w:r>
        <w:rPr>
          <w:rFonts w:ascii="Book Antiqua" w:eastAsia="Times New Roman" w:hAnsi="Book Antiqua" w:cs="Book Antiqua"/>
          <w:b/>
          <w:caps/>
          <w:color w:val="000000"/>
          <w:u w:val="single"/>
        </w:rPr>
        <w:t xml:space="preserve"> </w:t>
      </w:r>
    </w:p>
    <w:p w14:paraId="001E4AEB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One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most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important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pathophysiological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processes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involved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development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includes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high: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affects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75%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95%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overweight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[30]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represents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link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towards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increased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leading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conditions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hypertension,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intolerance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dyslipidemia,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obesity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[9,31]</w:t>
      </w:r>
      <w:r w:rsidRPr="009C5DB0">
        <w:rPr>
          <w:rFonts w:ascii="Book Antiqua" w:eastAsia="Times New Roman" w:hAnsi="Book Antiqua" w:cs="Book Antiqua"/>
          <w:color w:val="000000"/>
        </w:rPr>
        <w:t>.</w:t>
      </w:r>
    </w:p>
    <w:p w14:paraId="252CC0C9" w14:textId="25F3253E" w:rsidR="009B3205" w:rsidRPr="009C5DB0" w:rsidRDefault="009B3205" w:rsidP="009C5D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Up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70%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demonstrate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intolerance,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overt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[32]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American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Women's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Health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Across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Nation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showed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higher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impaired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tolerance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(IGT)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(25%)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compared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controls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(9.2%)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[33]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Moreover,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meta-analysis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demonstrated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increased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type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(T2DM)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(odds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ratio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=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2.87,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95%</w:t>
      </w:r>
      <w:r>
        <w:rPr>
          <w:rFonts w:ascii="Book Antiqua" w:eastAsia="Times New Roman" w:hAnsi="Book Antiqua" w:cs="Book Antiqua"/>
          <w:color w:val="000000"/>
        </w:rPr>
        <w:t>CI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1.44</w:t>
      </w:r>
      <w:r>
        <w:rPr>
          <w:rFonts w:ascii="Book Antiqua" w:eastAsia="Times New Roman" w:hAnsi="Book Antiqua" w:cs="Book Antiqua"/>
          <w:color w:val="000000"/>
        </w:rPr>
        <w:t>-</w:t>
      </w:r>
      <w:r w:rsidRPr="009C5DB0">
        <w:rPr>
          <w:rFonts w:ascii="Book Antiqua" w:eastAsia="Times New Roman" w:hAnsi="Book Antiqua" w:cs="Book Antiqua"/>
          <w:color w:val="000000"/>
        </w:rPr>
        <w:t>5.72)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[34]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Interestingly,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15%-36%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T2DM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diagnosed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irrespective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found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association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often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exhibit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secretory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impairment,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which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accelerates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progression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from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IGT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T2DM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10-fold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lastRenderedPageBreak/>
        <w:t>compared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non-PCOS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population,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leading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rates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T2DM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5</w:t>
      </w:r>
      <w:r>
        <w:rPr>
          <w:rFonts w:ascii="Book Antiqua" w:eastAsia="Times New Roman" w:hAnsi="Book Antiqua" w:cs="Book Antiqua"/>
          <w:color w:val="000000"/>
        </w:rPr>
        <w:t xml:space="preserve"> to </w:t>
      </w:r>
      <w:r w:rsidRPr="009C5DB0">
        <w:rPr>
          <w:rFonts w:ascii="Book Antiqua" w:eastAsia="Times New Roman" w:hAnsi="Book Antiqua" w:cs="Book Antiqua"/>
          <w:color w:val="000000"/>
        </w:rPr>
        <w:t>7</w:t>
      </w:r>
      <w:r>
        <w:rPr>
          <w:rFonts w:ascii="Book Antiqua" w:eastAsia="Times New Roman" w:hAnsi="Book Antiqua" w:cs="Book Antiqua"/>
          <w:color w:val="000000"/>
        </w:rPr>
        <w:t>-</w:t>
      </w:r>
      <w:r w:rsidRPr="009C5DB0">
        <w:rPr>
          <w:rFonts w:ascii="Book Antiqua" w:eastAsia="Times New Roman" w:hAnsi="Book Antiqua" w:cs="Book Antiqua"/>
          <w:color w:val="000000"/>
        </w:rPr>
        <w:t>fold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higher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reported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population-based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studies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20-44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years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[15,35]</w:t>
      </w:r>
      <w:r w:rsidRPr="009C5DB0">
        <w:rPr>
          <w:rFonts w:ascii="Book Antiqua" w:eastAsia="Times New Roman" w:hAnsi="Book Antiqua" w:cs="Book Antiqua"/>
          <w:color w:val="000000"/>
        </w:rPr>
        <w:t>.</w:t>
      </w:r>
    </w:p>
    <w:p w14:paraId="40ECA754" w14:textId="7BE87511" w:rsidR="009B3205" w:rsidRPr="009C5DB0" w:rsidRDefault="009B3205" w:rsidP="009C5D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addition,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dyslipidemia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occurs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up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70%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most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commonly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characterized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high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triglyceride,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increased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small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dense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LDL-C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levels,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low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HDL-C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levels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[36]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Obesity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also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highly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up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60%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have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body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index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(BMI)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overweight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obesity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range,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which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predisposes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gonadotropin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secretion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disturbances,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hyperandrogenemia,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low</w:t>
      </w:r>
      <w:r>
        <w:rPr>
          <w:rStyle w:val="CommentReference"/>
          <w:rFonts w:ascii="Book Antiqua" w:hAnsi="Book Antiqua"/>
          <w:sz w:val="24"/>
          <w:szCs w:val="24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SHBG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secretion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[37-39]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Consequently,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commonly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found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33%-47%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United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States,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8%-25%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other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countries)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[36]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</w:p>
    <w:p w14:paraId="51DC0E3E" w14:textId="77777777" w:rsidR="009B3205" w:rsidRPr="009C5DB0" w:rsidRDefault="009B3205" w:rsidP="009C5D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According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guidelines,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should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screened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factors.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Androgen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Excess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(AE-PCOS)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Society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recommends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categorizing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related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F40A27">
        <w:rPr>
          <w:rFonts w:ascii="Book Antiqua" w:eastAsia="Times New Roman" w:hAnsi="Book Antiqua" w:cs="Book Antiqua"/>
          <w:color w:val="000000"/>
        </w:rPr>
        <w:t>(CVD)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obesity,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cigarette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smoking,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hypertension,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dyslipidemia,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subclinical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IGT,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family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history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premature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CVD)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high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mellitus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overt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vascular/renal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disease)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[36]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</w:p>
    <w:p w14:paraId="021B3A5E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9AD374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  <w:u w:val="single"/>
        </w:rPr>
        <w:t>ROLE</w:t>
      </w:r>
      <w:r>
        <w:rPr>
          <w:rFonts w:ascii="Book Antiqua" w:eastAsia="Times New Roman" w:hAnsi="Book Antiqua" w:cs="Book Antiqua"/>
          <w:b/>
          <w:bCs/>
          <w:color w:val="000000"/>
          <w:u w:val="single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  <w:u w:val="single"/>
        </w:rPr>
        <w:t>OF</w:t>
      </w:r>
      <w:r>
        <w:rPr>
          <w:rFonts w:ascii="Book Antiqua" w:eastAsia="Times New Roman" w:hAnsi="Book Antiqua" w:cs="Book Antiqua"/>
          <w:b/>
          <w:bCs/>
          <w:color w:val="000000"/>
          <w:u w:val="single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  <w:u w:val="single"/>
        </w:rPr>
        <w:t>SGLT-2</w:t>
      </w:r>
      <w:r>
        <w:rPr>
          <w:rFonts w:ascii="Book Antiqua" w:eastAsia="Times New Roman" w:hAnsi="Book Antiqua" w:cs="Book Antiqua"/>
          <w:b/>
          <w:bCs/>
          <w:color w:val="000000"/>
          <w:u w:val="single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  <w:u w:val="single"/>
        </w:rPr>
        <w:t>INHIBITORS</w:t>
      </w:r>
      <w:r>
        <w:rPr>
          <w:rFonts w:ascii="Book Antiqua" w:eastAsia="Times New Roman" w:hAnsi="Book Antiqua" w:cs="Book Antiqua"/>
          <w:b/>
          <w:bCs/>
          <w:color w:val="000000"/>
          <w:u w:val="single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  <w:u w:val="single"/>
        </w:rPr>
        <w:t>IN</w:t>
      </w:r>
      <w:r>
        <w:rPr>
          <w:rFonts w:ascii="Book Antiqua" w:eastAsia="Times New Roman" w:hAnsi="Book Antiqua" w:cs="Book Antiqua"/>
          <w:b/>
          <w:bCs/>
          <w:color w:val="000000"/>
          <w:u w:val="single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  <w:u w:val="single"/>
        </w:rPr>
        <w:t>PCOS</w:t>
      </w:r>
    </w:p>
    <w:p w14:paraId="73AF08E5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Multiple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disorders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well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recognized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among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assessing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glycemic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status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essential.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IGT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detected,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lifestyle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interventions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together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insulin-sensitizing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metformin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thiazolidinedione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added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improve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sensitivity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[31]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dedicated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metformin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studies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confirm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superior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BMI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reduction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compared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placebo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decrease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central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adiposity,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good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marker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[26,27]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Incretins,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primarily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GLP-1RAs,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have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potential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overcome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derangements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adding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benefits.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However,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their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limited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need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subcutaneous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application,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while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dipeptidyl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peptidase-4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incretin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therapy,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lack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evidence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protection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recently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published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dedicated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CVOTs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[40]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Therefore,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lastRenderedPageBreak/>
        <w:t>still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considerable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demand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safe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therapeutic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agents,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offering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solutions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against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PCOS's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dysregulation.</w:t>
      </w:r>
      <w:r>
        <w:rPr>
          <w:rFonts w:ascii="Book Antiqua" w:eastAsia="Times New Roman" w:hAnsi="Book Antiqua" w:cs="Book Antiqua"/>
          <w:color w:val="000000"/>
        </w:rPr>
        <w:t xml:space="preserve"> </w:t>
      </w:r>
    </w:p>
    <w:p w14:paraId="1CF51E6C" w14:textId="77777777" w:rsidR="009B3205" w:rsidRPr="009C5DB0" w:rsidRDefault="009B3205" w:rsidP="009C5D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Although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approved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class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antidiabetic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drugs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could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useful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due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beneficial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glycemic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which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often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issue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affected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[41]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(Figure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1).</w:t>
      </w:r>
    </w:p>
    <w:p w14:paraId="029CD800" w14:textId="77777777" w:rsidR="009B3205" w:rsidRPr="009C5DB0" w:rsidRDefault="009B3205" w:rsidP="009C5D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SGLT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receptors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found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ovaries,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but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their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indirectly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improve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status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disrupted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certain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role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yet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well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studied.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Their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action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contribute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several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pathophysiologic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disorders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including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previously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mentioned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hypertension,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obesity,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dyslipidemia.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binding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receptors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proximal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convoluted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tubule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kidney,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gliflozins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sodium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reabsorption,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causing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decrease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blood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levels,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glucosuria,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natriuresis,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which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contributes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lowering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blood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pressure.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Gliflozins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promote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urine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excretion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60-80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day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(approximately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240-320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kcal/d),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promoting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weight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approximately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1.7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kg.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action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depend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secretion,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beta-cell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function,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[42,43]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</w:p>
    <w:p w14:paraId="56172568" w14:textId="77777777" w:rsidR="009B3205" w:rsidRPr="009C5DB0" w:rsidRDefault="009B3205" w:rsidP="009C5D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achieve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further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reduction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blood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levels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increasing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sensitivity,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increasing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uptake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muscle,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decreasing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gluconeogenesis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liver,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improving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first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phase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release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from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pancreatic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beta-cells.</w:t>
      </w:r>
      <w:r>
        <w:rPr>
          <w:rFonts w:ascii="Book Antiqua" w:eastAsia="Times New Roman" w:hAnsi="Book Antiqua" w:cs="Book Antiqua"/>
          <w:color w:val="000000"/>
        </w:rPr>
        <w:t xml:space="preserve"> </w:t>
      </w:r>
    </w:p>
    <w:p w14:paraId="5102E37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All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mentioned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processes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improve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profiles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including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lipid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levels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serum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uric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acid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levels,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which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could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also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beneficial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[44]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Research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also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suggests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role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preserving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beta-cell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function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indirectly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reducing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secretion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promoting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glucagon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secretion.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latter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plays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role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enhancing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lipolysis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reducing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liver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visceral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adipose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tissue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[45]</w:t>
      </w:r>
      <w:r w:rsidRPr="009C5DB0">
        <w:rPr>
          <w:rFonts w:ascii="Book Antiqua" w:eastAsia="Times New Roman" w:hAnsi="Book Antiqua" w:cs="Book Antiqua"/>
          <w:color w:val="000000"/>
        </w:rPr>
        <w:t>.</w:t>
      </w:r>
    </w:p>
    <w:p w14:paraId="76DD5785" w14:textId="77777777" w:rsidR="009B3205" w:rsidRPr="009C5DB0" w:rsidRDefault="009B3205" w:rsidP="009C5D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Besides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expected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glycemic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control,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also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shown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cardioprotective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[46]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which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important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benefit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regarding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increased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PCOS.</w:t>
      </w:r>
    </w:p>
    <w:p w14:paraId="24737CDC" w14:textId="77777777" w:rsidR="009B3205" w:rsidRPr="009C5DB0" w:rsidRDefault="009B3205" w:rsidP="009C5D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lastRenderedPageBreak/>
        <w:t>So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randomized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controlled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compared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empagliflozin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(25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mg)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vs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metformin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(1500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mg)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anthropometric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body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composition,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hormonal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parameters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Group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empagliflozin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showed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beneficial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weight,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BMI,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waist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circumference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hip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circumference,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total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body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overweight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compared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metformin,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but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differences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were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hormonal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parameters,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including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androgen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levels</w:t>
      </w:r>
      <w:r w:rsidRPr="009C5DB0">
        <w:rPr>
          <w:rFonts w:ascii="Book Antiqua" w:eastAsia="Times New Roman" w:hAnsi="Book Antiqua" w:cs="Book Antiqua"/>
          <w:color w:val="000000"/>
          <w:vertAlign w:val="superscript"/>
        </w:rPr>
        <w:t>[47]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comparing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another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canagliflozin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vs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metformin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still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underway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(Clinical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Gov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Identifier: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NCT04700839).</w:t>
      </w:r>
      <w:r>
        <w:rPr>
          <w:rFonts w:ascii="Book Antiqua" w:eastAsia="Times New Roman" w:hAnsi="Book Antiqua" w:cs="Book Antiqua"/>
          <w:color w:val="000000"/>
        </w:rPr>
        <w:t xml:space="preserve"> </w:t>
      </w:r>
    </w:p>
    <w:p w14:paraId="7D89BAFE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D78F85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aps/>
          <w:color w:val="000000"/>
          <w:u w:val="single"/>
        </w:rPr>
        <w:t>CONCLUSION</w:t>
      </w:r>
    </w:p>
    <w:p w14:paraId="13A9B4DD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Until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research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confirms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positive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F40A27">
        <w:rPr>
          <w:rFonts w:ascii="Book Antiqua" w:eastAsia="Times New Roman" w:hAnsi="Book Antiqua" w:cs="Book Antiqua"/>
          <w:color w:val="000000"/>
        </w:rPr>
        <w:t>mainstream treatment option will be lifestyle intervention, metformin, and oral contraceptive pills</w:t>
      </w:r>
      <w:r w:rsidRPr="00F40A27">
        <w:rPr>
          <w:rFonts w:ascii="Book Antiqua" w:hAnsi="Book Antiqua" w:cs="SimSun"/>
          <w:color w:val="000000"/>
          <w:vertAlign w:val="superscript"/>
          <w:lang w:eastAsia="zh-CN"/>
        </w:rPr>
        <w:t>[24]</w:t>
      </w:r>
      <w:r w:rsidRPr="00F40A27">
        <w:rPr>
          <w:rFonts w:ascii="Book Antiqua" w:eastAsia="Times New Roman" w:hAnsi="Book Antiqua" w:cs="Book Antiqua"/>
          <w:color w:val="000000"/>
        </w:rPr>
        <w:t>. However, this treatment strategy does not successfully address long-term cardiometabolic consequences of PCOS</w:t>
      </w:r>
      <w:r w:rsidRPr="00F40A27">
        <w:rPr>
          <w:rFonts w:ascii="Book Antiqua" w:eastAsia="Times New Roman" w:hAnsi="Book Antiqua" w:cs="Book Antiqua"/>
          <w:color w:val="000000"/>
          <w:vertAlign w:val="superscript"/>
        </w:rPr>
        <w:t>[48]</w:t>
      </w:r>
      <w:r w:rsidRPr="00F40A27">
        <w:rPr>
          <w:rFonts w:ascii="Book Antiqua" w:eastAsia="Times New Roman" w:hAnsi="Book Antiqua" w:cs="Book Antiqua"/>
          <w:color w:val="000000"/>
        </w:rPr>
        <w:t>, so SGLT-2 inhibitors, due to their mode of action, emerge as a potential new treatment option for PCOS.</w:t>
      </w:r>
    </w:p>
    <w:p w14:paraId="708C4A10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024877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aps/>
          <w:color w:val="000000"/>
          <w:u w:val="single"/>
        </w:rPr>
        <w:t>ACKNOWLEDGEMENTS</w:t>
      </w:r>
    </w:p>
    <w:p w14:paraId="5FA2D26C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authors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thank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Antonije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Hrvojka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Dolić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graphic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design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support.</w:t>
      </w:r>
    </w:p>
    <w:p w14:paraId="046F673C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D80EC9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t>REFERENCES</w:t>
      </w:r>
    </w:p>
    <w:p w14:paraId="3BBC1261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Bozdag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G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Mumusoglu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Zengin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Karabulut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Yildiz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phenotypic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features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systematic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review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meta-analysis.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Hum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Reprod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2016;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31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2841-2855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27664216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10.1093/humrep/dew218]</w:t>
      </w:r>
    </w:p>
    <w:p w14:paraId="3919F984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Teede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HJ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Misso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Costello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MF,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Dokras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Laven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Moran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Piltonen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Norman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RJ;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International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Network.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Recommendations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from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international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evidence-based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guideline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assessment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management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Fertil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Steril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2018;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110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364-379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30033227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10.1016/j.fertnstert.2018.05.004]</w:t>
      </w:r>
    </w:p>
    <w:p w14:paraId="3486147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lastRenderedPageBreak/>
        <w:t>3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Vink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JM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Sadrzadeh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Lambalk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CB,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Boomsma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Heritability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Dutch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twin-family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study.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2006;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91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2100-2104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16219714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10.1210/jc.2005-1494]</w:t>
      </w:r>
    </w:p>
    <w:p w14:paraId="16CC1F6E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Kahsar-Miller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MD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Nixon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Boots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Azziz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(PCOS)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first-degree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relatives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Fertil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Steril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2001;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75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53-58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11163816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10.1016/s0015-0282(00)01662-9]</w:t>
      </w:r>
    </w:p>
    <w:p w14:paraId="2FDE7EA7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Legro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RS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Driscoll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Strauss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3rd,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Fox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Dunaif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Evidence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genetic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basis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hyperandrogenemia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Proc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Natl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Acad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Sci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U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S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1998;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95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14956-14960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9843997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10.1073/pnas.95.25.14956]</w:t>
      </w:r>
    </w:p>
    <w:p w14:paraId="05AD8F4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Balen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AH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Hypersecretion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luteinizing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hormone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Hum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Reprod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1993;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8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Suppl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123-128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8276945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10.1093/humrep/8.suppl_2.123]</w:t>
      </w:r>
    </w:p>
    <w:p w14:paraId="6E5E82FD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Jakimiuk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AJ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Weitsman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Navab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Magoffin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DA.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Luteinizing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hormone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receptor,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steroidogenesis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acute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regulatory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protein,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steroidogenic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enzyme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messenger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ribonucleic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acids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overexpressed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granulosa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cells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from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ovaries.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2001;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86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1318-1323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11238527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10.1210/jcem.86.3.7318]</w:t>
      </w:r>
    </w:p>
    <w:p w14:paraId="3AD408D7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Fauser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BC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Van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Heusden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AM.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Manipulation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human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ovarian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function: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physiological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concepts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clinical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consequences.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Rev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1997;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18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71-106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9034787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10.1210/edrv.18.1.0290]</w:t>
      </w:r>
    </w:p>
    <w:p w14:paraId="7363ED5B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Osibogun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O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Ogunmoroti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Michos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ED.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Opportunities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prevention.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Trends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Cardiovasc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2020;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30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399-404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31519403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10.1016/j.tcm.2019.08.010]</w:t>
      </w:r>
    </w:p>
    <w:p w14:paraId="5B95A050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10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Sanchez-Garrido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MA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Tena-Sempere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dysfunction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Pathogenic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role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androgen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excess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potential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therapeutic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strategies.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2020;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35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100937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32244180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10.1016/j.molmet.2020.01.001]</w:t>
      </w:r>
    </w:p>
    <w:p w14:paraId="1633F867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11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Qin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JZ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LH,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XJ,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Huang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Chen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Obstetric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complications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systematic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review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meta-analysis.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Reprod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Biol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2013;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11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56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23800002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10.1186/1477-7827-11-56]</w:t>
      </w:r>
    </w:p>
    <w:p w14:paraId="62CD4B00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lastRenderedPageBreak/>
        <w:t>12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Sha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T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Wang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X,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Cheng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Yan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Y.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meta-analysis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pregnancy-related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outcomes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complications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undergoing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IVF.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Reprod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Biomed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Online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2019;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39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281-293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31255606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10.1016/j.rbmo.2019.03.203]</w:t>
      </w:r>
    </w:p>
    <w:p w14:paraId="78C3390E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13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Oliver-Williams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C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Vassard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Pinborg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Schmidt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results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from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national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Danish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registry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cohort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study.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Eur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Prev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Cardiol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2020: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2047487320939674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32741211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10.1177/2047487320939674]</w:t>
      </w:r>
    </w:p>
    <w:p w14:paraId="7470CA2A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14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Legro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RS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Gnatuk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Kunselman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Dunaif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Changes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tolerance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time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controlled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study.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2005;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90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3236-3242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15797965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10.1210/jc.2004-1843]</w:t>
      </w:r>
    </w:p>
    <w:p w14:paraId="2608A5AB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15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Ehrmann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DA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Barnes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RB,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Rosenfield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Cavaghan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MK,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Imperial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impaired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tolerance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Diabetes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1999;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22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141-146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10333916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10.2337/diacare.22.1.141]</w:t>
      </w:r>
    </w:p>
    <w:p w14:paraId="34C86711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16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Ehrmann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DA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Kasza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Azziz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Legro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Ghazzi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MN;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PCOS/Troglitazone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Group.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race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family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history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type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status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2005;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90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66-71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15507516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10.1210/jc.2004-0229]</w:t>
      </w:r>
    </w:p>
    <w:p w14:paraId="0726B7C5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17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Lo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JC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Feigenbaum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Yang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Pressman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Selby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JV,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Epidemiology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adverse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profile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diagnosed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2006;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91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1357-1363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16434451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10.1210/jc.2005-2430]</w:t>
      </w:r>
    </w:p>
    <w:p w14:paraId="7364A3B4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18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Spritzer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PM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Lecke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SB,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Satler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Morsch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DM.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Adipose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tissue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dysfunction,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adipokines,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low-grade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chronic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inflammation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Reproduction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2015;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149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R219-R227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25628442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10.1530/REP-14-0435]</w:t>
      </w:r>
    </w:p>
    <w:p w14:paraId="76E937DC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19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Setji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TL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Holland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Sanders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Pereira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Diehl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AM,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Brown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AJ.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Nonalcoholic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steatohepatitis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nonalcoholic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Fatty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liver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young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2006;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91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1741-1747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16492691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10.1210/jc.2005-2774]</w:t>
      </w:r>
    </w:p>
    <w:p w14:paraId="6C10DC5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20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Rocha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ALL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Faria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Guimarăes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TCM,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Moreira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GV,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Cândido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Couto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FM.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Non-alcoholic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fatty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liver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lastRenderedPageBreak/>
        <w:t>systematic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review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meta-analysis.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Invest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2017;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40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1279-1288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28612285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10.1007/s40618-017-0708-9]</w:t>
      </w:r>
    </w:p>
    <w:p w14:paraId="5DE20BAF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21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Ford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ES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Giles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WH,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Mokdad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AH.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Increasing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among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u.s.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Adults.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Diabetes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2004;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27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2444-2449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15451914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10.2337/diacare.27.10.2444]</w:t>
      </w:r>
    </w:p>
    <w:p w14:paraId="43E7322F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22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Apridonidze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T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Essah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Iuorno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Nestler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characteristics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2005;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90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1929-1935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15623819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10.1210/jc.2004-1045]</w:t>
      </w:r>
    </w:p>
    <w:p w14:paraId="177D0759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23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Crosignani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PG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Colombo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Vegetti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Somigliana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Gessati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Ragni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Overweight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anovulatory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patients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ovaries: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parallel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improvements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anthropometric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indices,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ovarian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physiology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fertility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rate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induced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diet.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Hum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Reprod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2003;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18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1928-1932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12923151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10.1093/humrep/deg367]</w:t>
      </w:r>
    </w:p>
    <w:p w14:paraId="328FA5BE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24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Legro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RS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Arslanian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Ehrmann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Hoeger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KM,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Murad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MH,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Pasquali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Welt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CK;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Endocrine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Society.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Diagnosis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Endocrine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Society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clinical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practice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guideline.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2013;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98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4565-4592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24151290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10.1210/jc.2013-2350]</w:t>
      </w:r>
    </w:p>
    <w:p w14:paraId="4BD63DA5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25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Legro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RS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Brzyski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RG,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Diamond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MP,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Coutifaris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Schlaff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Casson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Christman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GM,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Huang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Yan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Q,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Alvero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Haisenleder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Barnhart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KT,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Bates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GW,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Usadi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Lucidi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Baker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V,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Trussell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Krawetz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Snyder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Ohl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Santoro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Eisenberg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Zhang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NICHD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Reproductive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Medicine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Network.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Letrozole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vs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clomiphene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infertility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Engl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2014;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371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119-129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25006718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10.1056/NEJMoa1313517]</w:t>
      </w:r>
    </w:p>
    <w:p w14:paraId="7507B1B0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26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Morley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LC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Tang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Yasmin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Norman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Balen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AH.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Insulin-sensitising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drugs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(metformin,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rosiglitazone,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pioglitazone,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D-chiro-inositol)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oligo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amenorrhoea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subfertility.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Cochrane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Database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Syst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Rev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2017;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11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CD003053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29183107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10.1002/14651858.CD003053.pub6]</w:t>
      </w:r>
    </w:p>
    <w:p w14:paraId="4338A97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27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Moghetti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P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Castello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Negri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Tosi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Perrone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Caputo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Zanolin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Muggeo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Metformin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clinical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features,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endocrine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profiles,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sensitivity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randomized,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double-blind,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placebo-</w:t>
      </w:r>
      <w:r w:rsidRPr="009C5DB0">
        <w:rPr>
          <w:rFonts w:ascii="Book Antiqua" w:eastAsia="Times New Roman" w:hAnsi="Book Antiqua" w:cs="Book Antiqua"/>
          <w:color w:val="000000"/>
        </w:rPr>
        <w:lastRenderedPageBreak/>
        <w:t>controlled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6-month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trial,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followed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open,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long-term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clinical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evaluation.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2000;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85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139-146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10634377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10.1210/jcem.85.1.6293]</w:t>
      </w:r>
    </w:p>
    <w:p w14:paraId="6FCA363C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28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Lamos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EM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Malek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Davis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SN.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GLP-1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receptor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agonists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Expert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Rev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Pharmacol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2017;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10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401-408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28276778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10.1080/17512433.2017.1292125]</w:t>
      </w:r>
    </w:p>
    <w:p w14:paraId="3B8F8D3D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29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Han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Y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GLP-1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receptor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agonists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vs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metformin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systematic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review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meta-analysis.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Reprod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Biomed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Online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2019;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39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332-342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31229399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10.1016/j.rbmo.2019.04.017]</w:t>
      </w:r>
    </w:p>
    <w:p w14:paraId="0D2A374D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30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Stepto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NK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Cassar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Joham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Hutchison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SK,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Harrison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Goldstein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RF,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Teede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HJ.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have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intrinsic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resistance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euglycaemic-hyperinsulaemic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clamp.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Hum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Reprod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2013;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28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777-784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23315061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10.1093/humrep/des463]</w:t>
      </w:r>
    </w:p>
    <w:p w14:paraId="27984C2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31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Goodarzi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MO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Dumesic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Chazenbalk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Azziz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etiology,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pathogenesis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diagnosis.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Nat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Rev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2011;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7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219-231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21263450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10.1038/nrendo.2010.217]</w:t>
      </w:r>
    </w:p>
    <w:p w14:paraId="18AE6370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32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Geller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DH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Pacaud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Gordon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CM,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Misra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Drug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Therapeutics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Committee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Pediatric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Endocrine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Society.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State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Review: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Emerging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Therapies: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Insulin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Sensitizers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Adolescents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(PCOS).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Int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Pediatr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2011;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2011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21899727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10.1186/1687-9856-2011-9]</w:t>
      </w:r>
    </w:p>
    <w:p w14:paraId="75298F69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33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Polotsky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AJ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Allshouse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Crawford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Harlow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Khalil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Santoro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Legro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Relative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contributions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oligomenorrhea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hyperandrogenemia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midlife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2012;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97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E868-E877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22466350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10.1210/jc.2011-3357]</w:t>
      </w:r>
    </w:p>
    <w:p w14:paraId="566F932C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34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Kakoly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NS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Khomami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MB,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Joham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Cooray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SD,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Misso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Norman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Harrison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Ranasinha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Teede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Moran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LJ.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Ethnicity,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obesity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impaired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tolerance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type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systematic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review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meta-regression.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Hum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Reprod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Update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2018;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24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455-467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29590375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10.1093/humupd/dmy007]</w:t>
      </w:r>
    </w:p>
    <w:p w14:paraId="116DEBB5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lastRenderedPageBreak/>
        <w:t>35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Legro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RS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Kunselman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Dodson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WC,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Dunaif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predictors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type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mellitus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impaired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tolerance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prospective,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controlled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254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affected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1999;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84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165-169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9920077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10.1210/jcem.84.1.5393]</w:t>
      </w:r>
    </w:p>
    <w:p w14:paraId="40F847BC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36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Wild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RA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Carmina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Diamanti-Kandarakis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Dokras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Escobar-Morreale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HF,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Futterweit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Lobo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Norman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Talbott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Dumesic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DA.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Assessment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prevention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consensus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statement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Androgen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Excess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(AE-PCOS)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Society.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2010;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95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2038-2049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20375205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10.1210/jc.2009-2724]</w:t>
      </w:r>
    </w:p>
    <w:p w14:paraId="0FE4CDFE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37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Azziz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R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Woods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Reyna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Key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Knochenhauer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Yildiz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prevalence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features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unselected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population.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2004;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89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2745-2749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15181052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10.1210/jc.2003-032046]</w:t>
      </w:r>
    </w:p>
    <w:p w14:paraId="57BF42D1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38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Legro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RS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Obesity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implications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diagnosis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Semin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Reprod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2012;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30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496-506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23074008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10.1055/s-0032-1328878]</w:t>
      </w:r>
    </w:p>
    <w:p w14:paraId="5F7338F2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39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Bajuk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Studen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K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Pfeifer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Connect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2018;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7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R238-R251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29844207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10.1530/EC-18-0129]</w:t>
      </w:r>
    </w:p>
    <w:p w14:paraId="625C80C4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40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Jensterle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Sever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M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Kocjan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Pfeifer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Kravos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Janez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Short-term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combined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liraglutide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metformin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leads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significant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weight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loss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obese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women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previous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response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metformin.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Eur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2014;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170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451-459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24362411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10.1530/EJE-13-0797]</w:t>
      </w:r>
    </w:p>
    <w:p w14:paraId="11C4CBC7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41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Moran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LJ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Norman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Teede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HJ.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risk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phenotype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adiposity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impact.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Trends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2015;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26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136-143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25591984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10.1016/j.tem.2014.12.003]</w:t>
      </w:r>
    </w:p>
    <w:p w14:paraId="45CA4C56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42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Satoh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H</w:t>
      </w:r>
      <w:r w:rsidRPr="009C5DB0">
        <w:rPr>
          <w:rFonts w:ascii="Book Antiqua" w:eastAsia="Times New Roman" w:hAnsi="Book Antiqua" w:cs="Book Antiqua"/>
          <w:color w:val="000000"/>
        </w:rPr>
        <w:t>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Pleiotropic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beyond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glycemic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control.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Diabetol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Int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2018;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9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212-214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30603370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10.1007/s13340-018-0367-x]</w:t>
      </w:r>
    </w:p>
    <w:p w14:paraId="7CDF5E2C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43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Abdalla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MA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Deshmukh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Atkin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Sathyapalan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review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therapeutic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options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managing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aspects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Ther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Adv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Metab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2020;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11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2042018820938305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32670541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10.1177/2042018820938305]</w:t>
      </w:r>
    </w:p>
    <w:p w14:paraId="202CC382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lastRenderedPageBreak/>
        <w:t>44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Verma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McMurray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JJV.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mechanisms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benefit: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state-of-the-art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review.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Diabetologia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2018;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61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2108-2117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30132036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10.1007/s00125-018-4670-7]</w:t>
      </w:r>
    </w:p>
    <w:p w14:paraId="70552013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45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Hallow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KM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Greasley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Helmlinger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Chu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Heerspink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Boulton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DW.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Evaluation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renal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protection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mechanisms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model-based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analysis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clinical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data.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Am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J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Physiol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Renal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Physiol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2018;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315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F1295-F1306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30019930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10.1152/ajprenal.00202.2018]</w:t>
      </w:r>
    </w:p>
    <w:p w14:paraId="0CBC6E8B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46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Heerspink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HJ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Perkins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BA,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Fitchett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DH,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Husain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Cherney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DZ.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Sodium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Cotransporter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Treatment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Mellitus: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Cardiovascular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Kidney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Potential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Mechanisms,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Clinical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Applications.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Circulation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2016;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134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752-772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27470878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10.1161/CIRCULATIONAHA.116.021887]</w:t>
      </w:r>
    </w:p>
    <w:p w14:paraId="33E984DE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47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Javed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Z</w:t>
      </w:r>
      <w:r w:rsidRPr="009C5DB0">
        <w:rPr>
          <w:rFonts w:ascii="Book Antiqua" w:eastAsia="Times New Roman" w:hAnsi="Book Antiqua" w:cs="Book Antiqua"/>
          <w:color w:val="000000"/>
        </w:rPr>
        <w:t>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Papageorgiou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Deshmukh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Rigby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Qamar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Abbas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J,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Khan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Kilpatrick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Atkin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SL,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Sathyapalan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Effects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empagliflozin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metabolic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parameters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randomized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controlled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study.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Clin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Endocrinol</w:t>
      </w:r>
      <w:r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i/>
          <w:iCs/>
          <w:color w:val="000000"/>
        </w:rPr>
        <w:t>(Oxf)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2019;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90</w:t>
      </w:r>
      <w:r w:rsidRPr="009C5DB0">
        <w:rPr>
          <w:rFonts w:ascii="Book Antiqua" w:eastAsia="Times New Roman" w:hAnsi="Book Antiqua" w:cs="Book Antiqua"/>
          <w:color w:val="000000"/>
        </w:rPr>
        <w:t>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805-813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[PMID: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30866088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DOI: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10.1111/cen.13968]</w:t>
      </w:r>
    </w:p>
    <w:p w14:paraId="209AFF3C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9B3205" w:rsidRPr="009C5DB0">
          <w:pgSz w:w="12240" w:h="15840"/>
          <w:pgMar w:top="1417" w:right="1440" w:bottom="1417" w:left="1440" w:header="720" w:footer="720" w:gutter="0"/>
          <w:cols w:space="720"/>
          <w:docGrid w:linePitch="360"/>
        </w:sectPr>
      </w:pPr>
      <w:r w:rsidRPr="009C5DB0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  <w:b/>
          <w:bCs/>
        </w:rPr>
        <w:t>Al</w:t>
      </w:r>
      <w:r>
        <w:rPr>
          <w:rFonts w:ascii="Book Antiqua" w:hAnsi="Book Antiqua"/>
          <w:b/>
          <w:bCs/>
        </w:rPr>
        <w:t xml:space="preserve"> </w:t>
      </w:r>
      <w:r w:rsidRPr="009C5DB0">
        <w:rPr>
          <w:rFonts w:ascii="Book Antiqua" w:hAnsi="Book Antiqua"/>
          <w:b/>
          <w:bCs/>
        </w:rPr>
        <w:t>Khalifah</w:t>
      </w:r>
      <w:r>
        <w:rPr>
          <w:rFonts w:ascii="Book Antiqua" w:hAnsi="Book Antiqua"/>
          <w:b/>
          <w:bCs/>
        </w:rPr>
        <w:t xml:space="preserve"> </w:t>
      </w:r>
      <w:r w:rsidRPr="009C5DB0">
        <w:rPr>
          <w:rFonts w:ascii="Book Antiqua" w:hAnsi="Book Antiqua"/>
          <w:b/>
          <w:bCs/>
        </w:rPr>
        <w:t>RA,</w:t>
      </w:r>
      <w:r>
        <w:rPr>
          <w:rFonts w:ascii="Book Antiqua" w:hAnsi="Book Antiqua"/>
          <w:b/>
          <w:bCs/>
        </w:rPr>
        <w:t xml:space="preserve"> </w:t>
      </w:r>
      <w:r w:rsidRPr="009C5DB0">
        <w:rPr>
          <w:rFonts w:ascii="Book Antiqua" w:hAnsi="Book Antiqua"/>
        </w:rPr>
        <w:t>Florez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ID,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Zoratti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Dennis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Thabane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Bassilious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Treatments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Ovarian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Adolescents.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C5DB0">
        <w:rPr>
          <w:rFonts w:ascii="Book Antiqua" w:hAnsi="Book Antiqua"/>
          <w:i/>
          <w:iCs/>
        </w:rPr>
        <w:t>Endocr</w:t>
      </w:r>
      <w:r>
        <w:rPr>
          <w:rFonts w:ascii="Book Antiqua" w:hAnsi="Book Antiqua"/>
          <w:i/>
          <w:iCs/>
        </w:rPr>
        <w:t xml:space="preserve"> </w:t>
      </w:r>
      <w:r w:rsidRPr="009C5DB0">
        <w:rPr>
          <w:rFonts w:ascii="Book Antiqua" w:hAnsi="Book Antiqua"/>
          <w:i/>
          <w:iCs/>
        </w:rPr>
        <w:t>Soc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  <w:b/>
          <w:bCs/>
        </w:rPr>
        <w:t>5</w:t>
      </w:r>
      <w:r w:rsidRPr="009C5DB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bvaa155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33324861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C5DB0">
        <w:rPr>
          <w:rFonts w:ascii="Book Antiqua" w:hAnsi="Book Antiqua"/>
        </w:rPr>
        <w:t>10.1210/jendso/bvaa155]</w:t>
      </w:r>
    </w:p>
    <w:p w14:paraId="753E5851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lastRenderedPageBreak/>
        <w:t>Footnotes</w:t>
      </w:r>
    </w:p>
    <w:p w14:paraId="73CF0C1D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</w:rPr>
        <w:t>Conflict-of-interest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statement: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authors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declare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conflicts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of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interest.</w:t>
      </w:r>
    </w:p>
    <w:p w14:paraId="6910BBEE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067BFE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</w:rPr>
        <w:t>Open-Access: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article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open-access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article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that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was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selected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in-house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editor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fully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peer-reviewed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external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reviewers.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distributed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accordance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with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Creative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Commons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Attribution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NonCommercial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(CC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BY-NC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4.0)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license,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which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permits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others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to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distribute,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remix,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adapt,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build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upon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work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non-commercially,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license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their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derivative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works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on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different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terms,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provided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original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work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properly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cited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use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is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non-commercial.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See: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http://creativecommons.org/Licenses/by-nc/4.0/</w:t>
      </w:r>
    </w:p>
    <w:p w14:paraId="0DCF93A5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5FE8A5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t>Manuscript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source: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Invited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manuscript</w:t>
      </w:r>
    </w:p>
    <w:p w14:paraId="4D6CFBA0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FE025D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t>Peer-review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started: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March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13,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2021</w:t>
      </w:r>
    </w:p>
    <w:p w14:paraId="73AD906F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t>First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decision: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March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30,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2021</w:t>
      </w:r>
    </w:p>
    <w:p w14:paraId="648AECAE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t>Article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in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press: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</w:p>
    <w:p w14:paraId="40A6C0E1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424045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t>Specialty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type: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Medicine,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general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and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internal</w:t>
      </w:r>
    </w:p>
    <w:p w14:paraId="00A86A51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t>Country/Territory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of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origin: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Croatia</w:t>
      </w:r>
    </w:p>
    <w:p w14:paraId="58035155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t>Peer-review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report’s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scientific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quality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classification</w:t>
      </w:r>
    </w:p>
    <w:p w14:paraId="125414A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Grade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A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(Excellent):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0</w:t>
      </w:r>
    </w:p>
    <w:p w14:paraId="3EA929C1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Grade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(Very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good):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B</w:t>
      </w:r>
      <w:r>
        <w:rPr>
          <w:rFonts w:ascii="Book Antiqua" w:eastAsia="Times New Roman" w:hAnsi="Book Antiqua" w:cs="Book Antiqua"/>
          <w:color w:val="000000"/>
        </w:rPr>
        <w:t>, B</w:t>
      </w:r>
    </w:p>
    <w:p w14:paraId="7AB397D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Grade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(Good):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0</w:t>
      </w:r>
    </w:p>
    <w:p w14:paraId="56D5254A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Grade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(Fair):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0</w:t>
      </w:r>
    </w:p>
    <w:p w14:paraId="4A04706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color w:val="000000"/>
        </w:rPr>
        <w:t>Grade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(Poor):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0</w:t>
      </w:r>
    </w:p>
    <w:p w14:paraId="27592E88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5AEEB3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9B3205" w:rsidRPr="009C5DB0">
          <w:pgSz w:w="12240" w:h="15840"/>
          <w:pgMar w:top="1417" w:right="1440" w:bottom="1417" w:left="1440" w:header="720" w:footer="720" w:gutter="0"/>
          <w:cols w:space="720"/>
          <w:docGrid w:linePitch="360"/>
        </w:sectPr>
      </w:pPr>
      <w:r w:rsidRPr="009C5DB0">
        <w:rPr>
          <w:rFonts w:ascii="Book Antiqua" w:eastAsia="Times New Roman" w:hAnsi="Book Antiqua" w:cs="Book Antiqua"/>
          <w:b/>
          <w:color w:val="000000"/>
        </w:rPr>
        <w:t>P-Reviewer: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Morozov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S-Editor: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Liu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M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L-Editor: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>
        <w:rPr>
          <w:rFonts w:ascii="Book Antiqua" w:eastAsia="Times New Roman" w:hAnsi="Book Antiqua" w:cs="Book Antiqua"/>
          <w:bCs/>
          <w:color w:val="000000"/>
        </w:rPr>
        <w:t>Filipodia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P-Editor: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</w:p>
    <w:p w14:paraId="728413F4" w14:textId="77777777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Book Antiqua"/>
          <w:b/>
          <w:color w:val="000000"/>
        </w:rPr>
      </w:pPr>
      <w:r w:rsidRPr="009C5DB0">
        <w:rPr>
          <w:rFonts w:ascii="Book Antiqua" w:eastAsia="Times New Roman" w:hAnsi="Book Antiqua" w:cs="Book Antiqua"/>
          <w:b/>
          <w:color w:val="000000"/>
        </w:rPr>
        <w:lastRenderedPageBreak/>
        <w:t>Figure</w:t>
      </w:r>
      <w:r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color w:val="000000"/>
        </w:rPr>
        <w:t>Legends</w:t>
      </w:r>
    </w:p>
    <w:p w14:paraId="4FFE6A0E" w14:textId="77777777" w:rsidR="009B3205" w:rsidRPr="009C5DB0" w:rsidRDefault="00190B51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B51">
        <w:rPr>
          <w:rFonts w:ascii="Book Antiqua" w:hAnsi="Book Antiqua"/>
          <w:noProof/>
          <w:lang w:val="hr-HR" w:eastAsia="hr-HR"/>
        </w:rPr>
        <w:drawing>
          <wp:inline distT="0" distB="0" distL="0" distR="0" wp14:anchorId="62A9E174" wp14:editId="2A3B178D">
            <wp:extent cx="6223635" cy="3524885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78302" w14:textId="3AA493E8" w:rsidR="009B3205" w:rsidRPr="009C5DB0" w:rsidRDefault="009B3205" w:rsidP="009C5D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5DB0">
        <w:rPr>
          <w:rFonts w:ascii="Book Antiqua" w:eastAsia="Times New Roman" w:hAnsi="Book Antiqua" w:cs="Book Antiqua"/>
          <w:b/>
          <w:bCs/>
          <w:color w:val="000000"/>
        </w:rPr>
        <w:t>Figure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1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Potential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benefits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of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sodium-glucose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co-transporter-2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inhibitors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in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treatment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of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different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metabolic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and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cardiovascular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features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of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polycystic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ovary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b/>
          <w:bCs/>
          <w:color w:val="000000"/>
        </w:rPr>
        <w:t>syndrome.</w:t>
      </w:r>
      <w:r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NAFLD: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Non-alcoholic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fatty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liver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disease;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PCOS: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Polycystic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ovary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syndrome;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SGLT-2i: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Sodium-glucose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co-transporter-2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inhibitors</w:t>
      </w:r>
      <w:r>
        <w:rPr>
          <w:rFonts w:ascii="Book Antiqua" w:eastAsia="Times New Roman" w:hAnsi="Book Antiqua" w:cs="Book Antiqua"/>
          <w:color w:val="000000"/>
        </w:rPr>
        <w:t>;</w:t>
      </w:r>
      <w:r w:rsidRPr="009C5DB0">
        <w:rPr>
          <w:rFonts w:ascii="Book Antiqua" w:eastAsia="Times New Roman" w:hAnsi="Book Antiqua" w:cs="Book Antiqua"/>
          <w:color w:val="000000"/>
        </w:rPr>
        <w:t xml:space="preserve"> T2DM: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Type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2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9C5DB0">
        <w:rPr>
          <w:rFonts w:ascii="Book Antiqua" w:eastAsia="Times New Roman" w:hAnsi="Book Antiqua" w:cs="Book Antiqua"/>
          <w:color w:val="000000"/>
        </w:rPr>
        <w:t>diabetes.</w:t>
      </w:r>
    </w:p>
    <w:sectPr w:rsidR="009B3205" w:rsidRPr="009C5DB0" w:rsidSect="00190B51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AEAD6" w14:textId="77777777" w:rsidR="00F44D85" w:rsidRDefault="00F44D85" w:rsidP="003D2035">
      <w:r>
        <w:separator/>
      </w:r>
    </w:p>
  </w:endnote>
  <w:endnote w:type="continuationSeparator" w:id="0">
    <w:p w14:paraId="0B02517C" w14:textId="77777777" w:rsidR="00F44D85" w:rsidRDefault="00F44D85" w:rsidP="003D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A892" w14:textId="53164526" w:rsidR="009B3205" w:rsidRDefault="009B3205" w:rsidP="00EA5889">
    <w:pPr>
      <w:pStyle w:val="Footer"/>
      <w:jc w:val="right"/>
    </w:pPr>
    <w:r w:rsidRPr="00C70E00">
      <w:rPr>
        <w:rFonts w:ascii="Book Antiqua" w:hAnsi="Book Antiqua"/>
        <w:sz w:val="24"/>
        <w:szCs w:val="24"/>
        <w:lang w:val="zh-CN" w:eastAsia="zh-CN"/>
      </w:rPr>
      <w:t xml:space="preserve"> </w:t>
    </w:r>
    <w:r w:rsidRPr="00190B51">
      <w:rPr>
        <w:rFonts w:ascii="Book Antiqua" w:hAnsi="Book Antiqua"/>
        <w:sz w:val="24"/>
        <w:szCs w:val="24"/>
      </w:rPr>
      <w:fldChar w:fldCharType="begin"/>
    </w:r>
    <w:r w:rsidRPr="00190B51">
      <w:rPr>
        <w:rFonts w:ascii="Book Antiqua" w:hAnsi="Book Antiqua"/>
        <w:sz w:val="24"/>
        <w:szCs w:val="24"/>
      </w:rPr>
      <w:instrText>PAGE</w:instrText>
    </w:r>
    <w:r w:rsidRPr="00190B51"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17</w:t>
    </w:r>
    <w:r w:rsidRPr="00190B51">
      <w:rPr>
        <w:rFonts w:ascii="Book Antiqua" w:hAnsi="Book Antiqua"/>
        <w:sz w:val="24"/>
        <w:szCs w:val="24"/>
      </w:rPr>
      <w:fldChar w:fldCharType="end"/>
    </w:r>
    <w:r w:rsidRPr="00C70E00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190B51">
      <w:rPr>
        <w:rFonts w:ascii="Book Antiqua" w:hAnsi="Book Antiqua"/>
        <w:sz w:val="24"/>
        <w:szCs w:val="24"/>
      </w:rPr>
      <w:fldChar w:fldCharType="begin"/>
    </w:r>
    <w:r w:rsidRPr="00190B51">
      <w:rPr>
        <w:rFonts w:ascii="Book Antiqua" w:hAnsi="Book Antiqua"/>
        <w:sz w:val="24"/>
        <w:szCs w:val="24"/>
      </w:rPr>
      <w:instrText>NUMPAGES</w:instrText>
    </w:r>
    <w:r w:rsidRPr="00190B51"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17</w:t>
    </w:r>
    <w:r w:rsidRPr="00190B51">
      <w:rPr>
        <w:rFonts w:ascii="Book Antiqua" w:hAnsi="Book Antiqua"/>
        <w:sz w:val="24"/>
        <w:szCs w:val="24"/>
      </w:rPr>
      <w:fldChar w:fldCharType="end"/>
    </w:r>
  </w:p>
  <w:p w14:paraId="2D6DC833" w14:textId="77777777" w:rsidR="009B3205" w:rsidRDefault="009B3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5D35F" w14:textId="77777777" w:rsidR="00F44D85" w:rsidRDefault="00F44D85" w:rsidP="003D2035">
      <w:r>
        <w:separator/>
      </w:r>
    </w:p>
  </w:footnote>
  <w:footnote w:type="continuationSeparator" w:id="0">
    <w:p w14:paraId="2BD1C26F" w14:textId="77777777" w:rsidR="00F44D85" w:rsidRDefault="00F44D85" w:rsidP="003D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bordersDoNotSurroundHeader/>
  <w:bordersDoNotSurroundFooter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0B51"/>
    <w:rsid w:val="0021080E"/>
    <w:rsid w:val="002D5AA6"/>
    <w:rsid w:val="002E7F69"/>
    <w:rsid w:val="003D2035"/>
    <w:rsid w:val="004D2AE3"/>
    <w:rsid w:val="004E5D46"/>
    <w:rsid w:val="005756AA"/>
    <w:rsid w:val="00591546"/>
    <w:rsid w:val="0066697D"/>
    <w:rsid w:val="00750877"/>
    <w:rsid w:val="009131EB"/>
    <w:rsid w:val="009B3205"/>
    <w:rsid w:val="009C5DB0"/>
    <w:rsid w:val="00A77B3E"/>
    <w:rsid w:val="00AD4819"/>
    <w:rsid w:val="00B2061E"/>
    <w:rsid w:val="00C02B39"/>
    <w:rsid w:val="00C70E00"/>
    <w:rsid w:val="00CA2A55"/>
    <w:rsid w:val="00DD1AED"/>
    <w:rsid w:val="00E402E3"/>
    <w:rsid w:val="00E60145"/>
    <w:rsid w:val="00EA5889"/>
    <w:rsid w:val="00F06907"/>
    <w:rsid w:val="00F40A27"/>
    <w:rsid w:val="00F4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4AA97"/>
  <w15:docId w15:val="{83D46F6B-7482-1C4E-84BE-D60F215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2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203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20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2035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D2035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3D203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2035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2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2035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66697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9E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4274</Words>
  <Characters>24362</Characters>
  <Application>Microsoft Office Word</Application>
  <DocSecurity>0</DocSecurity>
  <Lines>203</Lines>
  <Paragraphs>57</Paragraphs>
  <ScaleCrop>false</ScaleCrop>
  <Company>Klinicka bolnica Dubrava</Company>
  <LinksUpToDate>false</LinksUpToDate>
  <CharactersWithSpaces>28579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Journal: World Journal of Diabetes</dc:title>
  <dc:subject/>
  <dc:creator>mcigrovski</dc:creator>
  <cp:keywords/>
  <dc:description/>
  <cp:lastModifiedBy>Donna Fox</cp:lastModifiedBy>
  <cp:revision>2</cp:revision>
  <dcterms:created xsi:type="dcterms:W3CDTF">2021-06-25T23:03:00Z</dcterms:created>
  <dcterms:modified xsi:type="dcterms:W3CDTF">2021-06-25T23:03:00Z</dcterms:modified>
</cp:coreProperties>
</file>