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843E3"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t xml:space="preserve">Name of Journal: </w:t>
      </w:r>
      <w:r w:rsidRPr="00633DA6">
        <w:rPr>
          <w:rFonts w:ascii="Book Antiqua" w:eastAsia="Book Antiqua" w:hAnsi="Book Antiqua" w:cs="Book Antiqua"/>
          <w:i/>
          <w:color w:val="000000"/>
        </w:rPr>
        <w:t>World Journal of Gastroenterology</w:t>
      </w:r>
    </w:p>
    <w:p w14:paraId="74B13573"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t xml:space="preserve">Manuscript NO: </w:t>
      </w:r>
      <w:r w:rsidRPr="00633DA6">
        <w:rPr>
          <w:rFonts w:ascii="Book Antiqua" w:eastAsia="Book Antiqua" w:hAnsi="Book Antiqua" w:cs="Book Antiqua"/>
          <w:color w:val="000000"/>
        </w:rPr>
        <w:t>65842</w:t>
      </w:r>
    </w:p>
    <w:p w14:paraId="4D5C82C0"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t xml:space="preserve">Manuscript Type: </w:t>
      </w:r>
      <w:r w:rsidRPr="00633DA6">
        <w:rPr>
          <w:rFonts w:ascii="Book Antiqua" w:eastAsia="Book Antiqua" w:hAnsi="Book Antiqua" w:cs="Book Antiqua"/>
          <w:color w:val="000000"/>
        </w:rPr>
        <w:t>MINIREVIEWS</w:t>
      </w:r>
    </w:p>
    <w:p w14:paraId="7110D0E5" w14:textId="77777777" w:rsidR="00A77B3E" w:rsidRPr="00633DA6" w:rsidRDefault="00A77B3E" w:rsidP="007F5BFE">
      <w:pPr>
        <w:spacing w:line="360" w:lineRule="auto"/>
        <w:jc w:val="both"/>
        <w:rPr>
          <w:rFonts w:ascii="Book Antiqua" w:hAnsi="Book Antiqua"/>
        </w:rPr>
      </w:pPr>
    </w:p>
    <w:p w14:paraId="2D2AD688"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Transmembrane serine protease 2 and angiotensin-converting enzyme 2 anti-inflammatory receptors for COVID-19/inflammatory bowel diseases treatment</w:t>
      </w:r>
    </w:p>
    <w:p w14:paraId="5F74E444" w14:textId="77777777" w:rsidR="00A77B3E" w:rsidRPr="00633DA6" w:rsidRDefault="00A77B3E" w:rsidP="007F5BFE">
      <w:pPr>
        <w:spacing w:line="360" w:lineRule="auto"/>
        <w:jc w:val="both"/>
        <w:rPr>
          <w:rFonts w:ascii="Book Antiqua" w:hAnsi="Book Antiqua"/>
        </w:rPr>
      </w:pPr>
    </w:p>
    <w:p w14:paraId="2265DBC6" w14:textId="017E9A38" w:rsidR="00A77B3E" w:rsidRPr="00633DA6" w:rsidRDefault="004576DA" w:rsidP="007F5BFE">
      <w:pPr>
        <w:spacing w:line="360" w:lineRule="auto"/>
        <w:jc w:val="both"/>
        <w:rPr>
          <w:rFonts w:ascii="Book Antiqua" w:hAnsi="Book Antiqua"/>
        </w:rPr>
      </w:pPr>
      <w:r w:rsidRPr="00633DA6">
        <w:rPr>
          <w:rFonts w:ascii="Book Antiqua" w:eastAsia="Book Antiqua" w:hAnsi="Book Antiqua" w:cs="Book Antiqua"/>
          <w:color w:val="000000"/>
        </w:rPr>
        <w:t xml:space="preserve">Lashgari </w:t>
      </w:r>
      <w:r w:rsidR="00AF6224" w:rsidRPr="00633DA6">
        <w:rPr>
          <w:rFonts w:ascii="Book Antiqua" w:eastAsia="Book Antiqua" w:hAnsi="Book Antiqua" w:cs="Book Antiqua"/>
          <w:color w:val="000000"/>
        </w:rPr>
        <w:t xml:space="preserve">NA </w:t>
      </w:r>
      <w:r w:rsidRPr="00633DA6">
        <w:rPr>
          <w:rFonts w:ascii="Book Antiqua" w:eastAsia="Book Antiqua" w:hAnsi="Book Antiqua" w:cs="Book Antiqua"/>
          <w:i/>
          <w:iCs/>
          <w:color w:val="000000"/>
        </w:rPr>
        <w:t xml:space="preserve">et al. </w:t>
      </w:r>
      <w:r w:rsidR="00D346F3" w:rsidRPr="00633DA6">
        <w:rPr>
          <w:rFonts w:ascii="Book Antiqua" w:eastAsia="Book Antiqua" w:hAnsi="Book Antiqua" w:cs="Book Antiqua"/>
          <w:color w:val="000000"/>
        </w:rPr>
        <w:t>TMPRSS2/ACE2 for COVID-19/IBD treatment</w:t>
      </w:r>
    </w:p>
    <w:p w14:paraId="38ACF0F4" w14:textId="77777777" w:rsidR="00A77B3E" w:rsidRPr="00633DA6" w:rsidRDefault="00A77B3E" w:rsidP="007F5BFE">
      <w:pPr>
        <w:spacing w:line="360" w:lineRule="auto"/>
        <w:jc w:val="both"/>
        <w:rPr>
          <w:rFonts w:ascii="Book Antiqua" w:hAnsi="Book Antiqua"/>
        </w:rPr>
      </w:pPr>
    </w:p>
    <w:p w14:paraId="0E9094D1"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Naser-Aldin Lashgari, Nazanin Momeni Roudsari, Saeideh Momtaz, Amir Hossein Abdolghaffari</w:t>
      </w:r>
    </w:p>
    <w:p w14:paraId="5BA9CA86" w14:textId="77777777" w:rsidR="00A77B3E" w:rsidRPr="00633DA6" w:rsidRDefault="00A77B3E" w:rsidP="007F5BFE">
      <w:pPr>
        <w:spacing w:line="360" w:lineRule="auto"/>
        <w:jc w:val="both"/>
        <w:rPr>
          <w:rFonts w:ascii="Book Antiqua" w:hAnsi="Book Antiqua"/>
        </w:rPr>
      </w:pPr>
    </w:p>
    <w:p w14:paraId="1BCB6427"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Naser-Aldin Lashgari, Nazanin Momeni Roudsari, Amir Hossein Abdolghaffari, </w:t>
      </w:r>
      <w:r w:rsidRPr="00633DA6">
        <w:rPr>
          <w:rFonts w:ascii="Book Antiqua" w:eastAsia="Book Antiqua" w:hAnsi="Book Antiqua" w:cs="Book Antiqua"/>
          <w:color w:val="000000"/>
        </w:rPr>
        <w:t>Department of Toxicology and Pharmacology, Faculty of Pharmacy, Tehran Medical Sciences, Islamic Azad University, Tehran 1941933111, Iran</w:t>
      </w:r>
    </w:p>
    <w:p w14:paraId="64CDEE1A" w14:textId="77777777" w:rsidR="00A77B3E" w:rsidRPr="00633DA6" w:rsidRDefault="00A77B3E" w:rsidP="007F5BFE">
      <w:pPr>
        <w:spacing w:line="360" w:lineRule="auto"/>
        <w:jc w:val="both"/>
        <w:rPr>
          <w:rFonts w:ascii="Book Antiqua" w:hAnsi="Book Antiqua"/>
        </w:rPr>
      </w:pPr>
    </w:p>
    <w:p w14:paraId="4B3455A7"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Saeideh Momtaz, Amir Hossein Abdolghaffari, </w:t>
      </w:r>
      <w:r w:rsidRPr="00633DA6">
        <w:rPr>
          <w:rFonts w:ascii="Book Antiqua" w:eastAsia="Book Antiqua" w:hAnsi="Book Antiqua" w:cs="Book Antiqua"/>
          <w:color w:val="000000"/>
        </w:rPr>
        <w:t>Medicinal Plants Research Center, Institute of Medicinal Plants, ACECR, Karaj 141554364, Iran</w:t>
      </w:r>
    </w:p>
    <w:p w14:paraId="31C6CB53" w14:textId="77777777" w:rsidR="00A77B3E" w:rsidRPr="00633DA6" w:rsidRDefault="00A77B3E" w:rsidP="007F5BFE">
      <w:pPr>
        <w:spacing w:line="360" w:lineRule="auto"/>
        <w:jc w:val="both"/>
        <w:rPr>
          <w:rFonts w:ascii="Book Antiqua" w:hAnsi="Book Antiqua"/>
        </w:rPr>
      </w:pPr>
    </w:p>
    <w:p w14:paraId="3272F8F5"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Saeideh Momtaz, Amir Hossein Abdolghaffari, </w:t>
      </w:r>
      <w:r w:rsidRPr="00633DA6">
        <w:rPr>
          <w:rFonts w:ascii="Book Antiqua" w:eastAsia="Book Antiqua" w:hAnsi="Book Antiqua" w:cs="Book Antiqua"/>
          <w:color w:val="000000"/>
        </w:rPr>
        <w:t>Toxicology and Diseases Group (TDG), Pharmaceutical Sciences Research Center (PSRC), The Institute of Pharmaceutical Sciences (TIPS), Tehran University of Medical Sciences, Tehran 1941933111, Iran</w:t>
      </w:r>
    </w:p>
    <w:p w14:paraId="7FC5A59E" w14:textId="77777777" w:rsidR="00A77B3E" w:rsidRPr="00633DA6" w:rsidRDefault="00A77B3E" w:rsidP="007F5BFE">
      <w:pPr>
        <w:spacing w:line="360" w:lineRule="auto"/>
        <w:jc w:val="both"/>
        <w:rPr>
          <w:rFonts w:ascii="Book Antiqua" w:hAnsi="Book Antiqua"/>
        </w:rPr>
      </w:pPr>
    </w:p>
    <w:p w14:paraId="5C6F9DB3"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Saeideh Momtaz, Amir Hossein Abdolghaffari, </w:t>
      </w:r>
      <w:r w:rsidRPr="00633DA6">
        <w:rPr>
          <w:rFonts w:ascii="Book Antiqua" w:eastAsia="Book Antiqua" w:hAnsi="Book Antiqua" w:cs="Book Antiqua"/>
          <w:color w:val="000000"/>
        </w:rPr>
        <w:t>Department of Toxicology and Pharmacology, Faculty of Pharmacy, Tehran University of Medical Sciences, Tehran 1941933111, Iran</w:t>
      </w:r>
    </w:p>
    <w:p w14:paraId="4101CD3F" w14:textId="77777777" w:rsidR="00A77B3E" w:rsidRPr="00633DA6" w:rsidRDefault="00A77B3E" w:rsidP="007F5BFE">
      <w:pPr>
        <w:spacing w:line="360" w:lineRule="auto"/>
        <w:jc w:val="both"/>
        <w:rPr>
          <w:rFonts w:ascii="Book Antiqua" w:hAnsi="Book Antiqua"/>
        </w:rPr>
      </w:pPr>
    </w:p>
    <w:p w14:paraId="7D2BAEF8"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lastRenderedPageBreak/>
        <w:t xml:space="preserve">Saeideh Momtaz, Amir Hossein Abdolghaffari, </w:t>
      </w:r>
      <w:r w:rsidRPr="00633DA6">
        <w:rPr>
          <w:rFonts w:ascii="Book Antiqua" w:eastAsia="Book Antiqua" w:hAnsi="Book Antiqua" w:cs="Book Antiqua"/>
          <w:color w:val="000000"/>
        </w:rPr>
        <w:t>Gastrointestinal Pharmacology Interest Group (GPIG), Universal Scientific Education and Research Network (USERN), Tehran 1941933111, Iran</w:t>
      </w:r>
    </w:p>
    <w:p w14:paraId="0FE44C12" w14:textId="77777777" w:rsidR="00A77B3E" w:rsidRPr="00633DA6" w:rsidRDefault="00A77B3E" w:rsidP="007F5BFE">
      <w:pPr>
        <w:spacing w:line="360" w:lineRule="auto"/>
        <w:jc w:val="both"/>
        <w:rPr>
          <w:rFonts w:ascii="Book Antiqua" w:hAnsi="Book Antiqua"/>
        </w:rPr>
      </w:pPr>
    </w:p>
    <w:p w14:paraId="4446F846" w14:textId="0755568D"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Author contributions: </w:t>
      </w:r>
      <w:r w:rsidRPr="00633DA6">
        <w:rPr>
          <w:rFonts w:ascii="Book Antiqua" w:eastAsia="Book Antiqua" w:hAnsi="Book Antiqua" w:cs="Book Antiqua"/>
          <w:color w:val="000000"/>
        </w:rPr>
        <w:t>Lashgari NA, Roudsari NM</w:t>
      </w:r>
      <w:r w:rsidR="00650C54"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and Momtaz S collected and/or interpreted the data and wrote the manuscript; Abdolghaffari AH and Momtaz S provided the study material, conceived, designed, and finally approved the manuscript; </w:t>
      </w:r>
      <w:r w:rsidR="00C06180" w:rsidRPr="00633DA6">
        <w:rPr>
          <w:rFonts w:ascii="Book Antiqua" w:hAnsi="Book Antiqua" w:cs="Book Antiqua" w:hint="eastAsia"/>
          <w:color w:val="000000"/>
          <w:lang w:eastAsia="zh-CN"/>
        </w:rPr>
        <w:t>a</w:t>
      </w:r>
      <w:r w:rsidRPr="00633DA6">
        <w:rPr>
          <w:rFonts w:ascii="Book Antiqua" w:eastAsia="Book Antiqua" w:hAnsi="Book Antiqua" w:cs="Book Antiqua"/>
          <w:color w:val="000000"/>
        </w:rPr>
        <w:t>ll authors have read and approved the manuscript.</w:t>
      </w:r>
    </w:p>
    <w:p w14:paraId="71AF75EF" w14:textId="77777777" w:rsidR="00A77B3E" w:rsidRPr="00633DA6" w:rsidRDefault="00A77B3E" w:rsidP="007F5BFE">
      <w:pPr>
        <w:spacing w:line="360" w:lineRule="auto"/>
        <w:jc w:val="both"/>
        <w:rPr>
          <w:rFonts w:ascii="Book Antiqua" w:hAnsi="Book Antiqua"/>
        </w:rPr>
      </w:pPr>
    </w:p>
    <w:p w14:paraId="734C503A" w14:textId="140A32E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Corresponding author: Amir Hossein Abdolghaffari, PhD, Assistant Professor, </w:t>
      </w:r>
      <w:r w:rsidRPr="00633DA6">
        <w:rPr>
          <w:rFonts w:ascii="Book Antiqua" w:eastAsia="Book Antiqua" w:hAnsi="Book Antiqua" w:cs="Book Antiqua"/>
          <w:color w:val="000000"/>
        </w:rPr>
        <w:t xml:space="preserve">Department of Toxicology and Pharmacology, Faculty of Pharmacy, Tehran Medical Sciences, </w:t>
      </w:r>
      <w:r w:rsidR="004D769B" w:rsidRPr="00633DA6">
        <w:rPr>
          <w:rFonts w:ascii="Book Antiqua" w:eastAsia="Book Antiqua" w:hAnsi="Book Antiqua" w:cs="Book Antiqua"/>
          <w:color w:val="000000"/>
        </w:rPr>
        <w:t>Islamic Azad University, No. 99</w:t>
      </w:r>
      <w:r w:rsidRPr="00633DA6">
        <w:rPr>
          <w:rFonts w:ascii="Book Antiqua" w:eastAsia="Book Antiqua" w:hAnsi="Book Antiqua" w:cs="Book Antiqua"/>
          <w:color w:val="000000"/>
        </w:rPr>
        <w:t xml:space="preserve"> Yakhchal, Gholhak, Shariati St., Tehran 1941933111, Iran. amirhosein172@hotmail.com</w:t>
      </w:r>
    </w:p>
    <w:p w14:paraId="51AEAB65" w14:textId="77777777" w:rsidR="00A77B3E" w:rsidRPr="00633DA6" w:rsidRDefault="00A77B3E" w:rsidP="007F5BFE">
      <w:pPr>
        <w:spacing w:line="360" w:lineRule="auto"/>
        <w:jc w:val="both"/>
        <w:rPr>
          <w:rFonts w:ascii="Book Antiqua" w:hAnsi="Book Antiqua"/>
        </w:rPr>
      </w:pPr>
    </w:p>
    <w:p w14:paraId="34F211F1"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Received: </w:t>
      </w:r>
      <w:r w:rsidRPr="00633DA6">
        <w:rPr>
          <w:rFonts w:ascii="Book Antiqua" w:eastAsia="Book Antiqua" w:hAnsi="Book Antiqua" w:cs="Book Antiqua"/>
          <w:color w:val="000000"/>
        </w:rPr>
        <w:t>March 16, 2021</w:t>
      </w:r>
    </w:p>
    <w:p w14:paraId="45A712A2"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Revised: </w:t>
      </w:r>
      <w:r w:rsidRPr="00633DA6">
        <w:rPr>
          <w:rFonts w:ascii="Book Antiqua" w:eastAsia="Book Antiqua" w:hAnsi="Book Antiqua" w:cs="Book Antiqua"/>
          <w:color w:val="000000"/>
        </w:rPr>
        <w:t>May 12, 2021</w:t>
      </w:r>
    </w:p>
    <w:p w14:paraId="3582A0A7" w14:textId="30F10871"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Accepted: </w:t>
      </w:r>
      <w:r w:rsidR="00112682" w:rsidRPr="00633DA6">
        <w:rPr>
          <w:rFonts w:ascii="Book Antiqua" w:eastAsia="Book Antiqua" w:hAnsi="Book Antiqua" w:cs="Book Antiqua"/>
          <w:color w:val="000000"/>
        </w:rPr>
        <w:t>November 28, 2021</w:t>
      </w:r>
    </w:p>
    <w:p w14:paraId="6F59EB4D" w14:textId="2EA70BDD"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Published online: </w:t>
      </w:r>
      <w:r w:rsidR="00112682" w:rsidRPr="00633DA6">
        <w:rPr>
          <w:rFonts w:ascii="Book Antiqua" w:eastAsia="Book Antiqua" w:hAnsi="Book Antiqua" w:cs="Book Antiqua"/>
          <w:color w:val="000000"/>
        </w:rPr>
        <w:t>December 14</w:t>
      </w:r>
      <w:r w:rsidR="00CC34E3" w:rsidRPr="00633DA6">
        <w:rPr>
          <w:rFonts w:ascii="Book Antiqua" w:eastAsia="Book Antiqua" w:hAnsi="Book Antiqua" w:cs="Book Antiqua"/>
          <w:color w:val="000000"/>
        </w:rPr>
        <w:t>, 2021</w:t>
      </w:r>
    </w:p>
    <w:p w14:paraId="67A4D17F" w14:textId="77777777" w:rsidR="00A77B3E" w:rsidRPr="00633DA6" w:rsidRDefault="00A77B3E" w:rsidP="007F5BFE">
      <w:pPr>
        <w:spacing w:line="360" w:lineRule="auto"/>
        <w:jc w:val="both"/>
        <w:rPr>
          <w:rFonts w:ascii="Book Antiqua" w:hAnsi="Book Antiqua"/>
        </w:rPr>
        <w:sectPr w:rsidR="00A77B3E" w:rsidRPr="00633DA6" w:rsidSect="004576DA">
          <w:footerReference w:type="default" r:id="rId6"/>
          <w:pgSz w:w="12240" w:h="15840"/>
          <w:pgMar w:top="1440" w:right="1440" w:bottom="1440" w:left="1440" w:header="720" w:footer="720" w:gutter="0"/>
          <w:cols w:space="720"/>
          <w:docGrid w:linePitch="360"/>
        </w:sectPr>
      </w:pPr>
    </w:p>
    <w:p w14:paraId="3905DDF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lastRenderedPageBreak/>
        <w:t>Abstract</w:t>
      </w:r>
    </w:p>
    <w:p w14:paraId="312104A1" w14:textId="6AF18BD3"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Inflammatory bowel diseases (IBD) refer to a subgroup of chronic, progressive, long-term, and relapsing inflammatory disorders. IBD may spontaneously grow in the colon, and in </w:t>
      </w:r>
      <w:r w:rsidR="00650C54" w:rsidRPr="00633DA6">
        <w:rPr>
          <w:rFonts w:ascii="Book Antiqua" w:eastAsia="Book Antiqua" w:hAnsi="Book Antiqua" w:cs="Book Antiqua"/>
          <w:color w:val="000000"/>
        </w:rPr>
        <w:t xml:space="preserve">severe </w:t>
      </w:r>
      <w:r w:rsidRPr="00633DA6">
        <w:rPr>
          <w:rFonts w:ascii="Book Antiqua" w:eastAsia="Book Antiqua" w:hAnsi="Book Antiqua" w:cs="Book Antiqua"/>
          <w:color w:val="000000"/>
        </w:rPr>
        <w:t>case</w:t>
      </w:r>
      <w:r w:rsidR="00650C54" w:rsidRPr="00633DA6">
        <w:rPr>
          <w:rFonts w:ascii="Book Antiqua" w:eastAsia="Book Antiqua" w:hAnsi="Book Antiqua" w:cs="Book Antiqua"/>
          <w:color w:val="000000"/>
        </w:rPr>
        <w:t>s</w:t>
      </w:r>
      <w:r w:rsidRPr="00633DA6">
        <w:rPr>
          <w:rFonts w:ascii="Book Antiqua" w:eastAsia="Book Antiqua" w:hAnsi="Book Antiqua" w:cs="Book Antiqua"/>
          <w:color w:val="000000"/>
        </w:rPr>
        <w:t xml:space="preserve"> may result in tumor lesions such as invasive carcinoma in inflamed regions of the intestine. Recent epidemiological reports indicate that old age and underlying diseases such as IBD contribute to severity and mortality in patients with coronavirus disease 2019 (COVID-19). </w:t>
      </w:r>
      <w:r w:rsidR="00257304" w:rsidRPr="00633DA6">
        <w:rPr>
          <w:rFonts w:ascii="Book Antiqua" w:eastAsia="Book Antiqua" w:hAnsi="Book Antiqua" w:cs="Book Antiqua"/>
          <w:color w:val="000000"/>
        </w:rPr>
        <w:t>Currently</w:t>
      </w:r>
      <w:r w:rsidRPr="00633DA6">
        <w:rPr>
          <w:rFonts w:ascii="Book Antiqua" w:eastAsia="Book Antiqua" w:hAnsi="Book Antiqua" w:cs="Book Antiqua"/>
          <w:color w:val="000000"/>
        </w:rPr>
        <w:t>, the ongoing COVID-19 pandemic caused serious morbidity and mortality worldwide. It has also been shown that the transmembrane serine protease 2 is an essential factor for viral activation and viral engulfment. Generally, viral entry causes</w:t>
      </w:r>
      <w:r w:rsidR="00257304" w:rsidRPr="00633DA6">
        <w:rPr>
          <w:rFonts w:ascii="Book Antiqua" w:eastAsia="Book Antiqua" w:hAnsi="Book Antiqua" w:cs="Book Antiqua"/>
          <w:color w:val="000000"/>
        </w:rPr>
        <w:t xml:space="preserve"> a</w:t>
      </w:r>
      <w:r w:rsidRPr="00633DA6">
        <w:rPr>
          <w:rFonts w:ascii="Book Antiqua" w:eastAsia="Book Antiqua" w:hAnsi="Book Antiqua" w:cs="Book Antiqua"/>
          <w:color w:val="000000"/>
        </w:rPr>
        <w:t xml:space="preserve"> ‘cytokine storm’ that induces excessive generation of proinflammatory cytokines/chemokines including interleukin</w:t>
      </w:r>
      <w:r w:rsidR="00C8379E" w:rsidRPr="00633DA6">
        <w:rPr>
          <w:rFonts w:ascii="Book Antiqua" w:hAnsi="Book Antiqua" w:cs="Book Antiqua" w:hint="eastAsia"/>
          <w:color w:val="000000"/>
          <w:lang w:eastAsia="zh-CN"/>
        </w:rPr>
        <w:t xml:space="preserve"> (IL)</w:t>
      </w:r>
      <w:r w:rsidRPr="00633DA6">
        <w:rPr>
          <w:rFonts w:ascii="Book Antiqua" w:eastAsia="Book Antiqua" w:hAnsi="Book Antiqua" w:cs="Book Antiqua"/>
          <w:color w:val="000000"/>
        </w:rPr>
        <w:t xml:space="preserve">-6, </w:t>
      </w:r>
      <w:r w:rsidR="00C8379E" w:rsidRPr="00633DA6">
        <w:rPr>
          <w:rFonts w:ascii="Book Antiqua" w:hAnsi="Book Antiqua" w:cs="Book Antiqua" w:hint="eastAsia"/>
          <w:color w:val="000000"/>
          <w:lang w:eastAsia="zh-CN"/>
        </w:rPr>
        <w:t>IL</w:t>
      </w:r>
      <w:r w:rsidRPr="00633DA6">
        <w:rPr>
          <w:rFonts w:ascii="Book Antiqua" w:eastAsia="Book Antiqua" w:hAnsi="Book Antiqua" w:cs="Book Antiqua"/>
          <w:color w:val="000000"/>
        </w:rPr>
        <w:t xml:space="preserve">-2, </w:t>
      </w:r>
      <w:r w:rsidR="00C8379E" w:rsidRPr="00633DA6">
        <w:rPr>
          <w:rFonts w:ascii="Book Antiqua" w:hAnsi="Book Antiqua" w:cs="Book Antiqua" w:hint="eastAsia"/>
          <w:color w:val="000000"/>
          <w:lang w:eastAsia="zh-CN"/>
        </w:rPr>
        <w:t>IL</w:t>
      </w:r>
      <w:r w:rsidRPr="00633DA6">
        <w:rPr>
          <w:rFonts w:ascii="Book Antiqua" w:eastAsia="Book Antiqua" w:hAnsi="Book Antiqua" w:cs="Book Antiqua"/>
          <w:color w:val="000000"/>
        </w:rPr>
        <w:t xml:space="preserve">-7, tumor necrosis factor-α, and interferon-γ. Future research could concentrate on developing inflammatory immunological responses that are efficient to encounter COVID-19. Current analysis elucidates the role of inflammation and immune responses during IBD infection with COVID-19 and provides a list of possible targets for IBD-regulated therapies in particular. Data from clinical, </w:t>
      </w:r>
      <w:r w:rsidRPr="00633DA6">
        <w:rPr>
          <w:rFonts w:ascii="Book Antiqua" w:eastAsia="Book Antiqua" w:hAnsi="Book Antiqua" w:cs="Book Antiqua"/>
          <w:i/>
          <w:iCs/>
          <w:color w:val="000000"/>
        </w:rPr>
        <w:t>in vitro</w:t>
      </w:r>
      <w:r w:rsidR="00431DEF"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and </w:t>
      </w:r>
      <w:r w:rsidRPr="00633DA6">
        <w:rPr>
          <w:rFonts w:ascii="Book Antiqua" w:eastAsia="Book Antiqua" w:hAnsi="Book Antiqua" w:cs="Book Antiqua"/>
          <w:i/>
          <w:iCs/>
          <w:color w:val="000000"/>
        </w:rPr>
        <w:t>in vivo</w:t>
      </w:r>
      <w:r w:rsidRPr="00633DA6">
        <w:rPr>
          <w:rFonts w:ascii="Book Antiqua" w:eastAsia="Book Antiqua" w:hAnsi="Book Antiqua" w:cs="Book Antiqua"/>
          <w:color w:val="000000"/>
        </w:rPr>
        <w:t xml:space="preserve"> studies were collected in English </w:t>
      </w:r>
      <w:r w:rsidR="00431DEF" w:rsidRPr="00633DA6">
        <w:rPr>
          <w:rFonts w:ascii="Book Antiqua" w:eastAsia="Book Antiqua" w:hAnsi="Book Antiqua" w:cs="Book Antiqua"/>
          <w:color w:val="000000"/>
        </w:rPr>
        <w:t>f</w:t>
      </w:r>
      <w:r w:rsidRPr="00633DA6">
        <w:rPr>
          <w:rFonts w:ascii="Book Antiqua" w:eastAsia="Book Antiqua" w:hAnsi="Book Antiqua" w:cs="Book Antiqua"/>
          <w:color w:val="000000"/>
        </w:rPr>
        <w:t>rom PubMed, Google Scholar, Scopus, and the Cochrane library until May 2021.</w:t>
      </w:r>
    </w:p>
    <w:p w14:paraId="5ABB5B4B" w14:textId="77777777" w:rsidR="00A77B3E" w:rsidRPr="00633DA6" w:rsidRDefault="00A77B3E" w:rsidP="007F5BFE">
      <w:pPr>
        <w:spacing w:line="360" w:lineRule="auto"/>
        <w:jc w:val="both"/>
        <w:rPr>
          <w:rFonts w:ascii="Book Antiqua" w:hAnsi="Book Antiqua"/>
        </w:rPr>
      </w:pPr>
    </w:p>
    <w:p w14:paraId="60AA3F09"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Key Words: </w:t>
      </w:r>
      <w:r w:rsidRPr="00633DA6">
        <w:rPr>
          <w:rFonts w:ascii="Book Antiqua" w:eastAsia="Book Antiqua" w:hAnsi="Book Antiqua" w:cs="Book Antiqua"/>
          <w:color w:val="000000"/>
        </w:rPr>
        <w:t>Inflammatory bowel diseases; COVID-19; Transmembrane serine protease 2; Inflammation; Pro-inflammatory; Immunological responses</w:t>
      </w:r>
    </w:p>
    <w:p w14:paraId="1FECC264" w14:textId="77777777" w:rsidR="008666E9" w:rsidRPr="00633DA6" w:rsidRDefault="008666E9" w:rsidP="008666E9">
      <w:pPr>
        <w:spacing w:line="360" w:lineRule="auto"/>
        <w:jc w:val="both"/>
        <w:rPr>
          <w:lang w:eastAsia="zh-CN"/>
        </w:rPr>
      </w:pPr>
    </w:p>
    <w:p w14:paraId="58EA4860" w14:textId="77777777" w:rsidR="008666E9" w:rsidRPr="00633DA6" w:rsidRDefault="008666E9" w:rsidP="008666E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33DA6">
        <w:rPr>
          <w:rFonts w:ascii="Book Antiqua" w:eastAsia="Book Antiqua" w:hAnsi="Book Antiqua" w:cs="Book Antiqua" w:hint="eastAsia"/>
          <w:b/>
          <w:color w:val="000000"/>
        </w:rPr>
        <w:t>©</w:t>
      </w:r>
      <w:r w:rsidRPr="00633DA6">
        <w:rPr>
          <w:rFonts w:ascii="Book Antiqua" w:eastAsia="Book Antiqua" w:hAnsi="Book Antiqua" w:cs="Book Antiqua"/>
          <w:b/>
          <w:color w:val="000000"/>
        </w:rPr>
        <w:t>The</w:t>
      </w:r>
      <w:r w:rsidRPr="00633DA6">
        <w:rPr>
          <w:rFonts w:ascii="Book Antiqua" w:eastAsia="Book Antiqua" w:hAnsi="Book Antiqua" w:cs="Book Antiqua"/>
          <w:color w:val="000000"/>
        </w:rPr>
        <w:t xml:space="preserve"> </w:t>
      </w:r>
      <w:r w:rsidRPr="00633DA6">
        <w:rPr>
          <w:rFonts w:ascii="Book Antiqua" w:eastAsia="Book Antiqua" w:hAnsi="Book Antiqua" w:cs="Book Antiqua"/>
          <w:b/>
          <w:color w:val="000000"/>
        </w:rPr>
        <w:t xml:space="preserve">Author(s) 2021. </w:t>
      </w:r>
      <w:r w:rsidRPr="00633DA6">
        <w:rPr>
          <w:rFonts w:ascii="Book Antiqua" w:eastAsia="Book Antiqua" w:hAnsi="Book Antiqua" w:cs="Book Antiqua"/>
          <w:color w:val="000000"/>
        </w:rPr>
        <w:t>Published by Baishideng Publishing Group Inc. All rights reserved.</w:t>
      </w:r>
      <w:bookmarkEnd w:id="0"/>
      <w:r w:rsidRPr="00633DA6">
        <w:rPr>
          <w:rFonts w:ascii="Book Antiqua" w:eastAsia="Book Antiqua" w:hAnsi="Book Antiqua" w:cs="Book Antiqua"/>
          <w:color w:val="000000"/>
        </w:rPr>
        <w:t xml:space="preserve"> </w:t>
      </w:r>
    </w:p>
    <w:bookmarkEnd w:id="1"/>
    <w:p w14:paraId="2EE760BF" w14:textId="77777777" w:rsidR="008666E9" w:rsidRPr="00633DA6" w:rsidRDefault="008666E9" w:rsidP="008666E9">
      <w:pPr>
        <w:spacing w:line="360" w:lineRule="auto"/>
        <w:jc w:val="both"/>
        <w:rPr>
          <w:lang w:eastAsia="zh-CN"/>
        </w:rPr>
      </w:pPr>
    </w:p>
    <w:p w14:paraId="3FF5206B" w14:textId="77777777" w:rsidR="009B32B5" w:rsidRPr="00633DA6" w:rsidRDefault="008666E9" w:rsidP="007F5BFE">
      <w:pPr>
        <w:spacing w:line="360" w:lineRule="auto"/>
        <w:jc w:val="both"/>
        <w:rPr>
          <w:rFonts w:ascii="Book Antiqua" w:eastAsia="Book Antiqua" w:hAnsi="Book Antiqua" w:cs="Book Antiqua"/>
          <w:color w:val="000000"/>
        </w:rPr>
      </w:pPr>
      <w:bookmarkStart w:id="4" w:name="_Hlk88512899"/>
      <w:bookmarkStart w:id="5" w:name="_Hlk88512352"/>
      <w:bookmarkEnd w:id="2"/>
      <w:r w:rsidRPr="00633DA6">
        <w:rPr>
          <w:rFonts w:ascii="Book Antiqua" w:hAnsi="Book Antiqua" w:cs="Book Antiqua" w:hint="eastAsia"/>
          <w:b/>
          <w:color w:val="000000"/>
          <w:lang w:eastAsia="zh-CN"/>
        </w:rPr>
        <w:t>Citation:</w:t>
      </w:r>
      <w:bookmarkEnd w:id="3"/>
      <w:bookmarkEnd w:id="4"/>
      <w:bookmarkEnd w:id="5"/>
      <w:r w:rsidRPr="00633DA6">
        <w:rPr>
          <w:rFonts w:ascii="Book Antiqua" w:hAnsi="Book Antiqua" w:hint="eastAsia"/>
          <w:lang w:eastAsia="zh-CN"/>
        </w:rPr>
        <w:t xml:space="preserve"> </w:t>
      </w:r>
      <w:r w:rsidR="00D346F3" w:rsidRPr="00633DA6">
        <w:rPr>
          <w:rFonts w:ascii="Book Antiqua" w:eastAsia="Book Antiqua" w:hAnsi="Book Antiqua" w:cs="Book Antiqua"/>
          <w:color w:val="000000"/>
        </w:rPr>
        <w:t xml:space="preserve">Lashgari NA, Momeni Roudsari N, Momtaz S, Abdolghaffari AH. Transmembrane serine protease 2 and angiotensin-converting enzyme 2 anti-inflammatory receptors for COVID-19/inflammatory bowel diseases treatment. </w:t>
      </w:r>
      <w:r w:rsidR="00D346F3" w:rsidRPr="00633DA6">
        <w:rPr>
          <w:rFonts w:ascii="Book Antiqua" w:eastAsia="Book Antiqua" w:hAnsi="Book Antiqua" w:cs="Book Antiqua"/>
          <w:i/>
          <w:iCs/>
          <w:color w:val="000000"/>
        </w:rPr>
        <w:t>World J Gastroenterol</w:t>
      </w:r>
      <w:r w:rsidR="00D346F3" w:rsidRPr="00633DA6">
        <w:rPr>
          <w:rFonts w:ascii="Book Antiqua" w:eastAsia="Book Antiqua" w:hAnsi="Book Antiqua" w:cs="Book Antiqua"/>
          <w:color w:val="000000"/>
        </w:rPr>
        <w:t xml:space="preserve"> 2021; </w:t>
      </w:r>
      <w:r w:rsidR="00112682" w:rsidRPr="00633DA6">
        <w:rPr>
          <w:rFonts w:ascii="Book Antiqua" w:eastAsia="Book Antiqua" w:hAnsi="Book Antiqua" w:cs="Book Antiqua"/>
          <w:color w:val="000000"/>
        </w:rPr>
        <w:t xml:space="preserve">27(46): </w:t>
      </w:r>
      <w:r w:rsidR="009B32B5" w:rsidRPr="00633DA6">
        <w:rPr>
          <w:rFonts w:ascii="Book Antiqua" w:eastAsia="Book Antiqua" w:hAnsi="Book Antiqua" w:cs="Book Antiqua"/>
          <w:color w:val="000000"/>
        </w:rPr>
        <w:t>7943</w:t>
      </w:r>
      <w:r w:rsidR="00112682" w:rsidRPr="00633DA6">
        <w:rPr>
          <w:rFonts w:ascii="Book Antiqua" w:eastAsia="Book Antiqua" w:hAnsi="Book Antiqua" w:cs="Book Antiqua"/>
          <w:color w:val="000000"/>
        </w:rPr>
        <w:t>-</w:t>
      </w:r>
      <w:r w:rsidR="009B32B5" w:rsidRPr="00633DA6">
        <w:rPr>
          <w:rFonts w:ascii="Book Antiqua" w:eastAsia="Book Antiqua" w:hAnsi="Book Antiqua" w:cs="Book Antiqua"/>
          <w:color w:val="000000"/>
        </w:rPr>
        <w:t>7955</w:t>
      </w:r>
    </w:p>
    <w:p w14:paraId="4EF2FEEC" w14:textId="35CEA538" w:rsidR="009B32B5" w:rsidRPr="00633DA6" w:rsidRDefault="00112682" w:rsidP="007F5BFE">
      <w:pPr>
        <w:spacing w:line="360" w:lineRule="auto"/>
        <w:jc w:val="both"/>
        <w:rPr>
          <w:rFonts w:ascii="Book Antiqua" w:eastAsia="Book Antiqua" w:hAnsi="Book Antiqua" w:cs="Book Antiqua"/>
          <w:color w:val="000000"/>
        </w:rPr>
      </w:pPr>
      <w:r w:rsidRPr="00633DA6">
        <w:rPr>
          <w:rFonts w:ascii="Book Antiqua" w:eastAsia="Book Antiqua" w:hAnsi="Book Antiqua" w:cs="Book Antiqua"/>
          <w:b/>
          <w:bCs/>
          <w:color w:val="000000"/>
        </w:rPr>
        <w:lastRenderedPageBreak/>
        <w:t xml:space="preserve">URL: </w:t>
      </w:r>
      <w:hyperlink r:id="rId7" w:history="1">
        <w:r w:rsidR="009B32B5" w:rsidRPr="00633DA6">
          <w:rPr>
            <w:rStyle w:val="af1"/>
            <w:rFonts w:ascii="Book Antiqua" w:eastAsia="Book Antiqua" w:hAnsi="Book Antiqua" w:cs="Book Antiqua"/>
          </w:rPr>
          <w:t>https://www.wjgnet.com/1007-9327/full/v27/i46/7943.htm</w:t>
        </w:r>
      </w:hyperlink>
    </w:p>
    <w:p w14:paraId="238C6FBD" w14:textId="1DDE8BAF" w:rsidR="00A77B3E" w:rsidRPr="00633DA6" w:rsidRDefault="00112682" w:rsidP="007F5BFE">
      <w:pPr>
        <w:spacing w:line="360" w:lineRule="auto"/>
        <w:jc w:val="both"/>
        <w:rPr>
          <w:rFonts w:ascii="Book Antiqua" w:hAnsi="Book Antiqua"/>
        </w:rPr>
      </w:pPr>
      <w:r w:rsidRPr="00633DA6">
        <w:rPr>
          <w:rFonts w:ascii="Book Antiqua" w:eastAsia="Book Antiqua" w:hAnsi="Book Antiqua" w:cs="Book Antiqua"/>
          <w:b/>
          <w:bCs/>
          <w:color w:val="000000"/>
          <w:lang w:val="pt-BR"/>
        </w:rPr>
        <w:t xml:space="preserve">DOI: </w:t>
      </w:r>
      <w:r w:rsidRPr="00633DA6">
        <w:rPr>
          <w:rFonts w:ascii="Book Antiqua" w:eastAsia="Book Antiqua" w:hAnsi="Book Antiqua" w:cs="Book Antiqua"/>
          <w:color w:val="000000"/>
          <w:lang w:val="pt-BR"/>
        </w:rPr>
        <w:t>https://dx.doi.org/10.3748/wjg.v27.i46.</w:t>
      </w:r>
      <w:r w:rsidR="009B32B5" w:rsidRPr="00633DA6">
        <w:rPr>
          <w:rFonts w:ascii="Book Antiqua" w:eastAsia="Book Antiqua" w:hAnsi="Book Antiqua" w:cs="Book Antiqua"/>
          <w:color w:val="000000"/>
        </w:rPr>
        <w:t>7943</w:t>
      </w:r>
    </w:p>
    <w:p w14:paraId="5DA77DB3" w14:textId="77777777" w:rsidR="00A77B3E" w:rsidRPr="00633DA6" w:rsidRDefault="00A77B3E" w:rsidP="007F5BFE">
      <w:pPr>
        <w:spacing w:line="360" w:lineRule="auto"/>
        <w:jc w:val="both"/>
        <w:rPr>
          <w:rFonts w:ascii="Book Antiqua" w:hAnsi="Book Antiqua"/>
        </w:rPr>
      </w:pPr>
    </w:p>
    <w:p w14:paraId="7D8E2646" w14:textId="42CCFB1C"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Core Tip: </w:t>
      </w:r>
      <w:r w:rsidRPr="00633DA6">
        <w:rPr>
          <w:rFonts w:ascii="Book Antiqua" w:eastAsia="Book Antiqua" w:hAnsi="Book Antiqua" w:cs="Book Antiqua"/>
          <w:color w:val="000000"/>
        </w:rPr>
        <w:t xml:space="preserve">This article provides clinical evidence on synthetic or natural-based transmembrane serine protease 2 </w:t>
      </w:r>
      <w:r w:rsidR="00172B87" w:rsidRPr="00633DA6">
        <w:rPr>
          <w:rFonts w:ascii="Book Antiqua" w:hAnsi="Book Antiqua"/>
          <w:color w:val="000000"/>
        </w:rPr>
        <w:t>(TMPRSS2)</w:t>
      </w:r>
      <w:r w:rsidR="00172B87" w:rsidRPr="00633DA6">
        <w:rPr>
          <w:rFonts w:ascii="Book Antiqua" w:eastAsia="Book Antiqua" w:hAnsi="Book Antiqua" w:cs="Book Antiqua"/>
          <w:color w:val="000000"/>
        </w:rPr>
        <w:t xml:space="preserve"> </w:t>
      </w:r>
      <w:r w:rsidRPr="00633DA6">
        <w:rPr>
          <w:rFonts w:ascii="Book Antiqua" w:eastAsia="Book Antiqua" w:hAnsi="Book Antiqua" w:cs="Book Antiqua"/>
          <w:color w:val="000000"/>
        </w:rPr>
        <w:t xml:space="preserve">and angiotensin-converting enzyme 2 </w:t>
      </w:r>
      <w:r w:rsidR="00172B87" w:rsidRPr="00633DA6">
        <w:rPr>
          <w:rFonts w:ascii="Book Antiqua" w:hAnsi="Book Antiqua"/>
          <w:color w:val="000000"/>
        </w:rPr>
        <w:t>(ACE2)</w:t>
      </w:r>
      <w:r w:rsidR="00172B87" w:rsidRPr="00633DA6">
        <w:rPr>
          <w:rFonts w:ascii="Book Antiqua" w:eastAsia="Book Antiqua" w:hAnsi="Book Antiqua" w:cs="Book Antiqua"/>
          <w:color w:val="000000"/>
        </w:rPr>
        <w:t xml:space="preserve"> </w:t>
      </w:r>
      <w:r w:rsidRPr="00633DA6">
        <w:rPr>
          <w:rFonts w:ascii="Book Antiqua" w:eastAsia="Book Antiqua" w:hAnsi="Book Antiqua" w:cs="Book Antiqua"/>
          <w:color w:val="000000"/>
        </w:rPr>
        <w:t>inhibitors, which are able to reduce coronavirus disease 2019-induced inflammation and cytokine storms in</w:t>
      </w:r>
      <w:r w:rsidRPr="00633DA6">
        <w:rPr>
          <w:rFonts w:ascii="Book Antiqua" w:eastAsia="Book Antiqua" w:hAnsi="Book Antiqua" w:cs="Book Antiqua"/>
          <w:b/>
          <w:bCs/>
          <w:color w:val="000000"/>
        </w:rPr>
        <w:t xml:space="preserve"> </w:t>
      </w:r>
      <w:r w:rsidRPr="00633DA6">
        <w:rPr>
          <w:rFonts w:ascii="Book Antiqua" w:eastAsia="Book Antiqua" w:hAnsi="Book Antiqua" w:cs="Book Antiqua"/>
          <w:color w:val="000000"/>
        </w:rPr>
        <w:t xml:space="preserve">inflammatory bowel disease patients. Hence, targeting </w:t>
      </w:r>
      <w:r w:rsidR="00172B87" w:rsidRPr="00633DA6">
        <w:rPr>
          <w:rFonts w:ascii="Book Antiqua" w:hAnsi="Book Antiqua"/>
          <w:color w:val="000000"/>
        </w:rPr>
        <w:t>TMPRSS2</w:t>
      </w:r>
      <w:r w:rsidR="00DF4B59" w:rsidRPr="00633DA6">
        <w:rPr>
          <w:rFonts w:ascii="Book Antiqua" w:eastAsia="Book Antiqua" w:hAnsi="Book Antiqua" w:cs="Book Antiqua"/>
          <w:color w:val="000000"/>
        </w:rPr>
        <w:t xml:space="preserve"> </w:t>
      </w:r>
      <w:r w:rsidRPr="00633DA6">
        <w:rPr>
          <w:rFonts w:ascii="Book Antiqua" w:eastAsia="Book Antiqua" w:hAnsi="Book Antiqua" w:cs="Book Antiqua"/>
          <w:color w:val="000000"/>
        </w:rPr>
        <w:t xml:space="preserve">and </w:t>
      </w:r>
      <w:r w:rsidR="00172B87" w:rsidRPr="00633DA6">
        <w:rPr>
          <w:rFonts w:ascii="Book Antiqua" w:hAnsi="Book Antiqua"/>
          <w:color w:val="000000"/>
        </w:rPr>
        <w:t>ACE2</w:t>
      </w:r>
      <w:r w:rsidR="00DF4B59" w:rsidRPr="00633DA6">
        <w:rPr>
          <w:rFonts w:ascii="Book Antiqua" w:eastAsia="Book Antiqua" w:hAnsi="Book Antiqua" w:cs="Book Antiqua"/>
          <w:color w:val="000000"/>
        </w:rPr>
        <w:t xml:space="preserve"> </w:t>
      </w:r>
      <w:r w:rsidRPr="00633DA6">
        <w:rPr>
          <w:rFonts w:ascii="Book Antiqua" w:eastAsia="Book Antiqua" w:hAnsi="Book Antiqua" w:cs="Book Antiqua"/>
          <w:color w:val="000000"/>
        </w:rPr>
        <w:t xml:space="preserve">could be noticed as a novel approach for </w:t>
      </w:r>
      <w:r w:rsidR="00DF4B59" w:rsidRPr="00633DA6">
        <w:rPr>
          <w:rFonts w:ascii="Book Antiqua" w:eastAsia="Book Antiqua" w:hAnsi="Book Antiqua" w:cs="Book Antiqua"/>
          <w:color w:val="000000"/>
        </w:rPr>
        <w:t xml:space="preserve">inflammatory bowel diseases </w:t>
      </w:r>
      <w:r w:rsidRPr="00633DA6">
        <w:rPr>
          <w:rFonts w:ascii="Book Antiqua" w:eastAsia="Book Antiqua" w:hAnsi="Book Antiqua" w:cs="Book Antiqua"/>
          <w:color w:val="000000"/>
        </w:rPr>
        <w:t>treatment.</w:t>
      </w:r>
    </w:p>
    <w:p w14:paraId="515F3AFF" w14:textId="77777777" w:rsidR="00A77B3E" w:rsidRPr="00633DA6" w:rsidRDefault="00A77B3E" w:rsidP="007F5BFE">
      <w:pPr>
        <w:spacing w:line="360" w:lineRule="auto"/>
        <w:jc w:val="both"/>
        <w:rPr>
          <w:rFonts w:ascii="Book Antiqua" w:hAnsi="Book Antiqua"/>
        </w:rPr>
      </w:pPr>
    </w:p>
    <w:p w14:paraId="4D67344F" w14:textId="5C1B9A8D"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aps/>
          <w:color w:val="000000"/>
          <w:u w:val="single"/>
        </w:rPr>
        <w:t>INTRODUCTION</w:t>
      </w:r>
    </w:p>
    <w:p w14:paraId="0B4E9537" w14:textId="4944AE96"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Coronavirus disease 2019 (COVID-19) is a</w:t>
      </w:r>
      <w:r w:rsidR="000A506A" w:rsidRPr="00633DA6">
        <w:rPr>
          <w:rFonts w:ascii="Book Antiqua" w:eastAsia="Book Antiqua" w:hAnsi="Book Antiqua" w:cs="Book Antiqua"/>
          <w:color w:val="000000"/>
        </w:rPr>
        <w:t xml:space="preserve"> primari</w:t>
      </w:r>
      <w:r w:rsidRPr="00633DA6">
        <w:rPr>
          <w:rFonts w:ascii="Book Antiqua" w:eastAsia="Book Antiqua" w:hAnsi="Book Antiqua" w:cs="Book Antiqua"/>
          <w:color w:val="000000"/>
        </w:rPr>
        <w:t xml:space="preserve">ly respiratory ailment that is caused by severe acute respiratory syndrome coronavirus-2 (SARS-CoV-2), additionally named as 2019 novel COVID. It is profoundly </w:t>
      </w:r>
      <w:r w:rsidR="000A506A" w:rsidRPr="00633DA6">
        <w:rPr>
          <w:rFonts w:ascii="Book Antiqua" w:eastAsia="Book Antiqua" w:hAnsi="Book Antiqua" w:cs="Book Antiqua"/>
          <w:color w:val="000000"/>
        </w:rPr>
        <w:t>overwhelming</w:t>
      </w:r>
      <w:r w:rsidRPr="00633DA6">
        <w:rPr>
          <w:rFonts w:ascii="Book Antiqua" w:eastAsia="Book Antiqua" w:hAnsi="Book Antiqua" w:cs="Book Antiqua"/>
          <w:color w:val="000000"/>
        </w:rPr>
        <w:t xml:space="preserve"> with case casualty rates of 2%-3%. Since its appearance in December 2019 in China, COVID-19 has quickly spread and influenced populaces in virtually all areas of the world</w:t>
      </w:r>
      <w:r w:rsidRPr="00633DA6">
        <w:rPr>
          <w:rFonts w:ascii="Book Antiqua" w:eastAsia="Book Antiqua" w:hAnsi="Book Antiqua" w:cs="Book Antiqua"/>
          <w:color w:val="000000"/>
          <w:vertAlign w:val="superscript"/>
        </w:rPr>
        <w:t>[</w:t>
      </w:r>
      <w:hyperlink r:id="rId8" w:anchor="_ENREF_1" w:tooltip="Stopsack, 2020 #25" w:history="1">
        <w:r w:rsidRPr="00633DA6">
          <w:rPr>
            <w:rFonts w:ascii="Book Antiqua" w:eastAsia="Book Antiqua" w:hAnsi="Book Antiqua" w:cs="Book Antiqua"/>
            <w:color w:val="000000"/>
            <w:u w:color="0000EE"/>
            <w:vertAlign w:val="superscript"/>
          </w:rPr>
          <w:t>1</w:t>
        </w:r>
      </w:hyperlink>
      <w:r w:rsidRPr="00633DA6">
        <w:rPr>
          <w:rFonts w:ascii="Book Antiqua" w:eastAsia="Book Antiqua" w:hAnsi="Book Antiqua" w:cs="Book Antiqua"/>
          <w:color w:val="000000"/>
          <w:vertAlign w:val="superscript"/>
        </w:rPr>
        <w:t>,</w:t>
      </w:r>
      <w:hyperlink r:id="rId9" w:anchor="_ENREF_2" w:tooltip="Fiorino, 2020 #26" w:history="1">
        <w:r w:rsidRPr="00633DA6">
          <w:rPr>
            <w:rFonts w:ascii="Book Antiqua" w:eastAsia="Book Antiqua" w:hAnsi="Book Antiqua" w:cs="Book Antiqua"/>
            <w:color w:val="000000"/>
            <w:u w:color="0000EE"/>
            <w:vertAlign w:val="superscript"/>
          </w:rPr>
          <w:t>2</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Old</w:t>
      </w:r>
      <w:r w:rsidR="0028214D" w:rsidRPr="00633DA6">
        <w:rPr>
          <w:rFonts w:ascii="Book Antiqua" w:eastAsia="Book Antiqua" w:hAnsi="Book Antiqua" w:cs="Book Antiqua"/>
          <w:color w:val="000000"/>
        </w:rPr>
        <w:t>-age</w:t>
      </w:r>
      <w:r w:rsidRPr="00633DA6">
        <w:rPr>
          <w:rFonts w:ascii="Book Antiqua" w:eastAsia="Book Antiqua" w:hAnsi="Book Antiqua" w:cs="Book Antiqua"/>
          <w:color w:val="000000"/>
        </w:rPr>
        <w:t xml:space="preserve"> patients and those with chronic conditions are more prone to dreariness and mortality in COVID-19. This high mortality is implicated in misrepresented and misled invulnerable reactions that cause cytokine storm</w:t>
      </w:r>
      <w:r w:rsidR="004A3450" w:rsidRPr="00633DA6">
        <w:rPr>
          <w:rFonts w:ascii="Book Antiqua" w:eastAsia="Book Antiqua" w:hAnsi="Book Antiqua" w:cs="Book Antiqua"/>
          <w:color w:val="000000"/>
        </w:rPr>
        <w:t>s</w:t>
      </w:r>
      <w:r w:rsidRPr="00633DA6">
        <w:rPr>
          <w:rFonts w:ascii="Book Antiqua" w:eastAsia="Book Antiqua" w:hAnsi="Book Antiqua" w:cs="Book Antiqua"/>
          <w:color w:val="000000"/>
        </w:rPr>
        <w:t>. In brief, SARS-CoV-2 infects the angiotensin-converting enzyme 2 (ACE2) expressing epithelial cells in the lung and/or the intestine, leading to a massive production of mediators that induce the immune cell activation. Overactivation of immune cells leads to severe complications including acute respiratory distress syndrome, shock, and multiorgan failure</w:t>
      </w:r>
      <w:r w:rsidRPr="00633DA6">
        <w:rPr>
          <w:rFonts w:ascii="Book Antiqua" w:eastAsia="Book Antiqua" w:hAnsi="Book Antiqua" w:cs="Book Antiqua"/>
          <w:color w:val="000000"/>
          <w:vertAlign w:val="superscript"/>
        </w:rPr>
        <w:t>[</w:t>
      </w:r>
      <w:hyperlink r:id="rId10" w:anchor="_ENREF_3" w:tooltip="Marini, 2020 #29" w:history="1">
        <w:r w:rsidRPr="00633DA6">
          <w:rPr>
            <w:rFonts w:ascii="Book Antiqua" w:eastAsia="Book Antiqua" w:hAnsi="Book Antiqua" w:cs="Book Antiqua"/>
            <w:color w:val="000000"/>
            <w:u w:color="0000EE"/>
            <w:vertAlign w:val="superscript"/>
          </w:rPr>
          <w:t>3</w:t>
        </w:r>
      </w:hyperlink>
      <w:r w:rsidRPr="00633DA6">
        <w:rPr>
          <w:rFonts w:ascii="Book Antiqua" w:eastAsia="Book Antiqua" w:hAnsi="Book Antiqua" w:cs="Book Antiqua"/>
          <w:color w:val="000000"/>
          <w:vertAlign w:val="superscript"/>
        </w:rPr>
        <w:t>,</w:t>
      </w:r>
      <w:hyperlink r:id="rId11" w:anchor="_ENREF_4" w:tooltip="Li, 2020 #30" w:history="1">
        <w:r w:rsidRPr="00633DA6">
          <w:rPr>
            <w:rFonts w:ascii="Book Antiqua" w:eastAsia="Book Antiqua" w:hAnsi="Book Antiqua" w:cs="Book Antiqua"/>
            <w:color w:val="000000"/>
            <w:u w:color="0000EE"/>
            <w:vertAlign w:val="superscript"/>
          </w:rPr>
          <w:t>4</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60BF22A4" w14:textId="5882C730" w:rsidR="00A77B3E" w:rsidRPr="00633DA6" w:rsidRDefault="00D346F3" w:rsidP="007F5BFE">
      <w:pPr>
        <w:spacing w:line="360" w:lineRule="auto"/>
        <w:ind w:firstLine="480"/>
        <w:jc w:val="both"/>
        <w:rPr>
          <w:rFonts w:ascii="Book Antiqua" w:hAnsi="Book Antiqua"/>
        </w:rPr>
      </w:pPr>
      <w:r w:rsidRPr="00633DA6">
        <w:rPr>
          <w:rFonts w:ascii="Book Antiqua" w:eastAsia="Book Antiqua" w:hAnsi="Book Antiqua" w:cs="Book Antiqua"/>
          <w:color w:val="000000"/>
        </w:rPr>
        <w:t xml:space="preserve">Inflammatory bowel diseases (IBD) include two major types: </w:t>
      </w:r>
      <w:r w:rsidR="007A4D23" w:rsidRPr="00633DA6">
        <w:rPr>
          <w:rFonts w:ascii="Book Antiqua" w:hAnsi="Book Antiqua" w:cs="Book Antiqua" w:hint="eastAsia"/>
          <w:color w:val="000000"/>
          <w:lang w:eastAsia="zh-CN"/>
        </w:rPr>
        <w:t>U</w:t>
      </w:r>
      <w:r w:rsidRPr="00633DA6">
        <w:rPr>
          <w:rFonts w:ascii="Book Antiqua" w:eastAsia="Book Antiqua" w:hAnsi="Book Antiqua" w:cs="Book Antiqua"/>
          <w:color w:val="000000"/>
        </w:rPr>
        <w:t xml:space="preserve">lcerative colitis and </w:t>
      </w:r>
      <w:r w:rsidR="001150A2" w:rsidRPr="00633DA6">
        <w:rPr>
          <w:rFonts w:ascii="Book Antiqua" w:eastAsia="Book Antiqua" w:hAnsi="Book Antiqua" w:cs="Book Antiqua"/>
          <w:color w:val="000000"/>
        </w:rPr>
        <w:t>C</w:t>
      </w:r>
      <w:r w:rsidRPr="00633DA6">
        <w:rPr>
          <w:rFonts w:ascii="Book Antiqua" w:eastAsia="Book Antiqua" w:hAnsi="Book Antiqua" w:cs="Book Antiqua"/>
          <w:color w:val="000000"/>
        </w:rPr>
        <w:t>rohn</w:t>
      </w:r>
      <w:r w:rsidR="001150A2" w:rsidRPr="00633DA6">
        <w:rPr>
          <w:rFonts w:ascii="Book Antiqua" w:eastAsia="Book Antiqua" w:hAnsi="Book Antiqua" w:cs="Book Antiqua"/>
          <w:color w:val="000000"/>
        </w:rPr>
        <w:t>’</w:t>
      </w:r>
      <w:r w:rsidRPr="00633DA6">
        <w:rPr>
          <w:rFonts w:ascii="Book Antiqua" w:eastAsia="Book Antiqua" w:hAnsi="Book Antiqua" w:cs="Book Antiqua"/>
          <w:color w:val="000000"/>
        </w:rPr>
        <w:t>s disease. IBD is characterized with persistent resistant interceded sicknesses that regularly require immunomodulatory and immunosuppressive treatments</w:t>
      </w:r>
      <w:r w:rsidRPr="00633DA6">
        <w:rPr>
          <w:rFonts w:ascii="Book Antiqua" w:eastAsia="Book Antiqua" w:hAnsi="Book Antiqua" w:cs="Book Antiqua"/>
          <w:color w:val="000000"/>
          <w:vertAlign w:val="superscript"/>
        </w:rPr>
        <w:t>[</w:t>
      </w:r>
      <w:hyperlink r:id="rId12" w:anchor="_ENREF_5" w:tooltip="Lashgari, 2020 #126" w:history="1">
        <w:r w:rsidRPr="00633DA6">
          <w:rPr>
            <w:rFonts w:ascii="Book Antiqua" w:eastAsia="Book Antiqua" w:hAnsi="Book Antiqua" w:cs="Book Antiqua"/>
            <w:color w:val="000000"/>
            <w:u w:color="0000EE"/>
            <w:vertAlign w:val="superscript"/>
          </w:rPr>
          <w:t>5</w:t>
        </w:r>
      </w:hyperlink>
      <w:r w:rsidRPr="00633DA6">
        <w:rPr>
          <w:rFonts w:ascii="Book Antiqua" w:eastAsia="Book Antiqua" w:hAnsi="Book Antiqua" w:cs="Book Antiqua"/>
          <w:color w:val="000000"/>
          <w:vertAlign w:val="superscript"/>
        </w:rPr>
        <w:t>,</w:t>
      </w:r>
      <w:hyperlink r:id="rId13" w:anchor="_ENREF_6" w:tooltip="Lashgari, 2021 #283" w:history="1">
        <w:r w:rsidRPr="00633DA6">
          <w:rPr>
            <w:rFonts w:ascii="Book Antiqua" w:eastAsia="Book Antiqua" w:hAnsi="Book Antiqua" w:cs="Book Antiqua"/>
            <w:color w:val="000000"/>
            <w:u w:color="0000EE"/>
            <w:vertAlign w:val="superscript"/>
          </w:rPr>
          <w:t>6</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Therefore, patients with IBD are at high risk to different shrewd viral and bacterial contaminations. There is no solid evidence that patients with IBD are at higher risk for COVID-19 infection, although it has been indicated that patients with IBD who are </w:t>
      </w:r>
      <w:r w:rsidRPr="00633DA6">
        <w:rPr>
          <w:rFonts w:ascii="Book Antiqua" w:eastAsia="Book Antiqua" w:hAnsi="Book Antiqua" w:cs="Book Antiqua"/>
          <w:color w:val="000000"/>
        </w:rPr>
        <w:lastRenderedPageBreak/>
        <w:t>pregnant are more vulnerable</w:t>
      </w:r>
      <w:r w:rsidRPr="00633DA6">
        <w:rPr>
          <w:rFonts w:ascii="Book Antiqua" w:eastAsia="Book Antiqua" w:hAnsi="Book Antiqua" w:cs="Book Antiqua"/>
          <w:color w:val="000000"/>
          <w:vertAlign w:val="superscript"/>
        </w:rPr>
        <w:t>[</w:t>
      </w:r>
      <w:hyperlink r:id="rId14" w:anchor="_ENREF_7" w:tooltip="Neurath, 2020 #60" w:history="1">
        <w:r w:rsidRPr="00633DA6">
          <w:rPr>
            <w:rFonts w:ascii="Book Antiqua" w:eastAsia="Book Antiqua" w:hAnsi="Book Antiqua" w:cs="Book Antiqua"/>
            <w:color w:val="000000"/>
            <w:u w:color="0000EE"/>
            <w:vertAlign w:val="superscript"/>
          </w:rPr>
          <w:t>7</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w:t>
      </w:r>
      <w:r w:rsidR="001150A2" w:rsidRPr="00633DA6">
        <w:rPr>
          <w:rFonts w:ascii="Book Antiqua" w:eastAsia="Book Antiqua" w:hAnsi="Book Antiqua" w:cs="Book Antiqua"/>
          <w:color w:val="000000"/>
        </w:rPr>
        <w:t>The c</w:t>
      </w:r>
      <w:r w:rsidRPr="00633DA6">
        <w:rPr>
          <w:rFonts w:ascii="Book Antiqua" w:eastAsia="Book Antiqua" w:hAnsi="Book Antiqua" w:cs="Book Antiqua"/>
          <w:color w:val="000000"/>
        </w:rPr>
        <w:t>urrent study discusses the impact of COVID-19 on IBD</w:t>
      </w:r>
      <w:r w:rsidRPr="00633DA6">
        <w:rPr>
          <w:rFonts w:ascii="Book Antiqua" w:eastAsia="Book Antiqua" w:hAnsi="Book Antiqua" w:cs="Book Antiqua"/>
          <w:color w:val="000000"/>
          <w:vertAlign w:val="superscript"/>
        </w:rPr>
        <w:t>[</w:t>
      </w:r>
      <w:hyperlink r:id="rId15" w:anchor="_ENREF_8" w:tooltip="Grunert, 2020 #27" w:history="1">
        <w:r w:rsidRPr="00633DA6">
          <w:rPr>
            <w:rFonts w:ascii="Book Antiqua" w:eastAsia="Book Antiqua" w:hAnsi="Book Antiqua" w:cs="Book Antiqua"/>
            <w:color w:val="000000"/>
            <w:u w:color="0000EE"/>
            <w:vertAlign w:val="superscript"/>
          </w:rPr>
          <w:t>8</w:t>
        </w:r>
      </w:hyperlink>
      <w:r w:rsidRPr="00633DA6">
        <w:rPr>
          <w:rFonts w:ascii="Book Antiqua" w:eastAsia="Book Antiqua" w:hAnsi="Book Antiqua" w:cs="Book Antiqua"/>
          <w:color w:val="000000"/>
          <w:vertAlign w:val="superscript"/>
        </w:rPr>
        <w:t>,</w:t>
      </w:r>
      <w:hyperlink r:id="rId16" w:anchor="_ENREF_9" w:tooltip="Yang, 2021 #7" w:history="1">
        <w:r w:rsidRPr="00633DA6">
          <w:rPr>
            <w:rFonts w:ascii="Book Antiqua" w:eastAsia="Book Antiqua" w:hAnsi="Book Antiqua" w:cs="Book Antiqua"/>
            <w:color w:val="000000"/>
            <w:u w:color="0000EE"/>
            <w:vertAlign w:val="superscript"/>
          </w:rPr>
          <w:t>9</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We provide evidence on mediatory effects of the transmembrane serine protease 2 (TMPRSS2) and ACE2 signaling pathways against inflammation and introduce</w:t>
      </w:r>
      <w:r w:rsidR="00DA0D3F" w:rsidRPr="00633DA6">
        <w:rPr>
          <w:rFonts w:ascii="Book Antiqua" w:eastAsia="Book Antiqua" w:hAnsi="Book Antiqua" w:cs="Book Antiqua"/>
          <w:color w:val="000000"/>
        </w:rPr>
        <w:t>s</w:t>
      </w:r>
      <w:r w:rsidRPr="00633DA6">
        <w:rPr>
          <w:rFonts w:ascii="Book Antiqua" w:eastAsia="Book Antiqua" w:hAnsi="Book Antiqua" w:cs="Book Antiqua"/>
          <w:color w:val="000000"/>
        </w:rPr>
        <w:t xml:space="preserve"> the synthetic or natural TMPRSS2 and ACE2 inhibitors as probable approaches for IBD treatment in </w:t>
      </w:r>
      <w:r w:rsidR="00DA0D3F" w:rsidRPr="00633DA6">
        <w:rPr>
          <w:rFonts w:ascii="Book Antiqua" w:eastAsia="Book Antiqua" w:hAnsi="Book Antiqua" w:cs="Book Antiqua"/>
          <w:color w:val="000000"/>
        </w:rPr>
        <w:t xml:space="preserve">the </w:t>
      </w:r>
      <w:r w:rsidRPr="00633DA6">
        <w:rPr>
          <w:rFonts w:ascii="Book Antiqua" w:eastAsia="Book Antiqua" w:hAnsi="Book Antiqua" w:cs="Book Antiqua"/>
          <w:color w:val="000000"/>
        </w:rPr>
        <w:t>COVID-19 situation</w:t>
      </w:r>
      <w:r w:rsidRPr="00633DA6">
        <w:rPr>
          <w:rFonts w:ascii="Book Antiqua" w:eastAsia="Book Antiqua" w:hAnsi="Book Antiqua" w:cs="Book Antiqua"/>
          <w:color w:val="000000"/>
          <w:vertAlign w:val="superscript"/>
        </w:rPr>
        <w:t>[</w:t>
      </w:r>
      <w:hyperlink r:id="rId17" w:anchor="_ENREF_9" w:tooltip="Yang, 2021 #7" w:history="1">
        <w:r w:rsidRPr="00633DA6">
          <w:rPr>
            <w:rFonts w:ascii="Book Antiqua" w:eastAsia="Book Antiqua" w:hAnsi="Book Antiqua" w:cs="Book Antiqua"/>
            <w:color w:val="000000"/>
            <w:u w:color="0000EE"/>
            <w:vertAlign w:val="superscript"/>
          </w:rPr>
          <w:t>9</w:t>
        </w:r>
      </w:hyperlink>
      <w:r w:rsidRPr="00633DA6">
        <w:rPr>
          <w:rFonts w:ascii="Book Antiqua" w:eastAsia="Book Antiqua" w:hAnsi="Book Antiqua" w:cs="Book Antiqua"/>
          <w:color w:val="000000"/>
          <w:vertAlign w:val="superscript"/>
        </w:rPr>
        <w:t>,</w:t>
      </w:r>
      <w:hyperlink r:id="rId18" w:anchor="_ENREF_10" w:tooltip="Bourgonje, 2020 #32" w:history="1">
        <w:r w:rsidRPr="00633DA6">
          <w:rPr>
            <w:rFonts w:ascii="Book Antiqua" w:eastAsia="Book Antiqua" w:hAnsi="Book Antiqua" w:cs="Book Antiqua"/>
            <w:color w:val="000000"/>
            <w:u w:color="0000EE"/>
            <w:vertAlign w:val="superscript"/>
          </w:rPr>
          <w:t>10</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1FA0C83E" w14:textId="77777777" w:rsidR="00A77B3E" w:rsidRPr="00633DA6" w:rsidRDefault="00A77B3E" w:rsidP="007F5BFE">
      <w:pPr>
        <w:spacing w:line="360" w:lineRule="auto"/>
        <w:ind w:firstLine="480"/>
        <w:jc w:val="both"/>
        <w:rPr>
          <w:rFonts w:ascii="Book Antiqua" w:hAnsi="Book Antiqua"/>
        </w:rPr>
      </w:pPr>
    </w:p>
    <w:p w14:paraId="762EC41E"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aps/>
          <w:color w:val="000000"/>
          <w:u w:val="single"/>
        </w:rPr>
        <w:t>Literature search</w:t>
      </w:r>
    </w:p>
    <w:p w14:paraId="7B26ABAE" w14:textId="25663084"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PubMed, Google Scholar, Scopus, and Cochrane </w:t>
      </w:r>
      <w:r w:rsidR="00077CCF" w:rsidRPr="00633DA6">
        <w:rPr>
          <w:rFonts w:ascii="Book Antiqua" w:eastAsia="Book Antiqua" w:hAnsi="Book Antiqua" w:cs="Book Antiqua"/>
          <w:color w:val="000000"/>
        </w:rPr>
        <w:t>L</w:t>
      </w:r>
      <w:r w:rsidRPr="00633DA6">
        <w:rPr>
          <w:rFonts w:ascii="Book Antiqua" w:eastAsia="Book Antiqua" w:hAnsi="Book Antiqua" w:cs="Book Antiqua"/>
          <w:color w:val="000000"/>
        </w:rPr>
        <w:t xml:space="preserve">ibrary were searched and relevant clinical, </w:t>
      </w:r>
      <w:r w:rsidRPr="00633DA6">
        <w:rPr>
          <w:rFonts w:ascii="Book Antiqua" w:eastAsia="Book Antiqua" w:hAnsi="Book Antiqua" w:cs="Book Antiqua"/>
          <w:i/>
          <w:iCs/>
          <w:color w:val="000000"/>
        </w:rPr>
        <w:t>in vivo</w:t>
      </w:r>
      <w:r w:rsidR="00077CCF" w:rsidRPr="00633DA6">
        <w:rPr>
          <w:rFonts w:ascii="Book Antiqua" w:eastAsia="Book Antiqua" w:hAnsi="Book Antiqua" w:cs="Book Antiqua"/>
          <w:color w:val="000000"/>
        </w:rPr>
        <w:t xml:space="preserve">, </w:t>
      </w:r>
      <w:r w:rsidRPr="00633DA6">
        <w:rPr>
          <w:rFonts w:ascii="Book Antiqua" w:eastAsia="Book Antiqua" w:hAnsi="Book Antiqua" w:cs="Book Antiqua"/>
          <w:color w:val="000000"/>
        </w:rPr>
        <w:t xml:space="preserve">and </w:t>
      </w:r>
      <w:r w:rsidRPr="00633DA6">
        <w:rPr>
          <w:rFonts w:ascii="Book Antiqua" w:eastAsia="Book Antiqua" w:hAnsi="Book Antiqua" w:cs="Book Antiqua"/>
          <w:i/>
          <w:iCs/>
          <w:color w:val="000000"/>
        </w:rPr>
        <w:t>in vitro</w:t>
      </w:r>
      <w:r w:rsidRPr="00633DA6">
        <w:rPr>
          <w:rFonts w:ascii="Book Antiqua" w:eastAsia="Book Antiqua" w:hAnsi="Book Antiqua" w:cs="Book Antiqua"/>
          <w:color w:val="000000"/>
        </w:rPr>
        <w:t xml:space="preserve"> articles (in English) were collected until May 2021. Search terms included “corona virus” OR “COVID-19” AND “inflammatory bowel disease” OR “IBD” OR “inflammation” AND “TMPRSS2” OR “ACE2” AND “TMPRSS2 inhibitors” OR “ACE2 inhibitors</w:t>
      </w:r>
      <w:r w:rsidR="00077CCF" w:rsidRPr="00633DA6">
        <w:rPr>
          <w:rFonts w:ascii="Book Antiqua" w:eastAsia="Book Antiqua" w:hAnsi="Book Antiqua" w:cs="Book Antiqua"/>
          <w:color w:val="000000"/>
        </w:rPr>
        <w:t>.</w:t>
      </w:r>
      <w:r w:rsidRPr="00633DA6">
        <w:rPr>
          <w:rFonts w:ascii="Book Antiqua" w:eastAsia="Book Antiqua" w:hAnsi="Book Antiqua" w:cs="Book Antiqua"/>
          <w:color w:val="000000"/>
        </w:rPr>
        <w:t>”</w:t>
      </w:r>
    </w:p>
    <w:p w14:paraId="15952AEC" w14:textId="77777777" w:rsidR="00A77B3E" w:rsidRPr="00633DA6" w:rsidRDefault="00A77B3E" w:rsidP="007F5BFE">
      <w:pPr>
        <w:spacing w:line="360" w:lineRule="auto"/>
        <w:jc w:val="both"/>
        <w:rPr>
          <w:rFonts w:ascii="Book Antiqua" w:hAnsi="Book Antiqua"/>
        </w:rPr>
      </w:pPr>
    </w:p>
    <w:p w14:paraId="169C6B31"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aps/>
          <w:color w:val="000000"/>
          <w:u w:val="single"/>
        </w:rPr>
        <w:t>COVID-19 PATHOGENESIS</w:t>
      </w:r>
    </w:p>
    <w:p w14:paraId="09C8E6E9" w14:textId="2A547812" w:rsidR="00A77B3E" w:rsidRPr="00633DA6" w:rsidRDefault="00D346F3" w:rsidP="00B15B99">
      <w:pPr>
        <w:spacing w:line="360" w:lineRule="auto"/>
        <w:jc w:val="both"/>
        <w:rPr>
          <w:rFonts w:ascii="Book Antiqua" w:hAnsi="Book Antiqua"/>
        </w:rPr>
      </w:pPr>
      <w:r w:rsidRPr="00633DA6">
        <w:rPr>
          <w:rFonts w:ascii="Book Antiqua" w:eastAsia="Book Antiqua" w:hAnsi="Book Antiqua" w:cs="Book Antiqua"/>
          <w:color w:val="000000"/>
        </w:rPr>
        <w:t>Variations in potency of the SARS-CoV-2 cell</w:t>
      </w:r>
      <w:r w:rsidR="00601F8D" w:rsidRPr="00633DA6">
        <w:rPr>
          <w:rFonts w:ascii="Book Antiqua" w:eastAsia="Book Antiqua" w:hAnsi="Book Antiqua" w:cs="Book Antiqua"/>
          <w:color w:val="000000"/>
        </w:rPr>
        <w:t xml:space="preserve"> </w:t>
      </w:r>
      <w:r w:rsidRPr="00633DA6">
        <w:rPr>
          <w:rFonts w:ascii="Book Antiqua" w:eastAsia="Book Antiqua" w:hAnsi="Book Antiqua" w:cs="Book Antiqua"/>
          <w:color w:val="000000"/>
        </w:rPr>
        <w:t xml:space="preserve">entry may account for discovering </w:t>
      </w:r>
      <w:r w:rsidR="00B15B99" w:rsidRPr="00633DA6">
        <w:rPr>
          <w:rFonts w:ascii="Book Antiqua" w:eastAsia="Book Antiqua" w:hAnsi="Book Antiqua" w:cs="Book Antiqua"/>
          <w:color w:val="000000"/>
        </w:rPr>
        <w:t>new solutions to deal with the virus</w:t>
      </w:r>
      <w:r w:rsidRPr="00633DA6">
        <w:rPr>
          <w:rFonts w:ascii="Book Antiqua" w:eastAsia="Book Antiqua" w:hAnsi="Book Antiqua" w:cs="Book Antiqua"/>
          <w:color w:val="000000"/>
        </w:rPr>
        <w:t>. It</w:t>
      </w:r>
      <w:r w:rsidR="00213419" w:rsidRPr="00633DA6">
        <w:rPr>
          <w:rFonts w:ascii="Book Antiqua" w:eastAsia="Book Antiqua" w:hAnsi="Book Antiqua" w:cs="Book Antiqua"/>
          <w:color w:val="000000"/>
        </w:rPr>
        <w:t xml:space="preserve"> ha</w:t>
      </w:r>
      <w:r w:rsidRPr="00633DA6">
        <w:rPr>
          <w:rFonts w:ascii="Book Antiqua" w:eastAsia="Book Antiqua" w:hAnsi="Book Antiqua" w:cs="Book Antiqua"/>
          <w:color w:val="000000"/>
        </w:rPr>
        <w:t>s been reported that the entrance of SARS-CoV-2 to the human cells victimizes the SARS-CoV receptor ACE2 and TMPRSS2 for the spike (S) supermolecule priming. It</w:t>
      </w:r>
      <w:r w:rsidR="00213419" w:rsidRPr="00633DA6">
        <w:rPr>
          <w:rFonts w:ascii="Book Antiqua" w:eastAsia="Book Antiqua" w:hAnsi="Book Antiqua" w:cs="Book Antiqua"/>
          <w:color w:val="000000"/>
        </w:rPr>
        <w:t xml:space="preserve"> i</w:t>
      </w:r>
      <w:r w:rsidRPr="00633DA6">
        <w:rPr>
          <w:rFonts w:ascii="Book Antiqua" w:eastAsia="Book Antiqua" w:hAnsi="Book Antiqua" w:cs="Book Antiqua"/>
          <w:color w:val="000000"/>
        </w:rPr>
        <w:t xml:space="preserve">s debatable whether the </w:t>
      </w:r>
      <w:r w:rsidR="00213419" w:rsidRPr="00633DA6">
        <w:rPr>
          <w:rFonts w:ascii="Book Antiqua" w:eastAsia="Book Antiqua" w:hAnsi="Book Antiqua" w:cs="Book Antiqua"/>
          <w:color w:val="000000"/>
        </w:rPr>
        <w:t>m</w:t>
      </w:r>
      <w:r w:rsidRPr="00633DA6">
        <w:rPr>
          <w:rFonts w:ascii="Book Antiqua" w:eastAsia="Book Antiqua" w:hAnsi="Book Antiqua" w:cs="Book Antiqua"/>
          <w:color w:val="000000"/>
        </w:rPr>
        <w:t xml:space="preserve">etallopeptidase domain seventeen [a disintegrin and metalloprotease domain 17 (ADAM17), also referred </w:t>
      </w:r>
      <w:r w:rsidR="00213419" w:rsidRPr="00633DA6">
        <w:rPr>
          <w:rFonts w:ascii="Book Antiqua" w:eastAsia="Book Antiqua" w:hAnsi="Book Antiqua" w:cs="Book Antiqua"/>
          <w:color w:val="000000"/>
        </w:rPr>
        <w:t xml:space="preserve">to </w:t>
      </w:r>
      <w:r w:rsidRPr="00633DA6">
        <w:rPr>
          <w:rFonts w:ascii="Book Antiqua" w:eastAsia="Book Antiqua" w:hAnsi="Book Antiqua" w:cs="Book Antiqua"/>
          <w:color w:val="000000"/>
        </w:rPr>
        <w:t>as the tumor necrosis factor (TNF)-α-converting accelerator] located in the ACE2 ectodomain shedding may or may not counteract the virus entry by increasing the number of soluble ACE2</w:t>
      </w:r>
      <w:r w:rsidR="000B2BD6"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or it solely contributes to the ACE1/ACE2 unbalancing, inflammation, and occlusion</w:t>
      </w:r>
      <w:r w:rsidRPr="00633DA6">
        <w:rPr>
          <w:rFonts w:ascii="Book Antiqua" w:eastAsia="Book Antiqua" w:hAnsi="Book Antiqua" w:cs="Book Antiqua"/>
          <w:color w:val="000000"/>
          <w:vertAlign w:val="superscript"/>
        </w:rPr>
        <w:t>[</w:t>
      </w:r>
      <w:hyperlink r:id="rId19" w:anchor="_ENREF_11" w:tooltip="Suárez-Fariñas, 2021 #10" w:history="1">
        <w:r w:rsidRPr="00633DA6">
          <w:rPr>
            <w:rFonts w:ascii="Book Antiqua" w:eastAsia="Book Antiqua" w:hAnsi="Book Antiqua" w:cs="Book Antiqua"/>
            <w:color w:val="000000"/>
            <w:u w:color="0000EE"/>
            <w:vertAlign w:val="superscript"/>
          </w:rPr>
          <w:t>11</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The ACE2-receptor/S-protein interaction could be a key factor for success of virus infection and willingness. Similarly, single ester polymorphisms located inside the TMPRSS2 factor (21q22.3) can play a more important role in respiratory disorder</w:t>
      </w:r>
      <w:r w:rsidRPr="00633DA6">
        <w:rPr>
          <w:rFonts w:ascii="Book Antiqua" w:eastAsia="Book Antiqua" w:hAnsi="Book Antiqua" w:cs="Book Antiqua"/>
          <w:color w:val="000000"/>
          <w:vertAlign w:val="superscript"/>
        </w:rPr>
        <w:t>[</w:t>
      </w:r>
      <w:hyperlink r:id="rId20" w:anchor="_ENREF_12" w:tooltip="Batchu, 2021 #37" w:history="1">
        <w:r w:rsidRPr="00633DA6">
          <w:rPr>
            <w:rFonts w:ascii="Book Antiqua" w:eastAsia="Book Antiqua" w:hAnsi="Book Antiqua" w:cs="Book Antiqua"/>
            <w:color w:val="000000"/>
            <w:u w:color="0000EE"/>
            <w:vertAlign w:val="superscript"/>
          </w:rPr>
          <w:t>12</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ACE1 and ACE2 collaborate with the renin-angiotensin system to balance the native vasoconstrictor/proliferative ACE1/angiotensin II/angiotensin II type 1/angiotensin (Ang) II/Ang type 1 receptor (ACE1/Ang-II type 1/AT1-axis), and vasodilator/antiproliferative </w:t>
      </w:r>
      <w:r w:rsidR="00DA50C9" w:rsidRPr="00633DA6">
        <w:rPr>
          <w:rFonts w:ascii="Book Antiqua" w:eastAsia="Book Antiqua" w:hAnsi="Book Antiqua" w:cs="Book Antiqua"/>
          <w:color w:val="000000"/>
        </w:rPr>
        <w:t>(</w:t>
      </w:r>
      <w:r w:rsidRPr="00633DA6">
        <w:rPr>
          <w:rFonts w:ascii="Book Antiqua" w:eastAsia="Book Antiqua" w:hAnsi="Book Antiqua" w:cs="Book Antiqua"/>
          <w:color w:val="000000"/>
        </w:rPr>
        <w:t>ACE2/Ang1-7/mitochondrial assembly-axis</w:t>
      </w:r>
      <w:r w:rsidR="00DA50C9"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actions. </w:t>
      </w:r>
      <w:r w:rsidRPr="00633DA6">
        <w:rPr>
          <w:rFonts w:ascii="Book Antiqua" w:eastAsia="Book Antiqua" w:hAnsi="Book Antiqua" w:cs="Book Antiqua"/>
          <w:color w:val="000000"/>
        </w:rPr>
        <w:lastRenderedPageBreak/>
        <w:t>This ends up in the protection of organs and blood vessels by the decoagulants, medicinal drugs, anti-proliferation, anti-fibrosis, anti-alveolar vegetative cell caspase-mediated cell death, and anti-oxidative stress activities that are able to antagonize the Ang-II effects</w:t>
      </w:r>
      <w:r w:rsidRPr="00633DA6">
        <w:rPr>
          <w:rFonts w:ascii="Book Antiqua" w:eastAsia="Book Antiqua" w:hAnsi="Book Antiqua" w:cs="Book Antiqua"/>
          <w:color w:val="000000"/>
          <w:vertAlign w:val="superscript"/>
        </w:rPr>
        <w:t>[</w:t>
      </w:r>
      <w:hyperlink r:id="rId21" w:anchor="_ENREF_11" w:tooltip="Suárez-Fariñas, 2021 #10" w:history="1">
        <w:r w:rsidRPr="00633DA6">
          <w:rPr>
            <w:rFonts w:ascii="Book Antiqua" w:eastAsia="Book Antiqua" w:hAnsi="Book Antiqua" w:cs="Book Antiqua"/>
            <w:color w:val="000000"/>
            <w:u w:color="0000EE"/>
            <w:vertAlign w:val="superscript"/>
          </w:rPr>
          <w:t>11</w:t>
        </w:r>
      </w:hyperlink>
      <w:r w:rsidRPr="00633DA6">
        <w:rPr>
          <w:rFonts w:ascii="Book Antiqua" w:eastAsia="Book Antiqua" w:hAnsi="Book Antiqua" w:cs="Book Antiqua"/>
          <w:color w:val="000000"/>
          <w:vertAlign w:val="superscript"/>
        </w:rPr>
        <w:t>,</w:t>
      </w:r>
      <w:hyperlink r:id="rId22" w:anchor="_ENREF_13" w:tooltip="Sakamoto, 2021 #12" w:history="1">
        <w:r w:rsidRPr="00633DA6">
          <w:rPr>
            <w:rFonts w:ascii="Book Antiqua" w:eastAsia="Book Antiqua" w:hAnsi="Book Antiqua" w:cs="Book Antiqua"/>
            <w:color w:val="000000"/>
            <w:u w:color="0000EE"/>
            <w:vertAlign w:val="superscript"/>
          </w:rPr>
          <w:t>13</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7B4F1D48" w14:textId="77777777" w:rsidR="00A77B3E" w:rsidRPr="00633DA6" w:rsidRDefault="00A77B3E" w:rsidP="007F5BFE">
      <w:pPr>
        <w:spacing w:line="360" w:lineRule="auto"/>
        <w:jc w:val="both"/>
        <w:rPr>
          <w:rFonts w:ascii="Book Antiqua" w:hAnsi="Book Antiqua"/>
        </w:rPr>
      </w:pPr>
    </w:p>
    <w:p w14:paraId="25234C8B"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aps/>
          <w:color w:val="000000"/>
          <w:u w:val="single"/>
        </w:rPr>
        <w:t>TMPRSS2 AND ACE2 STRUCTURE AND RELATED SIGNALING PATHWAYS</w:t>
      </w:r>
    </w:p>
    <w:p w14:paraId="563C2DDD" w14:textId="19868C55"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In a complex pathophysiological condition like COVID-19, the ACE2 cytoplasmic tail cleavage intervened by TMPRSS2 is a significant event to be considered (Figure 1). Cleavage of the ACE2 tail by TMPRSS2 increases viral load in objective cells</w:t>
      </w:r>
      <w:r w:rsidR="0070308C"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and TMPRSS2 could facilitate the SARS-CoV-2 passage </w:t>
      </w:r>
      <w:r w:rsidRPr="00633DA6">
        <w:rPr>
          <w:rFonts w:ascii="Book Antiqua" w:eastAsia="Book Antiqua" w:hAnsi="Book Antiqua" w:cs="Book Antiqua"/>
          <w:i/>
          <w:iCs/>
          <w:color w:val="000000"/>
        </w:rPr>
        <w:t>via</w:t>
      </w:r>
      <w:r w:rsidRPr="00633DA6">
        <w:rPr>
          <w:rFonts w:ascii="Book Antiqua" w:eastAsia="Book Antiqua" w:hAnsi="Book Antiqua" w:cs="Book Antiqua"/>
          <w:color w:val="000000"/>
        </w:rPr>
        <w:t xml:space="preserve"> the SARS-S cleavage, which induces the S protein for film combination. The ACE2 cleavage may enhance viral uptake through the cathepsin L-subordinate pathway, resulting in viral integration with the endosomal layer and eventually cell contamination</w:t>
      </w:r>
      <w:r w:rsidRPr="00633DA6">
        <w:rPr>
          <w:rFonts w:ascii="Book Antiqua" w:eastAsia="Book Antiqua" w:hAnsi="Book Antiqua" w:cs="Book Antiqua"/>
          <w:color w:val="000000"/>
          <w:vertAlign w:val="superscript"/>
        </w:rPr>
        <w:t>[</w:t>
      </w:r>
      <w:hyperlink r:id="rId23" w:anchor="_ENREF_11" w:tooltip="Suárez-Fariñas, 2021 #10" w:history="1">
        <w:r w:rsidRPr="00633DA6">
          <w:rPr>
            <w:rFonts w:ascii="Book Antiqua" w:eastAsia="Book Antiqua" w:hAnsi="Book Antiqua" w:cs="Book Antiqua"/>
            <w:color w:val="000000"/>
            <w:u w:color="0000EE"/>
            <w:vertAlign w:val="superscript"/>
          </w:rPr>
          <w:t>11</w:t>
        </w:r>
      </w:hyperlink>
      <w:r w:rsidRPr="00633DA6">
        <w:rPr>
          <w:rFonts w:ascii="Book Antiqua" w:eastAsia="Book Antiqua" w:hAnsi="Book Antiqua" w:cs="Book Antiqua"/>
          <w:color w:val="000000"/>
          <w:vertAlign w:val="superscript"/>
        </w:rPr>
        <w:t>,</w:t>
      </w:r>
      <w:hyperlink r:id="rId24" w:anchor="_ENREF_14" w:tooltip="Kermani, 2021 #40" w:history="1">
        <w:r w:rsidRPr="00633DA6">
          <w:rPr>
            <w:rFonts w:ascii="Book Antiqua" w:eastAsia="Book Antiqua" w:hAnsi="Book Antiqua" w:cs="Book Antiqua"/>
            <w:color w:val="000000"/>
            <w:u w:color="0000EE"/>
            <w:vertAlign w:val="superscript"/>
          </w:rPr>
          <w:t>14</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In spite of similar explicitness of TMPRSS2 and ADAM17 for ACE2, they act opposite for cleavage of ACE2. To start with, the divisions produced by the cleavage of these proteases have distinctive subatomic sizes, mainly due to various cleavage locales. Second, cleavage of ACE2 by ADAM17 forms the ACE2 ectodomain, which is shed into the extracellular medium, as the </w:t>
      </w:r>
      <w:r w:rsidR="000B2BD6" w:rsidRPr="00633DA6">
        <w:rPr>
          <w:rFonts w:ascii="Book Antiqua" w:eastAsia="Book Antiqua" w:hAnsi="Book Antiqua" w:cs="Book Antiqua"/>
          <w:color w:val="000000"/>
        </w:rPr>
        <w:t xml:space="preserve">soluble </w:t>
      </w:r>
      <w:r w:rsidRPr="00633DA6">
        <w:rPr>
          <w:rFonts w:ascii="Book Antiqua" w:eastAsia="Book Antiqua" w:hAnsi="Book Antiqua" w:cs="Book Antiqua"/>
          <w:color w:val="000000"/>
        </w:rPr>
        <w:t>ACE biologically dynamic structure</w:t>
      </w:r>
      <w:r w:rsidRPr="00633DA6">
        <w:rPr>
          <w:rFonts w:ascii="Book Antiqua" w:eastAsia="Book Antiqua" w:hAnsi="Book Antiqua" w:cs="Book Antiqua"/>
          <w:color w:val="000000"/>
          <w:vertAlign w:val="superscript"/>
        </w:rPr>
        <w:t>[</w:t>
      </w:r>
      <w:hyperlink r:id="rId25" w:anchor="_ENREF_15" w:tooltip="Wang, 2021 #41" w:history="1">
        <w:r w:rsidRPr="00633DA6">
          <w:rPr>
            <w:rFonts w:ascii="Book Antiqua" w:eastAsia="Book Antiqua" w:hAnsi="Book Antiqua" w:cs="Book Antiqua"/>
            <w:color w:val="000000"/>
            <w:u w:color="0000EE"/>
            <w:vertAlign w:val="superscript"/>
          </w:rPr>
          <w:t>15</w:t>
        </w:r>
      </w:hyperlink>
      <w:r w:rsidRPr="00633DA6">
        <w:rPr>
          <w:rFonts w:ascii="Book Antiqua" w:eastAsia="Book Antiqua" w:hAnsi="Book Antiqua" w:cs="Book Antiqua"/>
          <w:color w:val="000000"/>
          <w:vertAlign w:val="superscript"/>
        </w:rPr>
        <w:t>,</w:t>
      </w:r>
      <w:hyperlink r:id="rId26" w:anchor="_ENREF_16" w:tooltip="Calcagnile, 2021 #42" w:history="1">
        <w:r w:rsidRPr="00633DA6">
          <w:rPr>
            <w:rFonts w:ascii="Book Antiqua" w:eastAsia="Book Antiqua" w:hAnsi="Book Antiqua" w:cs="Book Antiqua"/>
            <w:color w:val="000000"/>
            <w:u w:color="0000EE"/>
            <w:vertAlign w:val="superscript"/>
          </w:rPr>
          <w:t>16</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w:t>
      </w:r>
      <w:r w:rsidRPr="00633DA6">
        <w:rPr>
          <w:rFonts w:ascii="Book Antiqua" w:eastAsia="Book Antiqua" w:hAnsi="Book Antiqua" w:cs="Book Antiqua"/>
          <w:i/>
          <w:iCs/>
          <w:color w:val="000000"/>
        </w:rPr>
        <w:t>In vitro</w:t>
      </w:r>
      <w:r w:rsidRPr="00633DA6">
        <w:rPr>
          <w:rFonts w:ascii="Book Antiqua" w:eastAsia="Book Antiqua" w:hAnsi="Book Antiqua" w:cs="Book Antiqua"/>
          <w:color w:val="000000"/>
        </w:rPr>
        <w:t xml:space="preserve"> studies have shown that the ACE2 ectodomain do</w:t>
      </w:r>
      <w:r w:rsidR="00903EAA" w:rsidRPr="00633DA6">
        <w:rPr>
          <w:rFonts w:ascii="Book Antiqua" w:eastAsia="Book Antiqua" w:hAnsi="Book Antiqua" w:cs="Book Antiqua"/>
          <w:color w:val="000000"/>
        </w:rPr>
        <w:t>e</w:t>
      </w:r>
      <w:r w:rsidRPr="00633DA6">
        <w:rPr>
          <w:rFonts w:ascii="Book Antiqua" w:eastAsia="Book Antiqua" w:hAnsi="Book Antiqua" w:cs="Book Antiqua"/>
          <w:color w:val="000000"/>
        </w:rPr>
        <w:t xml:space="preserve">s not separate from the TMPRRS2-induced ACE2 cleavage. This was evidenced by a C-terminal intracellular cleavage. In this manner, the distinctions in the cleavage destinations and its organic outcomes might be basic. For sure, just the </w:t>
      </w:r>
      <w:r w:rsidR="000B2BD6" w:rsidRPr="00633DA6">
        <w:rPr>
          <w:rFonts w:ascii="Book Antiqua" w:eastAsia="Book Antiqua" w:hAnsi="Book Antiqua" w:cs="Book Antiqua"/>
          <w:color w:val="000000"/>
        </w:rPr>
        <w:t xml:space="preserve">soluble </w:t>
      </w:r>
      <w:r w:rsidRPr="00633DA6">
        <w:rPr>
          <w:rFonts w:ascii="Book Antiqua" w:eastAsia="Book Antiqua" w:hAnsi="Book Antiqua" w:cs="Book Antiqua"/>
          <w:color w:val="000000"/>
        </w:rPr>
        <w:t>ACE2 structure would have a defensive impact on prevention of viral particle aggregations</w:t>
      </w:r>
      <w:r w:rsidRPr="00633DA6">
        <w:rPr>
          <w:rFonts w:ascii="Book Antiqua" w:eastAsia="Book Antiqua" w:hAnsi="Book Antiqua" w:cs="Book Antiqua"/>
          <w:color w:val="000000"/>
          <w:vertAlign w:val="superscript"/>
        </w:rPr>
        <w:t>[</w:t>
      </w:r>
      <w:hyperlink r:id="rId27" w:anchor="_ENREF_17" w:tooltip="Zarubin, 2021 #46" w:history="1">
        <w:r w:rsidRPr="00633DA6">
          <w:rPr>
            <w:rFonts w:ascii="Book Antiqua" w:eastAsia="Book Antiqua" w:hAnsi="Book Antiqua" w:cs="Book Antiqua"/>
            <w:color w:val="000000"/>
            <w:u w:color="0000EE"/>
            <w:vertAlign w:val="superscript"/>
          </w:rPr>
          <w:t>17</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Therefore, overexpression of ADAM17 and TMPRSS2 could be a primary factor in inflammation storm that is characterized by negative features such as </w:t>
      </w:r>
      <w:r w:rsidR="000B2BD6" w:rsidRPr="00633DA6">
        <w:rPr>
          <w:rFonts w:ascii="Book Antiqua" w:eastAsia="Book Antiqua" w:hAnsi="Book Antiqua" w:cs="Book Antiqua"/>
          <w:color w:val="000000"/>
        </w:rPr>
        <w:t>renin-angiotensin system</w:t>
      </w:r>
      <w:r w:rsidRPr="00633DA6">
        <w:rPr>
          <w:rFonts w:ascii="Book Antiqua" w:eastAsia="Book Antiqua" w:hAnsi="Book Antiqua" w:cs="Book Antiqua"/>
          <w:color w:val="000000"/>
        </w:rPr>
        <w:t xml:space="preserve"> lopsidedness, intense irritation, and intravascular coagulation in older</w:t>
      </w:r>
      <w:r w:rsidR="00745D7B" w:rsidRPr="00633DA6">
        <w:rPr>
          <w:rFonts w:ascii="Book Antiqua" w:eastAsia="Book Antiqua" w:hAnsi="Book Antiqua" w:cs="Book Antiqua"/>
          <w:color w:val="000000"/>
        </w:rPr>
        <w:t xml:space="preserve"> </w:t>
      </w:r>
      <w:r w:rsidRPr="00633DA6">
        <w:rPr>
          <w:rFonts w:ascii="Book Antiqua" w:eastAsia="Book Antiqua" w:hAnsi="Book Antiqua" w:cs="Book Antiqua"/>
          <w:color w:val="000000"/>
        </w:rPr>
        <w:t>population</w:t>
      </w:r>
      <w:r w:rsidR="00745D7B" w:rsidRPr="00633DA6">
        <w:rPr>
          <w:rFonts w:ascii="Book Antiqua" w:eastAsia="Book Antiqua" w:hAnsi="Book Antiqua" w:cs="Book Antiqua"/>
          <w:color w:val="000000"/>
        </w:rPr>
        <w:t>s</w:t>
      </w:r>
      <w:r w:rsidRPr="00633DA6">
        <w:rPr>
          <w:rFonts w:ascii="Book Antiqua" w:eastAsia="Book Antiqua" w:hAnsi="Book Antiqua" w:cs="Book Antiqua"/>
          <w:color w:val="000000"/>
        </w:rPr>
        <w:t xml:space="preserve"> with COVID-19 comorbidities. Initiation of inflammation cycles is a key element for SARS-CoV-2 contamination</w:t>
      </w:r>
      <w:r w:rsidRPr="00633DA6">
        <w:rPr>
          <w:rFonts w:ascii="Book Antiqua" w:eastAsia="Book Antiqua" w:hAnsi="Book Antiqua" w:cs="Book Antiqua"/>
          <w:color w:val="000000"/>
          <w:vertAlign w:val="superscript"/>
        </w:rPr>
        <w:t>[</w:t>
      </w:r>
      <w:hyperlink r:id="rId28" w:anchor="_ENREF_18" w:tooltip="Ozono, 2021 #43" w:history="1">
        <w:r w:rsidRPr="00633DA6">
          <w:rPr>
            <w:rFonts w:ascii="Book Antiqua" w:eastAsia="Book Antiqua" w:hAnsi="Book Antiqua" w:cs="Book Antiqua"/>
            <w:color w:val="000000"/>
            <w:u w:color="0000EE"/>
            <w:vertAlign w:val="superscript"/>
          </w:rPr>
          <w:t>18</w:t>
        </w:r>
      </w:hyperlink>
      <w:r w:rsidRPr="00633DA6">
        <w:rPr>
          <w:rFonts w:ascii="Book Antiqua" w:eastAsia="Book Antiqua" w:hAnsi="Book Antiqua" w:cs="Book Antiqua"/>
          <w:color w:val="000000"/>
          <w:vertAlign w:val="superscript"/>
        </w:rPr>
        <w:t>,</w:t>
      </w:r>
      <w:hyperlink r:id="rId29" w:anchor="_ENREF_19" w:tooltip="Beyerstedt, 2021 #45" w:history="1">
        <w:r w:rsidRPr="00633DA6">
          <w:rPr>
            <w:rFonts w:ascii="Book Antiqua" w:eastAsia="Book Antiqua" w:hAnsi="Book Antiqua" w:cs="Book Antiqua"/>
            <w:color w:val="000000"/>
            <w:u w:color="0000EE"/>
            <w:vertAlign w:val="superscript"/>
          </w:rPr>
          <w:t>19</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5DB8480E" w14:textId="77777777" w:rsidR="00A77B3E" w:rsidRPr="00633DA6" w:rsidRDefault="00A77B3E" w:rsidP="007F5BFE">
      <w:pPr>
        <w:spacing w:line="360" w:lineRule="auto"/>
        <w:jc w:val="both"/>
        <w:rPr>
          <w:rFonts w:ascii="Book Antiqua" w:hAnsi="Book Antiqua"/>
        </w:rPr>
      </w:pPr>
    </w:p>
    <w:p w14:paraId="01B139F3"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aps/>
          <w:color w:val="000000"/>
          <w:u w:val="single"/>
        </w:rPr>
        <w:t>TMRPSS2 AND ACE2 INFLAMMATORY PATHWAY</w:t>
      </w:r>
    </w:p>
    <w:p w14:paraId="0708D23B" w14:textId="63883762" w:rsidR="00A77B3E" w:rsidRPr="00633DA6" w:rsidRDefault="00D346F3" w:rsidP="000716B8">
      <w:pPr>
        <w:spacing w:line="360" w:lineRule="auto"/>
        <w:jc w:val="both"/>
        <w:rPr>
          <w:rFonts w:ascii="Book Antiqua" w:hAnsi="Book Antiqua"/>
        </w:rPr>
      </w:pPr>
      <w:r w:rsidRPr="00633DA6">
        <w:rPr>
          <w:rFonts w:ascii="Book Antiqua" w:eastAsia="Book Antiqua" w:hAnsi="Book Antiqua" w:cs="Book Antiqua"/>
          <w:color w:val="000000"/>
        </w:rPr>
        <w:lastRenderedPageBreak/>
        <w:t xml:space="preserve">ACE2 is the main receptor for SARS-CoV-2, providing additional insurance against the destructive impacts of viral diseases. Moreover, as referenced above, solid confirmations indicate that the outflow of ACE2 </w:t>
      </w:r>
      <w:r w:rsidR="000716B8" w:rsidRPr="00633DA6">
        <w:rPr>
          <w:rFonts w:ascii="Book Antiqua" w:eastAsia="Book Antiqua" w:hAnsi="Book Antiqua" w:cs="Book Antiqua"/>
          <w:color w:val="000000"/>
        </w:rPr>
        <w:t>is</w:t>
      </w:r>
      <w:r w:rsidR="00C639A4" w:rsidRPr="00633DA6">
        <w:rPr>
          <w:rFonts w:ascii="Book Antiqua" w:eastAsia="Book Antiqua" w:hAnsi="Book Antiqua" w:cs="Book Antiqua"/>
          <w:color w:val="000000"/>
        </w:rPr>
        <w:t xml:space="preserve"> </w:t>
      </w:r>
      <w:r w:rsidRPr="00633DA6">
        <w:rPr>
          <w:rFonts w:ascii="Book Antiqua" w:eastAsia="Book Antiqua" w:hAnsi="Book Antiqua" w:cs="Book Antiqua"/>
          <w:color w:val="000000"/>
        </w:rPr>
        <w:t>dependent on the companion of hormonal, hereditary, and age-related systems</w:t>
      </w:r>
      <w:r w:rsidRPr="00633DA6">
        <w:rPr>
          <w:rFonts w:ascii="Book Antiqua" w:eastAsia="Book Antiqua" w:hAnsi="Book Antiqua" w:cs="Book Antiqua"/>
          <w:color w:val="000000"/>
          <w:vertAlign w:val="superscript"/>
        </w:rPr>
        <w:t>[</w:t>
      </w:r>
      <w:hyperlink r:id="rId30" w:anchor="_ENREF_20" w:tooltip="Potdar, 2021 #47" w:history="1">
        <w:r w:rsidRPr="00633DA6">
          <w:rPr>
            <w:rFonts w:ascii="Book Antiqua" w:eastAsia="Book Antiqua" w:hAnsi="Book Antiqua" w:cs="Book Antiqua"/>
            <w:color w:val="000000"/>
            <w:u w:color="0000EE"/>
            <w:vertAlign w:val="superscript"/>
          </w:rPr>
          <w:t>20</w:t>
        </w:r>
      </w:hyperlink>
      <w:r w:rsidRPr="00633DA6">
        <w:rPr>
          <w:rFonts w:ascii="Book Antiqua" w:eastAsia="Book Antiqua" w:hAnsi="Book Antiqua" w:cs="Book Antiqua"/>
          <w:color w:val="000000"/>
          <w:vertAlign w:val="superscript"/>
        </w:rPr>
        <w:t>,</w:t>
      </w:r>
      <w:hyperlink r:id="rId31" w:anchor="_ENREF_21" w:tooltip="Kyrou, 2021 #48" w:history="1">
        <w:r w:rsidRPr="00633DA6">
          <w:rPr>
            <w:rFonts w:ascii="Book Antiqua" w:eastAsia="Book Antiqua" w:hAnsi="Book Antiqua" w:cs="Book Antiqua"/>
            <w:color w:val="000000"/>
            <w:u w:color="0000EE"/>
            <w:vertAlign w:val="superscript"/>
          </w:rPr>
          <w:t>21</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Overaction of ADAM17 in both COVID-19 and the plasma level of ACE2 has been confirmed by several reports. Overexpression of</w:t>
      </w:r>
      <w:r w:rsidR="00C639A4" w:rsidRPr="00633DA6">
        <w:rPr>
          <w:rFonts w:ascii="Book Antiqua" w:eastAsia="Book Antiqua" w:hAnsi="Book Antiqua" w:cs="Book Antiqua"/>
          <w:color w:val="000000"/>
        </w:rPr>
        <w:t xml:space="preserve"> the</w:t>
      </w:r>
      <w:r w:rsidRPr="00633DA6">
        <w:rPr>
          <w:rFonts w:ascii="Book Antiqua" w:eastAsia="Book Antiqua" w:hAnsi="Book Antiqua" w:cs="Book Antiqua"/>
          <w:color w:val="000000"/>
        </w:rPr>
        <w:t xml:space="preserve"> </w:t>
      </w:r>
      <w:r w:rsidRPr="00633DA6">
        <w:rPr>
          <w:rFonts w:ascii="Book Antiqua" w:eastAsia="Book Antiqua" w:hAnsi="Book Antiqua" w:cs="Book Antiqua"/>
          <w:i/>
          <w:iCs/>
          <w:color w:val="000000"/>
        </w:rPr>
        <w:t>ADAM17</w:t>
      </w:r>
      <w:r w:rsidRPr="00633DA6">
        <w:rPr>
          <w:rFonts w:ascii="Book Antiqua" w:eastAsia="Book Antiqua" w:hAnsi="Book Antiqua" w:cs="Book Antiqua"/>
          <w:color w:val="000000"/>
        </w:rPr>
        <w:t xml:space="preserve"> gene and its protein level have been implicated in several inflammatory conditions including IBD</w:t>
      </w:r>
      <w:r w:rsidRPr="00633DA6">
        <w:rPr>
          <w:rFonts w:ascii="Book Antiqua" w:eastAsia="Book Antiqua" w:hAnsi="Book Antiqua" w:cs="Book Antiqua"/>
          <w:color w:val="000000"/>
          <w:vertAlign w:val="superscript"/>
        </w:rPr>
        <w:t>[</w:t>
      </w:r>
      <w:hyperlink r:id="rId32" w:anchor="_ENREF_22" w:tooltip="Asselta, 2020 #49" w:history="1">
        <w:r w:rsidRPr="00633DA6">
          <w:rPr>
            <w:rFonts w:ascii="Book Antiqua" w:eastAsia="Book Antiqua" w:hAnsi="Book Antiqua" w:cs="Book Antiqua"/>
            <w:color w:val="000000"/>
            <w:u w:color="0000EE"/>
            <w:vertAlign w:val="superscript"/>
          </w:rPr>
          <w:t>22</w:t>
        </w:r>
      </w:hyperlink>
      <w:r w:rsidRPr="00633DA6">
        <w:rPr>
          <w:rFonts w:ascii="Book Antiqua" w:eastAsia="Book Antiqua" w:hAnsi="Book Antiqua" w:cs="Book Antiqua"/>
          <w:color w:val="000000"/>
          <w:vertAlign w:val="superscript"/>
        </w:rPr>
        <w:t>,</w:t>
      </w:r>
      <w:hyperlink r:id="rId33" w:anchor="_ENREF_23" w:tooltip="Dong, 2020 #22" w:history="1">
        <w:r w:rsidRPr="00633DA6">
          <w:rPr>
            <w:rFonts w:ascii="Book Antiqua" w:eastAsia="Book Antiqua" w:hAnsi="Book Antiqua" w:cs="Book Antiqua"/>
            <w:color w:val="000000"/>
            <w:u w:color="0000EE"/>
            <w:vertAlign w:val="superscript"/>
          </w:rPr>
          <w:t>23</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High levels of inflammatory cytokines and chemokines in COVID-19 patients are accounted for </w:t>
      </w:r>
      <w:r w:rsidR="00C639A4" w:rsidRPr="00633DA6">
        <w:rPr>
          <w:rFonts w:ascii="Book Antiqua" w:eastAsia="Book Antiqua" w:hAnsi="Book Antiqua" w:cs="Book Antiqua"/>
          <w:color w:val="000000"/>
        </w:rPr>
        <w:t xml:space="preserve">by </w:t>
      </w:r>
      <w:r w:rsidRPr="00633DA6">
        <w:rPr>
          <w:rFonts w:ascii="Book Antiqua" w:eastAsia="Book Antiqua" w:hAnsi="Book Antiqua" w:cs="Book Antiqua"/>
          <w:color w:val="000000"/>
        </w:rPr>
        <w:t xml:space="preserve">more elevated levels of interleukin (IL)-2, IL-7, IL-10, granulocyte colony-stimulating factor, interferon gamma-induced protein 10, monocyte chemoattractant protein 1, macrophage inflammatory proteins-1A, and TNF-α. </w:t>
      </w:r>
      <w:r w:rsidR="00C639A4" w:rsidRPr="00633DA6">
        <w:rPr>
          <w:rFonts w:ascii="Book Antiqua" w:eastAsia="Book Antiqua" w:hAnsi="Book Antiqua" w:cs="Book Antiqua"/>
          <w:color w:val="000000"/>
        </w:rPr>
        <w:t>A s</w:t>
      </w:r>
      <w:r w:rsidRPr="00633DA6">
        <w:rPr>
          <w:rFonts w:ascii="Book Antiqua" w:eastAsia="Book Antiqua" w:hAnsi="Book Antiqua" w:cs="Book Antiqua"/>
          <w:color w:val="000000"/>
        </w:rPr>
        <w:t>ignificant effect of</w:t>
      </w:r>
      <w:r w:rsidR="00C639A4" w:rsidRPr="00633DA6">
        <w:rPr>
          <w:rFonts w:ascii="Book Antiqua" w:eastAsia="Book Antiqua" w:hAnsi="Book Antiqua" w:cs="Book Antiqua"/>
          <w:color w:val="000000"/>
        </w:rPr>
        <w:t xml:space="preserve"> the</w:t>
      </w:r>
      <w:r w:rsidRPr="00633DA6">
        <w:rPr>
          <w:rFonts w:ascii="Book Antiqua" w:eastAsia="Book Antiqua" w:hAnsi="Book Antiqua" w:cs="Book Antiqua"/>
          <w:color w:val="000000"/>
        </w:rPr>
        <w:t xml:space="preserve"> </w:t>
      </w:r>
      <w:r w:rsidR="00C639A4" w:rsidRPr="00633DA6">
        <w:rPr>
          <w:rFonts w:ascii="Book Antiqua" w:eastAsia="Book Antiqua" w:hAnsi="Book Antiqua" w:cs="Book Antiqua"/>
          <w:color w:val="000000"/>
        </w:rPr>
        <w:t>“</w:t>
      </w:r>
      <w:r w:rsidRPr="00633DA6">
        <w:rPr>
          <w:rFonts w:ascii="Book Antiqua" w:eastAsia="Book Antiqua" w:hAnsi="Book Antiqua" w:cs="Book Antiqua"/>
          <w:color w:val="000000"/>
        </w:rPr>
        <w:t>fiery wave</w:t>
      </w:r>
      <w:r w:rsidR="00C639A4"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in COVID-19 indicates the cytokine storm may be firmly connected with the seriousness of the infection</w:t>
      </w:r>
      <w:r w:rsidRPr="00633DA6">
        <w:rPr>
          <w:rFonts w:ascii="Book Antiqua" w:eastAsia="Book Antiqua" w:hAnsi="Book Antiqua" w:cs="Book Antiqua"/>
          <w:color w:val="000000"/>
          <w:vertAlign w:val="superscript"/>
        </w:rPr>
        <w:t>[</w:t>
      </w:r>
      <w:hyperlink r:id="rId34" w:anchor="_ENREF_24" w:tooltip="Xiao, 2020 #51" w:history="1">
        <w:r w:rsidRPr="00633DA6">
          <w:rPr>
            <w:rFonts w:ascii="Book Antiqua" w:eastAsia="Book Antiqua" w:hAnsi="Book Antiqua" w:cs="Book Antiqua"/>
            <w:color w:val="000000"/>
            <w:u w:color="0000EE"/>
            <w:vertAlign w:val="superscript"/>
          </w:rPr>
          <w:t>24</w:t>
        </w:r>
      </w:hyperlink>
      <w:r w:rsidRPr="00633DA6">
        <w:rPr>
          <w:rFonts w:ascii="Book Antiqua" w:eastAsia="Book Antiqua" w:hAnsi="Book Antiqua" w:cs="Book Antiqua"/>
          <w:color w:val="000000"/>
          <w:vertAlign w:val="superscript"/>
        </w:rPr>
        <w:t>,</w:t>
      </w:r>
      <w:hyperlink r:id="rId35" w:anchor="_ENREF_25" w:tooltip="Nowak, 2020 #24" w:history="1">
        <w:r w:rsidRPr="00633DA6">
          <w:rPr>
            <w:rFonts w:ascii="Book Antiqua" w:eastAsia="Book Antiqua" w:hAnsi="Book Antiqua" w:cs="Book Antiqua"/>
            <w:color w:val="000000"/>
            <w:u w:color="0000EE"/>
            <w:vertAlign w:val="superscript"/>
          </w:rPr>
          <w:t>25</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The ‘cytokine storm’ is a significant target for research about the pathogenic cycles in SARS-CoV–2 contaminations and is a way to recognize new restorative targets. On the other hand, blockade of SARS-CoV–ACE2 in the ACE2 cytoplasmic domain pathway results in upregulation of ADAM17 activity. Upregulated ADAM17 increases the ACE2 ectodomain proteolytic cleavage</w:t>
      </w:r>
      <w:r w:rsidRPr="00633DA6">
        <w:rPr>
          <w:rFonts w:ascii="Book Antiqua" w:eastAsia="Book Antiqua" w:hAnsi="Book Antiqua" w:cs="Book Antiqua"/>
          <w:color w:val="000000"/>
          <w:vertAlign w:val="superscript"/>
        </w:rPr>
        <w:t>[</w:t>
      </w:r>
      <w:hyperlink r:id="rId36" w:anchor="_ENREF_26" w:tooltip="de Lucena, 2020 #53" w:history="1">
        <w:r w:rsidRPr="00633DA6">
          <w:rPr>
            <w:rFonts w:ascii="Book Antiqua" w:eastAsia="Book Antiqua" w:hAnsi="Book Antiqua" w:cs="Book Antiqua"/>
            <w:color w:val="000000"/>
            <w:u w:color="0000EE"/>
            <w:vertAlign w:val="superscript"/>
          </w:rPr>
          <w:t>26</w:t>
        </w:r>
      </w:hyperlink>
      <w:r w:rsidRPr="00633DA6">
        <w:rPr>
          <w:rFonts w:ascii="Book Antiqua" w:eastAsia="Book Antiqua" w:hAnsi="Book Antiqua" w:cs="Book Antiqua"/>
          <w:color w:val="000000"/>
          <w:vertAlign w:val="superscript"/>
        </w:rPr>
        <w:t>,</w:t>
      </w:r>
      <w:hyperlink r:id="rId37" w:anchor="_ENREF_27" w:tooltip="Rothan, 2021 #54" w:history="1">
        <w:r w:rsidRPr="00633DA6">
          <w:rPr>
            <w:rFonts w:ascii="Book Antiqua" w:eastAsia="Book Antiqua" w:hAnsi="Book Antiqua" w:cs="Book Antiqua"/>
            <w:color w:val="000000"/>
            <w:u w:color="0000EE"/>
            <w:vertAlign w:val="superscript"/>
          </w:rPr>
          <w:t>27</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Similar to the ACE2 tail cleavage, ADAM17 upregulation is essential for SARS-CoV infection. Finally, excessive activity of ADAM17 induces proinflammatory mediators, thus upregulating the inflammatory pathway during SARS-CoV-2 infection. ACE2 can be cleaved by the activity of TMPRSS2 protease</w:t>
      </w:r>
      <w:r w:rsidRPr="00633DA6">
        <w:rPr>
          <w:rFonts w:ascii="Book Antiqua" w:eastAsia="Book Antiqua" w:hAnsi="Book Antiqua" w:cs="Book Antiqua"/>
          <w:color w:val="000000"/>
          <w:vertAlign w:val="superscript"/>
        </w:rPr>
        <w:t>[</w:t>
      </w:r>
      <w:hyperlink r:id="rId38" w:anchor="_ENREF_28" w:tooltip="Zipeto, 2020 #55" w:history="1">
        <w:r w:rsidRPr="00633DA6">
          <w:rPr>
            <w:rFonts w:ascii="Book Antiqua" w:eastAsia="Book Antiqua" w:hAnsi="Book Antiqua" w:cs="Book Antiqua"/>
            <w:color w:val="000000"/>
            <w:u w:color="0000EE"/>
            <w:vertAlign w:val="superscript"/>
          </w:rPr>
          <w:t>28</w:t>
        </w:r>
      </w:hyperlink>
      <w:r w:rsidRPr="00633DA6">
        <w:rPr>
          <w:rFonts w:ascii="Book Antiqua" w:eastAsia="Book Antiqua" w:hAnsi="Book Antiqua" w:cs="Book Antiqua"/>
          <w:color w:val="000000"/>
          <w:vertAlign w:val="superscript"/>
        </w:rPr>
        <w:t>,</w:t>
      </w:r>
      <w:hyperlink r:id="rId39" w:anchor="_ENREF_29" w:tooltip="Abassi, 2020 #28" w:history="1">
        <w:r w:rsidRPr="00633DA6">
          <w:rPr>
            <w:rFonts w:ascii="Book Antiqua" w:eastAsia="Book Antiqua" w:hAnsi="Book Antiqua" w:cs="Book Antiqua"/>
            <w:color w:val="000000"/>
            <w:u w:color="0000EE"/>
            <w:vertAlign w:val="superscript"/>
          </w:rPr>
          <w:t>29</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TMPRSS2-induced ACE2 cytoplasmic tail cleavage may incite the viral uptake through a cathepsin L-subordinate pathway. Of note, </w:t>
      </w:r>
      <w:r w:rsidR="004A3450" w:rsidRPr="00633DA6">
        <w:rPr>
          <w:rFonts w:ascii="Book Antiqua" w:eastAsia="Book Antiqua" w:hAnsi="Book Antiqua" w:cs="Book Antiqua"/>
          <w:color w:val="000000"/>
        </w:rPr>
        <w:t>acute respiratory distress syndrome</w:t>
      </w:r>
      <w:r w:rsidRPr="00633DA6">
        <w:rPr>
          <w:rFonts w:ascii="Book Antiqua" w:eastAsia="Book Antiqua" w:hAnsi="Book Antiqua" w:cs="Book Antiqua"/>
          <w:color w:val="000000"/>
        </w:rPr>
        <w:t xml:space="preserve"> is a delayed consequence of an aberrant generation of proinflammatory cytokines/chemokines or the </w:t>
      </w:r>
      <w:r w:rsidR="001B70B2" w:rsidRPr="00633DA6">
        <w:rPr>
          <w:rFonts w:ascii="Book Antiqua" w:eastAsia="Book Antiqua" w:hAnsi="Book Antiqua" w:cs="Book Antiqua"/>
          <w:color w:val="000000"/>
        </w:rPr>
        <w:t>‘</w:t>
      </w:r>
      <w:r w:rsidRPr="00633DA6">
        <w:rPr>
          <w:rFonts w:ascii="Book Antiqua" w:eastAsia="Book Antiqua" w:hAnsi="Book Antiqua" w:cs="Book Antiqua"/>
          <w:color w:val="000000"/>
        </w:rPr>
        <w:t>cytokine storm</w:t>
      </w:r>
      <w:r w:rsidR="001B70B2"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by effector cells</w:t>
      </w:r>
      <w:r w:rsidRPr="00633DA6">
        <w:rPr>
          <w:rFonts w:ascii="Book Antiqua" w:eastAsia="Book Antiqua" w:hAnsi="Book Antiqua" w:cs="Book Antiqua"/>
          <w:color w:val="000000"/>
          <w:vertAlign w:val="superscript"/>
        </w:rPr>
        <w:t>[</w:t>
      </w:r>
      <w:hyperlink r:id="rId40" w:anchor="_ENREF_30" w:tooltip="Burgueño, 2020 #57" w:history="1">
        <w:r w:rsidRPr="00633DA6">
          <w:rPr>
            <w:rFonts w:ascii="Book Antiqua" w:eastAsia="Book Antiqua" w:hAnsi="Book Antiqua" w:cs="Book Antiqua"/>
            <w:color w:val="000000"/>
            <w:u w:color="0000EE"/>
            <w:vertAlign w:val="superscript"/>
          </w:rPr>
          <w:t>30-32</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7875E8B1" w14:textId="77777777" w:rsidR="00A77B3E" w:rsidRPr="00633DA6" w:rsidRDefault="00A77B3E" w:rsidP="007F5BFE">
      <w:pPr>
        <w:spacing w:line="360" w:lineRule="auto"/>
        <w:jc w:val="both"/>
        <w:rPr>
          <w:rFonts w:ascii="Book Antiqua" w:hAnsi="Book Antiqua"/>
        </w:rPr>
      </w:pPr>
    </w:p>
    <w:p w14:paraId="5E6CB52B"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aps/>
          <w:color w:val="000000"/>
          <w:u w:val="single"/>
        </w:rPr>
        <w:t>COVID-19 INDUCED IBD: CORRELATIONS AND OVERLAPPING OF INFLAMMATORY PATHOGENESIS</w:t>
      </w:r>
    </w:p>
    <w:p w14:paraId="0B6F0C50" w14:textId="784A6FC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The SARS-CoV-2 receptor ACE2 and TMPRSS2 receptor are central factors in COVID-19-induced IBD pathogenesis (Table 1 and Figure 1). These receptors are often found </w:t>
      </w:r>
      <w:r w:rsidRPr="00633DA6">
        <w:rPr>
          <w:rFonts w:ascii="Book Antiqua" w:eastAsia="Book Antiqua" w:hAnsi="Book Antiqua" w:cs="Book Antiqua"/>
          <w:color w:val="000000"/>
        </w:rPr>
        <w:lastRenderedPageBreak/>
        <w:t xml:space="preserve">within the lower respiratory lot </w:t>
      </w:r>
      <w:r w:rsidR="00C62F21" w:rsidRPr="00633DA6">
        <w:rPr>
          <w:rFonts w:ascii="Book Antiqua" w:eastAsia="Book Antiqua" w:hAnsi="Book Antiqua" w:cs="Book Antiqua"/>
          <w:color w:val="000000"/>
        </w:rPr>
        <w:t xml:space="preserve">of </w:t>
      </w:r>
      <w:r w:rsidRPr="00633DA6">
        <w:rPr>
          <w:rFonts w:ascii="Book Antiqua" w:eastAsia="Book Antiqua" w:hAnsi="Book Antiqua" w:cs="Book Antiqua"/>
          <w:color w:val="000000"/>
        </w:rPr>
        <w:t>pneumocytes and the gastrointestinal trac</w:t>
      </w:r>
      <w:r w:rsidR="00C62F21" w:rsidRPr="00633DA6">
        <w:rPr>
          <w:rFonts w:ascii="Book Antiqua" w:eastAsia="Book Antiqua" w:hAnsi="Book Antiqua" w:cs="Book Antiqua"/>
          <w:color w:val="000000"/>
        </w:rPr>
        <w:t>t</w:t>
      </w:r>
      <w:r w:rsidRPr="00633DA6">
        <w:rPr>
          <w:rFonts w:ascii="Book Antiqua" w:eastAsia="Book Antiqua" w:hAnsi="Book Antiqua" w:cs="Book Antiqua"/>
          <w:color w:val="000000"/>
          <w:vertAlign w:val="superscript"/>
        </w:rPr>
        <w:t>[</w:t>
      </w:r>
      <w:hyperlink r:id="rId41" w:anchor="_ENREF_7" w:tooltip="Neurath, 2020 #60" w:history="1">
        <w:r w:rsidRPr="00633DA6">
          <w:rPr>
            <w:rFonts w:ascii="Book Antiqua" w:eastAsia="Book Antiqua" w:hAnsi="Book Antiqua" w:cs="Book Antiqua"/>
            <w:color w:val="000000"/>
            <w:u w:color="0000EE"/>
            <w:vertAlign w:val="superscript"/>
          </w:rPr>
          <w:t>7</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The ACE2 receptors are frequently located within the terminal ileum and colon. It was shown that the convergence of these receptors was higher in IBD patients</w:t>
      </w:r>
      <w:r w:rsidR="009A6539"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in both the energetic and calm stages of the disease</w:t>
      </w:r>
      <w:r w:rsidRPr="00633DA6">
        <w:rPr>
          <w:rFonts w:ascii="Book Antiqua" w:eastAsia="Book Antiqua" w:hAnsi="Book Antiqua" w:cs="Book Antiqua"/>
          <w:color w:val="000000"/>
          <w:vertAlign w:val="superscript"/>
        </w:rPr>
        <w:t>[</w:t>
      </w:r>
      <w:hyperlink r:id="rId42" w:anchor="_ENREF_33" w:tooltip="Queiroz, 2020 #32" w:history="1">
        <w:r w:rsidRPr="00633DA6">
          <w:rPr>
            <w:rFonts w:ascii="Book Antiqua" w:eastAsia="Book Antiqua" w:hAnsi="Book Antiqua" w:cs="Book Antiqua"/>
            <w:color w:val="000000"/>
            <w:u w:color="0000EE"/>
            <w:vertAlign w:val="superscript"/>
          </w:rPr>
          <w:t>33</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The ACE2 receptors are a part of the renin angiotensin-aldosterone system that is assumed to play critical roles in controlling the provocative handle. Terminal ileum and the colon are the most affected areas in IBD</w:t>
      </w:r>
      <w:r w:rsidRPr="00633DA6">
        <w:rPr>
          <w:rFonts w:ascii="Book Antiqua" w:eastAsia="Book Antiqua" w:hAnsi="Book Antiqua" w:cs="Book Antiqua"/>
          <w:color w:val="000000"/>
          <w:vertAlign w:val="superscript"/>
        </w:rPr>
        <w:t>[</w:t>
      </w:r>
      <w:hyperlink r:id="rId43" w:anchor="_ENREF_34" w:tooltip="Fragoso, 2020 #62" w:history="1">
        <w:r w:rsidRPr="00633DA6">
          <w:rPr>
            <w:rFonts w:ascii="Book Antiqua" w:eastAsia="Book Antiqua" w:hAnsi="Book Antiqua" w:cs="Book Antiqua"/>
            <w:color w:val="000000"/>
            <w:u w:color="0000EE"/>
            <w:vertAlign w:val="superscript"/>
          </w:rPr>
          <w:t>34</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IBD is also correlated with upregulation of inflammatory cytokines and the ACE2 receptors. As we discuss in this article, patients with IBD do not seem powerless against COVID-19</w:t>
      </w:r>
      <w:r w:rsidRPr="00633DA6">
        <w:rPr>
          <w:rFonts w:ascii="Book Antiqua" w:eastAsia="Book Antiqua" w:hAnsi="Book Antiqua" w:cs="Book Antiqua"/>
          <w:color w:val="000000"/>
          <w:vertAlign w:val="superscript"/>
        </w:rPr>
        <w:t>[</w:t>
      </w:r>
      <w:hyperlink r:id="rId44" w:anchor="_ENREF_35" w:tooltip="Al-Ani, 2020 #63" w:history="1">
        <w:r w:rsidRPr="00633DA6">
          <w:rPr>
            <w:rFonts w:ascii="Book Antiqua" w:eastAsia="Book Antiqua" w:hAnsi="Book Antiqua" w:cs="Book Antiqua"/>
            <w:color w:val="000000"/>
            <w:u w:color="0000EE"/>
            <w:vertAlign w:val="superscript"/>
          </w:rPr>
          <w:t>35</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In this context, a few theories have been proposed. For instance, </w:t>
      </w:r>
      <w:r w:rsidR="00A23178" w:rsidRPr="00633DA6">
        <w:rPr>
          <w:rFonts w:ascii="Book Antiqua" w:eastAsia="Book Antiqua" w:hAnsi="Book Antiqua" w:cs="Book Antiqua"/>
          <w:color w:val="000000"/>
        </w:rPr>
        <w:t xml:space="preserve">the </w:t>
      </w:r>
      <w:r w:rsidR="009A6539" w:rsidRPr="00633DA6">
        <w:rPr>
          <w:rFonts w:ascii="Book Antiqua" w:eastAsia="Book Antiqua" w:hAnsi="Book Antiqua" w:cs="Book Antiqua"/>
          <w:color w:val="000000"/>
        </w:rPr>
        <w:t>renin angiotensin-aldosterone system</w:t>
      </w:r>
      <w:r w:rsidRPr="00633DA6">
        <w:rPr>
          <w:rFonts w:ascii="Book Antiqua" w:eastAsia="Book Antiqua" w:hAnsi="Book Antiqua" w:cs="Book Antiqua"/>
          <w:color w:val="000000"/>
        </w:rPr>
        <w:t xml:space="preserve"> has two specific pathways involved in irritation course. Multiple </w:t>
      </w:r>
      <w:r w:rsidR="00A23178" w:rsidRPr="00633DA6">
        <w:rPr>
          <w:rFonts w:ascii="Book Antiqua" w:eastAsia="Book Antiqua" w:hAnsi="Book Antiqua" w:cs="Book Antiqua"/>
          <w:color w:val="000000"/>
        </w:rPr>
        <w:t xml:space="preserve">studies </w:t>
      </w:r>
      <w:r w:rsidRPr="00633DA6">
        <w:rPr>
          <w:rFonts w:ascii="Book Antiqua" w:eastAsia="Book Antiqua" w:hAnsi="Book Antiqua" w:cs="Book Antiqua"/>
          <w:color w:val="000000"/>
        </w:rPr>
        <w:t>conf</w:t>
      </w:r>
      <w:r w:rsidR="00A23178" w:rsidRPr="00633DA6">
        <w:rPr>
          <w:rFonts w:ascii="Book Antiqua" w:eastAsia="Book Antiqua" w:hAnsi="Book Antiqua" w:cs="Book Antiqua"/>
          <w:color w:val="000000"/>
        </w:rPr>
        <w:t>i</w:t>
      </w:r>
      <w:r w:rsidRPr="00633DA6">
        <w:rPr>
          <w:rFonts w:ascii="Book Antiqua" w:eastAsia="Book Antiqua" w:hAnsi="Book Antiqua" w:cs="Book Antiqua"/>
          <w:color w:val="000000"/>
        </w:rPr>
        <w:t xml:space="preserve">rmed that ACE2 is upregulated in IBD, </w:t>
      </w:r>
      <w:r w:rsidR="00A23178" w:rsidRPr="00633DA6">
        <w:rPr>
          <w:rFonts w:ascii="Book Antiqua" w:eastAsia="Book Antiqua" w:hAnsi="Book Antiqua" w:cs="Book Antiqua"/>
          <w:color w:val="000000"/>
        </w:rPr>
        <w:t>and</w:t>
      </w:r>
      <w:r w:rsidRPr="00633DA6">
        <w:rPr>
          <w:rFonts w:ascii="Book Antiqua" w:eastAsia="Book Antiqua" w:hAnsi="Book Antiqua" w:cs="Book Antiqua"/>
          <w:color w:val="000000"/>
        </w:rPr>
        <w:t xml:space="preserve"> in </w:t>
      </w:r>
      <w:r w:rsidR="00A23178" w:rsidRPr="00633DA6">
        <w:rPr>
          <w:rFonts w:ascii="Book Antiqua" w:eastAsia="Book Antiqua" w:hAnsi="Book Antiqua" w:cs="Book Antiqua"/>
          <w:color w:val="000000"/>
        </w:rPr>
        <w:t xml:space="preserve">the </w:t>
      </w:r>
      <w:r w:rsidRPr="00633DA6">
        <w:rPr>
          <w:rFonts w:ascii="Book Antiqua" w:eastAsia="Book Antiqua" w:hAnsi="Book Antiqua" w:cs="Book Antiqua"/>
          <w:color w:val="000000"/>
        </w:rPr>
        <w:t>SARS-CoV-2 condition ACE2 exacerbates the disease symptoms. Accordingly, prevention of the ACE2 protein expression has been suggested for controlling both COVID</w:t>
      </w:r>
      <w:r w:rsidR="008D6224" w:rsidRPr="00633DA6">
        <w:rPr>
          <w:rFonts w:ascii="Book Antiqua" w:eastAsia="Book Antiqua" w:hAnsi="Book Antiqua" w:cs="Book Antiqua"/>
          <w:color w:val="000000"/>
        </w:rPr>
        <w:t>-19</w:t>
      </w:r>
      <w:r w:rsidRPr="00633DA6">
        <w:rPr>
          <w:rFonts w:ascii="Book Antiqua" w:eastAsia="Book Antiqua" w:hAnsi="Book Antiqua" w:cs="Book Antiqua"/>
          <w:color w:val="000000"/>
        </w:rPr>
        <w:t xml:space="preserve"> and IBD</w:t>
      </w:r>
      <w:r w:rsidRPr="00633DA6">
        <w:rPr>
          <w:rFonts w:ascii="Book Antiqua" w:eastAsia="Book Antiqua" w:hAnsi="Book Antiqua" w:cs="Book Antiqua"/>
          <w:color w:val="000000"/>
          <w:vertAlign w:val="superscript"/>
        </w:rPr>
        <w:t>[</w:t>
      </w:r>
      <w:hyperlink r:id="rId45" w:anchor="_ENREF_36" w:tooltip="An, 2020 #64" w:history="1">
        <w:r w:rsidRPr="00633DA6">
          <w:rPr>
            <w:rFonts w:ascii="Book Antiqua" w:eastAsia="Book Antiqua" w:hAnsi="Book Antiqua" w:cs="Book Antiqua"/>
            <w:color w:val="000000"/>
            <w:u w:color="0000EE"/>
            <w:vertAlign w:val="superscript"/>
          </w:rPr>
          <w:t>36</w:t>
        </w:r>
      </w:hyperlink>
      <w:r w:rsidRPr="00633DA6">
        <w:rPr>
          <w:rFonts w:ascii="Book Antiqua" w:eastAsia="Book Antiqua" w:hAnsi="Book Antiqua" w:cs="Book Antiqua"/>
          <w:color w:val="000000"/>
          <w:vertAlign w:val="superscript"/>
        </w:rPr>
        <w:t>,</w:t>
      </w:r>
      <w:hyperlink r:id="rId46" w:anchor="_ENREF_37" w:tooltip="Garg, 2020 #286" w:history="1">
        <w:r w:rsidRPr="00633DA6">
          <w:rPr>
            <w:rFonts w:ascii="Book Antiqua" w:eastAsia="Book Antiqua" w:hAnsi="Book Antiqua" w:cs="Book Antiqua"/>
            <w:color w:val="000000"/>
            <w:u w:color="0000EE"/>
            <w:vertAlign w:val="superscript"/>
          </w:rPr>
          <w:t>37</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While the ACE-angiotensin receptor 1 pathway is favorable for inflammation, the ACE2 pathway helps in tissue security. Given the enteric inflammation in IBD, it has been suggested that the ACE2 receptors and the host cell surface proteases like TMPRSS2 may suppress SARS-CoV-2</w:t>
      </w:r>
      <w:r w:rsidRPr="00633DA6">
        <w:rPr>
          <w:rFonts w:ascii="Book Antiqua" w:eastAsia="Book Antiqua" w:hAnsi="Book Antiqua" w:cs="Book Antiqua"/>
          <w:color w:val="000000"/>
          <w:vertAlign w:val="superscript"/>
        </w:rPr>
        <w:t>[</w:t>
      </w:r>
      <w:hyperlink r:id="rId47" w:anchor="_ENREF_38" w:tooltip="Hanzel, 2020 #66" w:history="1">
        <w:r w:rsidRPr="00633DA6">
          <w:rPr>
            <w:rFonts w:ascii="Book Antiqua" w:eastAsia="Book Antiqua" w:hAnsi="Book Antiqua" w:cs="Book Antiqua"/>
            <w:color w:val="000000"/>
            <w:u w:color="0000EE"/>
            <w:vertAlign w:val="superscript"/>
          </w:rPr>
          <w:t>38</w:t>
        </w:r>
      </w:hyperlink>
      <w:r w:rsidRPr="00633DA6">
        <w:rPr>
          <w:rFonts w:ascii="Book Antiqua" w:eastAsia="Book Antiqua" w:hAnsi="Book Antiqua" w:cs="Book Antiqua"/>
          <w:color w:val="000000"/>
          <w:vertAlign w:val="superscript"/>
        </w:rPr>
        <w:t>,</w:t>
      </w:r>
      <w:hyperlink r:id="rId48" w:anchor="_ENREF_39" w:tooltip="Sultan, 2020 #65" w:history="1">
        <w:r w:rsidRPr="00633DA6">
          <w:rPr>
            <w:rFonts w:ascii="Book Antiqua" w:eastAsia="Book Antiqua" w:hAnsi="Book Antiqua" w:cs="Book Antiqua"/>
            <w:color w:val="000000"/>
            <w:u w:color="0000EE"/>
            <w:vertAlign w:val="superscript"/>
          </w:rPr>
          <w:t>39</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The ACE2 </w:t>
      </w:r>
      <w:r w:rsidR="008D6224" w:rsidRPr="00633DA6">
        <w:rPr>
          <w:rFonts w:ascii="Book Antiqua" w:eastAsia="Book Antiqua" w:hAnsi="Book Antiqua" w:cs="Book Antiqua"/>
          <w:color w:val="000000"/>
        </w:rPr>
        <w:t>l</w:t>
      </w:r>
      <w:r w:rsidRPr="00633DA6">
        <w:rPr>
          <w:rFonts w:ascii="Book Antiqua" w:eastAsia="Book Antiqua" w:hAnsi="Book Antiqua" w:cs="Book Antiqua"/>
          <w:color w:val="000000"/>
        </w:rPr>
        <w:t>evel was shown to be downregulated in colonic aggravation in animal models; thereby, some IBD drugs such as steroids and biologics were found useful for cutting down the ACE2 in infected cells. Another report declared no change in ACE2 receptors or TMPRSS2 in IBD patients when diverged from controls</w:t>
      </w:r>
      <w:r w:rsidRPr="00633DA6">
        <w:rPr>
          <w:rFonts w:ascii="Book Antiqua" w:eastAsia="Book Antiqua" w:hAnsi="Book Antiqua" w:cs="Book Antiqua"/>
          <w:color w:val="000000"/>
          <w:vertAlign w:val="superscript"/>
        </w:rPr>
        <w:t>[</w:t>
      </w:r>
      <w:hyperlink r:id="rId49" w:anchor="_ENREF_40" w:tooltip="Aziz, 2020 #67" w:history="1">
        <w:r w:rsidRPr="00633DA6">
          <w:rPr>
            <w:rFonts w:ascii="Book Antiqua" w:eastAsia="Book Antiqua" w:hAnsi="Book Antiqua" w:cs="Book Antiqua"/>
            <w:color w:val="000000"/>
            <w:u w:color="0000EE"/>
            <w:vertAlign w:val="superscript"/>
          </w:rPr>
          <w:t>40</w:t>
        </w:r>
      </w:hyperlink>
      <w:r w:rsidRPr="00633DA6">
        <w:rPr>
          <w:rFonts w:ascii="Book Antiqua" w:eastAsia="Book Antiqua" w:hAnsi="Book Antiqua" w:cs="Book Antiqua"/>
          <w:color w:val="000000"/>
          <w:vertAlign w:val="superscript"/>
        </w:rPr>
        <w:t>,</w:t>
      </w:r>
      <w:hyperlink r:id="rId50" w:anchor="_ENREF_41" w:tooltip="Caron, 2020 #68" w:history="1">
        <w:r w:rsidRPr="00633DA6">
          <w:rPr>
            <w:rFonts w:ascii="Book Antiqua" w:eastAsia="Book Antiqua" w:hAnsi="Book Antiqua" w:cs="Book Antiqua"/>
            <w:color w:val="000000"/>
            <w:u w:color="0000EE"/>
            <w:vertAlign w:val="superscript"/>
          </w:rPr>
          <w:t>41</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3E381CCC" w14:textId="77777777" w:rsidR="00A77B3E" w:rsidRPr="00633DA6" w:rsidRDefault="00A77B3E" w:rsidP="007F5BFE">
      <w:pPr>
        <w:spacing w:line="360" w:lineRule="auto"/>
        <w:jc w:val="both"/>
        <w:rPr>
          <w:rFonts w:ascii="Book Antiqua" w:hAnsi="Book Antiqua"/>
        </w:rPr>
      </w:pPr>
    </w:p>
    <w:p w14:paraId="09B59FBF"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aps/>
          <w:color w:val="000000"/>
          <w:u w:val="single"/>
        </w:rPr>
        <w:t>IBD IN COVID-19: TREATMENT APPROACH</w:t>
      </w:r>
    </w:p>
    <w:p w14:paraId="17BE0981" w14:textId="7A4CFD64"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As mentioned, there are limited data on </w:t>
      </w:r>
      <w:r w:rsidR="00056C29" w:rsidRPr="00633DA6">
        <w:rPr>
          <w:rFonts w:ascii="Book Antiqua" w:eastAsia="Book Antiqua" w:hAnsi="Book Antiqua" w:cs="Book Antiqua"/>
          <w:color w:val="000000"/>
        </w:rPr>
        <w:t xml:space="preserve">the </w:t>
      </w:r>
      <w:r w:rsidRPr="00633DA6">
        <w:rPr>
          <w:rFonts w:ascii="Book Antiqua" w:eastAsia="Book Antiqua" w:hAnsi="Book Antiqua" w:cs="Book Antiqua"/>
          <w:color w:val="000000"/>
        </w:rPr>
        <w:t xml:space="preserve">possible impact of SARS-CoV-2 contamination on patients with IBD. Various methodologies can be utilized alone or </w:t>
      </w:r>
      <w:r w:rsidR="00056C29" w:rsidRPr="00633DA6">
        <w:rPr>
          <w:rFonts w:ascii="Book Antiqua" w:eastAsia="Book Antiqua" w:hAnsi="Book Antiqua" w:cs="Book Antiqua"/>
          <w:color w:val="000000"/>
        </w:rPr>
        <w:t xml:space="preserve">concurrently </w:t>
      </w:r>
      <w:r w:rsidRPr="00633DA6">
        <w:rPr>
          <w:rFonts w:ascii="Book Antiqua" w:eastAsia="Book Antiqua" w:hAnsi="Book Antiqua" w:cs="Book Antiqua"/>
          <w:color w:val="000000"/>
        </w:rPr>
        <w:t>to conquer the infection. Block</w:t>
      </w:r>
      <w:r w:rsidR="00056C29" w:rsidRPr="00633DA6">
        <w:rPr>
          <w:rFonts w:ascii="Book Antiqua" w:eastAsia="Book Antiqua" w:hAnsi="Book Antiqua" w:cs="Book Antiqua"/>
          <w:color w:val="000000"/>
        </w:rPr>
        <w:t>age</w:t>
      </w:r>
      <w:r w:rsidRPr="00633DA6">
        <w:rPr>
          <w:rFonts w:ascii="Book Antiqua" w:eastAsia="Book Antiqua" w:hAnsi="Book Antiqua" w:cs="Book Antiqua"/>
          <w:color w:val="000000"/>
        </w:rPr>
        <w:t xml:space="preserve"> of the ACE2 receptors and the viral S protein are the main focus of current investigations on SARS-CoV-2 regulation. So far, we discussed that block</w:t>
      </w:r>
      <w:r w:rsidR="00056C29" w:rsidRPr="00633DA6">
        <w:rPr>
          <w:rFonts w:ascii="Book Antiqua" w:eastAsia="Book Antiqua" w:hAnsi="Book Antiqua" w:cs="Book Antiqua"/>
          <w:color w:val="000000"/>
        </w:rPr>
        <w:t>age</w:t>
      </w:r>
      <w:r w:rsidRPr="00633DA6">
        <w:rPr>
          <w:rFonts w:ascii="Book Antiqua" w:eastAsia="Book Antiqua" w:hAnsi="Book Antiqua" w:cs="Book Antiqua"/>
          <w:color w:val="000000"/>
        </w:rPr>
        <w:t xml:space="preserve"> of the TMPRSS2 receptor and/or the ACE2/TMPRSS2 complex is likewise a plausible approach to modulate this infection. In this context, a </w:t>
      </w:r>
      <w:r w:rsidRPr="00633DA6">
        <w:rPr>
          <w:rFonts w:ascii="Book Antiqua" w:eastAsia="Book Antiqua" w:hAnsi="Book Antiqua" w:cs="Book Antiqua"/>
          <w:color w:val="000000"/>
        </w:rPr>
        <w:lastRenderedPageBreak/>
        <w:t>number of synthetic or natural TMPRSS2 and ACE2 inhibitors that are able to mediate the TMPRSS2 and ACE2 signaling have been explored.</w:t>
      </w:r>
    </w:p>
    <w:p w14:paraId="707F464B" w14:textId="77777777" w:rsidR="00A77B3E" w:rsidRPr="00633DA6" w:rsidRDefault="00A77B3E" w:rsidP="007F5BFE">
      <w:pPr>
        <w:spacing w:line="360" w:lineRule="auto"/>
        <w:jc w:val="both"/>
        <w:rPr>
          <w:rFonts w:ascii="Book Antiqua" w:hAnsi="Book Antiqua"/>
        </w:rPr>
      </w:pPr>
    </w:p>
    <w:p w14:paraId="5DB8A06F"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i/>
          <w:iCs/>
          <w:color w:val="000000"/>
        </w:rPr>
        <w:t>Natural agents targeting TMRPSS2 and ACE2 to manage the COVID-19 and IBD overlap</w:t>
      </w:r>
    </w:p>
    <w:p w14:paraId="0EEF9F77" w14:textId="4A51AD5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Medicinal plants are the greatest age-old wellspring of remedially valuable phytochemicals that are utilized to keep up human</w:t>
      </w:r>
      <w:r w:rsidR="007256DD" w:rsidRPr="00633DA6">
        <w:rPr>
          <w:rFonts w:ascii="Book Antiqua" w:eastAsia="Book Antiqua" w:hAnsi="Book Antiqua" w:cs="Book Antiqua"/>
          <w:color w:val="000000"/>
        </w:rPr>
        <w:t>’</w:t>
      </w:r>
      <w:r w:rsidRPr="00633DA6">
        <w:rPr>
          <w:rFonts w:ascii="Book Antiqua" w:eastAsia="Book Antiqua" w:hAnsi="Book Antiqua" w:cs="Book Antiqua"/>
          <w:color w:val="000000"/>
        </w:rPr>
        <w:t>s wellbeing and to forestall and treat numerous infections. Medicinal plants and spices are used in Ayurveda, a conventional and option</w:t>
      </w:r>
      <w:r w:rsidR="007256DD" w:rsidRPr="00633DA6">
        <w:rPr>
          <w:rFonts w:ascii="Book Antiqua" w:eastAsia="Book Antiqua" w:hAnsi="Book Antiqua" w:cs="Book Antiqua"/>
          <w:color w:val="000000"/>
        </w:rPr>
        <w:t>al</w:t>
      </w:r>
      <w:r w:rsidRPr="00633DA6">
        <w:rPr>
          <w:rFonts w:ascii="Book Antiqua" w:eastAsia="Book Antiqua" w:hAnsi="Book Antiqua" w:cs="Book Antiqua"/>
          <w:color w:val="000000"/>
        </w:rPr>
        <w:t xml:space="preserve"> restorative treatment in light of comprehensive body recuperating, which began in the Indian subcontinent</w:t>
      </w:r>
      <w:r w:rsidRPr="00633DA6">
        <w:rPr>
          <w:rFonts w:ascii="Book Antiqua" w:eastAsia="Book Antiqua" w:hAnsi="Book Antiqua" w:cs="Book Antiqua"/>
          <w:color w:val="000000"/>
          <w:vertAlign w:val="superscript"/>
        </w:rPr>
        <w:t>[</w:t>
      </w:r>
      <w:hyperlink r:id="rId51" w:anchor="_ENREF_42" w:tooltip="Bhuiyan, 2020 #74" w:history="1">
        <w:r w:rsidRPr="00633DA6">
          <w:rPr>
            <w:rFonts w:ascii="Book Antiqua" w:eastAsia="Book Antiqua" w:hAnsi="Book Antiqua" w:cs="Book Antiqua"/>
            <w:color w:val="000000"/>
            <w:u w:color="0000EE"/>
            <w:vertAlign w:val="superscript"/>
          </w:rPr>
          <w:t>42</w:t>
        </w:r>
      </w:hyperlink>
      <w:r w:rsidRPr="00633DA6">
        <w:rPr>
          <w:rFonts w:ascii="Book Antiqua" w:eastAsia="Book Antiqua" w:hAnsi="Book Antiqua" w:cs="Book Antiqua"/>
          <w:color w:val="000000"/>
          <w:vertAlign w:val="superscript"/>
        </w:rPr>
        <w:t>,</w:t>
      </w:r>
      <w:hyperlink r:id="rId52" w:anchor="_ENREF_43" w:tooltip="Panyod, 2020 #41" w:history="1">
        <w:r w:rsidRPr="00633DA6">
          <w:rPr>
            <w:rFonts w:ascii="Book Antiqua" w:eastAsia="Book Antiqua" w:hAnsi="Book Antiqua" w:cs="Book Antiqua"/>
            <w:color w:val="000000"/>
            <w:u w:color="0000EE"/>
            <w:vertAlign w:val="superscript"/>
          </w:rPr>
          <w:t>43</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Enormous investigations are right now centered on understanding the remedial viability and the activity of these phytochemicals. </w:t>
      </w:r>
      <w:r w:rsidR="0034083B" w:rsidRPr="00633DA6">
        <w:rPr>
          <w:rFonts w:ascii="Book Antiqua" w:eastAsia="Book Antiqua" w:hAnsi="Book Antiqua" w:cs="Book Antiqua"/>
          <w:color w:val="000000"/>
        </w:rPr>
        <w:t>An i</w:t>
      </w:r>
      <w:r w:rsidRPr="00633DA6">
        <w:rPr>
          <w:rFonts w:ascii="Book Antiqua" w:eastAsia="Book Antiqua" w:hAnsi="Book Antiqua" w:cs="Book Antiqua"/>
          <w:color w:val="000000"/>
        </w:rPr>
        <w:t>mproved dietary regimen along with natural medicinal formulations may provide preventive strategies for intense respiratory diseases, aspiratory fibrosis, pneumonia, sepsis, and numerous organ failure</w:t>
      </w:r>
      <w:r w:rsidR="0034083B"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which are hallmarks of serious COVID-19 contamination</w:t>
      </w:r>
      <w:r w:rsidRPr="00633DA6">
        <w:rPr>
          <w:rFonts w:ascii="Book Antiqua" w:eastAsia="Book Antiqua" w:hAnsi="Book Antiqua" w:cs="Book Antiqua"/>
          <w:color w:val="000000"/>
          <w:vertAlign w:val="superscript"/>
        </w:rPr>
        <w:t>[</w:t>
      </w:r>
      <w:hyperlink r:id="rId53" w:anchor="_ENREF_44" w:tooltip="Huang, 2020 #42" w:history="1">
        <w:r w:rsidRPr="00633DA6">
          <w:rPr>
            <w:rFonts w:ascii="Book Antiqua" w:eastAsia="Book Antiqua" w:hAnsi="Book Antiqua" w:cs="Book Antiqua"/>
            <w:color w:val="000000"/>
            <w:u w:color="0000EE"/>
            <w:vertAlign w:val="superscript"/>
          </w:rPr>
          <w:t>44</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Also, a significant number of these phytochemicals help the insusceptible framework and instills insurance against infective diseases. It was shown that oxidative stress and many other reasons, notwithstanding existing comorbidities, add to a large number of difficulties related to coronavirus disease. Herein, we introduce plant species that contain various phytochemicals with antiviral, antifibrotic, cell reinforcement, mitigating, and immunomodulatory properties</w:t>
      </w:r>
      <w:r w:rsidRPr="00633DA6">
        <w:rPr>
          <w:rFonts w:ascii="Book Antiqua" w:eastAsia="Book Antiqua" w:hAnsi="Book Antiqua" w:cs="Book Antiqua"/>
          <w:color w:val="000000"/>
          <w:vertAlign w:val="superscript"/>
        </w:rPr>
        <w:t>[</w:t>
      </w:r>
      <w:hyperlink r:id="rId54" w:anchor="_ENREF_45" w:tooltip="Boozari, 2020 #77" w:history="1">
        <w:r w:rsidRPr="00633DA6">
          <w:rPr>
            <w:rFonts w:ascii="Book Antiqua" w:eastAsia="Book Antiqua" w:hAnsi="Book Antiqua" w:cs="Book Antiqua"/>
            <w:color w:val="000000"/>
            <w:u w:color="0000EE"/>
            <w:vertAlign w:val="superscript"/>
          </w:rPr>
          <w:t>45</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These phytochemicals, when used in blend, could have synergistic impacts</w:t>
      </w:r>
      <w:r w:rsidR="00A14090"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either as prophylactic or as steady specialists to limit certain clinical manifestations observed in COVID-19-contaminated patients. Moreover, certain types of microscopic organisms, green growth, and parasites may have remedial impacts against pneumonic fibrosis and intense lung injury</w:t>
      </w:r>
      <w:r w:rsidRPr="00633DA6">
        <w:rPr>
          <w:rFonts w:ascii="Book Antiqua" w:eastAsia="Book Antiqua" w:hAnsi="Book Antiqua" w:cs="Book Antiqua"/>
          <w:color w:val="000000"/>
          <w:vertAlign w:val="superscript"/>
        </w:rPr>
        <w:t>[</w:t>
      </w:r>
      <w:hyperlink r:id="rId55" w:anchor="_ENREF_46" w:tooltip="Naik, 2020 #78" w:history="1">
        <w:r w:rsidRPr="00633DA6">
          <w:rPr>
            <w:rFonts w:ascii="Book Antiqua" w:eastAsia="Book Antiqua" w:hAnsi="Book Antiqua" w:cs="Book Antiqua"/>
            <w:color w:val="000000"/>
            <w:u w:color="0000EE"/>
            <w:vertAlign w:val="superscript"/>
          </w:rPr>
          <w:t>46</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19C5433E" w14:textId="4850852E" w:rsidR="00A77B3E" w:rsidRPr="00633DA6" w:rsidRDefault="00D346F3" w:rsidP="007F5BFE">
      <w:pPr>
        <w:spacing w:line="360" w:lineRule="auto"/>
        <w:ind w:firstLine="480"/>
        <w:jc w:val="both"/>
        <w:rPr>
          <w:rFonts w:ascii="Book Antiqua" w:hAnsi="Book Antiqua"/>
        </w:rPr>
      </w:pPr>
      <w:r w:rsidRPr="00633DA6">
        <w:rPr>
          <w:rFonts w:ascii="Book Antiqua" w:eastAsia="Book Antiqua" w:hAnsi="Book Antiqua" w:cs="Book Antiqua"/>
          <w:color w:val="000000"/>
        </w:rPr>
        <w:t xml:space="preserve">ACE2 is found in the outer layer of the human cell that is accounted as a </w:t>
      </w:r>
      <w:r w:rsidR="00A14090" w:rsidRPr="00633DA6">
        <w:rPr>
          <w:rFonts w:ascii="Book Antiqua" w:eastAsia="Book Antiqua" w:hAnsi="Book Antiqua" w:cs="Book Antiqua"/>
          <w:color w:val="000000"/>
        </w:rPr>
        <w:t xml:space="preserve">likely </w:t>
      </w:r>
      <w:r w:rsidRPr="00633DA6">
        <w:rPr>
          <w:rFonts w:ascii="Book Antiqua" w:eastAsia="Book Antiqua" w:hAnsi="Book Antiqua" w:cs="Book Antiqua"/>
          <w:color w:val="000000"/>
        </w:rPr>
        <w:t>coupling site for the S protein. A couple of experiments have shown that there is a strong link between ACE2 and</w:t>
      </w:r>
      <w:r w:rsidR="00AE65DB" w:rsidRPr="00633DA6">
        <w:rPr>
          <w:rFonts w:ascii="Book Antiqua" w:eastAsia="Book Antiqua" w:hAnsi="Book Antiqua" w:cs="Book Antiqua"/>
          <w:color w:val="000000"/>
        </w:rPr>
        <w:t xml:space="preserve"> the</w:t>
      </w:r>
      <w:r w:rsidRPr="00633DA6">
        <w:rPr>
          <w:rFonts w:ascii="Book Antiqua" w:eastAsia="Book Antiqua" w:hAnsi="Book Antiqua" w:cs="Book Antiqua"/>
          <w:color w:val="000000"/>
        </w:rPr>
        <w:t xml:space="preserve"> S protein. Thus, blockade of ACE2 by phytochemicals is a strategy to fight SARS-CoV-2</w:t>
      </w:r>
      <w:r w:rsidRPr="00633DA6">
        <w:rPr>
          <w:rFonts w:ascii="Book Antiqua" w:eastAsia="Book Antiqua" w:hAnsi="Book Antiqua" w:cs="Book Antiqua"/>
          <w:color w:val="000000"/>
          <w:vertAlign w:val="superscript"/>
        </w:rPr>
        <w:t>[</w:t>
      </w:r>
      <w:hyperlink r:id="rId56" w:anchor="_ENREF_47" w:tooltip="da Silva Antonio, 2020 #79" w:history="1">
        <w:r w:rsidRPr="00633DA6">
          <w:rPr>
            <w:rFonts w:ascii="Book Antiqua" w:eastAsia="Book Antiqua" w:hAnsi="Book Antiqua" w:cs="Book Antiqua"/>
            <w:color w:val="000000"/>
            <w:u w:color="0000EE"/>
            <w:vertAlign w:val="superscript"/>
          </w:rPr>
          <w:t>47</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Several studies reported that </w:t>
      </w:r>
      <w:r w:rsidRPr="00633DA6">
        <w:rPr>
          <w:rFonts w:ascii="Book Antiqua" w:eastAsia="Book Antiqua" w:hAnsi="Book Antiqua" w:cs="Book Antiqua"/>
          <w:color w:val="000000"/>
        </w:rPr>
        <w:lastRenderedPageBreak/>
        <w:t>SARS-CoV-2 is able to infect the central nervous system through TMRPSS2 and ACE2 receptors.</w:t>
      </w:r>
      <w:r w:rsidRPr="00633DA6">
        <w:rPr>
          <w:rFonts w:ascii="Book Antiqua" w:eastAsia="Book Antiqua" w:hAnsi="Book Antiqua" w:cs="Book Antiqua"/>
          <w:b/>
          <w:bCs/>
          <w:color w:val="000000"/>
        </w:rPr>
        <w:t xml:space="preserve"> </w:t>
      </w:r>
      <w:r w:rsidRPr="00633DA6">
        <w:rPr>
          <w:rFonts w:ascii="Book Antiqua" w:eastAsia="Book Antiqua" w:hAnsi="Book Antiqua" w:cs="Book Antiqua"/>
          <w:color w:val="000000"/>
        </w:rPr>
        <w:t xml:space="preserve">It was also shown that ACE2 participates in neuroprotective responses, hence playing a critical role in treatment of COVID-19. Phytochemicals such as baicalin, scutellarin, and hesperetin can bind to ACE2 and prevent neurological impairments caused by COVID-19. </w:t>
      </w:r>
    </w:p>
    <w:p w14:paraId="3FB15F0A" w14:textId="3146B15E" w:rsidR="00A77B3E" w:rsidRPr="00633DA6" w:rsidRDefault="00D346F3" w:rsidP="007F5BFE">
      <w:pPr>
        <w:spacing w:line="360" w:lineRule="auto"/>
        <w:ind w:firstLine="480"/>
        <w:jc w:val="both"/>
        <w:rPr>
          <w:rFonts w:ascii="Book Antiqua" w:hAnsi="Book Antiqua"/>
        </w:rPr>
      </w:pPr>
      <w:r w:rsidRPr="00633DA6">
        <w:rPr>
          <w:rFonts w:ascii="Book Antiqua" w:eastAsia="Book Antiqua" w:hAnsi="Book Antiqua" w:cs="Book Antiqua"/>
          <w:color w:val="000000"/>
        </w:rPr>
        <w:t>It was shown that hesperidin, chrysin, and emodin are also effective for COVID-19 treatment by attenuating the harmful effect of viral infection within cells</w:t>
      </w:r>
      <w:r w:rsidRPr="00633DA6">
        <w:rPr>
          <w:rFonts w:ascii="Book Antiqua" w:eastAsia="Book Antiqua" w:hAnsi="Book Antiqua" w:cs="Book Antiqua"/>
          <w:color w:val="000000"/>
          <w:vertAlign w:val="superscript"/>
        </w:rPr>
        <w:t>[</w:t>
      </w:r>
      <w:hyperlink r:id="rId57" w:anchor="_ENREF_48" w:tooltip="Chen, 2020 #80" w:history="1">
        <w:r w:rsidRPr="00633DA6">
          <w:rPr>
            <w:rFonts w:ascii="Book Antiqua" w:eastAsia="Book Antiqua" w:hAnsi="Book Antiqua" w:cs="Book Antiqua"/>
            <w:color w:val="000000"/>
            <w:u w:color="0000EE"/>
            <w:vertAlign w:val="superscript"/>
          </w:rPr>
          <w:t>48</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Kaempferol, quercetin, and fisetin can bind with human angiotensin-converting enzyme-S-protein. In silico studies demonstrated that quercetin, quercetin 3 glucuronide-7-glucoside, quercetin 3-vicianoside, absinthin, glabridin, and gallic acid have strong affinity toward ACE2 to suppress COVID-19. Nuclear docking examination elucidated that dithymoquinone (aquinone) encounters the COVID-19 neurological side effects through blockade of ACE2. An in silico study reported that two chalcones namely azobechalcone and isolophirachalcone and some alkaloids (</w:t>
      </w:r>
      <w:r w:rsidRPr="00633DA6">
        <w:rPr>
          <w:rFonts w:ascii="Book Antiqua" w:eastAsia="Book Antiqua" w:hAnsi="Book Antiqua" w:cs="Book Antiqua"/>
          <w:i/>
          <w:iCs/>
          <w:color w:val="000000"/>
        </w:rPr>
        <w:t>i.e.</w:t>
      </w:r>
      <w:r w:rsidRPr="00633DA6">
        <w:rPr>
          <w:rFonts w:ascii="Book Antiqua" w:eastAsia="Book Antiqua" w:hAnsi="Book Antiqua" w:cs="Book Antiqua"/>
          <w:color w:val="000000"/>
        </w:rPr>
        <w:t xml:space="preserve"> fangchinoline and tetrandrine) had high limiting proclivity to</w:t>
      </w:r>
      <w:r w:rsidR="00383457" w:rsidRPr="00633DA6">
        <w:rPr>
          <w:rFonts w:ascii="Book Antiqua" w:eastAsia="Book Antiqua" w:hAnsi="Book Antiqua" w:cs="Book Antiqua"/>
          <w:color w:val="000000"/>
        </w:rPr>
        <w:t xml:space="preserve"> the</w:t>
      </w:r>
      <w:r w:rsidRPr="00633DA6">
        <w:rPr>
          <w:rFonts w:ascii="Book Antiqua" w:eastAsia="Book Antiqua" w:hAnsi="Book Antiqua" w:cs="Book Antiqua"/>
          <w:color w:val="000000"/>
        </w:rPr>
        <w:t xml:space="preserve"> S protein of SARS-CoV-2</w:t>
      </w:r>
      <w:r w:rsidRPr="00633DA6">
        <w:rPr>
          <w:rFonts w:ascii="Book Antiqua" w:eastAsia="Book Antiqua" w:hAnsi="Book Antiqua" w:cs="Book Antiqua"/>
          <w:color w:val="000000"/>
          <w:vertAlign w:val="superscript"/>
        </w:rPr>
        <w:t>[</w:t>
      </w:r>
      <w:hyperlink r:id="rId58" w:anchor="_ENREF_49" w:tooltip="Seadawy, 2020 #82" w:history="1">
        <w:r w:rsidRPr="00633DA6">
          <w:rPr>
            <w:rFonts w:ascii="Book Antiqua" w:eastAsia="Book Antiqua" w:hAnsi="Book Antiqua" w:cs="Book Antiqua"/>
            <w:color w:val="000000"/>
            <w:u w:color="0000EE"/>
            <w:vertAlign w:val="superscript"/>
          </w:rPr>
          <w:t>49</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Flavonoids reduce the ACE2 </w:t>
      </w:r>
      <w:r w:rsidR="001A5629" w:rsidRPr="00633DA6">
        <w:rPr>
          <w:rFonts w:ascii="Book Antiqua" w:eastAsia="Book Antiqua" w:hAnsi="Book Antiqua" w:cs="Book Antiqua"/>
          <w:color w:val="000000"/>
        </w:rPr>
        <w:t xml:space="preserve">expression </w:t>
      </w:r>
      <w:r w:rsidRPr="00633DA6">
        <w:rPr>
          <w:rFonts w:ascii="Book Antiqua" w:eastAsia="Book Antiqua" w:hAnsi="Book Antiqua" w:cs="Book Antiqua"/>
          <w:color w:val="000000"/>
        </w:rPr>
        <w:t>through inducing the nuclear factor erythroid 2</w:t>
      </w:r>
      <w:r w:rsidR="00671E81" w:rsidRPr="00633DA6">
        <w:rPr>
          <w:rFonts w:ascii="Book Antiqua" w:eastAsia="Book Antiqua" w:hAnsi="Book Antiqua" w:cs="Book Antiqua"/>
          <w:color w:val="000000"/>
        </w:rPr>
        <w:t>-</w:t>
      </w:r>
      <w:r w:rsidRPr="00633DA6">
        <w:rPr>
          <w:rFonts w:ascii="Book Antiqua" w:eastAsia="Book Antiqua" w:hAnsi="Book Antiqua" w:cs="Book Antiqua"/>
          <w:color w:val="000000"/>
        </w:rPr>
        <w:t>related factor 2, thus fight</w:t>
      </w:r>
      <w:r w:rsidR="00671E81" w:rsidRPr="00633DA6">
        <w:rPr>
          <w:rFonts w:ascii="Book Antiqua" w:eastAsia="Book Antiqua" w:hAnsi="Book Antiqua" w:cs="Book Antiqua"/>
          <w:color w:val="000000"/>
        </w:rPr>
        <w:t>ing</w:t>
      </w:r>
      <w:r w:rsidRPr="00633DA6">
        <w:rPr>
          <w:rFonts w:ascii="Book Antiqua" w:eastAsia="Book Antiqua" w:hAnsi="Book Antiqua" w:cs="Book Antiqua"/>
          <w:color w:val="000000"/>
        </w:rPr>
        <w:t xml:space="preserve"> SARS-CoV-2 by means of their antioxidant properties. Kaempferol, quercetin, and fisetin are promising flavonoids against COVID-19-induced adverse neurological effects. Stilbenes, in particular resveratrol, </w:t>
      </w:r>
      <w:r w:rsidR="00671E81" w:rsidRPr="00633DA6">
        <w:rPr>
          <w:rFonts w:ascii="Book Antiqua" w:eastAsia="Book Antiqua" w:hAnsi="Book Antiqua" w:cs="Book Antiqua"/>
          <w:color w:val="000000"/>
        </w:rPr>
        <w:t>are</w:t>
      </w:r>
      <w:r w:rsidRPr="00633DA6">
        <w:rPr>
          <w:rFonts w:ascii="Book Antiqua" w:eastAsia="Book Antiqua" w:hAnsi="Book Antiqua" w:cs="Book Antiqua"/>
          <w:color w:val="000000"/>
        </w:rPr>
        <w:t xml:space="preserve"> promising candidates for COVID-19 treatments, mainly by disturbing the formation of the S protein and the ACE2 receptor complex</w:t>
      </w:r>
      <w:r w:rsidRPr="00633DA6">
        <w:rPr>
          <w:rFonts w:ascii="Book Antiqua" w:eastAsia="Book Antiqua" w:hAnsi="Book Antiqua" w:cs="Book Antiqua"/>
          <w:color w:val="000000"/>
          <w:vertAlign w:val="superscript"/>
        </w:rPr>
        <w:t>[</w:t>
      </w:r>
      <w:hyperlink r:id="rId59" w:anchor="_ENREF_50" w:tooltip="Muchtaridi, 2020 #84" w:history="1">
        <w:r w:rsidRPr="00633DA6">
          <w:rPr>
            <w:rFonts w:ascii="Book Antiqua" w:eastAsia="Book Antiqua" w:hAnsi="Book Antiqua" w:cs="Book Antiqua"/>
            <w:color w:val="000000"/>
            <w:u w:color="0000EE"/>
            <w:vertAlign w:val="superscript"/>
          </w:rPr>
          <w:t>50</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A v</w:t>
      </w:r>
      <w:r w:rsidR="006C73AE" w:rsidRPr="00633DA6">
        <w:rPr>
          <w:rFonts w:ascii="Book Antiqua" w:eastAsia="Book Antiqua" w:hAnsi="Book Antiqua" w:cs="Book Antiqua"/>
          <w:color w:val="000000"/>
        </w:rPr>
        <w:t>a</w:t>
      </w:r>
      <w:r w:rsidRPr="00633DA6">
        <w:rPr>
          <w:rFonts w:ascii="Book Antiqua" w:eastAsia="Book Antiqua" w:hAnsi="Book Antiqua" w:cs="Book Antiqua"/>
          <w:color w:val="000000"/>
        </w:rPr>
        <w:t>ri</w:t>
      </w:r>
      <w:r w:rsidR="006C73AE" w:rsidRPr="00633DA6">
        <w:rPr>
          <w:rFonts w:ascii="Book Antiqua" w:eastAsia="Book Antiqua" w:hAnsi="Book Antiqua" w:cs="Book Antiqua"/>
          <w:color w:val="000000"/>
        </w:rPr>
        <w:t>e</w:t>
      </w:r>
      <w:r w:rsidRPr="00633DA6">
        <w:rPr>
          <w:rFonts w:ascii="Book Antiqua" w:eastAsia="Book Antiqua" w:hAnsi="Book Antiqua" w:cs="Book Antiqua"/>
          <w:color w:val="000000"/>
        </w:rPr>
        <w:t>ty of phenolic compounds including naringenin, hesperetin, hesperidin, and baicalin (alone or in combination) showed inhibitory effects on ACE2 activity</w:t>
      </w:r>
      <w:r w:rsidR="006C73AE" w:rsidRPr="00633DA6">
        <w:rPr>
          <w:rFonts w:ascii="Book Antiqua" w:eastAsia="Book Antiqua" w:hAnsi="Book Antiqua" w:cs="Book Antiqua"/>
          <w:color w:val="000000"/>
        </w:rPr>
        <w:t xml:space="preserve"> and</w:t>
      </w:r>
      <w:r w:rsidRPr="00633DA6">
        <w:rPr>
          <w:rFonts w:ascii="Book Antiqua" w:eastAsia="Book Antiqua" w:hAnsi="Book Antiqua" w:cs="Book Antiqua"/>
          <w:color w:val="000000"/>
        </w:rPr>
        <w:t xml:space="preserve"> can be considered as potential </w:t>
      </w:r>
      <w:r w:rsidR="00403355" w:rsidRPr="00633DA6">
        <w:rPr>
          <w:rFonts w:ascii="Book Antiqua" w:eastAsia="Book Antiqua" w:hAnsi="Book Antiqua" w:cs="Book Antiqua"/>
          <w:color w:val="000000"/>
        </w:rPr>
        <w:t>treatments</w:t>
      </w:r>
      <w:r w:rsidRPr="00633DA6">
        <w:rPr>
          <w:rFonts w:ascii="Book Antiqua" w:eastAsia="Book Antiqua" w:hAnsi="Book Antiqua" w:cs="Book Antiqua"/>
          <w:color w:val="000000"/>
        </w:rPr>
        <w:t xml:space="preserve"> for COVID-19</w:t>
      </w:r>
      <w:r w:rsidRPr="00633DA6">
        <w:rPr>
          <w:rFonts w:ascii="Book Antiqua" w:eastAsia="Book Antiqua" w:hAnsi="Book Antiqua" w:cs="Book Antiqua"/>
          <w:color w:val="000000"/>
          <w:vertAlign w:val="superscript"/>
        </w:rPr>
        <w:t>[</w:t>
      </w:r>
      <w:hyperlink r:id="rId60" w:anchor="_ENREF_51" w:tooltip="Dabaghian, 2020 #51" w:history="1">
        <w:r w:rsidRPr="00633DA6">
          <w:rPr>
            <w:rFonts w:ascii="Book Antiqua" w:eastAsia="Book Antiqua" w:hAnsi="Book Antiqua" w:cs="Book Antiqua"/>
            <w:color w:val="000000"/>
            <w:u w:color="0000EE"/>
            <w:vertAlign w:val="superscript"/>
          </w:rPr>
          <w:t>51</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1297E158" w14:textId="16930FE6" w:rsidR="00A77B3E" w:rsidRPr="00633DA6" w:rsidRDefault="00D346F3" w:rsidP="007F5BFE">
      <w:pPr>
        <w:spacing w:line="360" w:lineRule="auto"/>
        <w:ind w:firstLine="480"/>
        <w:jc w:val="both"/>
        <w:rPr>
          <w:rFonts w:ascii="Book Antiqua" w:hAnsi="Book Antiqua"/>
        </w:rPr>
      </w:pPr>
      <w:r w:rsidRPr="00633DA6">
        <w:rPr>
          <w:rFonts w:ascii="Book Antiqua" w:eastAsia="Book Antiqua" w:hAnsi="Book Antiqua" w:cs="Book Antiqua"/>
          <w:color w:val="000000"/>
        </w:rPr>
        <w:t xml:space="preserve">Different studies exhibited that some other phenolic compounds such as cinnamaldehyde as well as terpenoids such as carvacrol, geraniol, anethole, L-4-terpineol, cinnamyl acidic, thymol, and pulegone possess antiviral activities through blockade of </w:t>
      </w:r>
      <w:r w:rsidR="00403355" w:rsidRPr="00633DA6">
        <w:rPr>
          <w:rFonts w:ascii="Book Antiqua" w:eastAsia="Book Antiqua" w:hAnsi="Book Antiqua" w:cs="Book Antiqua"/>
          <w:color w:val="000000"/>
        </w:rPr>
        <w:t xml:space="preserve">the </w:t>
      </w:r>
      <w:r w:rsidRPr="00633DA6">
        <w:rPr>
          <w:rFonts w:ascii="Book Antiqua" w:eastAsia="Book Antiqua" w:hAnsi="Book Antiqua" w:cs="Book Antiqua"/>
          <w:color w:val="000000"/>
        </w:rPr>
        <w:t>viral S protein</w:t>
      </w:r>
      <w:r w:rsidRPr="00633DA6">
        <w:rPr>
          <w:rFonts w:ascii="Book Antiqua" w:eastAsia="Book Antiqua" w:hAnsi="Book Antiqua" w:cs="Book Antiqua"/>
          <w:color w:val="000000"/>
          <w:vertAlign w:val="superscript"/>
        </w:rPr>
        <w:t>[</w:t>
      </w:r>
      <w:hyperlink r:id="rId61" w:anchor="_ENREF_52" w:tooltip="Kulkarni, 2020 #86" w:history="1">
        <w:r w:rsidRPr="00633DA6">
          <w:rPr>
            <w:rFonts w:ascii="Book Antiqua" w:eastAsia="Book Antiqua" w:hAnsi="Book Antiqua" w:cs="Book Antiqua"/>
            <w:color w:val="000000"/>
            <w:u w:color="0000EE"/>
            <w:vertAlign w:val="superscript"/>
          </w:rPr>
          <w:t>52</w:t>
        </w:r>
      </w:hyperlink>
      <w:r w:rsidRPr="00633DA6">
        <w:rPr>
          <w:rFonts w:ascii="Book Antiqua" w:eastAsia="Book Antiqua" w:hAnsi="Book Antiqua" w:cs="Book Antiqua"/>
          <w:color w:val="000000"/>
          <w:vertAlign w:val="superscript"/>
        </w:rPr>
        <w:t>,</w:t>
      </w:r>
      <w:hyperlink r:id="rId62" w:anchor="_ENREF_53" w:tooltip="Rathinavel, 2020 #87" w:history="1">
        <w:r w:rsidRPr="00633DA6">
          <w:rPr>
            <w:rFonts w:ascii="Book Antiqua" w:eastAsia="Book Antiqua" w:hAnsi="Book Antiqua" w:cs="Book Antiqua"/>
            <w:color w:val="000000"/>
            <w:u w:color="0000EE"/>
            <w:vertAlign w:val="superscript"/>
          </w:rPr>
          <w:t>53</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It was reported that the binding affinity of ACE2 </w:t>
      </w:r>
      <w:r w:rsidR="001A5629" w:rsidRPr="00633DA6">
        <w:rPr>
          <w:rFonts w:ascii="Book Antiqua" w:eastAsia="Book Antiqua" w:hAnsi="Book Antiqua" w:cs="Book Antiqua"/>
          <w:color w:val="000000"/>
        </w:rPr>
        <w:lastRenderedPageBreak/>
        <w:t>l</w:t>
      </w:r>
      <w:r w:rsidRPr="00633DA6">
        <w:rPr>
          <w:rFonts w:ascii="Book Antiqua" w:eastAsia="Book Antiqua" w:hAnsi="Book Antiqua" w:cs="Book Antiqua"/>
          <w:color w:val="000000"/>
        </w:rPr>
        <w:t>inkage with scutellarin (a flavonoid glycoside) and glycyrrhizin (a triterpenoid) was stronger than baicalin, hesperetin, and nicotianamine</w:t>
      </w:r>
      <w:r w:rsidRPr="00633DA6">
        <w:rPr>
          <w:rFonts w:ascii="Book Antiqua" w:eastAsia="Book Antiqua" w:hAnsi="Book Antiqua" w:cs="Book Antiqua"/>
          <w:color w:val="000000"/>
          <w:vertAlign w:val="superscript"/>
        </w:rPr>
        <w:t>[</w:t>
      </w:r>
      <w:hyperlink r:id="rId63" w:anchor="_ENREF_54" w:tooltip="Solnier, 2020 #73" w:history="1">
        <w:r w:rsidRPr="00633DA6">
          <w:rPr>
            <w:rFonts w:ascii="Book Antiqua" w:eastAsia="Book Antiqua" w:hAnsi="Book Antiqua" w:cs="Book Antiqua"/>
            <w:color w:val="000000"/>
            <w:u w:color="0000EE"/>
            <w:vertAlign w:val="superscript"/>
          </w:rPr>
          <w:t>54</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67ACB738" w14:textId="0C00D786" w:rsidR="00A77B3E" w:rsidRPr="00633DA6" w:rsidRDefault="00D346F3" w:rsidP="007F5BFE">
      <w:pPr>
        <w:spacing w:line="360" w:lineRule="auto"/>
        <w:ind w:firstLine="480"/>
        <w:jc w:val="both"/>
        <w:rPr>
          <w:rFonts w:ascii="Book Antiqua" w:hAnsi="Book Antiqua"/>
        </w:rPr>
      </w:pPr>
      <w:r w:rsidRPr="00633DA6">
        <w:rPr>
          <w:rFonts w:ascii="Book Antiqua" w:eastAsia="Book Antiqua" w:hAnsi="Book Antiqua" w:cs="Book Antiqua"/>
          <w:color w:val="000000"/>
        </w:rPr>
        <w:t>Limonoids and triterpenoids also displayed similar inhibitory effects on ACE2. Another in silico study similarly demonstrated that limonin, obacunone, ursolic destructive, glycyrrhizin destructive, 7-deacetyl-7-benzoylgedunin, maslinic acid, and corosolic acid effectively target SARS-CoV-2 proteins</w:t>
      </w:r>
      <w:r w:rsidRPr="00633DA6">
        <w:rPr>
          <w:rFonts w:ascii="Book Antiqua" w:eastAsia="Book Antiqua" w:hAnsi="Book Antiqua" w:cs="Book Antiqua"/>
          <w:color w:val="000000"/>
          <w:vertAlign w:val="superscript"/>
        </w:rPr>
        <w:t>[</w:t>
      </w:r>
      <w:hyperlink r:id="rId64" w:anchor="_ENREF_55" w:tooltip="Luo, 2020 #88" w:history="1">
        <w:r w:rsidRPr="00633DA6">
          <w:rPr>
            <w:rFonts w:ascii="Book Antiqua" w:eastAsia="Book Antiqua" w:hAnsi="Book Antiqua" w:cs="Book Antiqua"/>
            <w:color w:val="000000"/>
            <w:u w:color="0000EE"/>
            <w:vertAlign w:val="superscript"/>
          </w:rPr>
          <w:t>55</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In this line, nimbin (a triterpenoid) and curcumin exhibited high limiting proclivity on ACE2 and the S protein</w:t>
      </w:r>
      <w:r w:rsidRPr="00633DA6">
        <w:rPr>
          <w:rFonts w:ascii="Book Antiqua" w:eastAsia="Book Antiqua" w:hAnsi="Book Antiqua" w:cs="Book Antiqua"/>
          <w:color w:val="000000"/>
          <w:vertAlign w:val="superscript"/>
        </w:rPr>
        <w:t>[</w:t>
      </w:r>
      <w:hyperlink r:id="rId65" w:anchor="_ENREF_56" w:tooltip="Dowluru, 2020 #89" w:history="1">
        <w:r w:rsidRPr="00633DA6">
          <w:rPr>
            <w:rFonts w:ascii="Book Antiqua" w:eastAsia="Book Antiqua" w:hAnsi="Book Antiqua" w:cs="Book Antiqua"/>
            <w:color w:val="000000"/>
            <w:u w:color="0000EE"/>
            <w:vertAlign w:val="superscript"/>
          </w:rPr>
          <w:t>56</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Epigallocatechin-3-gallate and theaflavin gallate were shown to have inhibitory effects on </w:t>
      </w:r>
      <w:r w:rsidR="001A5629" w:rsidRPr="00633DA6">
        <w:rPr>
          <w:rFonts w:ascii="Book Antiqua" w:eastAsia="Book Antiqua" w:hAnsi="Book Antiqua" w:cs="Book Antiqua"/>
          <w:color w:val="000000"/>
        </w:rPr>
        <w:t xml:space="preserve">the </w:t>
      </w:r>
      <w:r w:rsidRPr="00633DA6">
        <w:rPr>
          <w:rFonts w:ascii="Book Antiqua" w:eastAsia="Book Antiqua" w:hAnsi="Book Antiqua" w:cs="Book Antiqua"/>
          <w:color w:val="000000"/>
        </w:rPr>
        <w:t>S-protein central channel of SARS-CoV-2. Moreover, three alkaloids, including cepharanthine, fangchinoline, and tetrandrine</w:t>
      </w:r>
      <w:r w:rsidR="001A5629"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inhibited the S protein of</w:t>
      </w:r>
      <w:r w:rsidRPr="00633DA6">
        <w:rPr>
          <w:rFonts w:ascii="Book Antiqua" w:eastAsia="Book Antiqua" w:hAnsi="Book Antiqua" w:cs="Book Antiqua"/>
          <w:b/>
          <w:bCs/>
          <w:color w:val="000000"/>
        </w:rPr>
        <w:t xml:space="preserve"> </w:t>
      </w:r>
      <w:r w:rsidRPr="00633DA6">
        <w:rPr>
          <w:rFonts w:ascii="Book Antiqua" w:eastAsia="Book Antiqua" w:hAnsi="Book Antiqua" w:cs="Book Antiqua"/>
          <w:color w:val="000000"/>
        </w:rPr>
        <w:t xml:space="preserve">Human coronavirus Subtype OC43 (Human-CoV-OC43) </w:t>
      </w:r>
      <w:r w:rsidR="001A5629" w:rsidRPr="00633DA6">
        <w:rPr>
          <w:rFonts w:ascii="Book Antiqua" w:eastAsia="Book Antiqua" w:hAnsi="Book Antiqua" w:cs="Book Antiqua"/>
          <w:color w:val="000000"/>
        </w:rPr>
        <w:t>expression</w:t>
      </w:r>
      <w:r w:rsidRPr="00633DA6">
        <w:rPr>
          <w:rFonts w:ascii="Book Antiqua" w:eastAsia="Book Antiqua" w:hAnsi="Book Antiqua" w:cs="Book Antiqua"/>
          <w:color w:val="000000"/>
        </w:rPr>
        <w:t>, while tetrandrine exhibited moderating effect</w:t>
      </w:r>
      <w:r w:rsidR="008039DD" w:rsidRPr="00633DA6">
        <w:rPr>
          <w:rFonts w:ascii="Book Antiqua" w:eastAsia="Book Antiqua" w:hAnsi="Book Antiqua" w:cs="Book Antiqua"/>
          <w:color w:val="000000"/>
        </w:rPr>
        <w:t>s</w:t>
      </w:r>
      <w:r w:rsidRPr="00633DA6">
        <w:rPr>
          <w:rFonts w:ascii="Book Antiqua" w:eastAsia="Book Antiqua" w:hAnsi="Book Antiqua" w:cs="Book Antiqua"/>
          <w:color w:val="000000"/>
        </w:rPr>
        <w:t xml:space="preserve"> on viral sicknesses. An indazole alkaloid isolated from the seeds of </w:t>
      </w:r>
      <w:r w:rsidRPr="00633DA6">
        <w:rPr>
          <w:rFonts w:ascii="Book Antiqua" w:eastAsia="Book Antiqua" w:hAnsi="Book Antiqua" w:cs="Book Antiqua"/>
          <w:i/>
          <w:iCs/>
          <w:color w:val="000000"/>
        </w:rPr>
        <w:t>Nigella sativa</w:t>
      </w:r>
      <w:r w:rsidRPr="00633DA6">
        <w:rPr>
          <w:rFonts w:ascii="Book Antiqua" w:eastAsia="Book Antiqua" w:hAnsi="Book Antiqua" w:cs="Book Antiqua"/>
          <w:color w:val="000000"/>
        </w:rPr>
        <w:t>, called nigellidine, was shown to bind the dynamic areas of SARS-CoV-2, thereby paralyzing the virus. In another study, anthraquinone emodin blocked the ACE2 and S protein conjunction</w:t>
      </w:r>
      <w:r w:rsidRPr="00633DA6">
        <w:rPr>
          <w:rFonts w:ascii="Book Antiqua" w:eastAsia="Book Antiqua" w:hAnsi="Book Antiqua" w:cs="Book Antiqua"/>
          <w:color w:val="000000"/>
          <w:vertAlign w:val="superscript"/>
        </w:rPr>
        <w:t>[</w:t>
      </w:r>
      <w:hyperlink r:id="rId66" w:anchor="_ENREF_57" w:tooltip="Mhatre, 2021 #90" w:history="1">
        <w:r w:rsidRPr="00633DA6">
          <w:rPr>
            <w:rFonts w:ascii="Book Antiqua" w:eastAsia="Book Antiqua" w:hAnsi="Book Antiqua" w:cs="Book Antiqua"/>
            <w:color w:val="000000"/>
            <w:u w:color="0000EE"/>
            <w:vertAlign w:val="superscript"/>
          </w:rPr>
          <w:t>57</w:t>
        </w:r>
      </w:hyperlink>
      <w:r w:rsidRPr="00633DA6">
        <w:rPr>
          <w:rFonts w:ascii="Book Antiqua" w:eastAsia="Book Antiqua" w:hAnsi="Book Antiqua" w:cs="Book Antiqua"/>
          <w:color w:val="000000"/>
          <w:vertAlign w:val="superscript"/>
        </w:rPr>
        <w:t>,</w:t>
      </w:r>
      <w:hyperlink r:id="rId67" w:anchor="_ENREF_58" w:tooltip="Jang, 2021 #58" w:history="1">
        <w:r w:rsidRPr="00633DA6">
          <w:rPr>
            <w:rFonts w:ascii="Book Antiqua" w:eastAsia="Book Antiqua" w:hAnsi="Book Antiqua" w:cs="Book Antiqua"/>
            <w:color w:val="000000"/>
            <w:u w:color="0000EE"/>
            <w:vertAlign w:val="superscript"/>
          </w:rPr>
          <w:t>58</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67FDDFC5" w14:textId="77777777" w:rsidR="00A77B3E" w:rsidRPr="00633DA6" w:rsidRDefault="00A77B3E" w:rsidP="007F5BFE">
      <w:pPr>
        <w:spacing w:line="360" w:lineRule="auto"/>
        <w:ind w:firstLine="480"/>
        <w:jc w:val="both"/>
        <w:rPr>
          <w:rFonts w:ascii="Book Antiqua" w:hAnsi="Book Antiqua"/>
        </w:rPr>
      </w:pPr>
    </w:p>
    <w:p w14:paraId="117E6F25" w14:textId="3859C878"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i/>
          <w:iCs/>
          <w:color w:val="000000"/>
        </w:rPr>
        <w:t>Chemical agents targeting TMRPSS2 and ACE2 to manage the treat</w:t>
      </w:r>
      <w:r w:rsidR="00A63795" w:rsidRPr="00633DA6">
        <w:rPr>
          <w:rFonts w:ascii="Book Antiqua" w:eastAsia="Book Antiqua" w:hAnsi="Book Antiqua" w:cs="Book Antiqua"/>
          <w:b/>
          <w:bCs/>
          <w:i/>
          <w:iCs/>
          <w:color w:val="000000"/>
        </w:rPr>
        <w:t>ment of</w:t>
      </w:r>
      <w:r w:rsidRPr="00633DA6">
        <w:rPr>
          <w:rFonts w:ascii="Book Antiqua" w:eastAsia="Book Antiqua" w:hAnsi="Book Antiqua" w:cs="Book Antiqua"/>
          <w:b/>
          <w:bCs/>
          <w:i/>
          <w:iCs/>
          <w:color w:val="000000"/>
        </w:rPr>
        <w:t xml:space="preserve"> COVID-19 and IBD overlap</w:t>
      </w:r>
    </w:p>
    <w:p w14:paraId="3A7AAB78" w14:textId="0E1E5589"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Various classes of medications, with different powers and immunosuppressive potentials, are used for IBD treatment (Table 1 and Figure 1). At present, limited data are available </w:t>
      </w:r>
      <w:r w:rsidR="00A63795" w:rsidRPr="00633DA6">
        <w:rPr>
          <w:rFonts w:ascii="Book Antiqua" w:eastAsia="Book Antiqua" w:hAnsi="Book Antiqua" w:cs="Book Antiqua"/>
          <w:color w:val="000000"/>
        </w:rPr>
        <w:t xml:space="preserve">for </w:t>
      </w:r>
      <w:r w:rsidRPr="00633DA6">
        <w:rPr>
          <w:rFonts w:ascii="Book Antiqua" w:eastAsia="Book Antiqua" w:hAnsi="Book Antiqua" w:cs="Book Antiqua"/>
          <w:color w:val="000000"/>
        </w:rPr>
        <w:t xml:space="preserve">the utilization of different medications in IBD under </w:t>
      </w:r>
      <w:r w:rsidR="00BF7446" w:rsidRPr="00633DA6">
        <w:rPr>
          <w:rFonts w:ascii="Book Antiqua" w:eastAsia="Book Antiqua" w:hAnsi="Book Antiqua" w:cs="Book Antiqua"/>
          <w:color w:val="000000"/>
        </w:rPr>
        <w:t xml:space="preserve">the </w:t>
      </w:r>
      <w:r w:rsidRPr="00633DA6">
        <w:rPr>
          <w:rFonts w:ascii="Book Antiqua" w:eastAsia="Book Antiqua" w:hAnsi="Book Antiqua" w:cs="Book Antiqua"/>
          <w:color w:val="000000"/>
        </w:rPr>
        <w:t>COVID-19 condition, henceforth</w:t>
      </w:r>
      <w:r w:rsidR="00BF7446" w:rsidRPr="00633DA6">
        <w:rPr>
          <w:rFonts w:ascii="Book Antiqua" w:eastAsia="Book Antiqua" w:hAnsi="Book Antiqua" w:cs="Book Antiqua"/>
          <w:color w:val="000000"/>
        </w:rPr>
        <w:t xml:space="preserve"> the</w:t>
      </w:r>
      <w:r w:rsidRPr="00633DA6">
        <w:rPr>
          <w:rFonts w:ascii="Book Antiqua" w:eastAsia="Book Antiqua" w:hAnsi="Book Antiqua" w:cs="Book Antiqua"/>
          <w:color w:val="000000"/>
        </w:rPr>
        <w:t xml:space="preserve"> level of proof is not yet certain</w:t>
      </w:r>
      <w:r w:rsidRPr="00633DA6">
        <w:rPr>
          <w:rFonts w:ascii="Book Antiqua" w:eastAsia="Book Antiqua" w:hAnsi="Book Antiqua" w:cs="Book Antiqua"/>
          <w:color w:val="000000"/>
          <w:vertAlign w:val="superscript"/>
        </w:rPr>
        <w:t>[</w:t>
      </w:r>
      <w:hyperlink r:id="rId68" w:anchor="_ENREF_59" w:tooltip="Magro, 2020 #59" w:history="1">
        <w:r w:rsidRPr="00633DA6">
          <w:rPr>
            <w:rFonts w:ascii="Book Antiqua" w:eastAsia="Book Antiqua" w:hAnsi="Book Antiqua" w:cs="Book Antiqua"/>
            <w:color w:val="000000"/>
            <w:u w:color="0000EE"/>
            <w:vertAlign w:val="superscript"/>
          </w:rPr>
          <w:t>59</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Current suggestions, proposed by specialists and different social orders, are overwhelmingly based on the recounted proof from the utilization of these medications during other viral pandemics like SARS</w:t>
      </w:r>
      <w:r w:rsidR="00BF7446" w:rsidRPr="00633DA6">
        <w:rPr>
          <w:rFonts w:ascii="Book Antiqua" w:eastAsia="Book Antiqua" w:hAnsi="Book Antiqua" w:cs="Book Antiqua"/>
          <w:color w:val="000000"/>
        </w:rPr>
        <w:t xml:space="preserve"> </w:t>
      </w:r>
      <w:r w:rsidRPr="00633DA6">
        <w:rPr>
          <w:rFonts w:ascii="Book Antiqua" w:eastAsia="Book Antiqua" w:hAnsi="Book Antiqua" w:cs="Book Antiqua"/>
          <w:color w:val="000000"/>
        </w:rPr>
        <w:t xml:space="preserve">and Middle East respiratory syndrome coronavirus or </w:t>
      </w:r>
      <w:r w:rsidR="00BF7446" w:rsidRPr="00633DA6">
        <w:rPr>
          <w:rFonts w:ascii="Book Antiqua" w:eastAsia="Book Antiqua" w:hAnsi="Book Antiqua" w:cs="Book Antiqua"/>
          <w:color w:val="000000"/>
        </w:rPr>
        <w:t xml:space="preserve">a </w:t>
      </w:r>
      <w:r w:rsidRPr="00633DA6">
        <w:rPr>
          <w:rFonts w:ascii="Book Antiqua" w:eastAsia="Book Antiqua" w:hAnsi="Book Antiqua" w:cs="Book Antiqua"/>
          <w:color w:val="000000"/>
        </w:rPr>
        <w:t>few distributed case reports</w:t>
      </w:r>
      <w:r w:rsidRPr="00633DA6">
        <w:rPr>
          <w:rFonts w:ascii="Book Antiqua" w:eastAsia="Book Antiqua" w:hAnsi="Book Antiqua" w:cs="Book Antiqua"/>
          <w:color w:val="000000"/>
          <w:vertAlign w:val="superscript"/>
        </w:rPr>
        <w:t>[</w:t>
      </w:r>
      <w:hyperlink r:id="rId69" w:anchor="_ENREF_60" w:tooltip="Burke, 2021 #60" w:history="1">
        <w:r w:rsidRPr="00633DA6">
          <w:rPr>
            <w:rFonts w:ascii="Book Antiqua" w:eastAsia="Book Antiqua" w:hAnsi="Book Antiqua" w:cs="Book Antiqua"/>
            <w:color w:val="000000"/>
            <w:u w:color="0000EE"/>
            <w:vertAlign w:val="superscript"/>
          </w:rPr>
          <w:t>60</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By and large, usage of intense immunosuppressants in IBD patients should be limited, except if totally essential. Notwithstanding, patients who are on stable upkeep portions may keep on doing as such with close contact </w:t>
      </w:r>
      <w:r w:rsidR="00BF7446" w:rsidRPr="00633DA6">
        <w:rPr>
          <w:rFonts w:ascii="Book Antiqua" w:eastAsia="Book Antiqua" w:hAnsi="Book Antiqua" w:cs="Book Antiqua"/>
          <w:color w:val="000000"/>
        </w:rPr>
        <w:t xml:space="preserve">with </w:t>
      </w:r>
      <w:r w:rsidRPr="00633DA6">
        <w:rPr>
          <w:rFonts w:ascii="Book Antiqua" w:eastAsia="Book Antiqua" w:hAnsi="Book Antiqua" w:cs="Book Antiqua"/>
          <w:color w:val="000000"/>
        </w:rPr>
        <w:t>their physicians</w:t>
      </w:r>
      <w:r w:rsidRPr="00633DA6">
        <w:rPr>
          <w:rFonts w:ascii="Book Antiqua" w:eastAsia="Book Antiqua" w:hAnsi="Book Antiqua" w:cs="Book Antiqua"/>
          <w:color w:val="000000"/>
          <w:vertAlign w:val="superscript"/>
        </w:rPr>
        <w:t>[</w:t>
      </w:r>
      <w:hyperlink r:id="rId70" w:anchor="_ENREF_61" w:tooltip="Sebastian, 2021 #61" w:history="1">
        <w:r w:rsidRPr="00633DA6">
          <w:rPr>
            <w:rFonts w:ascii="Book Antiqua" w:eastAsia="Book Antiqua" w:hAnsi="Book Antiqua" w:cs="Book Antiqua"/>
            <w:color w:val="000000"/>
            <w:u w:color="0000EE"/>
            <w:vertAlign w:val="superscript"/>
          </w:rPr>
          <w:t>61</w:t>
        </w:r>
      </w:hyperlink>
      <w:r w:rsidRPr="00633DA6">
        <w:rPr>
          <w:rFonts w:ascii="Book Antiqua" w:eastAsia="Book Antiqua" w:hAnsi="Book Antiqua" w:cs="Book Antiqua"/>
          <w:color w:val="000000"/>
          <w:vertAlign w:val="superscript"/>
        </w:rPr>
        <w:t>,</w:t>
      </w:r>
      <w:hyperlink r:id="rId71" w:anchor="_ENREF_62" w:tooltip="Zingone, 2020 #62" w:history="1">
        <w:r w:rsidRPr="00633DA6">
          <w:rPr>
            <w:rFonts w:ascii="Book Antiqua" w:eastAsia="Book Antiqua" w:hAnsi="Book Antiqua" w:cs="Book Antiqua"/>
            <w:color w:val="000000"/>
            <w:u w:color="0000EE"/>
            <w:vertAlign w:val="superscript"/>
          </w:rPr>
          <w:t>62</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0F10E9F2" w14:textId="77777777" w:rsidR="00A77B3E" w:rsidRPr="00633DA6" w:rsidRDefault="00A77B3E" w:rsidP="007F5BFE">
      <w:pPr>
        <w:spacing w:line="360" w:lineRule="auto"/>
        <w:jc w:val="both"/>
        <w:rPr>
          <w:rFonts w:ascii="Book Antiqua" w:hAnsi="Book Antiqua"/>
        </w:rPr>
      </w:pPr>
    </w:p>
    <w:p w14:paraId="16EBAA1B" w14:textId="4C035CF8"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Salicylates:</w:t>
      </w:r>
      <w:r w:rsidRPr="00633DA6">
        <w:rPr>
          <w:rFonts w:ascii="Book Antiqua" w:eastAsia="Book Antiqua" w:hAnsi="Book Antiqua" w:cs="Book Antiqua"/>
          <w:color w:val="000000"/>
        </w:rPr>
        <w:t xml:space="preserve"> Salicylates are usually utilized in either oral form or as</w:t>
      </w:r>
      <w:r w:rsidR="00BF7446" w:rsidRPr="00633DA6">
        <w:rPr>
          <w:rFonts w:ascii="Book Antiqua" w:eastAsia="Book Antiqua" w:hAnsi="Book Antiqua" w:cs="Book Antiqua"/>
          <w:color w:val="000000"/>
        </w:rPr>
        <w:t xml:space="preserve"> a</w:t>
      </w:r>
      <w:r w:rsidRPr="00633DA6">
        <w:rPr>
          <w:rFonts w:ascii="Book Antiqua" w:eastAsia="Book Antiqua" w:hAnsi="Book Antiqua" w:cs="Book Antiqua"/>
          <w:color w:val="000000"/>
        </w:rPr>
        <w:t xml:space="preserve"> bowel purge. They have a neighborhood activity and are improbable to influence </w:t>
      </w:r>
      <w:r w:rsidR="0061761B" w:rsidRPr="00633DA6">
        <w:rPr>
          <w:rFonts w:ascii="Book Antiqua" w:eastAsia="Book Antiqua" w:hAnsi="Book Antiqua" w:cs="Book Antiqua"/>
          <w:color w:val="000000"/>
        </w:rPr>
        <w:t xml:space="preserve">the </w:t>
      </w:r>
      <w:r w:rsidRPr="00633DA6">
        <w:rPr>
          <w:rFonts w:ascii="Book Antiqua" w:eastAsia="Book Antiqua" w:hAnsi="Book Antiqua" w:cs="Book Antiqua"/>
          <w:color w:val="000000"/>
        </w:rPr>
        <w:t xml:space="preserve">course of COVID-19 when are used in IBD patients, thereby </w:t>
      </w:r>
      <w:r w:rsidR="0061761B" w:rsidRPr="00633DA6">
        <w:rPr>
          <w:rFonts w:ascii="Book Antiqua" w:eastAsia="Book Antiqua" w:hAnsi="Book Antiqua" w:cs="Book Antiqua"/>
          <w:color w:val="000000"/>
        </w:rPr>
        <w:t xml:space="preserve">they </w:t>
      </w:r>
      <w:r w:rsidRPr="00633DA6">
        <w:rPr>
          <w:rFonts w:ascii="Book Antiqua" w:eastAsia="Book Antiqua" w:hAnsi="Book Antiqua" w:cs="Book Antiqua"/>
          <w:color w:val="000000"/>
        </w:rPr>
        <w:t>may</w:t>
      </w:r>
      <w:r w:rsidR="0061761B" w:rsidRPr="00633DA6">
        <w:rPr>
          <w:rFonts w:ascii="Book Antiqua" w:eastAsia="Book Antiqua" w:hAnsi="Book Antiqua" w:cs="Book Antiqua"/>
          <w:color w:val="000000"/>
        </w:rPr>
        <w:t xml:space="preserve"> </w:t>
      </w:r>
      <w:r w:rsidRPr="00633DA6">
        <w:rPr>
          <w:rFonts w:ascii="Book Antiqua" w:eastAsia="Book Antiqua" w:hAnsi="Book Antiqua" w:cs="Book Antiqua"/>
          <w:color w:val="000000"/>
        </w:rPr>
        <w:t>be securely proceeded in dosages</w:t>
      </w:r>
      <w:r w:rsidRPr="00633DA6">
        <w:rPr>
          <w:rFonts w:ascii="Book Antiqua" w:eastAsia="Book Antiqua" w:hAnsi="Book Antiqua" w:cs="Book Antiqua"/>
          <w:color w:val="000000"/>
          <w:vertAlign w:val="superscript"/>
        </w:rPr>
        <w:t>[</w:t>
      </w:r>
      <w:hyperlink r:id="rId72" w:anchor="_ENREF_63" w:tooltip="Norsa, 2020 #97" w:history="1">
        <w:r w:rsidRPr="00633DA6">
          <w:rPr>
            <w:rFonts w:ascii="Book Antiqua" w:eastAsia="Book Antiqua" w:hAnsi="Book Antiqua" w:cs="Book Antiqua"/>
            <w:color w:val="000000"/>
            <w:u w:color="0000EE"/>
            <w:vertAlign w:val="superscript"/>
          </w:rPr>
          <w:t>63</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69E98255" w14:textId="77777777" w:rsidR="00A77B3E" w:rsidRPr="00633DA6" w:rsidRDefault="00A77B3E" w:rsidP="007F5BFE">
      <w:pPr>
        <w:spacing w:line="360" w:lineRule="auto"/>
        <w:jc w:val="both"/>
        <w:rPr>
          <w:rFonts w:ascii="Book Antiqua" w:hAnsi="Book Antiqua"/>
        </w:rPr>
      </w:pPr>
    </w:p>
    <w:p w14:paraId="3E39DD62" w14:textId="78BE55C9"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Corticosteroids:</w:t>
      </w:r>
      <w:r w:rsidRPr="00633DA6">
        <w:rPr>
          <w:rFonts w:ascii="Book Antiqua" w:eastAsia="Book Antiqua" w:hAnsi="Book Antiqua" w:cs="Book Antiqua"/>
          <w:color w:val="000000"/>
        </w:rPr>
        <w:t xml:space="preserve"> Corticosteroids are the most common drugs that are used in IBD, mainly due to their intense calmin</w:t>
      </w:r>
      <w:r w:rsidR="0061761B" w:rsidRPr="00633DA6">
        <w:rPr>
          <w:rFonts w:ascii="Book Antiqua" w:eastAsia="Book Antiqua" w:hAnsi="Book Antiqua" w:cs="Book Antiqua"/>
          <w:color w:val="000000"/>
        </w:rPr>
        <w:t>g</w:t>
      </w:r>
      <w:r w:rsidRPr="00633DA6">
        <w:rPr>
          <w:rFonts w:ascii="Book Antiqua" w:eastAsia="Book Antiqua" w:hAnsi="Book Antiqua" w:cs="Book Antiqua"/>
          <w:color w:val="000000"/>
        </w:rPr>
        <w:t xml:space="preserve"> effects. Therefore, steroids may be valuable in suppression of COVID-19, particularly in conditions like intense lung injury, intense respiratory trouble disorder, and septic </w:t>
      </w:r>
      <w:r w:rsidR="00DF553D" w:rsidRPr="00633DA6">
        <w:rPr>
          <w:rFonts w:ascii="Book Antiqua" w:eastAsia="Book Antiqua" w:hAnsi="Book Antiqua" w:cs="Book Antiqua"/>
          <w:color w:val="000000"/>
        </w:rPr>
        <w:t>shock</w:t>
      </w:r>
      <w:r w:rsidRPr="00633DA6">
        <w:rPr>
          <w:rFonts w:ascii="Book Antiqua" w:eastAsia="Book Antiqua" w:hAnsi="Book Antiqua" w:cs="Book Antiqua"/>
          <w:color w:val="000000"/>
        </w:rPr>
        <w:t xml:space="preserve">. During </w:t>
      </w:r>
      <w:r w:rsidR="00DF553D" w:rsidRPr="00633DA6">
        <w:rPr>
          <w:rFonts w:ascii="Book Antiqua" w:eastAsia="Book Antiqua" w:hAnsi="Book Antiqua" w:cs="Book Antiqua"/>
          <w:color w:val="000000"/>
        </w:rPr>
        <w:t xml:space="preserve">the </w:t>
      </w:r>
      <w:r w:rsidRPr="00633DA6">
        <w:rPr>
          <w:rFonts w:ascii="Book Antiqua" w:eastAsia="Book Antiqua" w:hAnsi="Book Antiqua" w:cs="Book Antiqua"/>
          <w:color w:val="000000"/>
        </w:rPr>
        <w:t xml:space="preserve">SARS and </w:t>
      </w:r>
      <w:r w:rsidR="00BF7446" w:rsidRPr="00633DA6">
        <w:rPr>
          <w:rFonts w:ascii="Book Antiqua" w:eastAsia="Book Antiqua" w:hAnsi="Book Antiqua" w:cs="Book Antiqua"/>
          <w:color w:val="000000"/>
        </w:rPr>
        <w:t>Middle East respiratory syndrome</w:t>
      </w:r>
      <w:r w:rsidRPr="00633DA6">
        <w:rPr>
          <w:rFonts w:ascii="Book Antiqua" w:eastAsia="Book Antiqua" w:hAnsi="Book Antiqua" w:cs="Book Antiqua"/>
          <w:color w:val="000000"/>
        </w:rPr>
        <w:t xml:space="preserve"> pandemic, corticosteroids treatment helped to postpone viremia</w:t>
      </w:r>
      <w:r w:rsidRPr="00633DA6">
        <w:rPr>
          <w:rFonts w:ascii="Book Antiqua" w:eastAsia="Book Antiqua" w:hAnsi="Book Antiqua" w:cs="Book Antiqua"/>
          <w:color w:val="000000"/>
          <w:vertAlign w:val="superscript"/>
        </w:rPr>
        <w:t>[</w:t>
      </w:r>
      <w:hyperlink r:id="rId73" w:anchor="_ENREF_64" w:tooltip="Halpin, 2020 #98" w:history="1">
        <w:r w:rsidRPr="00633DA6">
          <w:rPr>
            <w:rFonts w:ascii="Book Antiqua" w:eastAsia="Book Antiqua" w:hAnsi="Book Antiqua" w:cs="Book Antiqua"/>
            <w:color w:val="000000"/>
            <w:u w:color="0000EE"/>
            <w:vertAlign w:val="superscript"/>
          </w:rPr>
          <w:t>64</w:t>
        </w:r>
      </w:hyperlink>
      <w:r w:rsidRPr="00633DA6">
        <w:rPr>
          <w:rFonts w:ascii="Book Antiqua" w:eastAsia="Book Antiqua" w:hAnsi="Book Antiqua" w:cs="Book Antiqua"/>
          <w:color w:val="000000"/>
          <w:vertAlign w:val="superscript"/>
        </w:rPr>
        <w:t>,</w:t>
      </w:r>
      <w:hyperlink r:id="rId74" w:anchor="_ENREF_65" w:tooltip="Saad, 2020 #99" w:history="1">
        <w:r w:rsidRPr="00633DA6">
          <w:rPr>
            <w:rFonts w:ascii="Book Antiqua" w:eastAsia="Book Antiqua" w:hAnsi="Book Antiqua" w:cs="Book Antiqua"/>
            <w:color w:val="000000"/>
            <w:u w:color="0000EE"/>
            <w:vertAlign w:val="superscript"/>
          </w:rPr>
          <w:t>65</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while there were no general improvement in terms of septic s</w:t>
      </w:r>
      <w:r w:rsidR="00DF553D" w:rsidRPr="00633DA6">
        <w:rPr>
          <w:rFonts w:ascii="Book Antiqua" w:eastAsia="Book Antiqua" w:hAnsi="Book Antiqua" w:cs="Book Antiqua"/>
          <w:color w:val="000000"/>
        </w:rPr>
        <w:t>hock</w:t>
      </w:r>
      <w:r w:rsidRPr="00633DA6">
        <w:rPr>
          <w:rFonts w:ascii="Book Antiqua" w:eastAsia="Book Antiqua" w:hAnsi="Book Antiqua" w:cs="Book Antiqua"/>
          <w:color w:val="000000"/>
        </w:rPr>
        <w:t xml:space="preserve"> or psychosis</w:t>
      </w:r>
      <w:r w:rsidR="00DF553D"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w:t>
      </w:r>
      <w:r w:rsidRPr="00633DA6">
        <w:rPr>
          <w:rFonts w:ascii="Book Antiqua" w:eastAsia="Book Antiqua" w:hAnsi="Book Antiqua" w:cs="Book Antiqua"/>
          <w:i/>
          <w:iCs/>
          <w:color w:val="000000"/>
        </w:rPr>
        <w:t>etc</w:t>
      </w:r>
      <w:r w:rsidR="00AF6224" w:rsidRPr="00633DA6">
        <w:rPr>
          <w:rFonts w:ascii="Book Antiqua" w:eastAsia="Book Antiqua" w:hAnsi="Book Antiqua" w:cs="Book Antiqua"/>
          <w:i/>
          <w:iCs/>
          <w:color w:val="000000"/>
        </w:rPr>
        <w:t>.</w:t>
      </w:r>
      <w:r w:rsidRPr="00633DA6">
        <w:rPr>
          <w:rFonts w:ascii="Book Antiqua" w:eastAsia="Book Antiqua" w:hAnsi="Book Antiqua" w:cs="Book Antiqua"/>
          <w:color w:val="000000"/>
          <w:vertAlign w:val="superscript"/>
        </w:rPr>
        <w:t>[</w:t>
      </w:r>
      <w:hyperlink r:id="rId75" w:anchor="_ENREF_66" w:tooltip="Tlayjeh, 2020 #100" w:history="1">
        <w:r w:rsidRPr="00633DA6">
          <w:rPr>
            <w:rFonts w:ascii="Book Antiqua" w:eastAsia="Book Antiqua" w:hAnsi="Book Antiqua" w:cs="Book Antiqua"/>
            <w:color w:val="000000"/>
            <w:u w:color="0000EE"/>
            <w:vertAlign w:val="superscript"/>
          </w:rPr>
          <w:t>66</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Given the absence of adequacy, the World Health Organization suggested that routine corticosteroids ought to be </w:t>
      </w:r>
      <w:r w:rsidR="005B422E" w:rsidRPr="00633DA6">
        <w:rPr>
          <w:rFonts w:ascii="Book Antiqua" w:eastAsia="Book Antiqua" w:hAnsi="Book Antiqua" w:cs="Book Antiqua"/>
          <w:color w:val="000000"/>
        </w:rPr>
        <w:t>a</w:t>
      </w:r>
      <w:r w:rsidRPr="00633DA6">
        <w:rPr>
          <w:rFonts w:ascii="Book Antiqua" w:eastAsia="Book Antiqua" w:hAnsi="Book Antiqua" w:cs="Book Antiqua"/>
          <w:color w:val="000000"/>
        </w:rPr>
        <w:t>v</w:t>
      </w:r>
      <w:r w:rsidR="005B422E" w:rsidRPr="00633DA6">
        <w:rPr>
          <w:rFonts w:ascii="Book Antiqua" w:eastAsia="Book Antiqua" w:hAnsi="Book Antiqua" w:cs="Book Antiqua"/>
          <w:color w:val="000000"/>
        </w:rPr>
        <w:t>oi</w:t>
      </w:r>
      <w:r w:rsidRPr="00633DA6">
        <w:rPr>
          <w:rFonts w:ascii="Book Antiqua" w:eastAsia="Book Antiqua" w:hAnsi="Book Antiqua" w:cs="Book Antiqua"/>
          <w:color w:val="000000"/>
        </w:rPr>
        <w:t xml:space="preserve">ded </w:t>
      </w:r>
      <w:r w:rsidR="005B422E" w:rsidRPr="00633DA6">
        <w:rPr>
          <w:rFonts w:ascii="Book Antiqua" w:eastAsia="Book Antiqua" w:hAnsi="Book Antiqua" w:cs="Book Antiqua"/>
          <w:color w:val="000000"/>
        </w:rPr>
        <w:t xml:space="preserve">except </w:t>
      </w:r>
      <w:r w:rsidRPr="00633DA6">
        <w:rPr>
          <w:rFonts w:ascii="Book Antiqua" w:eastAsia="Book Antiqua" w:hAnsi="Book Antiqua" w:cs="Book Antiqua"/>
          <w:color w:val="000000"/>
        </w:rPr>
        <w:t>in explicit circumstances. Steroids are possibly kept away from the first line therapies in recently analyzed IBD patients. Notwithstanding, considering their tremendous advantages in IBD, it was suggested that the main steroids might be beneficial at low doses in patients with COVID-19 and IBD, specifically in patients that are already on treatment</w:t>
      </w:r>
      <w:r w:rsidRPr="00633DA6">
        <w:rPr>
          <w:rFonts w:ascii="Book Antiqua" w:eastAsia="Book Antiqua" w:hAnsi="Book Antiqua" w:cs="Book Antiqua"/>
          <w:color w:val="000000"/>
          <w:vertAlign w:val="superscript"/>
        </w:rPr>
        <w:t>[</w:t>
      </w:r>
      <w:hyperlink r:id="rId76" w:anchor="_ENREF_67" w:tooltip="Brenner, 2021 #8" w:history="1">
        <w:r w:rsidRPr="00633DA6">
          <w:rPr>
            <w:rFonts w:ascii="Book Antiqua" w:eastAsia="Book Antiqua" w:hAnsi="Book Antiqua" w:cs="Book Antiqua"/>
            <w:color w:val="000000"/>
            <w:u w:color="0000EE"/>
            <w:vertAlign w:val="superscript"/>
          </w:rPr>
          <w:t>67</w:t>
        </w:r>
      </w:hyperlink>
      <w:r w:rsidRPr="00633DA6">
        <w:rPr>
          <w:rFonts w:ascii="Book Antiqua" w:eastAsia="Book Antiqua" w:hAnsi="Book Antiqua" w:cs="Book Antiqua"/>
          <w:color w:val="000000"/>
          <w:vertAlign w:val="superscript"/>
        </w:rPr>
        <w:t>,</w:t>
      </w:r>
      <w:hyperlink r:id="rId77" w:anchor="_ENREF_68" w:tooltip="Mak, 2021 #102" w:history="1">
        <w:r w:rsidRPr="00633DA6">
          <w:rPr>
            <w:rFonts w:ascii="Book Antiqua" w:eastAsia="Book Antiqua" w:hAnsi="Book Antiqua" w:cs="Book Antiqua"/>
            <w:color w:val="000000"/>
            <w:u w:color="0000EE"/>
            <w:vertAlign w:val="superscript"/>
          </w:rPr>
          <w:t>68</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Steroids with limited site of action, for example budesonide, seem harmless to be used. Infliximab might be a therapeutic option for COVID-19 positive patients with mild respiratory symptoms</w:t>
      </w:r>
      <w:r w:rsidRPr="00633DA6">
        <w:rPr>
          <w:rFonts w:ascii="Book Antiqua" w:eastAsia="Book Antiqua" w:hAnsi="Book Antiqua" w:cs="Book Antiqua"/>
          <w:color w:val="000000"/>
          <w:vertAlign w:val="superscript"/>
        </w:rPr>
        <w:t>[</w:t>
      </w:r>
      <w:hyperlink r:id="rId78" w:anchor="_ENREF_61" w:tooltip="Sebastian, 2021 #61" w:history="1">
        <w:r w:rsidRPr="00633DA6">
          <w:rPr>
            <w:rFonts w:ascii="Book Antiqua" w:eastAsia="Book Antiqua" w:hAnsi="Book Antiqua" w:cs="Book Antiqua"/>
            <w:color w:val="000000"/>
            <w:u w:color="0000EE"/>
            <w:vertAlign w:val="superscript"/>
          </w:rPr>
          <w:t>61</w:t>
        </w:r>
      </w:hyperlink>
      <w:r w:rsidRPr="00633DA6">
        <w:rPr>
          <w:rFonts w:ascii="Book Antiqua" w:eastAsia="Book Antiqua" w:hAnsi="Book Antiqua" w:cs="Book Antiqua"/>
          <w:color w:val="000000"/>
          <w:vertAlign w:val="superscript"/>
        </w:rPr>
        <w:t>,</w:t>
      </w:r>
      <w:hyperlink r:id="rId79" w:anchor="_ENREF_69" w:tooltip="Rosen, 2020 #104" w:history="1">
        <w:r w:rsidRPr="00633DA6">
          <w:rPr>
            <w:rFonts w:ascii="Book Antiqua" w:eastAsia="Book Antiqua" w:hAnsi="Book Antiqua" w:cs="Book Antiqua"/>
            <w:color w:val="000000"/>
            <w:u w:color="0000EE"/>
            <w:vertAlign w:val="superscript"/>
          </w:rPr>
          <w:t>69</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4CEEBEA9" w14:textId="77777777" w:rsidR="00A77B3E" w:rsidRPr="00633DA6" w:rsidRDefault="00A77B3E" w:rsidP="007F5BFE">
      <w:pPr>
        <w:spacing w:line="360" w:lineRule="auto"/>
        <w:jc w:val="both"/>
        <w:rPr>
          <w:rFonts w:ascii="Book Antiqua" w:hAnsi="Book Antiqua"/>
        </w:rPr>
      </w:pPr>
    </w:p>
    <w:p w14:paraId="7E152CDC" w14:textId="453807BF"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Cyclosporin:</w:t>
      </w:r>
      <w:r w:rsidRPr="00633DA6">
        <w:rPr>
          <w:rFonts w:ascii="Book Antiqua" w:eastAsia="Book Antiqua" w:hAnsi="Book Antiqua" w:cs="Book Antiqua"/>
          <w:color w:val="000000"/>
        </w:rPr>
        <w:t xml:space="preserve"> Cyclosporin is used for serious ulcerative colitis as an option in contrast to steroids. Although, some data pointed out that cyclosporine can inhibit the coronavirus replication proteins </w:t>
      </w:r>
      <w:r w:rsidRPr="00633DA6">
        <w:rPr>
          <w:rFonts w:ascii="Book Antiqua" w:eastAsia="Book Antiqua" w:hAnsi="Book Antiqua" w:cs="Book Antiqua"/>
          <w:i/>
          <w:iCs/>
          <w:color w:val="000000"/>
        </w:rPr>
        <w:t>in vitro</w:t>
      </w:r>
      <w:r w:rsidRPr="00633DA6">
        <w:rPr>
          <w:rFonts w:ascii="Book Antiqua" w:eastAsia="Book Antiqua" w:hAnsi="Book Antiqua" w:cs="Book Antiqua"/>
          <w:color w:val="000000"/>
        </w:rPr>
        <w:t>, its prescription is controversial in patients with COVID-19</w:t>
      </w:r>
      <w:r w:rsidR="00595FD5" w:rsidRPr="00633DA6">
        <w:rPr>
          <w:rFonts w:ascii="Book Antiqua" w:eastAsia="Book Antiqua" w:hAnsi="Book Antiqua" w:cs="Book Antiqua"/>
          <w:color w:val="000000"/>
        </w:rPr>
        <w:t xml:space="preserve"> due to its strong immunosuppressive properties</w:t>
      </w:r>
      <w:r w:rsidRPr="00633DA6">
        <w:rPr>
          <w:rFonts w:ascii="Book Antiqua" w:eastAsia="Book Antiqua" w:hAnsi="Book Antiqua" w:cs="Book Antiqua"/>
          <w:color w:val="000000"/>
          <w:vertAlign w:val="superscript"/>
        </w:rPr>
        <w:t>[</w:t>
      </w:r>
      <w:hyperlink r:id="rId80" w:anchor="_ENREF_70" w:tooltip="Schuurmans, 2021 #71" w:history="1">
        <w:r w:rsidRPr="00633DA6">
          <w:rPr>
            <w:rFonts w:ascii="Book Antiqua" w:eastAsia="Book Antiqua" w:hAnsi="Book Antiqua" w:cs="Book Antiqua"/>
            <w:color w:val="000000"/>
            <w:u w:color="0000EE"/>
            <w:vertAlign w:val="superscript"/>
          </w:rPr>
          <w:t>70-72</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0D670177" w14:textId="77777777" w:rsidR="00A77B3E" w:rsidRPr="00633DA6" w:rsidRDefault="00A77B3E" w:rsidP="007F5BFE">
      <w:pPr>
        <w:spacing w:line="360" w:lineRule="auto"/>
        <w:jc w:val="both"/>
        <w:rPr>
          <w:rFonts w:ascii="Book Antiqua" w:hAnsi="Book Antiqua"/>
        </w:rPr>
      </w:pPr>
    </w:p>
    <w:p w14:paraId="43AFEA5A" w14:textId="2CD06284"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Azathioprine and methotrexate:</w:t>
      </w:r>
      <w:r w:rsidRPr="00633DA6">
        <w:rPr>
          <w:rFonts w:ascii="Book Antiqua" w:eastAsia="Book Antiqua" w:hAnsi="Book Antiqua" w:cs="Book Antiqua"/>
          <w:color w:val="000000"/>
        </w:rPr>
        <w:t xml:space="preserve"> Azathioprine is a thiopurine that is often used for IBD treatment, particularly for upkeep treatment. Curiously, past investigations have demonstrated that </w:t>
      </w:r>
      <w:r w:rsidR="00595FD5" w:rsidRPr="00633DA6">
        <w:rPr>
          <w:rFonts w:ascii="Book Antiqua" w:eastAsia="Book Antiqua" w:hAnsi="Book Antiqua" w:cs="Book Antiqua"/>
          <w:color w:val="000000"/>
        </w:rPr>
        <w:t>t</w:t>
      </w:r>
      <w:r w:rsidRPr="00633DA6">
        <w:rPr>
          <w:rFonts w:ascii="Book Antiqua" w:eastAsia="Book Antiqua" w:hAnsi="Book Antiqua" w:cs="Book Antiqua"/>
          <w:color w:val="000000"/>
        </w:rPr>
        <w:t xml:space="preserve">hiopurine analogs have both immediate and roundabout activities </w:t>
      </w:r>
      <w:r w:rsidRPr="00633DA6">
        <w:rPr>
          <w:rFonts w:ascii="Book Antiqua" w:eastAsia="Book Antiqua" w:hAnsi="Book Antiqua" w:cs="Book Antiqua"/>
          <w:color w:val="000000"/>
        </w:rPr>
        <w:lastRenderedPageBreak/>
        <w:t>on smothering antiviral movement. They also hinder viral proteases once the host proteins were engaged with viral replication</w:t>
      </w:r>
      <w:r w:rsidRPr="00633DA6">
        <w:rPr>
          <w:rFonts w:ascii="Book Antiqua" w:eastAsia="Book Antiqua" w:hAnsi="Book Antiqua" w:cs="Book Antiqua"/>
          <w:color w:val="000000"/>
          <w:vertAlign w:val="superscript"/>
        </w:rPr>
        <w:t>[</w:t>
      </w:r>
      <w:hyperlink r:id="rId81" w:anchor="_ENREF_73" w:tooltip="Ghoshal, 2021 #108" w:history="1">
        <w:r w:rsidRPr="00633DA6">
          <w:rPr>
            <w:rFonts w:ascii="Book Antiqua" w:eastAsia="Book Antiqua" w:hAnsi="Book Antiqua" w:cs="Book Antiqua"/>
            <w:color w:val="000000"/>
            <w:u w:color="0000EE"/>
            <w:vertAlign w:val="superscript"/>
          </w:rPr>
          <w:t>73</w:t>
        </w:r>
      </w:hyperlink>
      <w:r w:rsidRPr="00633DA6">
        <w:rPr>
          <w:rFonts w:ascii="Book Antiqua" w:eastAsia="Book Antiqua" w:hAnsi="Book Antiqua" w:cs="Book Antiqua"/>
          <w:color w:val="000000"/>
          <w:vertAlign w:val="superscript"/>
        </w:rPr>
        <w:t>,</w:t>
      </w:r>
      <w:hyperlink r:id="rId82" w:anchor="_ENREF_74" w:tooltip="Mansouri, 2021 #109" w:history="1">
        <w:r w:rsidRPr="00633DA6">
          <w:rPr>
            <w:rFonts w:ascii="Book Antiqua" w:eastAsia="Book Antiqua" w:hAnsi="Book Antiqua" w:cs="Book Antiqua"/>
            <w:color w:val="000000"/>
            <w:u w:color="0000EE"/>
            <w:vertAlign w:val="superscript"/>
          </w:rPr>
          <w:t>74</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Depending on the perception of genuine viral contaminations in IBD patients who are using thiopurine, the treatment time can be estimated. Interruption in treatment up to 14 d after recuperation from COVID-19 has been suggested. Methotrexate </w:t>
      </w:r>
      <w:r w:rsidR="008A1A3B" w:rsidRPr="00633DA6">
        <w:rPr>
          <w:rFonts w:ascii="Book Antiqua" w:eastAsia="Book Antiqua" w:hAnsi="Book Antiqua" w:cs="Book Antiqua"/>
          <w:color w:val="000000"/>
        </w:rPr>
        <w:t xml:space="preserve">can </w:t>
      </w:r>
      <w:r w:rsidRPr="00633DA6">
        <w:rPr>
          <w:rFonts w:ascii="Book Antiqua" w:eastAsia="Book Antiqua" w:hAnsi="Book Antiqua" w:cs="Book Antiqua"/>
          <w:color w:val="000000"/>
        </w:rPr>
        <w:t>perhaps</w:t>
      </w:r>
      <w:r w:rsidR="008A1A3B" w:rsidRPr="00633DA6">
        <w:rPr>
          <w:rFonts w:ascii="Book Antiqua" w:eastAsia="Book Antiqua" w:hAnsi="Book Antiqua" w:cs="Book Antiqua"/>
          <w:color w:val="000000"/>
        </w:rPr>
        <w:t xml:space="preserve"> continue</w:t>
      </w:r>
      <w:r w:rsidRPr="00633DA6">
        <w:rPr>
          <w:rFonts w:ascii="Book Antiqua" w:eastAsia="Book Antiqua" w:hAnsi="Book Antiqua" w:cs="Book Antiqua"/>
          <w:color w:val="000000"/>
        </w:rPr>
        <w:t xml:space="preserve"> </w:t>
      </w:r>
      <w:r w:rsidR="008A1A3B" w:rsidRPr="00633DA6">
        <w:rPr>
          <w:rFonts w:ascii="Book Antiqua" w:eastAsia="Book Antiqua" w:hAnsi="Book Antiqua" w:cs="Book Antiqua"/>
          <w:color w:val="000000"/>
        </w:rPr>
        <w:t>without issues</w:t>
      </w:r>
      <w:r w:rsidRPr="00633DA6">
        <w:rPr>
          <w:rFonts w:ascii="Book Antiqua" w:eastAsia="Book Antiqua" w:hAnsi="Book Antiqua" w:cs="Book Antiqua"/>
          <w:color w:val="000000"/>
          <w:vertAlign w:val="superscript"/>
        </w:rPr>
        <w:t>[</w:t>
      </w:r>
      <w:hyperlink r:id="rId83" w:anchor="_ENREF_75" w:tooltip="D’Silva, 2021 #110" w:history="1">
        <w:r w:rsidRPr="00633DA6">
          <w:rPr>
            <w:rFonts w:ascii="Book Antiqua" w:eastAsia="Book Antiqua" w:hAnsi="Book Antiqua" w:cs="Book Antiqua"/>
            <w:color w:val="000000"/>
            <w:u w:color="0000EE"/>
            <w:vertAlign w:val="superscript"/>
          </w:rPr>
          <w:t>75</w:t>
        </w:r>
      </w:hyperlink>
      <w:r w:rsidRPr="00633DA6">
        <w:rPr>
          <w:rFonts w:ascii="Book Antiqua" w:eastAsia="Book Antiqua" w:hAnsi="Book Antiqua" w:cs="Book Antiqua"/>
          <w:color w:val="000000"/>
          <w:vertAlign w:val="superscript"/>
        </w:rPr>
        <w:t>,</w:t>
      </w:r>
      <w:hyperlink r:id="rId84" w:anchor="_ENREF_76" w:tooltip="Kasperkiewicz, 2021 #111" w:history="1">
        <w:r w:rsidRPr="00633DA6">
          <w:rPr>
            <w:rFonts w:ascii="Book Antiqua" w:eastAsia="Book Antiqua" w:hAnsi="Book Antiqua" w:cs="Book Antiqua"/>
            <w:color w:val="000000"/>
            <w:u w:color="0000EE"/>
            <w:vertAlign w:val="superscript"/>
          </w:rPr>
          <w:t>76</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4EBE5A68" w14:textId="77777777" w:rsidR="00A77B3E" w:rsidRPr="00633DA6" w:rsidRDefault="00A77B3E" w:rsidP="007F5BFE">
      <w:pPr>
        <w:spacing w:line="360" w:lineRule="auto"/>
        <w:jc w:val="both"/>
        <w:rPr>
          <w:rFonts w:ascii="Book Antiqua" w:hAnsi="Book Antiqua"/>
        </w:rPr>
      </w:pPr>
    </w:p>
    <w:p w14:paraId="779F2E35" w14:textId="4B7AF339"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Biologics:</w:t>
      </w:r>
      <w:r w:rsidRPr="00633DA6">
        <w:rPr>
          <w:rFonts w:ascii="Book Antiqua" w:eastAsia="Book Antiqua" w:hAnsi="Book Antiqua" w:cs="Book Antiqua"/>
          <w:color w:val="000000"/>
        </w:rPr>
        <w:t xml:space="preserve"> Current data show that infliximab and adalimumab (TNF-α inhibitors) have no unfavorable effects on the clinical course of COVID-19</w:t>
      </w:r>
      <w:r w:rsidRPr="00633DA6">
        <w:rPr>
          <w:rFonts w:ascii="Book Antiqua" w:eastAsia="Book Antiqua" w:hAnsi="Book Antiqua" w:cs="Book Antiqua"/>
          <w:color w:val="000000"/>
          <w:vertAlign w:val="superscript"/>
        </w:rPr>
        <w:t>[</w:t>
      </w:r>
      <w:hyperlink r:id="rId85" w:anchor="_ENREF_62" w:tooltip="Zingone, 2020 #62" w:history="1">
        <w:r w:rsidRPr="00633DA6">
          <w:rPr>
            <w:rFonts w:ascii="Book Antiqua" w:eastAsia="Book Antiqua" w:hAnsi="Book Antiqua" w:cs="Book Antiqua"/>
            <w:color w:val="000000"/>
            <w:u w:color="0000EE"/>
            <w:vertAlign w:val="superscript"/>
          </w:rPr>
          <w:t>62</w:t>
        </w:r>
      </w:hyperlink>
      <w:r w:rsidRPr="00633DA6">
        <w:rPr>
          <w:rFonts w:ascii="Book Antiqua" w:eastAsia="Book Antiqua" w:hAnsi="Book Antiqua" w:cs="Book Antiqua"/>
          <w:color w:val="000000"/>
          <w:vertAlign w:val="superscript"/>
        </w:rPr>
        <w:t>,</w:t>
      </w:r>
      <w:hyperlink r:id="rId86" w:anchor="_ENREF_77" w:tooltip="Festa, 2020 #113" w:history="1">
        <w:r w:rsidRPr="00633DA6">
          <w:rPr>
            <w:rFonts w:ascii="Book Antiqua" w:eastAsia="Book Antiqua" w:hAnsi="Book Antiqua" w:cs="Book Antiqua"/>
            <w:color w:val="000000"/>
            <w:u w:color="0000EE"/>
            <w:vertAlign w:val="superscript"/>
          </w:rPr>
          <w:t>77</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One reason speculated is the strong mitigating impact of TNF blockage, which may indeed constrict the cytokine storm in serious types of COVID-19</w:t>
      </w:r>
      <w:r w:rsidRPr="00633DA6">
        <w:rPr>
          <w:rFonts w:ascii="Book Antiqua" w:eastAsia="Book Antiqua" w:hAnsi="Book Antiqua" w:cs="Book Antiqua"/>
          <w:color w:val="000000"/>
          <w:vertAlign w:val="superscript"/>
        </w:rPr>
        <w:t>[</w:t>
      </w:r>
      <w:hyperlink r:id="rId87" w:anchor="_ENREF_78" w:tooltip="Danese, 2020 #114" w:history="1">
        <w:r w:rsidRPr="00633DA6">
          <w:rPr>
            <w:rFonts w:ascii="Book Antiqua" w:eastAsia="Book Antiqua" w:hAnsi="Book Antiqua" w:cs="Book Antiqua"/>
            <w:color w:val="000000"/>
            <w:u w:color="0000EE"/>
            <w:vertAlign w:val="superscript"/>
          </w:rPr>
          <w:t>78</w:t>
        </w:r>
      </w:hyperlink>
      <w:r w:rsidRPr="00633DA6">
        <w:rPr>
          <w:rFonts w:ascii="Book Antiqua" w:eastAsia="Book Antiqua" w:hAnsi="Book Antiqua" w:cs="Book Antiqua"/>
          <w:color w:val="000000"/>
          <w:vertAlign w:val="superscript"/>
        </w:rPr>
        <w:t>,</w:t>
      </w:r>
      <w:hyperlink r:id="rId88" w:anchor="_ENREF_79" w:tooltip="Macaluso, 2020 #80" w:history="1">
        <w:r w:rsidRPr="00633DA6">
          <w:rPr>
            <w:rFonts w:ascii="Book Antiqua" w:eastAsia="Book Antiqua" w:hAnsi="Book Antiqua" w:cs="Book Antiqua"/>
            <w:color w:val="000000"/>
            <w:u w:color="0000EE"/>
            <w:vertAlign w:val="superscript"/>
          </w:rPr>
          <w:t>79</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Co-administration of medicines (</w:t>
      </w:r>
      <w:r w:rsidRPr="00633DA6">
        <w:rPr>
          <w:rFonts w:ascii="Book Antiqua" w:eastAsia="Book Antiqua" w:hAnsi="Book Antiqua" w:cs="Book Antiqua"/>
          <w:i/>
          <w:iCs/>
          <w:color w:val="000000"/>
        </w:rPr>
        <w:t>i.e.</w:t>
      </w:r>
      <w:r w:rsidRPr="00633DA6">
        <w:rPr>
          <w:rFonts w:ascii="Book Antiqua" w:eastAsia="Book Antiqua" w:hAnsi="Book Antiqua" w:cs="Book Antiqua"/>
          <w:color w:val="000000"/>
        </w:rPr>
        <w:t xml:space="preserve"> thiopurine and infliximab) might be an option</w:t>
      </w:r>
      <w:r w:rsidR="008A1A3B"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w:t>
      </w:r>
      <w:r w:rsidR="008A1A3B" w:rsidRPr="00633DA6">
        <w:rPr>
          <w:rFonts w:ascii="Book Antiqua" w:eastAsia="Book Antiqua" w:hAnsi="Book Antiqua" w:cs="Book Antiqua"/>
          <w:color w:val="000000"/>
        </w:rPr>
        <w:t>A</w:t>
      </w:r>
      <w:r w:rsidRPr="00633DA6">
        <w:rPr>
          <w:rFonts w:ascii="Book Antiqua" w:eastAsia="Book Antiqua" w:hAnsi="Book Antiqua" w:cs="Book Antiqua"/>
          <w:color w:val="000000"/>
        </w:rPr>
        <w:t>lso</w:t>
      </w:r>
      <w:r w:rsidR="008A1A3B" w:rsidRPr="00633DA6">
        <w:rPr>
          <w:rFonts w:ascii="Book Antiqua" w:eastAsia="Book Antiqua" w:hAnsi="Book Antiqua" w:cs="Book Antiqua"/>
          <w:color w:val="000000"/>
        </w:rPr>
        <w:t>,</w:t>
      </w:r>
      <w:r w:rsidRPr="00633DA6">
        <w:rPr>
          <w:rFonts w:ascii="Book Antiqua" w:eastAsia="Book Antiqua" w:hAnsi="Book Antiqua" w:cs="Book Antiqua"/>
          <w:color w:val="000000"/>
        </w:rPr>
        <w:t xml:space="preserve"> monotherapy with natural products may be considered</w:t>
      </w:r>
      <w:r w:rsidRPr="00633DA6">
        <w:rPr>
          <w:rFonts w:ascii="Book Antiqua" w:eastAsia="Book Antiqua" w:hAnsi="Book Antiqua" w:cs="Book Antiqua"/>
          <w:color w:val="000000"/>
          <w:vertAlign w:val="superscript"/>
        </w:rPr>
        <w:t>[</w:t>
      </w:r>
      <w:hyperlink r:id="rId89" w:anchor="_ENREF_60" w:tooltip="Burke, 2021 #60" w:history="1">
        <w:r w:rsidRPr="00633DA6">
          <w:rPr>
            <w:rFonts w:ascii="Book Antiqua" w:eastAsia="Book Antiqua" w:hAnsi="Book Antiqua" w:cs="Book Antiqua"/>
            <w:color w:val="000000"/>
            <w:u w:color="0000EE"/>
            <w:vertAlign w:val="superscript"/>
          </w:rPr>
          <w:t>60</w:t>
        </w:r>
      </w:hyperlink>
      <w:r w:rsidRPr="00633DA6">
        <w:rPr>
          <w:rFonts w:ascii="Book Antiqua" w:eastAsia="Book Antiqua" w:hAnsi="Book Antiqua" w:cs="Book Antiqua"/>
          <w:color w:val="000000"/>
          <w:vertAlign w:val="superscript"/>
        </w:rPr>
        <w:t>,</w:t>
      </w:r>
      <w:hyperlink r:id="rId90" w:anchor="_ENREF_80" w:tooltip="Fumery, 2020 #116" w:history="1">
        <w:r w:rsidRPr="00633DA6">
          <w:rPr>
            <w:rFonts w:ascii="Book Antiqua" w:eastAsia="Book Antiqua" w:hAnsi="Book Antiqua" w:cs="Book Antiqua"/>
            <w:color w:val="000000"/>
            <w:u w:color="0000EE"/>
            <w:vertAlign w:val="superscript"/>
          </w:rPr>
          <w:t>80</w:t>
        </w:r>
      </w:hyperlink>
      <w:r w:rsidRPr="00633DA6">
        <w:rPr>
          <w:rFonts w:ascii="Book Antiqua" w:eastAsia="Book Antiqua" w:hAnsi="Book Antiqua" w:cs="Book Antiqua"/>
          <w:color w:val="000000"/>
          <w:vertAlign w:val="superscript"/>
        </w:rPr>
        <w:t>,</w:t>
      </w:r>
      <w:hyperlink r:id="rId91" w:anchor="_ENREF_81" w:tooltip="Bezzio, 2020 #117" w:history="1">
        <w:r w:rsidRPr="00633DA6">
          <w:rPr>
            <w:rFonts w:ascii="Book Antiqua" w:eastAsia="Book Antiqua" w:hAnsi="Book Antiqua" w:cs="Book Antiqua"/>
            <w:color w:val="000000"/>
            <w:u w:color="0000EE"/>
            <w:vertAlign w:val="superscript"/>
          </w:rPr>
          <w:t>81</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Vedolizumab (an adversary of α4β7 integrin) is significantly explicit for movement on the gut, hence it is favorable for fundamental or pneumonic responses in COVID-19</w:t>
      </w:r>
      <w:r w:rsidRPr="00633DA6">
        <w:rPr>
          <w:rFonts w:ascii="Book Antiqua" w:eastAsia="Book Antiqua" w:hAnsi="Book Antiqua" w:cs="Book Antiqua"/>
          <w:color w:val="000000"/>
          <w:vertAlign w:val="superscript"/>
        </w:rPr>
        <w:t>[</w:t>
      </w:r>
      <w:hyperlink r:id="rId92" w:anchor="_ENREF_62" w:tooltip="Zingone, 2020 #62" w:history="1">
        <w:r w:rsidRPr="00633DA6">
          <w:rPr>
            <w:rFonts w:ascii="Book Antiqua" w:eastAsia="Book Antiqua" w:hAnsi="Book Antiqua" w:cs="Book Antiqua"/>
            <w:color w:val="000000"/>
            <w:u w:color="0000EE"/>
            <w:vertAlign w:val="superscript"/>
          </w:rPr>
          <w:t>62</w:t>
        </w:r>
      </w:hyperlink>
      <w:r w:rsidRPr="00633DA6">
        <w:rPr>
          <w:rFonts w:ascii="Book Antiqua" w:eastAsia="Book Antiqua" w:hAnsi="Book Antiqua" w:cs="Book Antiqua"/>
          <w:color w:val="000000"/>
          <w:vertAlign w:val="superscript"/>
        </w:rPr>
        <w:t>,</w:t>
      </w:r>
      <w:hyperlink r:id="rId93" w:anchor="_ENREF_82" w:tooltip="Weidinger, 2021 #119" w:history="1">
        <w:r w:rsidRPr="00633DA6">
          <w:rPr>
            <w:rFonts w:ascii="Book Antiqua" w:eastAsia="Book Antiqua" w:hAnsi="Book Antiqua" w:cs="Book Antiqua"/>
            <w:color w:val="000000"/>
            <w:u w:color="0000EE"/>
            <w:vertAlign w:val="superscript"/>
          </w:rPr>
          <w:t>82</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 xml:space="preserve">. Ustekinumab is an approved clinical therapy for patients with IBD. Ustekinumab is a cytokine antibody and an inhibitor of IL-12 and IL-23. Currently, there are no major concerns about usage of </w:t>
      </w:r>
      <w:r w:rsidR="00BF63E8" w:rsidRPr="00633DA6">
        <w:rPr>
          <w:rFonts w:ascii="Book Antiqua" w:eastAsia="Book Antiqua" w:hAnsi="Book Antiqua" w:cs="Book Antiqua"/>
          <w:color w:val="000000"/>
        </w:rPr>
        <w:t>u</w:t>
      </w:r>
      <w:r w:rsidRPr="00633DA6">
        <w:rPr>
          <w:rFonts w:ascii="Book Antiqua" w:eastAsia="Book Antiqua" w:hAnsi="Book Antiqua" w:cs="Book Antiqua"/>
          <w:color w:val="000000"/>
        </w:rPr>
        <w:t xml:space="preserve">stekinumab in patients with IBD </w:t>
      </w:r>
      <w:r w:rsidR="00BF63E8" w:rsidRPr="00633DA6">
        <w:rPr>
          <w:rFonts w:ascii="Book Antiqua" w:eastAsia="Book Antiqua" w:hAnsi="Book Antiqua" w:cs="Book Antiqua"/>
          <w:color w:val="000000"/>
        </w:rPr>
        <w:t xml:space="preserve">and </w:t>
      </w:r>
      <w:r w:rsidRPr="00633DA6">
        <w:rPr>
          <w:rFonts w:ascii="Book Antiqua" w:eastAsia="Book Antiqua" w:hAnsi="Book Antiqua" w:cs="Book Antiqua"/>
          <w:color w:val="000000"/>
        </w:rPr>
        <w:t>COVID-19. Vedolizumab or ustekinumab might be the primary therapeutic options for individuals at higher risk of COVID-19 if biological treatments are thought of</w:t>
      </w:r>
      <w:r w:rsidRPr="00633DA6">
        <w:rPr>
          <w:rFonts w:ascii="Book Antiqua" w:eastAsia="Book Antiqua" w:hAnsi="Book Antiqua" w:cs="Book Antiqua"/>
          <w:color w:val="000000"/>
          <w:vertAlign w:val="superscript"/>
        </w:rPr>
        <w:t>[</w:t>
      </w:r>
      <w:hyperlink r:id="rId94" w:anchor="_ENREF_79" w:tooltip="Macaluso, 2020 #80" w:history="1">
        <w:r w:rsidRPr="00633DA6">
          <w:rPr>
            <w:rFonts w:ascii="Book Antiqua" w:eastAsia="Book Antiqua" w:hAnsi="Book Antiqua" w:cs="Book Antiqua"/>
            <w:color w:val="000000"/>
            <w:u w:color="0000EE"/>
            <w:vertAlign w:val="superscript"/>
          </w:rPr>
          <w:t>79</w:t>
        </w:r>
      </w:hyperlink>
      <w:r w:rsidRPr="00633DA6">
        <w:rPr>
          <w:rFonts w:ascii="Book Antiqua" w:eastAsia="Book Antiqua" w:hAnsi="Book Antiqua" w:cs="Book Antiqua"/>
          <w:color w:val="000000"/>
          <w:vertAlign w:val="superscript"/>
        </w:rPr>
        <w:t>,</w:t>
      </w:r>
      <w:hyperlink r:id="rId95" w:anchor="_ENREF_83" w:tooltip="Shields, 2020 #122" w:history="1">
        <w:r w:rsidRPr="00633DA6">
          <w:rPr>
            <w:rFonts w:ascii="Book Antiqua" w:eastAsia="Book Antiqua" w:hAnsi="Book Antiqua" w:cs="Book Antiqua"/>
            <w:color w:val="000000"/>
            <w:u w:color="0000EE"/>
            <w:vertAlign w:val="superscript"/>
          </w:rPr>
          <w:t>83</w:t>
        </w:r>
      </w:hyperlink>
      <w:r w:rsidRPr="00633DA6">
        <w:rPr>
          <w:rFonts w:ascii="Book Antiqua" w:eastAsia="Book Antiqua" w:hAnsi="Book Antiqua" w:cs="Book Antiqua"/>
          <w:color w:val="000000"/>
          <w:vertAlign w:val="superscript"/>
        </w:rPr>
        <w:t>,</w:t>
      </w:r>
      <w:hyperlink r:id="rId96" w:anchor="_ENREF_84" w:tooltip="Fung, 2021 #123" w:history="1">
        <w:r w:rsidRPr="00633DA6">
          <w:rPr>
            <w:rFonts w:ascii="Book Antiqua" w:eastAsia="Book Antiqua" w:hAnsi="Book Antiqua" w:cs="Book Antiqua"/>
            <w:color w:val="000000"/>
            <w:u w:color="0000EE"/>
            <w:vertAlign w:val="superscript"/>
          </w:rPr>
          <w:t>84</w:t>
        </w:r>
      </w:hyperlink>
      <w:r w:rsidRPr="00633DA6">
        <w:rPr>
          <w:rFonts w:ascii="Book Antiqua" w:eastAsia="Book Antiqua" w:hAnsi="Book Antiqua" w:cs="Book Antiqua"/>
          <w:color w:val="000000"/>
          <w:vertAlign w:val="superscript"/>
        </w:rPr>
        <w:t>]</w:t>
      </w:r>
      <w:r w:rsidRPr="00633DA6">
        <w:rPr>
          <w:rFonts w:ascii="Book Antiqua" w:eastAsia="Book Antiqua" w:hAnsi="Book Antiqua" w:cs="Book Antiqua"/>
          <w:color w:val="000000"/>
        </w:rPr>
        <w:t>.</w:t>
      </w:r>
    </w:p>
    <w:p w14:paraId="30BC8CB5" w14:textId="77777777" w:rsidR="00A77B3E" w:rsidRPr="00633DA6" w:rsidRDefault="00A77B3E" w:rsidP="007F5BFE">
      <w:pPr>
        <w:spacing w:line="360" w:lineRule="auto"/>
        <w:jc w:val="both"/>
        <w:rPr>
          <w:rFonts w:ascii="Book Antiqua" w:hAnsi="Book Antiqua"/>
        </w:rPr>
      </w:pPr>
    </w:p>
    <w:p w14:paraId="4C6ED37F"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aps/>
          <w:color w:val="000000"/>
          <w:u w:val="single"/>
        </w:rPr>
        <w:t>CONCLUSION</w:t>
      </w:r>
    </w:p>
    <w:p w14:paraId="4DAE3BB8" w14:textId="764CD8E8" w:rsidR="0013252B" w:rsidRPr="00633DA6" w:rsidRDefault="00D346F3" w:rsidP="007F5BFE">
      <w:pPr>
        <w:spacing w:line="360" w:lineRule="auto"/>
        <w:jc w:val="both"/>
        <w:rPr>
          <w:rFonts w:ascii="Book Antiqua" w:eastAsia="Book Antiqua" w:hAnsi="Book Antiqua" w:cs="Book Antiqua"/>
          <w:color w:val="000000"/>
        </w:rPr>
      </w:pPr>
      <w:r w:rsidRPr="00633DA6">
        <w:rPr>
          <w:rFonts w:ascii="Book Antiqua" w:eastAsia="Book Antiqua" w:hAnsi="Book Antiqua" w:cs="Book Antiqua"/>
          <w:color w:val="000000"/>
        </w:rPr>
        <w:t xml:space="preserve">Information on the physiologic and pathophysiologic functions of ACE2/TMPRSS2 is still scant. ACE2/TMPRSS2 is very much described in the cardiovascular and renal frameworks. Yet little data exist regarding other organ frameworks, for example the gastrointestinal system. Moreover, specific function of the ACE2/TMPRSS2 axis in pathologic conditions was traditionally restricted to cardiovascular illnesses. Although, considering the ACE2/TMPRSS2 as a multifunctional protein has accomplished significance as of late. </w:t>
      </w:r>
    </w:p>
    <w:p w14:paraId="52B47D83" w14:textId="7B9A24A1" w:rsidR="00A77B3E" w:rsidRPr="00633DA6" w:rsidRDefault="0013252B" w:rsidP="006A3BA1">
      <w:pPr>
        <w:spacing w:line="360" w:lineRule="auto"/>
        <w:ind w:firstLine="450"/>
        <w:jc w:val="both"/>
        <w:rPr>
          <w:rFonts w:ascii="Book Antiqua" w:hAnsi="Book Antiqua"/>
        </w:rPr>
      </w:pPr>
      <w:r w:rsidRPr="00633DA6">
        <w:rPr>
          <w:rFonts w:ascii="Book Antiqua" w:eastAsia="Book Antiqua" w:hAnsi="Book Antiqua" w:cs="Book Antiqua"/>
          <w:color w:val="000000"/>
        </w:rPr>
        <w:t>The c</w:t>
      </w:r>
      <w:r w:rsidR="00D346F3" w:rsidRPr="00633DA6">
        <w:rPr>
          <w:rFonts w:ascii="Book Antiqua" w:eastAsia="Book Antiqua" w:hAnsi="Book Antiqua" w:cs="Book Antiqua"/>
          <w:color w:val="000000"/>
        </w:rPr>
        <w:t xml:space="preserve">urrent COVID-19 pandemic has featured the importance of ACE2/TMPRSS2 as a receptor for </w:t>
      </w:r>
      <w:r w:rsidRPr="00633DA6">
        <w:rPr>
          <w:rFonts w:ascii="Book Antiqua" w:eastAsia="Book Antiqua" w:hAnsi="Book Antiqua" w:cs="Book Antiqua"/>
          <w:color w:val="000000"/>
        </w:rPr>
        <w:t>SARS-CoV-2</w:t>
      </w:r>
      <w:r w:rsidR="00D346F3" w:rsidRPr="00633DA6">
        <w:rPr>
          <w:rFonts w:ascii="Book Antiqua" w:eastAsia="Book Antiqua" w:hAnsi="Book Antiqua" w:cs="Book Antiqua"/>
          <w:color w:val="000000"/>
        </w:rPr>
        <w:t xml:space="preserve">, yet research is expected to </w:t>
      </w:r>
      <w:r w:rsidRPr="00633DA6">
        <w:rPr>
          <w:rFonts w:ascii="Book Antiqua" w:eastAsia="Book Antiqua" w:hAnsi="Book Antiqua" w:cs="Book Antiqua"/>
          <w:color w:val="000000"/>
        </w:rPr>
        <w:t xml:space="preserve">determine </w:t>
      </w:r>
      <w:r w:rsidR="00D346F3" w:rsidRPr="00633DA6">
        <w:rPr>
          <w:rFonts w:ascii="Book Antiqua" w:eastAsia="Book Antiqua" w:hAnsi="Book Antiqua" w:cs="Book Antiqua"/>
          <w:color w:val="000000"/>
        </w:rPr>
        <w:t xml:space="preserve">whether the </w:t>
      </w:r>
      <w:r w:rsidR="00D346F3" w:rsidRPr="00633DA6">
        <w:rPr>
          <w:rFonts w:ascii="Book Antiqua" w:eastAsia="Book Antiqua" w:hAnsi="Book Antiqua" w:cs="Book Antiqua"/>
          <w:color w:val="000000"/>
        </w:rPr>
        <w:lastRenderedPageBreak/>
        <w:t xml:space="preserve">ACE2/TMPRSS2 levels enhance the pathogenesis of COVID-19 or could </w:t>
      </w:r>
      <w:r w:rsidRPr="00633DA6">
        <w:rPr>
          <w:rFonts w:ascii="Book Antiqua" w:eastAsia="Book Antiqua" w:hAnsi="Book Antiqua" w:cs="Book Antiqua"/>
          <w:color w:val="000000"/>
        </w:rPr>
        <w:t>bene</w:t>
      </w:r>
      <w:r w:rsidR="00D346F3" w:rsidRPr="00633DA6">
        <w:rPr>
          <w:rFonts w:ascii="Book Antiqua" w:eastAsia="Book Antiqua" w:hAnsi="Book Antiqua" w:cs="Book Antiqua"/>
          <w:color w:val="000000"/>
        </w:rPr>
        <w:t xml:space="preserve">fit the course of illness by diminishing the malicious impacts of Ang II. Moreover, the relationship between ACE2/TMPRSS2, the intestinal amino corrosive vehicle, and IBD merits further consideration in patients with IBD. At last, association of ACE2/TMPRSS2 to integrins raises concerns and expectations, </w:t>
      </w:r>
      <w:r w:rsidR="00047DE8" w:rsidRPr="00633DA6">
        <w:rPr>
          <w:rFonts w:ascii="Book Antiqua" w:eastAsia="Book Antiqua" w:hAnsi="Book Antiqua" w:cs="Book Antiqua"/>
          <w:color w:val="000000"/>
        </w:rPr>
        <w:t>particularly because</w:t>
      </w:r>
      <w:r w:rsidR="00D346F3" w:rsidRPr="00633DA6">
        <w:rPr>
          <w:rFonts w:ascii="Book Antiqua" w:eastAsia="Book Antiqua" w:hAnsi="Book Antiqua" w:cs="Book Antiqua"/>
          <w:color w:val="000000"/>
        </w:rPr>
        <w:t xml:space="preserve"> there were just </w:t>
      </w:r>
      <w:r w:rsidR="00047DE8" w:rsidRPr="00633DA6">
        <w:rPr>
          <w:rFonts w:ascii="Book Antiqua" w:eastAsia="Book Antiqua" w:hAnsi="Book Antiqua" w:cs="Book Antiqua"/>
          <w:color w:val="000000"/>
        </w:rPr>
        <w:t>two</w:t>
      </w:r>
      <w:r w:rsidR="00D346F3" w:rsidRPr="00633DA6">
        <w:rPr>
          <w:rFonts w:ascii="Book Antiqua" w:eastAsia="Book Antiqua" w:hAnsi="Book Antiqua" w:cs="Book Antiqua"/>
          <w:color w:val="000000"/>
        </w:rPr>
        <w:t xml:space="preserve"> articles regarding the matter. Taking everything into account, investigating the multifunctional nature of ACE2/TMPRSS2 in IBD (by describing its appearance/movement in the blood, gut, as well as excrement of patients with IBD and solid control patients) will develop the knowledge on the pathophysiology of this illness. In accordance with this objective, recognizable proof of other biomarkers of infection movement, treatment reaction, and new medication target, as well as setting of the novel helpful alternatives is required to affect tolerant consideration.</w:t>
      </w:r>
      <w:r w:rsidR="00D346F3" w:rsidRPr="00633DA6">
        <w:rPr>
          <w:rFonts w:ascii="Book Antiqua" w:eastAsia="Book Antiqua" w:hAnsi="Book Antiqua" w:cs="Book Antiqua"/>
          <w:b/>
          <w:bCs/>
          <w:color w:val="000000"/>
        </w:rPr>
        <w:t xml:space="preserve"> </w:t>
      </w:r>
    </w:p>
    <w:p w14:paraId="713FE447" w14:textId="77777777" w:rsidR="00A77B3E" w:rsidRPr="00633DA6" w:rsidRDefault="00A77B3E" w:rsidP="007F5BFE">
      <w:pPr>
        <w:spacing w:line="360" w:lineRule="auto"/>
        <w:jc w:val="both"/>
        <w:rPr>
          <w:rFonts w:ascii="Book Antiqua" w:hAnsi="Book Antiqua"/>
        </w:rPr>
      </w:pPr>
    </w:p>
    <w:p w14:paraId="3B2561E4"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t>REFERENCES</w:t>
      </w:r>
    </w:p>
    <w:p w14:paraId="2429497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1 </w:t>
      </w:r>
      <w:r w:rsidRPr="00633DA6">
        <w:rPr>
          <w:rFonts w:ascii="Book Antiqua" w:eastAsia="Book Antiqua" w:hAnsi="Book Antiqua" w:cs="Book Antiqua"/>
          <w:b/>
          <w:bCs/>
          <w:color w:val="000000"/>
        </w:rPr>
        <w:t>Stopsack KH</w:t>
      </w:r>
      <w:r w:rsidRPr="00633DA6">
        <w:rPr>
          <w:rFonts w:ascii="Book Antiqua" w:eastAsia="Book Antiqua" w:hAnsi="Book Antiqua" w:cs="Book Antiqua"/>
          <w:color w:val="000000"/>
        </w:rPr>
        <w:t xml:space="preserve">, Mucci LA, Antonarakis ES, Nelson PS, Kantoff PW. </w:t>
      </w:r>
      <w:r w:rsidRPr="00633DA6">
        <w:rPr>
          <w:rFonts w:ascii="Book Antiqua" w:eastAsia="Book Antiqua" w:hAnsi="Book Antiqua" w:cs="Book Antiqua"/>
          <w:i/>
          <w:iCs/>
          <w:color w:val="000000"/>
        </w:rPr>
        <w:t>TMPRSS2</w:t>
      </w:r>
      <w:r w:rsidRPr="00633DA6">
        <w:rPr>
          <w:rFonts w:ascii="Book Antiqua" w:eastAsia="Book Antiqua" w:hAnsi="Book Antiqua" w:cs="Book Antiqua"/>
          <w:color w:val="000000"/>
        </w:rPr>
        <w:t xml:space="preserve"> and COVID-19: Serendipity or Opportunity for Intervention? </w:t>
      </w:r>
      <w:r w:rsidRPr="00633DA6">
        <w:rPr>
          <w:rFonts w:ascii="Book Antiqua" w:eastAsia="Book Antiqua" w:hAnsi="Book Antiqua" w:cs="Book Antiqua"/>
          <w:i/>
          <w:iCs/>
          <w:color w:val="000000"/>
        </w:rPr>
        <w:t>Cancer Discov</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10</w:t>
      </w:r>
      <w:r w:rsidRPr="00633DA6">
        <w:rPr>
          <w:rFonts w:ascii="Book Antiqua" w:eastAsia="Book Antiqua" w:hAnsi="Book Antiqua" w:cs="Book Antiqua"/>
          <w:color w:val="000000"/>
        </w:rPr>
        <w:t>: 779-782 [PMID: 32276929 DOI: 10.1158/2159-8290.CD-20-0451]</w:t>
      </w:r>
    </w:p>
    <w:p w14:paraId="5EF40157"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2 </w:t>
      </w:r>
      <w:r w:rsidRPr="00633DA6">
        <w:rPr>
          <w:rFonts w:ascii="Book Antiqua" w:eastAsia="Book Antiqua" w:hAnsi="Book Antiqua" w:cs="Book Antiqua"/>
          <w:b/>
          <w:bCs/>
          <w:color w:val="000000"/>
        </w:rPr>
        <w:t>Scaldaferri F</w:t>
      </w:r>
      <w:r w:rsidRPr="00633DA6">
        <w:rPr>
          <w:rFonts w:ascii="Book Antiqua" w:eastAsia="Book Antiqua" w:hAnsi="Book Antiqua" w:cs="Book Antiqua"/>
          <w:color w:val="000000"/>
        </w:rPr>
        <w:t xml:space="preserve">, Pugliese D, Privitera G, Onali S, Lopetuso LR, Rizzatti G, Settanni CR, Pizzoferrato M, Schiavoni E, Turchini L, Amatucci V, Napolitano D, Bernabei T, Mora V, Laterza L, Papa A, Guidi L, Rapaccini GL, Gasbarrini A, Armuzzi A. Impact of COVID-19 pandemic on the daily management of biotechnological therapy in inflammatory bowel disease patients: Reorganisational response in a high-volume Italian inflammatory bowel disease centre. </w:t>
      </w:r>
      <w:r w:rsidRPr="00633DA6">
        <w:rPr>
          <w:rFonts w:ascii="Book Antiqua" w:eastAsia="Book Antiqua" w:hAnsi="Book Antiqua" w:cs="Book Antiqua"/>
          <w:i/>
          <w:iCs/>
          <w:color w:val="000000"/>
        </w:rPr>
        <w:t>United European Gastroenterol J</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8</w:t>
      </w:r>
      <w:r w:rsidRPr="00633DA6">
        <w:rPr>
          <w:rFonts w:ascii="Book Antiqua" w:eastAsia="Book Antiqua" w:hAnsi="Book Antiqua" w:cs="Book Antiqua"/>
          <w:color w:val="000000"/>
        </w:rPr>
        <w:t>: 775-781 [PMID: 32438878 DOI: 10.1177/2050640620929133]</w:t>
      </w:r>
    </w:p>
    <w:p w14:paraId="51E45FC4"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3 </w:t>
      </w:r>
      <w:r w:rsidRPr="00633DA6">
        <w:rPr>
          <w:rFonts w:ascii="Book Antiqua" w:eastAsia="Book Antiqua" w:hAnsi="Book Antiqua" w:cs="Book Antiqua"/>
          <w:b/>
          <w:bCs/>
          <w:color w:val="000000"/>
        </w:rPr>
        <w:t>Marini JJ</w:t>
      </w:r>
      <w:r w:rsidRPr="00633DA6">
        <w:rPr>
          <w:rFonts w:ascii="Book Antiqua" w:eastAsia="Book Antiqua" w:hAnsi="Book Antiqua" w:cs="Book Antiqua"/>
          <w:color w:val="000000"/>
        </w:rPr>
        <w:t xml:space="preserve">, Gattinoni L. Management of COVID-19 Respiratory Distress. </w:t>
      </w:r>
      <w:r w:rsidRPr="00633DA6">
        <w:rPr>
          <w:rFonts w:ascii="Book Antiqua" w:eastAsia="Book Antiqua" w:hAnsi="Book Antiqua" w:cs="Book Antiqua"/>
          <w:i/>
          <w:iCs/>
          <w:color w:val="000000"/>
        </w:rPr>
        <w:t>JAMA</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323</w:t>
      </w:r>
      <w:r w:rsidRPr="00633DA6">
        <w:rPr>
          <w:rFonts w:ascii="Book Antiqua" w:eastAsia="Book Antiqua" w:hAnsi="Book Antiqua" w:cs="Book Antiqua"/>
          <w:color w:val="000000"/>
        </w:rPr>
        <w:t>: 2329-2330 [PMID: 32329799 DOI: 10.1001/jama.2020.6825]</w:t>
      </w:r>
    </w:p>
    <w:p w14:paraId="413AB107"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4 </w:t>
      </w:r>
      <w:r w:rsidRPr="00633DA6">
        <w:rPr>
          <w:rFonts w:ascii="Book Antiqua" w:eastAsia="Book Antiqua" w:hAnsi="Book Antiqua" w:cs="Book Antiqua"/>
          <w:b/>
          <w:bCs/>
          <w:color w:val="000000"/>
        </w:rPr>
        <w:t>Li X</w:t>
      </w:r>
      <w:r w:rsidRPr="00633DA6">
        <w:rPr>
          <w:rFonts w:ascii="Book Antiqua" w:eastAsia="Book Antiqua" w:hAnsi="Book Antiqua" w:cs="Book Antiqua"/>
          <w:color w:val="000000"/>
        </w:rPr>
        <w:t xml:space="preserve">, Ma X. Acute respiratory failure in COVID-19: is it "typical" ARDS? </w:t>
      </w:r>
      <w:r w:rsidRPr="00633DA6">
        <w:rPr>
          <w:rFonts w:ascii="Book Antiqua" w:eastAsia="Book Antiqua" w:hAnsi="Book Antiqua" w:cs="Book Antiqua"/>
          <w:i/>
          <w:iCs/>
          <w:color w:val="000000"/>
        </w:rPr>
        <w:t>Crit Care</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24</w:t>
      </w:r>
      <w:r w:rsidRPr="00633DA6">
        <w:rPr>
          <w:rFonts w:ascii="Book Antiqua" w:eastAsia="Book Antiqua" w:hAnsi="Book Antiqua" w:cs="Book Antiqua"/>
          <w:color w:val="000000"/>
        </w:rPr>
        <w:t>: 198 [PMID: 32375845 DOI: 10.1186/s13054-020-02911-9]</w:t>
      </w:r>
    </w:p>
    <w:p w14:paraId="03A636AF"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lastRenderedPageBreak/>
        <w:t xml:space="preserve">5 </w:t>
      </w:r>
      <w:r w:rsidRPr="00633DA6">
        <w:rPr>
          <w:rFonts w:ascii="Book Antiqua" w:eastAsia="Book Antiqua" w:hAnsi="Book Antiqua" w:cs="Book Antiqua"/>
          <w:b/>
          <w:bCs/>
          <w:color w:val="000000"/>
        </w:rPr>
        <w:t>Lashgari NA</w:t>
      </w:r>
      <w:r w:rsidRPr="00633DA6">
        <w:rPr>
          <w:rFonts w:ascii="Book Antiqua" w:eastAsia="Book Antiqua" w:hAnsi="Book Antiqua" w:cs="Book Antiqua"/>
          <w:color w:val="000000"/>
        </w:rPr>
        <w:t xml:space="preserve">, Roudsari NM, Momtaz S, Ghanaatian N, Kohansal P, Farzaei MH, Afshari K, Sahebkar A, Abdolghaffari AH. Targeting Mammalian Target of Rapamycin: Prospects for the Treatment of Inflammatory Bowel Diseases. </w:t>
      </w:r>
      <w:r w:rsidRPr="00633DA6">
        <w:rPr>
          <w:rFonts w:ascii="Book Antiqua" w:eastAsia="Book Antiqua" w:hAnsi="Book Antiqua" w:cs="Book Antiqua"/>
          <w:i/>
          <w:iCs/>
          <w:color w:val="000000"/>
        </w:rPr>
        <w:t>Curr Med Chem</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28</w:t>
      </w:r>
      <w:r w:rsidRPr="00633DA6">
        <w:rPr>
          <w:rFonts w:ascii="Book Antiqua" w:eastAsia="Book Antiqua" w:hAnsi="Book Antiqua" w:cs="Book Antiqua"/>
          <w:color w:val="000000"/>
        </w:rPr>
        <w:t>: 1605-1624 [PMID: 32364064 DOI: 10.2174/0929867327666200504081503]</w:t>
      </w:r>
    </w:p>
    <w:p w14:paraId="1A8C829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6 </w:t>
      </w:r>
      <w:r w:rsidRPr="00633DA6">
        <w:rPr>
          <w:rFonts w:ascii="Book Antiqua" w:eastAsia="Book Antiqua" w:hAnsi="Book Antiqua" w:cs="Book Antiqua"/>
          <w:b/>
          <w:bCs/>
          <w:color w:val="000000"/>
        </w:rPr>
        <w:t>Lashgari NA</w:t>
      </w:r>
      <w:r w:rsidRPr="00633DA6">
        <w:rPr>
          <w:rFonts w:ascii="Book Antiqua" w:eastAsia="Book Antiqua" w:hAnsi="Book Antiqua" w:cs="Book Antiqua"/>
          <w:color w:val="000000"/>
        </w:rPr>
        <w:t xml:space="preserve">, Roudsari NM, Zandi N, Pazoki B, Rezaei A, Hashemi M, Momtaz S, Rahimi R, Shayan M, Dehpour AR, Abdolghaffari AH. Current overview of opioids in progression of inflammatory bowel disease; pharmacological and clinical considerations. </w:t>
      </w:r>
      <w:r w:rsidRPr="00633DA6">
        <w:rPr>
          <w:rFonts w:ascii="Book Antiqua" w:eastAsia="Book Antiqua" w:hAnsi="Book Antiqua" w:cs="Book Antiqua"/>
          <w:i/>
          <w:iCs/>
          <w:color w:val="000000"/>
        </w:rPr>
        <w:t>Mol Biol Rep</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48</w:t>
      </w:r>
      <w:r w:rsidRPr="00633DA6">
        <w:rPr>
          <w:rFonts w:ascii="Book Antiqua" w:eastAsia="Book Antiqua" w:hAnsi="Book Antiqua" w:cs="Book Antiqua"/>
          <w:color w:val="000000"/>
        </w:rPr>
        <w:t>: 855-874 [PMID: 33394234 DOI: 10.1007/s11033-020-06095-x]</w:t>
      </w:r>
    </w:p>
    <w:p w14:paraId="1B7A7203"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7 </w:t>
      </w:r>
      <w:r w:rsidRPr="00633DA6">
        <w:rPr>
          <w:rFonts w:ascii="Book Antiqua" w:eastAsia="Book Antiqua" w:hAnsi="Book Antiqua" w:cs="Book Antiqua"/>
          <w:b/>
          <w:bCs/>
          <w:color w:val="000000"/>
        </w:rPr>
        <w:t>Neurath MF</w:t>
      </w:r>
      <w:r w:rsidRPr="00633DA6">
        <w:rPr>
          <w:rFonts w:ascii="Book Antiqua" w:eastAsia="Book Antiqua" w:hAnsi="Book Antiqua" w:cs="Book Antiqua"/>
          <w:color w:val="000000"/>
        </w:rPr>
        <w:t xml:space="preserve">. COVID-19 and immunomodulation in IBD. </w:t>
      </w:r>
      <w:r w:rsidRPr="00633DA6">
        <w:rPr>
          <w:rFonts w:ascii="Book Antiqua" w:eastAsia="Book Antiqua" w:hAnsi="Book Antiqua" w:cs="Book Antiqua"/>
          <w:i/>
          <w:iCs/>
          <w:color w:val="000000"/>
        </w:rPr>
        <w:t>Gut</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69</w:t>
      </w:r>
      <w:r w:rsidRPr="00633DA6">
        <w:rPr>
          <w:rFonts w:ascii="Book Antiqua" w:eastAsia="Book Antiqua" w:hAnsi="Book Antiqua" w:cs="Book Antiqua"/>
          <w:color w:val="000000"/>
        </w:rPr>
        <w:t>: 1335-1342 [PMID: 32303609 DOI: 10.1136/gutjnl-2020-321269]</w:t>
      </w:r>
    </w:p>
    <w:p w14:paraId="43749570"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8 </w:t>
      </w:r>
      <w:r w:rsidRPr="00633DA6">
        <w:rPr>
          <w:rFonts w:ascii="Book Antiqua" w:eastAsia="Book Antiqua" w:hAnsi="Book Antiqua" w:cs="Book Antiqua"/>
          <w:b/>
          <w:bCs/>
          <w:color w:val="000000"/>
        </w:rPr>
        <w:t>Reinsch S</w:t>
      </w:r>
      <w:r w:rsidRPr="00633DA6">
        <w:rPr>
          <w:rFonts w:ascii="Book Antiqua" w:eastAsia="Book Antiqua" w:hAnsi="Book Antiqua" w:cs="Book Antiqua"/>
          <w:color w:val="000000"/>
        </w:rPr>
        <w:t xml:space="preserve">, Stallmach A, Grunert PC. The COVID-19 Pandemic: Fears and Overprotection in Pediatric Patients with Inflammatory Bowel Disease and Their Families. </w:t>
      </w:r>
      <w:r w:rsidRPr="00633DA6">
        <w:rPr>
          <w:rFonts w:ascii="Book Antiqua" w:eastAsia="Book Antiqua" w:hAnsi="Book Antiqua" w:cs="Book Antiqua"/>
          <w:i/>
          <w:iCs/>
          <w:color w:val="000000"/>
        </w:rPr>
        <w:t>Pediatr Gastroenterol Hepatol Nutr</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24</w:t>
      </w:r>
      <w:r w:rsidRPr="00633DA6">
        <w:rPr>
          <w:rFonts w:ascii="Book Antiqua" w:eastAsia="Book Antiqua" w:hAnsi="Book Antiqua" w:cs="Book Antiqua"/>
          <w:color w:val="000000"/>
        </w:rPr>
        <w:t>: 65-74 [PMID: 33505895 DOI: 10.5223/pghn.2021.24.1.65]</w:t>
      </w:r>
    </w:p>
    <w:p w14:paraId="6A95B3F0"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9 </w:t>
      </w:r>
      <w:r w:rsidRPr="00633DA6">
        <w:rPr>
          <w:rFonts w:ascii="Book Antiqua" w:eastAsia="Book Antiqua" w:hAnsi="Book Antiqua" w:cs="Book Antiqua"/>
          <w:b/>
          <w:bCs/>
          <w:color w:val="000000"/>
        </w:rPr>
        <w:t>Yang C</w:t>
      </w:r>
      <w:r w:rsidRPr="00633DA6">
        <w:rPr>
          <w:rFonts w:ascii="Book Antiqua" w:eastAsia="Book Antiqua" w:hAnsi="Book Antiqua" w:cs="Book Antiqua"/>
          <w:color w:val="000000"/>
        </w:rPr>
        <w:t xml:space="preserve">, Xiao SY. COVID-19 and inflammatory bowel disease: A pathophysiological assessment. </w:t>
      </w:r>
      <w:r w:rsidRPr="00633DA6">
        <w:rPr>
          <w:rFonts w:ascii="Book Antiqua" w:eastAsia="Book Antiqua" w:hAnsi="Book Antiqua" w:cs="Book Antiqua"/>
          <w:i/>
          <w:iCs/>
          <w:color w:val="000000"/>
        </w:rPr>
        <w:t>Biomed Pharmacother</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135</w:t>
      </w:r>
      <w:r w:rsidRPr="00633DA6">
        <w:rPr>
          <w:rFonts w:ascii="Book Antiqua" w:eastAsia="Book Antiqua" w:hAnsi="Book Antiqua" w:cs="Book Antiqua"/>
          <w:color w:val="000000"/>
        </w:rPr>
        <w:t>: 111233 [PMID: 33433350 DOI: 10.1016/j.biopha.2021.111233]</w:t>
      </w:r>
    </w:p>
    <w:p w14:paraId="0C24FE9E"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10 </w:t>
      </w:r>
      <w:r w:rsidRPr="00633DA6">
        <w:rPr>
          <w:rFonts w:ascii="Book Antiqua" w:eastAsia="Book Antiqua" w:hAnsi="Book Antiqua" w:cs="Book Antiqua"/>
          <w:b/>
          <w:bCs/>
          <w:color w:val="000000"/>
        </w:rPr>
        <w:t>Bourgonje AR</w:t>
      </w:r>
      <w:r w:rsidRPr="00633DA6">
        <w:rPr>
          <w:rFonts w:ascii="Book Antiqua" w:eastAsia="Book Antiqua" w:hAnsi="Book Antiqua" w:cs="Book Antiqua"/>
          <w:color w:val="000000"/>
        </w:rPr>
        <w:t xml:space="preserve">, Abdulle AE, Timens W, Hillebrands JL, Navis GJ, Gordijn SJ, Bolling MC, Dijkstra G, Voors AA, Osterhaus AD, van der Voort PH, Mulder DJ, van Goor H. Angiotensin-converting enzyme 2 (ACE2), SARS-CoV-2 and the pathophysiology of coronavirus disease 2019 (COVID-19). </w:t>
      </w:r>
      <w:r w:rsidRPr="00633DA6">
        <w:rPr>
          <w:rFonts w:ascii="Book Antiqua" w:eastAsia="Book Antiqua" w:hAnsi="Book Antiqua" w:cs="Book Antiqua"/>
          <w:i/>
          <w:iCs/>
          <w:color w:val="000000"/>
        </w:rPr>
        <w:t>J Pathol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251</w:t>
      </w:r>
      <w:r w:rsidRPr="00633DA6">
        <w:rPr>
          <w:rFonts w:ascii="Book Antiqua" w:eastAsia="Book Antiqua" w:hAnsi="Book Antiqua" w:cs="Book Antiqua"/>
          <w:color w:val="000000"/>
        </w:rPr>
        <w:t>: 228-248 [PMID: 32418199 DOI: 10.1002/path.5471]</w:t>
      </w:r>
    </w:p>
    <w:p w14:paraId="0248B39E"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11 </w:t>
      </w:r>
      <w:r w:rsidRPr="00633DA6">
        <w:rPr>
          <w:rFonts w:ascii="Book Antiqua" w:eastAsia="Book Antiqua" w:hAnsi="Book Antiqua" w:cs="Book Antiqua"/>
          <w:b/>
          <w:bCs/>
          <w:color w:val="000000"/>
        </w:rPr>
        <w:t>Suárez-Fariñas M</w:t>
      </w:r>
      <w:r w:rsidRPr="00633DA6">
        <w:rPr>
          <w:rFonts w:ascii="Book Antiqua" w:eastAsia="Book Antiqua" w:hAnsi="Book Antiqua" w:cs="Book Antiqua"/>
          <w:color w:val="000000"/>
        </w:rPr>
        <w:t xml:space="preserve">, Tokuyama M, Wei G, Huang R, Livanos A, Jha D, Levescot A, Irizar H, Kosoy R, Cording S, Wang W, Losic B, Ungaro RC, Di'Narzo A, Martinez-Delgado G, Suprun M, Corley MJ, Stojmirovic A, Houten SM, Peters L, Curran M, Brodmerkel C, Perrigoue J, Friedman JR, Hao K, Schadt EE, Zhu J, Ko HM, Cho J, Dubinsky MC, Sands BE, Ndhlovu L, Cerf-Bensusan N, Kasarskis A, Colombel JF, Harpaz N, Argmann C, Mehandru S. Intestinal Inflammation Modulates the Expression </w:t>
      </w:r>
      <w:r w:rsidRPr="00633DA6">
        <w:rPr>
          <w:rFonts w:ascii="Book Antiqua" w:eastAsia="Book Antiqua" w:hAnsi="Book Antiqua" w:cs="Book Antiqua"/>
          <w:color w:val="000000"/>
        </w:rPr>
        <w:lastRenderedPageBreak/>
        <w:t xml:space="preserve">of ACE2 and TMPRSS2 and Potentially Overlaps With the Pathogenesis of SARS-CoV-2-related Disease. </w:t>
      </w:r>
      <w:r w:rsidRPr="00633DA6">
        <w:rPr>
          <w:rFonts w:ascii="Book Antiqua" w:eastAsia="Book Antiqua" w:hAnsi="Book Antiqua" w:cs="Book Antiqua"/>
          <w:i/>
          <w:iCs/>
          <w:color w:val="000000"/>
        </w:rPr>
        <w:t>Gastroenterology</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160</w:t>
      </w:r>
      <w:r w:rsidRPr="00633DA6">
        <w:rPr>
          <w:rFonts w:ascii="Book Antiqua" w:eastAsia="Book Antiqua" w:hAnsi="Book Antiqua" w:cs="Book Antiqua"/>
          <w:color w:val="000000"/>
        </w:rPr>
        <w:t>: 287-301.e20 [PMID: 32980345 DOI: 10.1053/j.gastro.2020.09.029]</w:t>
      </w:r>
    </w:p>
    <w:p w14:paraId="3A1F5B10"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12 </w:t>
      </w:r>
      <w:r w:rsidRPr="00633DA6">
        <w:rPr>
          <w:rFonts w:ascii="Book Antiqua" w:eastAsia="Book Antiqua" w:hAnsi="Book Antiqua" w:cs="Book Antiqua"/>
          <w:b/>
          <w:bCs/>
          <w:color w:val="000000"/>
        </w:rPr>
        <w:t>Batchu SN</w:t>
      </w:r>
      <w:r w:rsidRPr="00633DA6">
        <w:rPr>
          <w:rFonts w:ascii="Book Antiqua" w:eastAsia="Book Antiqua" w:hAnsi="Book Antiqua" w:cs="Book Antiqua"/>
          <w:color w:val="000000"/>
        </w:rPr>
        <w:t xml:space="preserve">, Kaur H, Yerra VG, Advani SL, Kabir MG, Liu Y, Klein T, Advani A. Lung and Kidney ACE2 and TMPRSS2 in Renin-Angiotensin System Blocker-Treated Comorbid Diabetic Mice Mimicking Host Factors That Have Been Linked to Severe COVID-19. </w:t>
      </w:r>
      <w:r w:rsidRPr="00633DA6">
        <w:rPr>
          <w:rFonts w:ascii="Book Antiqua" w:eastAsia="Book Antiqua" w:hAnsi="Book Antiqua" w:cs="Book Antiqua"/>
          <w:i/>
          <w:iCs/>
          <w:color w:val="000000"/>
        </w:rPr>
        <w:t>Diabetes</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70</w:t>
      </w:r>
      <w:r w:rsidRPr="00633DA6">
        <w:rPr>
          <w:rFonts w:ascii="Book Antiqua" w:eastAsia="Book Antiqua" w:hAnsi="Book Antiqua" w:cs="Book Antiqua"/>
          <w:color w:val="000000"/>
        </w:rPr>
        <w:t>: 759-771 [PMID: 33310740 DOI: 10.2337/db20-0765]</w:t>
      </w:r>
    </w:p>
    <w:p w14:paraId="5FF5442A"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13 </w:t>
      </w:r>
      <w:r w:rsidRPr="00633DA6">
        <w:rPr>
          <w:rFonts w:ascii="Book Antiqua" w:eastAsia="Book Antiqua" w:hAnsi="Book Antiqua" w:cs="Book Antiqua"/>
          <w:b/>
          <w:bCs/>
          <w:color w:val="000000"/>
        </w:rPr>
        <w:t>Sakamoto A</w:t>
      </w:r>
      <w:r w:rsidRPr="00633DA6">
        <w:rPr>
          <w:rFonts w:ascii="Book Antiqua" w:eastAsia="Book Antiqua" w:hAnsi="Book Antiqua" w:cs="Book Antiqua"/>
          <w:color w:val="000000"/>
        </w:rPr>
        <w:t xml:space="preserve">, Kawakami R, Kawai K, Gianatti A, Pellegrini D, Kutys R, Guo L, Mori M, Cornelissen A, Sato Y, Bellasi A, Faggi L, Hong C, Romero M, Guagliumi G, Virmani R, Finn AV. ACE2 (Angiotensin-Converting Enzyme 2) and TMPRSS2 (Transmembrane Serine Protease 2) Expression and Localization of SARS-CoV-2 Infection in the Human Heart. </w:t>
      </w:r>
      <w:r w:rsidRPr="00633DA6">
        <w:rPr>
          <w:rFonts w:ascii="Book Antiqua" w:eastAsia="Book Antiqua" w:hAnsi="Book Antiqua" w:cs="Book Antiqua"/>
          <w:i/>
          <w:iCs/>
          <w:color w:val="000000"/>
        </w:rPr>
        <w:t>Arterioscler Thromb Vasc Biol</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41</w:t>
      </w:r>
      <w:r w:rsidRPr="00633DA6">
        <w:rPr>
          <w:rFonts w:ascii="Book Antiqua" w:eastAsia="Book Antiqua" w:hAnsi="Book Antiqua" w:cs="Book Antiqua"/>
          <w:color w:val="000000"/>
        </w:rPr>
        <w:t>: 542-544 [PMID: 33086866 DOI: 10.1161/ATVBAHA.120.315229]</w:t>
      </w:r>
    </w:p>
    <w:p w14:paraId="5F44D772"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14 </w:t>
      </w:r>
      <w:r w:rsidRPr="00633DA6">
        <w:rPr>
          <w:rFonts w:ascii="Book Antiqua" w:eastAsia="Book Antiqua" w:hAnsi="Book Antiqua" w:cs="Book Antiqua"/>
          <w:b/>
          <w:bCs/>
          <w:color w:val="000000"/>
        </w:rPr>
        <w:t>Kermani NZ</w:t>
      </w:r>
      <w:r w:rsidRPr="00633DA6">
        <w:rPr>
          <w:rFonts w:ascii="Book Antiqua" w:eastAsia="Book Antiqua" w:hAnsi="Book Antiqua" w:cs="Book Antiqua"/>
          <w:color w:val="000000"/>
        </w:rPr>
        <w:t xml:space="preserve">, Song WJ, Badi Y, Versi A, Guo Y, Sun K, Bhavsar P, Howarth P, Dahlen SE, Sterk PJ, Djukanovic R, Adcock IM, Chung KF; U-BIOPRED Consortium. Sputum ACE2, TMPRSS2 and FURIN gene expression in severe neutrophilic asthma. </w:t>
      </w:r>
      <w:r w:rsidRPr="00633DA6">
        <w:rPr>
          <w:rFonts w:ascii="Book Antiqua" w:eastAsia="Book Antiqua" w:hAnsi="Book Antiqua" w:cs="Book Antiqua"/>
          <w:i/>
          <w:iCs/>
          <w:color w:val="000000"/>
        </w:rPr>
        <w:t>Respir Res</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22</w:t>
      </w:r>
      <w:r w:rsidRPr="00633DA6">
        <w:rPr>
          <w:rFonts w:ascii="Book Antiqua" w:eastAsia="Book Antiqua" w:hAnsi="Book Antiqua" w:cs="Book Antiqua"/>
          <w:color w:val="000000"/>
        </w:rPr>
        <w:t>: 10 [PMID: 33413387 DOI: 10.1186/s12931-020-01605-8]</w:t>
      </w:r>
    </w:p>
    <w:p w14:paraId="6F0A2899"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15 </w:t>
      </w:r>
      <w:r w:rsidRPr="00633DA6">
        <w:rPr>
          <w:rFonts w:ascii="Book Antiqua" w:eastAsia="Book Antiqua" w:hAnsi="Book Antiqua" w:cs="Book Antiqua"/>
          <w:b/>
          <w:bCs/>
          <w:color w:val="000000"/>
        </w:rPr>
        <w:t>Wang H,</w:t>
      </w:r>
      <w:r w:rsidRPr="00633DA6">
        <w:rPr>
          <w:rFonts w:ascii="Book Antiqua" w:eastAsia="Book Antiqua" w:hAnsi="Book Antiqua" w:cs="Book Antiqua"/>
          <w:color w:val="000000"/>
        </w:rPr>
        <w:t xml:space="preserve"> Sun X, VonCannon JL, Kon ND, Ferrario CM, Groban L. Estrogen receptors are linked to angiotensin-converting enzyme 2 (ACE2), ADAM metallopeptidase domain 17 (ADAM-17), and transmembrane protease serine 2 (TMPRSS2) expression in the human atrium: insights into COVID-19. Hypertens Res 2021; 1-3 [DOI: 10.1038/s41440-021-00626-0]</w:t>
      </w:r>
    </w:p>
    <w:p w14:paraId="73C45CE8"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16 </w:t>
      </w:r>
      <w:r w:rsidRPr="00633DA6">
        <w:rPr>
          <w:rFonts w:ascii="Book Antiqua" w:eastAsia="Book Antiqua" w:hAnsi="Book Antiqua" w:cs="Book Antiqua"/>
          <w:b/>
          <w:bCs/>
          <w:color w:val="000000"/>
        </w:rPr>
        <w:t>Calcagnile M</w:t>
      </w:r>
      <w:r w:rsidRPr="00633DA6">
        <w:rPr>
          <w:rFonts w:ascii="Book Antiqua" w:eastAsia="Book Antiqua" w:hAnsi="Book Antiqua" w:cs="Book Antiqua"/>
          <w:color w:val="000000"/>
        </w:rPr>
        <w:t xml:space="preserve">, Forgez P, Iannelli A, Bucci C, Alifano M, Alifano P. Molecular docking simulation reveals ACE2 polymorphisms that may increase the affinity of ACE2 with the SARS-CoV-2 Spike protein. </w:t>
      </w:r>
      <w:r w:rsidRPr="00633DA6">
        <w:rPr>
          <w:rFonts w:ascii="Book Antiqua" w:eastAsia="Book Antiqua" w:hAnsi="Book Antiqua" w:cs="Book Antiqua"/>
          <w:i/>
          <w:iCs/>
          <w:color w:val="000000"/>
        </w:rPr>
        <w:t>Biochimie</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180</w:t>
      </w:r>
      <w:r w:rsidRPr="00633DA6">
        <w:rPr>
          <w:rFonts w:ascii="Book Antiqua" w:eastAsia="Book Antiqua" w:hAnsi="Book Antiqua" w:cs="Book Antiqua"/>
          <w:color w:val="000000"/>
        </w:rPr>
        <w:t>: 143-148 [PMID: 33181224 DOI: 10.1016/j.biochi.2020.11.004]</w:t>
      </w:r>
    </w:p>
    <w:p w14:paraId="4F2D1CB4"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17 </w:t>
      </w:r>
      <w:r w:rsidRPr="00633DA6">
        <w:rPr>
          <w:rFonts w:ascii="Book Antiqua" w:eastAsia="Book Antiqua" w:hAnsi="Book Antiqua" w:cs="Book Antiqua"/>
          <w:b/>
          <w:bCs/>
          <w:color w:val="000000"/>
        </w:rPr>
        <w:t>Zarubin A</w:t>
      </w:r>
      <w:r w:rsidRPr="00633DA6">
        <w:rPr>
          <w:rFonts w:ascii="Book Antiqua" w:eastAsia="Book Antiqua" w:hAnsi="Book Antiqua" w:cs="Book Antiqua"/>
          <w:color w:val="000000"/>
        </w:rPr>
        <w:t xml:space="preserve">, Stepanov V, Markov A, Kolesnikov N, Marusin A, Khitrinskaya I, Swarovskaya M, Litvinov S, Ekomasova N, Dzhaubermezov M, Maksimova N, Sukhomyasova A, Shtygasheva O, Khusnutdinova E, Radzhabov M, Kharkov V. </w:t>
      </w:r>
      <w:r w:rsidRPr="00633DA6">
        <w:rPr>
          <w:rFonts w:ascii="Book Antiqua" w:eastAsia="Book Antiqua" w:hAnsi="Book Antiqua" w:cs="Book Antiqua"/>
          <w:color w:val="000000"/>
        </w:rPr>
        <w:lastRenderedPageBreak/>
        <w:t xml:space="preserve">Structural Variability, Expression Profile, and Pharmacogenetic Properties of TMPRSS2 Gene as a Potential Target for COVID-19 Therapy. </w:t>
      </w:r>
      <w:r w:rsidRPr="00633DA6">
        <w:rPr>
          <w:rFonts w:ascii="Book Antiqua" w:eastAsia="Book Antiqua" w:hAnsi="Book Antiqua" w:cs="Book Antiqua"/>
          <w:i/>
          <w:iCs/>
          <w:color w:val="000000"/>
        </w:rPr>
        <w:t>Genes (Basel)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12</w:t>
      </w:r>
      <w:r w:rsidRPr="00633DA6">
        <w:rPr>
          <w:rFonts w:ascii="Book Antiqua" w:eastAsia="Book Antiqua" w:hAnsi="Book Antiqua" w:cs="Book Antiqua"/>
          <w:color w:val="000000"/>
        </w:rPr>
        <w:t xml:space="preserve"> [PMID: 33375616 DOI: 10.3390/genes12010019]</w:t>
      </w:r>
    </w:p>
    <w:p w14:paraId="10B2F8F0"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18 </w:t>
      </w:r>
      <w:r w:rsidRPr="00633DA6">
        <w:rPr>
          <w:rFonts w:ascii="Book Antiqua" w:eastAsia="Book Antiqua" w:hAnsi="Book Antiqua" w:cs="Book Antiqua"/>
          <w:b/>
          <w:bCs/>
          <w:color w:val="000000"/>
        </w:rPr>
        <w:t>Ozono S</w:t>
      </w:r>
      <w:r w:rsidRPr="00633DA6">
        <w:rPr>
          <w:rFonts w:ascii="Book Antiqua" w:eastAsia="Book Antiqua" w:hAnsi="Book Antiqua" w:cs="Book Antiqua"/>
          <w:color w:val="000000"/>
        </w:rPr>
        <w:t xml:space="preserve">, Zhang Y, Ode H, Sano K, Tan TS, Imai K, Miyoshi K, Kishigami S, Ueno T, Iwatani Y, Suzuki T, Tokunaga K. SARS-CoV-2 D614G spike mutation increases entry efficiency with enhanced ACE2-binding affinity. </w:t>
      </w:r>
      <w:r w:rsidRPr="00633DA6">
        <w:rPr>
          <w:rFonts w:ascii="Book Antiqua" w:eastAsia="Book Antiqua" w:hAnsi="Book Antiqua" w:cs="Book Antiqua"/>
          <w:i/>
          <w:iCs/>
          <w:color w:val="000000"/>
        </w:rPr>
        <w:t>Nat Commun</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12</w:t>
      </w:r>
      <w:r w:rsidRPr="00633DA6">
        <w:rPr>
          <w:rFonts w:ascii="Book Antiqua" w:eastAsia="Book Antiqua" w:hAnsi="Book Antiqua" w:cs="Book Antiqua"/>
          <w:color w:val="000000"/>
        </w:rPr>
        <w:t>: 848 [PMID: 33558493 DOI: 10.1038/s41467-021-21118-2]</w:t>
      </w:r>
    </w:p>
    <w:p w14:paraId="3D04D6F8"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19 </w:t>
      </w:r>
      <w:r w:rsidRPr="00633DA6">
        <w:rPr>
          <w:rFonts w:ascii="Book Antiqua" w:eastAsia="Book Antiqua" w:hAnsi="Book Antiqua" w:cs="Book Antiqua"/>
          <w:b/>
          <w:bCs/>
          <w:color w:val="000000"/>
        </w:rPr>
        <w:t>Beyerstedt S,</w:t>
      </w:r>
      <w:r w:rsidRPr="00633DA6">
        <w:rPr>
          <w:rFonts w:ascii="Book Antiqua" w:eastAsia="Book Antiqua" w:hAnsi="Book Antiqua" w:cs="Book Antiqua"/>
          <w:color w:val="000000"/>
        </w:rPr>
        <w:t xml:space="preserve"> Casaro EB, Rangel ÉB. COVID-19: angiotensin-converting enzyme 2 (ACE2) expression and tissue susceptibility to SARS-CoV-2 infection. Eur J Clin Microbiol Infect Dis 2021; 1-15 [DOI: 10.1007/s10096-020-04138-6]</w:t>
      </w:r>
    </w:p>
    <w:p w14:paraId="7DB7C261"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20 </w:t>
      </w:r>
      <w:r w:rsidRPr="00633DA6">
        <w:rPr>
          <w:rFonts w:ascii="Book Antiqua" w:eastAsia="Book Antiqua" w:hAnsi="Book Antiqua" w:cs="Book Antiqua"/>
          <w:b/>
          <w:bCs/>
          <w:color w:val="000000"/>
        </w:rPr>
        <w:t>Toyonaga T</w:t>
      </w:r>
      <w:r w:rsidRPr="00633DA6">
        <w:rPr>
          <w:rFonts w:ascii="Book Antiqua" w:eastAsia="Book Antiqua" w:hAnsi="Book Antiqua" w:cs="Book Antiqua"/>
          <w:color w:val="000000"/>
        </w:rPr>
        <w:t xml:space="preserve">, Araba KC, Kennedy MM, Keith BP, Wolber EA, Beasley C, Steinbach EC, Schaner MR, Jain A, Long MD, Barnes EL, Herfarth HH, Isaacs KL, Hansen JJ, Kapadia MR, Guillem JG, Gulati AS, Sethupathy P, Furey TS, Ehre C, Sheikh SZ. Increased colonic expression of ACE2 associates with poor prognosis in Crohn's disease. </w:t>
      </w:r>
      <w:r w:rsidRPr="00633DA6">
        <w:rPr>
          <w:rFonts w:ascii="Book Antiqua" w:eastAsia="Book Antiqua" w:hAnsi="Book Antiqua" w:cs="Book Antiqua"/>
          <w:i/>
          <w:iCs/>
          <w:color w:val="000000"/>
        </w:rPr>
        <w:t>Sci Rep</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11</w:t>
      </w:r>
      <w:r w:rsidRPr="00633DA6">
        <w:rPr>
          <w:rFonts w:ascii="Book Antiqua" w:eastAsia="Book Antiqua" w:hAnsi="Book Antiqua" w:cs="Book Antiqua"/>
          <w:color w:val="000000"/>
        </w:rPr>
        <w:t>: 13533 [PMID: 34188154 DOI: 10.1038/s41598-021-92979-2]</w:t>
      </w:r>
    </w:p>
    <w:p w14:paraId="0DA8FEB9"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21 </w:t>
      </w:r>
      <w:r w:rsidRPr="00633DA6">
        <w:rPr>
          <w:rFonts w:ascii="Book Antiqua" w:eastAsia="Book Antiqua" w:hAnsi="Book Antiqua" w:cs="Book Antiqua"/>
          <w:b/>
          <w:bCs/>
          <w:color w:val="000000"/>
        </w:rPr>
        <w:t>Kyrou I</w:t>
      </w:r>
      <w:r w:rsidRPr="00633DA6">
        <w:rPr>
          <w:rFonts w:ascii="Book Antiqua" w:eastAsia="Book Antiqua" w:hAnsi="Book Antiqua" w:cs="Book Antiqua"/>
          <w:color w:val="000000"/>
        </w:rPr>
        <w:t xml:space="preserve">, Randeva HS, Spandidos DA, Karteris E. Not only ACE2-the quest for additional host cell mediators of SARS-CoV-2 infection: Neuropilin-1 (NRP1) as a novel SARS-CoV-2 host cell entry mediator implicated in COVID-19. </w:t>
      </w:r>
      <w:r w:rsidRPr="00633DA6">
        <w:rPr>
          <w:rFonts w:ascii="Book Antiqua" w:eastAsia="Book Antiqua" w:hAnsi="Book Antiqua" w:cs="Book Antiqua"/>
          <w:i/>
          <w:iCs/>
          <w:color w:val="000000"/>
        </w:rPr>
        <w:t>Signal Transduct Target Ther</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6</w:t>
      </w:r>
      <w:r w:rsidRPr="00633DA6">
        <w:rPr>
          <w:rFonts w:ascii="Book Antiqua" w:eastAsia="Book Antiqua" w:hAnsi="Book Antiqua" w:cs="Book Antiqua"/>
          <w:color w:val="000000"/>
        </w:rPr>
        <w:t>: 21 [PMID: 33462185 DOI: 10.1038/s41392-020-00460-9]</w:t>
      </w:r>
    </w:p>
    <w:p w14:paraId="2740BFDF"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22 </w:t>
      </w:r>
      <w:r w:rsidRPr="00633DA6">
        <w:rPr>
          <w:rFonts w:ascii="Book Antiqua" w:eastAsia="Book Antiqua" w:hAnsi="Book Antiqua" w:cs="Book Antiqua"/>
          <w:b/>
          <w:bCs/>
          <w:color w:val="000000"/>
        </w:rPr>
        <w:t>Asselta R</w:t>
      </w:r>
      <w:r w:rsidRPr="00633DA6">
        <w:rPr>
          <w:rFonts w:ascii="Book Antiqua" w:eastAsia="Book Antiqua" w:hAnsi="Book Antiqua" w:cs="Book Antiqua"/>
          <w:color w:val="000000"/>
        </w:rPr>
        <w:t xml:space="preserve">, Paraboschi EM, Mantovani A, Duga S. </w:t>
      </w:r>
      <w:r w:rsidRPr="00633DA6">
        <w:rPr>
          <w:rFonts w:ascii="Book Antiqua" w:eastAsia="Book Antiqua" w:hAnsi="Book Antiqua" w:cs="Book Antiqua"/>
          <w:i/>
          <w:iCs/>
          <w:color w:val="000000"/>
        </w:rPr>
        <w:t>ACE2</w:t>
      </w:r>
      <w:r w:rsidRPr="00633DA6">
        <w:rPr>
          <w:rFonts w:ascii="Book Antiqua" w:eastAsia="Book Antiqua" w:hAnsi="Book Antiqua" w:cs="Book Antiqua"/>
          <w:color w:val="000000"/>
        </w:rPr>
        <w:t xml:space="preserve"> and </w:t>
      </w:r>
      <w:r w:rsidRPr="00633DA6">
        <w:rPr>
          <w:rFonts w:ascii="Book Antiqua" w:eastAsia="Book Antiqua" w:hAnsi="Book Antiqua" w:cs="Book Antiqua"/>
          <w:i/>
          <w:iCs/>
          <w:color w:val="000000"/>
        </w:rPr>
        <w:t>TMPRSS2</w:t>
      </w:r>
      <w:r w:rsidRPr="00633DA6">
        <w:rPr>
          <w:rFonts w:ascii="Book Antiqua" w:eastAsia="Book Antiqua" w:hAnsi="Book Antiqua" w:cs="Book Antiqua"/>
          <w:color w:val="000000"/>
        </w:rPr>
        <w:t xml:space="preserve"> variants and expression as candidates to sex and country differences in COVID-19 severity in Italy. </w:t>
      </w:r>
      <w:r w:rsidRPr="00633DA6">
        <w:rPr>
          <w:rFonts w:ascii="Book Antiqua" w:eastAsia="Book Antiqua" w:hAnsi="Book Antiqua" w:cs="Book Antiqua"/>
          <w:i/>
          <w:iCs/>
          <w:color w:val="000000"/>
        </w:rPr>
        <w:t>Aging (Albany NY)</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12</w:t>
      </w:r>
      <w:r w:rsidRPr="00633DA6">
        <w:rPr>
          <w:rFonts w:ascii="Book Antiqua" w:eastAsia="Book Antiqua" w:hAnsi="Book Antiqua" w:cs="Book Antiqua"/>
          <w:color w:val="000000"/>
        </w:rPr>
        <w:t>: 10087-10098 [PMID: 32501810 DOI: 10.18632/aging.103415]</w:t>
      </w:r>
    </w:p>
    <w:p w14:paraId="7A0D9E7B"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23 </w:t>
      </w:r>
      <w:r w:rsidRPr="00633DA6">
        <w:rPr>
          <w:rFonts w:ascii="Book Antiqua" w:eastAsia="Book Antiqua" w:hAnsi="Book Antiqua" w:cs="Book Antiqua"/>
          <w:b/>
          <w:bCs/>
          <w:color w:val="000000"/>
        </w:rPr>
        <w:t>Dong M</w:t>
      </w:r>
      <w:r w:rsidRPr="00633DA6">
        <w:rPr>
          <w:rFonts w:ascii="Book Antiqua" w:eastAsia="Book Antiqua" w:hAnsi="Book Antiqua" w:cs="Book Antiqua"/>
          <w:color w:val="000000"/>
        </w:rPr>
        <w:t xml:space="preserve">, Zhang J, Ma X, Tan J, Chen L, Liu S, Xin Y, Zhuang L. ACE2, TMPRSS2 distribution and extrapulmonary organ injury in patients with COVID-19. </w:t>
      </w:r>
      <w:r w:rsidRPr="00633DA6">
        <w:rPr>
          <w:rFonts w:ascii="Book Antiqua" w:eastAsia="Book Antiqua" w:hAnsi="Book Antiqua" w:cs="Book Antiqua"/>
          <w:i/>
          <w:iCs/>
          <w:color w:val="000000"/>
        </w:rPr>
        <w:t>Biomed Pharmacother</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131</w:t>
      </w:r>
      <w:r w:rsidRPr="00633DA6">
        <w:rPr>
          <w:rFonts w:ascii="Book Antiqua" w:eastAsia="Book Antiqua" w:hAnsi="Book Antiqua" w:cs="Book Antiqua"/>
          <w:color w:val="000000"/>
        </w:rPr>
        <w:t>: 110678 [PMID: 32861070 DOI: 10.1016/j.biopha.2020.110678]</w:t>
      </w:r>
    </w:p>
    <w:p w14:paraId="7785D808"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24 </w:t>
      </w:r>
      <w:r w:rsidRPr="00633DA6">
        <w:rPr>
          <w:rFonts w:ascii="Book Antiqua" w:eastAsia="Book Antiqua" w:hAnsi="Book Antiqua" w:cs="Book Antiqua"/>
          <w:b/>
          <w:bCs/>
          <w:color w:val="000000"/>
        </w:rPr>
        <w:t>Xiao L</w:t>
      </w:r>
      <w:r w:rsidRPr="00633DA6">
        <w:rPr>
          <w:rFonts w:ascii="Book Antiqua" w:eastAsia="Book Antiqua" w:hAnsi="Book Antiqua" w:cs="Book Antiqua"/>
          <w:color w:val="000000"/>
        </w:rPr>
        <w:t xml:space="preserve">, Sakagami H, Miwa N. ACE2: The key Molecule for Understanding the Pathophysiology of Severe and Critical Conditions of COVID-19: Demon or Angel? </w:t>
      </w:r>
      <w:r w:rsidRPr="00633DA6">
        <w:rPr>
          <w:rFonts w:ascii="Book Antiqua" w:eastAsia="Book Antiqua" w:hAnsi="Book Antiqua" w:cs="Book Antiqua"/>
          <w:i/>
          <w:iCs/>
          <w:color w:val="000000"/>
        </w:rPr>
        <w:t>Viruses</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12</w:t>
      </w:r>
      <w:r w:rsidRPr="00633DA6">
        <w:rPr>
          <w:rFonts w:ascii="Book Antiqua" w:eastAsia="Book Antiqua" w:hAnsi="Book Antiqua" w:cs="Book Antiqua"/>
          <w:color w:val="000000"/>
        </w:rPr>
        <w:t xml:space="preserve"> [PMID: 32354022 DOI: 10.3390/v12050491]</w:t>
      </w:r>
    </w:p>
    <w:p w14:paraId="64BD94C7" w14:textId="77777777" w:rsidR="00A77B3E" w:rsidRPr="00633DA6" w:rsidRDefault="00D346F3" w:rsidP="007F5BFE">
      <w:pPr>
        <w:spacing w:line="360" w:lineRule="auto"/>
        <w:jc w:val="both"/>
        <w:rPr>
          <w:rFonts w:ascii="Book Antiqua" w:hAnsi="Book Antiqua"/>
          <w:lang w:val="pt-BR"/>
        </w:rPr>
      </w:pPr>
      <w:r w:rsidRPr="00633DA6">
        <w:rPr>
          <w:rFonts w:ascii="Book Antiqua" w:eastAsia="Book Antiqua" w:hAnsi="Book Antiqua" w:cs="Book Antiqua"/>
          <w:color w:val="000000"/>
        </w:rPr>
        <w:lastRenderedPageBreak/>
        <w:t xml:space="preserve">25 </w:t>
      </w:r>
      <w:r w:rsidRPr="00633DA6">
        <w:rPr>
          <w:rFonts w:ascii="Book Antiqua" w:eastAsia="Book Antiqua" w:hAnsi="Book Antiqua" w:cs="Book Antiqua"/>
          <w:b/>
          <w:bCs/>
          <w:color w:val="000000"/>
        </w:rPr>
        <w:t>Nowak JK</w:t>
      </w:r>
      <w:r w:rsidRPr="00633DA6">
        <w:rPr>
          <w:rFonts w:ascii="Book Antiqua" w:eastAsia="Book Antiqua" w:hAnsi="Book Antiqua" w:cs="Book Antiqua"/>
          <w:color w:val="000000"/>
        </w:rPr>
        <w:t xml:space="preserve">, Lindstrøm JC, Kalla R, Ricanek P, Halfvarson J, Satsangi J. Age, Inflammation, and Disease Location Are Critical Determinants of Intestinal Expression of SARS-CoV-2 Receptor </w:t>
      </w:r>
      <w:r w:rsidRPr="00633DA6">
        <w:rPr>
          <w:rFonts w:ascii="Book Antiqua" w:eastAsia="Book Antiqua" w:hAnsi="Book Antiqua" w:cs="Book Antiqua"/>
          <w:i/>
          <w:iCs/>
          <w:color w:val="000000"/>
        </w:rPr>
        <w:t>ACE2</w:t>
      </w:r>
      <w:r w:rsidRPr="00633DA6">
        <w:rPr>
          <w:rFonts w:ascii="Book Antiqua" w:eastAsia="Book Antiqua" w:hAnsi="Book Antiqua" w:cs="Book Antiqua"/>
          <w:color w:val="000000"/>
        </w:rPr>
        <w:t xml:space="preserve"> and </w:t>
      </w:r>
      <w:r w:rsidRPr="00633DA6">
        <w:rPr>
          <w:rFonts w:ascii="Book Antiqua" w:eastAsia="Book Antiqua" w:hAnsi="Book Antiqua" w:cs="Book Antiqua"/>
          <w:i/>
          <w:iCs/>
          <w:color w:val="000000"/>
        </w:rPr>
        <w:t>TMPRSS2</w:t>
      </w:r>
      <w:r w:rsidRPr="00633DA6">
        <w:rPr>
          <w:rFonts w:ascii="Book Antiqua" w:eastAsia="Book Antiqua" w:hAnsi="Book Antiqua" w:cs="Book Antiqua"/>
          <w:color w:val="000000"/>
        </w:rPr>
        <w:t xml:space="preserve"> in Inflammatory Bowel Disease. </w:t>
      </w:r>
      <w:r w:rsidRPr="00633DA6">
        <w:rPr>
          <w:rFonts w:ascii="Book Antiqua" w:eastAsia="Book Antiqua" w:hAnsi="Book Antiqua" w:cs="Book Antiqua"/>
          <w:i/>
          <w:iCs/>
          <w:color w:val="000000"/>
          <w:lang w:val="pt-BR"/>
        </w:rPr>
        <w:t>Gastroenterology</w:t>
      </w:r>
      <w:r w:rsidRPr="00633DA6">
        <w:rPr>
          <w:rFonts w:ascii="Book Antiqua" w:eastAsia="Book Antiqua" w:hAnsi="Book Antiqua" w:cs="Book Antiqua"/>
          <w:color w:val="000000"/>
          <w:lang w:val="pt-BR"/>
        </w:rPr>
        <w:t xml:space="preserve"> 2020; </w:t>
      </w:r>
      <w:r w:rsidRPr="00633DA6">
        <w:rPr>
          <w:rFonts w:ascii="Book Antiqua" w:eastAsia="Book Antiqua" w:hAnsi="Book Antiqua" w:cs="Book Antiqua"/>
          <w:b/>
          <w:bCs/>
          <w:color w:val="000000"/>
          <w:lang w:val="pt-BR"/>
        </w:rPr>
        <w:t>159</w:t>
      </w:r>
      <w:r w:rsidRPr="00633DA6">
        <w:rPr>
          <w:rFonts w:ascii="Book Antiqua" w:eastAsia="Book Antiqua" w:hAnsi="Book Antiqua" w:cs="Book Antiqua"/>
          <w:color w:val="000000"/>
          <w:lang w:val="pt-BR"/>
        </w:rPr>
        <w:t>: 1151-1154.e2 [PMID: 32413354 DOI: 10.1053/j.gastro.2020.05.030]</w:t>
      </w:r>
    </w:p>
    <w:p w14:paraId="58018975" w14:textId="77777777" w:rsidR="00A77B3E" w:rsidRPr="00633DA6" w:rsidRDefault="00D346F3" w:rsidP="007F5BFE">
      <w:pPr>
        <w:spacing w:line="360" w:lineRule="auto"/>
        <w:jc w:val="both"/>
        <w:rPr>
          <w:rFonts w:ascii="Book Antiqua" w:hAnsi="Book Antiqua"/>
          <w:lang w:val="pt-BR"/>
        </w:rPr>
      </w:pPr>
      <w:r w:rsidRPr="00633DA6">
        <w:rPr>
          <w:rFonts w:ascii="Book Antiqua" w:eastAsia="Book Antiqua" w:hAnsi="Book Antiqua" w:cs="Book Antiqua"/>
          <w:color w:val="000000"/>
          <w:lang w:val="pt-BR"/>
        </w:rPr>
        <w:t xml:space="preserve">26 </w:t>
      </w:r>
      <w:r w:rsidRPr="00633DA6">
        <w:rPr>
          <w:rFonts w:ascii="Book Antiqua" w:eastAsia="Book Antiqua" w:hAnsi="Book Antiqua" w:cs="Book Antiqua"/>
          <w:b/>
          <w:bCs/>
          <w:color w:val="000000"/>
          <w:lang w:val="pt-BR"/>
        </w:rPr>
        <w:t>de Lucena TMC</w:t>
      </w:r>
      <w:r w:rsidRPr="00633DA6">
        <w:rPr>
          <w:rFonts w:ascii="Book Antiqua" w:eastAsia="Book Antiqua" w:hAnsi="Book Antiqua" w:cs="Book Antiqua"/>
          <w:color w:val="000000"/>
          <w:lang w:val="pt-BR"/>
        </w:rPr>
        <w:t xml:space="preserve">, da Silva Santos AF, de Lima BR, de Albuquerque Borborema ME, de Azevêdo Silva J. Mechanism of inflammatory response in associated comorbidities in COVID-19. </w:t>
      </w:r>
      <w:r w:rsidRPr="00633DA6">
        <w:rPr>
          <w:rFonts w:ascii="Book Antiqua" w:eastAsia="Book Antiqua" w:hAnsi="Book Antiqua" w:cs="Book Antiqua"/>
          <w:i/>
          <w:iCs/>
          <w:color w:val="000000"/>
          <w:lang w:val="pt-BR"/>
        </w:rPr>
        <w:t>Diabetes Metab Syndr</w:t>
      </w:r>
      <w:r w:rsidRPr="00633DA6">
        <w:rPr>
          <w:rFonts w:ascii="Book Antiqua" w:eastAsia="Book Antiqua" w:hAnsi="Book Antiqua" w:cs="Book Antiqua"/>
          <w:color w:val="000000"/>
          <w:lang w:val="pt-BR"/>
        </w:rPr>
        <w:t xml:space="preserve"> 2020; </w:t>
      </w:r>
      <w:r w:rsidRPr="00633DA6">
        <w:rPr>
          <w:rFonts w:ascii="Book Antiqua" w:eastAsia="Book Antiqua" w:hAnsi="Book Antiqua" w:cs="Book Antiqua"/>
          <w:b/>
          <w:bCs/>
          <w:color w:val="000000"/>
          <w:lang w:val="pt-BR"/>
        </w:rPr>
        <w:t>14</w:t>
      </w:r>
      <w:r w:rsidRPr="00633DA6">
        <w:rPr>
          <w:rFonts w:ascii="Book Antiqua" w:eastAsia="Book Antiqua" w:hAnsi="Book Antiqua" w:cs="Book Antiqua"/>
          <w:color w:val="000000"/>
          <w:lang w:val="pt-BR"/>
        </w:rPr>
        <w:t>: 597-600 [PMID: 32417709 DOI: 10.1016/j.dsx.2020.05.025]</w:t>
      </w:r>
    </w:p>
    <w:p w14:paraId="4E032E50"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lang w:val="pt-BR"/>
        </w:rPr>
        <w:t xml:space="preserve">27 </w:t>
      </w:r>
      <w:r w:rsidRPr="00633DA6">
        <w:rPr>
          <w:rFonts w:ascii="Book Antiqua" w:eastAsia="Book Antiqua" w:hAnsi="Book Antiqua" w:cs="Book Antiqua"/>
          <w:b/>
          <w:bCs/>
          <w:color w:val="000000"/>
          <w:lang w:val="pt-BR"/>
        </w:rPr>
        <w:t>Rothan HA</w:t>
      </w:r>
      <w:r w:rsidRPr="00633DA6">
        <w:rPr>
          <w:rFonts w:ascii="Book Antiqua" w:eastAsia="Book Antiqua" w:hAnsi="Book Antiqua" w:cs="Book Antiqua"/>
          <w:color w:val="000000"/>
          <w:lang w:val="pt-BR"/>
        </w:rPr>
        <w:t xml:space="preserve">, Byrareddy SN. </w:t>
      </w:r>
      <w:r w:rsidRPr="00633DA6">
        <w:rPr>
          <w:rFonts w:ascii="Book Antiqua" w:eastAsia="Book Antiqua" w:hAnsi="Book Antiqua" w:cs="Book Antiqua"/>
          <w:color w:val="000000"/>
        </w:rPr>
        <w:t xml:space="preserve">The potential threat of multisystem inflammatory syndrome in children during the COVID-19 pandemic. </w:t>
      </w:r>
      <w:r w:rsidRPr="00633DA6">
        <w:rPr>
          <w:rFonts w:ascii="Book Antiqua" w:eastAsia="Book Antiqua" w:hAnsi="Book Antiqua" w:cs="Book Antiqua"/>
          <w:i/>
          <w:iCs/>
          <w:color w:val="000000"/>
        </w:rPr>
        <w:t>Pediatr Allergy Immunol</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32</w:t>
      </w:r>
      <w:r w:rsidRPr="00633DA6">
        <w:rPr>
          <w:rFonts w:ascii="Book Antiqua" w:eastAsia="Book Antiqua" w:hAnsi="Book Antiqua" w:cs="Book Antiqua"/>
          <w:color w:val="000000"/>
        </w:rPr>
        <w:t>: 17-22 [PMID: 32897642 DOI: 10.1111/pai.13361]</w:t>
      </w:r>
    </w:p>
    <w:p w14:paraId="6B14809C"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28 </w:t>
      </w:r>
      <w:r w:rsidRPr="00633DA6">
        <w:rPr>
          <w:rFonts w:ascii="Book Antiqua" w:eastAsia="Book Antiqua" w:hAnsi="Book Antiqua" w:cs="Book Antiqua"/>
          <w:b/>
          <w:bCs/>
          <w:color w:val="000000"/>
        </w:rPr>
        <w:t>Zipeto D</w:t>
      </w:r>
      <w:r w:rsidRPr="00633DA6">
        <w:rPr>
          <w:rFonts w:ascii="Book Antiqua" w:eastAsia="Book Antiqua" w:hAnsi="Book Antiqua" w:cs="Book Antiqua"/>
          <w:color w:val="000000"/>
        </w:rPr>
        <w:t xml:space="preserve">, Palmeira JDF, Argañaraz GA, Argañaraz ER. ACE2/ADAM17/TMPRSS2 Interplay May Be the Main Risk Factor for COVID-19. </w:t>
      </w:r>
      <w:r w:rsidRPr="00633DA6">
        <w:rPr>
          <w:rFonts w:ascii="Book Antiqua" w:eastAsia="Book Antiqua" w:hAnsi="Book Antiqua" w:cs="Book Antiqua"/>
          <w:i/>
          <w:iCs/>
          <w:color w:val="000000"/>
        </w:rPr>
        <w:t>Front Immunol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11</w:t>
      </w:r>
      <w:r w:rsidRPr="00633DA6">
        <w:rPr>
          <w:rFonts w:ascii="Book Antiqua" w:eastAsia="Book Antiqua" w:hAnsi="Book Antiqua" w:cs="Book Antiqua"/>
          <w:color w:val="000000"/>
        </w:rPr>
        <w:t>: 576745 [PMID: 33117379 DOI: 10.3389/fimmu.2020.576745]</w:t>
      </w:r>
    </w:p>
    <w:p w14:paraId="0C96E0CD"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29 </w:t>
      </w:r>
      <w:r w:rsidRPr="00633DA6">
        <w:rPr>
          <w:rFonts w:ascii="Book Antiqua" w:eastAsia="Book Antiqua" w:hAnsi="Book Antiqua" w:cs="Book Antiqua"/>
          <w:b/>
          <w:bCs/>
          <w:color w:val="000000"/>
        </w:rPr>
        <w:t>Abassi Z</w:t>
      </w:r>
      <w:r w:rsidRPr="00633DA6">
        <w:rPr>
          <w:rFonts w:ascii="Book Antiqua" w:eastAsia="Book Antiqua" w:hAnsi="Book Antiqua" w:cs="Book Antiqua"/>
          <w:color w:val="000000"/>
        </w:rPr>
        <w:t xml:space="preserve">, Higazi AAR, Kinaneh S, Armaly Z, Skorecki K, Heyman SN. ACE2, COVID-19 Infection, Inflammation, and Coagulopathy: Missing Pieces in the Puzzle. </w:t>
      </w:r>
      <w:r w:rsidRPr="00633DA6">
        <w:rPr>
          <w:rFonts w:ascii="Book Antiqua" w:eastAsia="Book Antiqua" w:hAnsi="Book Antiqua" w:cs="Book Antiqua"/>
          <w:i/>
          <w:iCs/>
          <w:color w:val="000000"/>
        </w:rPr>
        <w:t>Front Physiol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11</w:t>
      </w:r>
      <w:r w:rsidRPr="00633DA6">
        <w:rPr>
          <w:rFonts w:ascii="Book Antiqua" w:eastAsia="Book Antiqua" w:hAnsi="Book Antiqua" w:cs="Book Antiqua"/>
          <w:color w:val="000000"/>
        </w:rPr>
        <w:t>: 574753 [PMID: 33123031 DOI: 10.3389/fphys.2020.574753]</w:t>
      </w:r>
    </w:p>
    <w:p w14:paraId="133AE354"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30 </w:t>
      </w:r>
      <w:r w:rsidRPr="00633DA6">
        <w:rPr>
          <w:rFonts w:ascii="Book Antiqua" w:eastAsia="Book Antiqua" w:hAnsi="Book Antiqua" w:cs="Book Antiqua"/>
          <w:b/>
          <w:bCs/>
          <w:color w:val="000000"/>
        </w:rPr>
        <w:t>Burgueño JF</w:t>
      </w:r>
      <w:r w:rsidRPr="00633DA6">
        <w:rPr>
          <w:rFonts w:ascii="Book Antiqua" w:eastAsia="Book Antiqua" w:hAnsi="Book Antiqua" w:cs="Book Antiqua"/>
          <w:color w:val="000000"/>
        </w:rPr>
        <w:t xml:space="preserve">, Reich A, Hazime H, Quintero MA, Fernandez I, Fritsch J, Santander AM, Brito N, Damas OM, Deshpande A, Kerman DH, Zhang L, Gao Z, Ban Y, Wang L, Pignac-Kobinger J, Abreu MT. Expression of SARS-CoV-2 Entry Molecules ACE2 and TMPRSS2 in the Gut of Patients With IBD. </w:t>
      </w:r>
      <w:r w:rsidRPr="00633DA6">
        <w:rPr>
          <w:rFonts w:ascii="Book Antiqua" w:eastAsia="Book Antiqua" w:hAnsi="Book Antiqua" w:cs="Book Antiqua"/>
          <w:i/>
          <w:iCs/>
          <w:color w:val="000000"/>
        </w:rPr>
        <w:t>Inflamm Bowel Dis</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26</w:t>
      </w:r>
      <w:r w:rsidRPr="00633DA6">
        <w:rPr>
          <w:rFonts w:ascii="Book Antiqua" w:eastAsia="Book Antiqua" w:hAnsi="Book Antiqua" w:cs="Book Antiqua"/>
          <w:color w:val="000000"/>
        </w:rPr>
        <w:t>: 797-808 [PMID: 32333601 DOI: 10.1093/ibd/izaa085]</w:t>
      </w:r>
    </w:p>
    <w:p w14:paraId="552FD299"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31 </w:t>
      </w:r>
      <w:r w:rsidRPr="00633DA6">
        <w:rPr>
          <w:rFonts w:ascii="Book Antiqua" w:eastAsia="Book Antiqua" w:hAnsi="Book Antiqua" w:cs="Book Antiqua"/>
          <w:b/>
          <w:bCs/>
          <w:color w:val="000000"/>
        </w:rPr>
        <w:t>Potdar AA</w:t>
      </w:r>
      <w:r w:rsidRPr="00633DA6">
        <w:rPr>
          <w:rFonts w:ascii="Book Antiqua" w:eastAsia="Book Antiqua" w:hAnsi="Book Antiqua" w:cs="Book Antiqua"/>
          <w:color w:val="000000"/>
        </w:rPr>
        <w:t xml:space="preserve">, Dube S, Naito T, Botwin G, Haritunians T, Li D, Yang S, Bilsborough J, Denson LA, Daly M, Targan SR, Fleshner P, Braun J, Kugathasan S, Stappenbeck TS, McGovern DPB. Reduced expression of COVID-19 host receptor, </w:t>
      </w:r>
      <w:r w:rsidRPr="00633DA6">
        <w:rPr>
          <w:rFonts w:ascii="Book Antiqua" w:eastAsia="Book Antiqua" w:hAnsi="Book Antiqua" w:cs="Book Antiqua"/>
          <w:i/>
          <w:iCs/>
          <w:color w:val="000000"/>
        </w:rPr>
        <w:t>ACE2</w:t>
      </w:r>
      <w:r w:rsidRPr="00633DA6">
        <w:rPr>
          <w:rFonts w:ascii="Book Antiqua" w:eastAsia="Book Antiqua" w:hAnsi="Book Antiqua" w:cs="Book Antiqua"/>
          <w:color w:val="000000"/>
        </w:rPr>
        <w:t xml:space="preserve"> is associated with small bowel inflammation, more severe disease, and response to anti-TNF therapy in Crohn's disease. </w:t>
      </w:r>
      <w:r w:rsidRPr="00633DA6">
        <w:rPr>
          <w:rFonts w:ascii="Book Antiqua" w:eastAsia="Book Antiqua" w:hAnsi="Book Antiqua" w:cs="Book Antiqua"/>
          <w:i/>
          <w:iCs/>
          <w:color w:val="000000"/>
        </w:rPr>
        <w:t>medRxiv</w:t>
      </w:r>
      <w:r w:rsidRPr="00633DA6">
        <w:rPr>
          <w:rFonts w:ascii="Book Antiqua" w:eastAsia="Book Antiqua" w:hAnsi="Book Antiqua" w:cs="Book Antiqua"/>
          <w:color w:val="000000"/>
        </w:rPr>
        <w:t xml:space="preserve"> 2020 [PMID: 32511625 DOI: 10.1101/2020.04.19.20070995]</w:t>
      </w:r>
    </w:p>
    <w:p w14:paraId="26AF238E" w14:textId="77777777" w:rsidR="00A77B3E" w:rsidRPr="00633DA6" w:rsidRDefault="00D346F3" w:rsidP="007F5BFE">
      <w:pPr>
        <w:spacing w:line="360" w:lineRule="auto"/>
        <w:jc w:val="both"/>
        <w:rPr>
          <w:rFonts w:ascii="Book Antiqua" w:hAnsi="Book Antiqua"/>
          <w:lang w:val="pt-BR"/>
        </w:rPr>
      </w:pPr>
      <w:r w:rsidRPr="00633DA6">
        <w:rPr>
          <w:rFonts w:ascii="Book Antiqua" w:eastAsia="Book Antiqua" w:hAnsi="Book Antiqua" w:cs="Book Antiqua"/>
          <w:color w:val="000000"/>
        </w:rPr>
        <w:lastRenderedPageBreak/>
        <w:t xml:space="preserve">32 </w:t>
      </w:r>
      <w:r w:rsidRPr="00633DA6">
        <w:rPr>
          <w:rFonts w:ascii="Book Antiqua" w:eastAsia="Book Antiqua" w:hAnsi="Book Antiqua" w:cs="Book Antiqua"/>
          <w:b/>
          <w:bCs/>
          <w:color w:val="000000"/>
        </w:rPr>
        <w:t>Azimi A. TMPRSS2 inhibitors,</w:t>
      </w:r>
      <w:r w:rsidRPr="00633DA6">
        <w:rPr>
          <w:rFonts w:ascii="Book Antiqua" w:eastAsia="Book Antiqua" w:hAnsi="Book Antiqua" w:cs="Book Antiqua"/>
          <w:color w:val="000000"/>
        </w:rPr>
        <w:t xml:space="preserve"> Bromhexine, Aprotinin, Camostat and Nafamostat as potential treatments for COVID-19. </w:t>
      </w:r>
      <w:r w:rsidRPr="00633DA6">
        <w:rPr>
          <w:rFonts w:ascii="Book Antiqua" w:eastAsia="Book Antiqua" w:hAnsi="Book Antiqua" w:cs="Book Antiqua"/>
          <w:color w:val="000000"/>
          <w:lang w:val="pt-BR"/>
        </w:rPr>
        <w:t>2020 [DOI: 10.31226/osf.io/a3rvm]</w:t>
      </w:r>
    </w:p>
    <w:p w14:paraId="27F3CE9C"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lang w:val="pt-BR"/>
        </w:rPr>
        <w:t xml:space="preserve">33 </w:t>
      </w:r>
      <w:r w:rsidRPr="00633DA6">
        <w:rPr>
          <w:rFonts w:ascii="Book Antiqua" w:eastAsia="Book Antiqua" w:hAnsi="Book Antiqua" w:cs="Book Antiqua"/>
          <w:b/>
          <w:bCs/>
          <w:color w:val="000000"/>
          <w:lang w:val="pt-BR"/>
        </w:rPr>
        <w:t>Queiroz NSF</w:t>
      </w:r>
      <w:r w:rsidRPr="00633DA6">
        <w:rPr>
          <w:rFonts w:ascii="Book Antiqua" w:eastAsia="Book Antiqua" w:hAnsi="Book Antiqua" w:cs="Book Antiqua"/>
          <w:color w:val="000000"/>
          <w:lang w:val="pt-BR"/>
        </w:rPr>
        <w:t xml:space="preserve">, Barros LL, Azevedo MFC, Oba J, Sobrado CW, Carlos AS, Milani LR, Sipahi AM, Damião AOMC. </w:t>
      </w:r>
      <w:r w:rsidRPr="00633DA6">
        <w:rPr>
          <w:rFonts w:ascii="Book Antiqua" w:eastAsia="Book Antiqua" w:hAnsi="Book Antiqua" w:cs="Book Antiqua"/>
          <w:color w:val="000000"/>
        </w:rPr>
        <w:t xml:space="preserve">Management of inflammatory bowel disease patients in the COVID-19 pandemic era: a Brazilian tertiary referral center guidance. </w:t>
      </w:r>
      <w:r w:rsidRPr="00633DA6">
        <w:rPr>
          <w:rFonts w:ascii="Book Antiqua" w:eastAsia="Book Antiqua" w:hAnsi="Book Antiqua" w:cs="Book Antiqua"/>
          <w:i/>
          <w:iCs/>
          <w:color w:val="000000"/>
        </w:rPr>
        <w:t>Clinics (Sao Paulo)</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75</w:t>
      </w:r>
      <w:r w:rsidRPr="00633DA6">
        <w:rPr>
          <w:rFonts w:ascii="Book Antiqua" w:eastAsia="Book Antiqua" w:hAnsi="Book Antiqua" w:cs="Book Antiqua"/>
          <w:color w:val="000000"/>
        </w:rPr>
        <w:t>: e1909 [PMID: 32321117 DOI: 10.6061/clinics/2020/e1909]</w:t>
      </w:r>
    </w:p>
    <w:p w14:paraId="4F4A103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34 </w:t>
      </w:r>
      <w:r w:rsidRPr="00633DA6">
        <w:rPr>
          <w:rFonts w:ascii="Book Antiqua" w:eastAsia="Book Antiqua" w:hAnsi="Book Antiqua" w:cs="Book Antiqua"/>
          <w:b/>
          <w:bCs/>
          <w:color w:val="000000"/>
        </w:rPr>
        <w:t>Fragoso RP</w:t>
      </w:r>
      <w:r w:rsidRPr="00633DA6">
        <w:rPr>
          <w:rFonts w:ascii="Book Antiqua" w:eastAsia="Book Antiqua" w:hAnsi="Book Antiqua" w:cs="Book Antiqua"/>
          <w:color w:val="000000"/>
        </w:rPr>
        <w:t xml:space="preserve">, Rodrigues M. COVID-19 and pediatric inflammatory bowel disease: How to manage it? </w:t>
      </w:r>
      <w:r w:rsidRPr="00633DA6">
        <w:rPr>
          <w:rFonts w:ascii="Book Antiqua" w:eastAsia="Book Antiqua" w:hAnsi="Book Antiqua" w:cs="Book Antiqua"/>
          <w:i/>
          <w:iCs/>
          <w:color w:val="000000"/>
        </w:rPr>
        <w:t>Clinics (Sao Paulo)</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75</w:t>
      </w:r>
      <w:r w:rsidRPr="00633DA6">
        <w:rPr>
          <w:rFonts w:ascii="Book Antiqua" w:eastAsia="Book Antiqua" w:hAnsi="Book Antiqua" w:cs="Book Antiqua"/>
          <w:color w:val="000000"/>
        </w:rPr>
        <w:t>: e1962 [PMID: 32520223 DOI: 10.6061/clinics/2020/e1962]</w:t>
      </w:r>
    </w:p>
    <w:p w14:paraId="675CC3C7"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35 </w:t>
      </w:r>
      <w:r w:rsidRPr="00633DA6">
        <w:rPr>
          <w:rFonts w:ascii="Book Antiqua" w:eastAsia="Book Antiqua" w:hAnsi="Book Antiqua" w:cs="Book Antiqua"/>
          <w:b/>
          <w:bCs/>
          <w:color w:val="000000"/>
        </w:rPr>
        <w:t>Al-Ani A,</w:t>
      </w:r>
      <w:r w:rsidRPr="00633DA6">
        <w:rPr>
          <w:rFonts w:ascii="Book Antiqua" w:eastAsia="Book Antiqua" w:hAnsi="Book Antiqua" w:cs="Book Antiqua"/>
          <w:color w:val="000000"/>
        </w:rPr>
        <w:t xml:space="preserve"> Prentice R, Rentsch C, Johnson D, Ardalan Z, Heerasing N, Garg M, Campbell S, Sasadeusz J, Macrae F. Prevention, diagnosis and management of COVID-19 in the inflammatory bowel disease patient. Aliment Pharmacol Ther 2020 [DOI: 10.1111/apt.15779]</w:t>
      </w:r>
    </w:p>
    <w:p w14:paraId="6CCF932A"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36 </w:t>
      </w:r>
      <w:r w:rsidRPr="00633DA6">
        <w:rPr>
          <w:rFonts w:ascii="Book Antiqua" w:eastAsia="Book Antiqua" w:hAnsi="Book Antiqua" w:cs="Book Antiqua"/>
          <w:b/>
          <w:bCs/>
          <w:color w:val="000000"/>
        </w:rPr>
        <w:t>An P</w:t>
      </w:r>
      <w:r w:rsidRPr="00633DA6">
        <w:rPr>
          <w:rFonts w:ascii="Book Antiqua" w:eastAsia="Book Antiqua" w:hAnsi="Book Antiqua" w:cs="Book Antiqua"/>
          <w:color w:val="000000"/>
        </w:rPr>
        <w:t xml:space="preserve">, Ji M, Ren H, Su J, Ding NS, Kang J, Yin A, Zhou Q, Shen L, Zhao L, Jiang X, Xiao Y, Tan W, Lv X, Li J, Liu S, Zhou J, Chen H, Xu Y, Liu J, Chen M, Cao J, Zhou Z, Shen L, Tan S, Yu H, Dong W, Ding Y. Prevention of COVID-19 in patients with inflammatory bowel disease in Wuhan, China. </w:t>
      </w:r>
      <w:r w:rsidRPr="00633DA6">
        <w:rPr>
          <w:rFonts w:ascii="Book Antiqua" w:eastAsia="Book Antiqua" w:hAnsi="Book Antiqua" w:cs="Book Antiqua"/>
          <w:i/>
          <w:iCs/>
          <w:color w:val="000000"/>
        </w:rPr>
        <w:t>Lancet Gastroenterol Hepatol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5</w:t>
      </w:r>
      <w:r w:rsidRPr="00633DA6">
        <w:rPr>
          <w:rFonts w:ascii="Book Antiqua" w:eastAsia="Book Antiqua" w:hAnsi="Book Antiqua" w:cs="Book Antiqua"/>
          <w:color w:val="000000"/>
        </w:rPr>
        <w:t>: 525-527 [PMID: 32311321 DOI: 10.1016/S2468-1253(20)30121-7]</w:t>
      </w:r>
    </w:p>
    <w:p w14:paraId="724DA558"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37 </w:t>
      </w:r>
      <w:r w:rsidRPr="00633DA6">
        <w:rPr>
          <w:rFonts w:ascii="Book Antiqua" w:eastAsia="Book Antiqua" w:hAnsi="Book Antiqua" w:cs="Book Antiqua"/>
          <w:b/>
          <w:bCs/>
          <w:color w:val="000000"/>
        </w:rPr>
        <w:t>Prentice RE</w:t>
      </w:r>
      <w:r w:rsidRPr="00633DA6">
        <w:rPr>
          <w:rFonts w:ascii="Book Antiqua" w:eastAsia="Book Antiqua" w:hAnsi="Book Antiqua" w:cs="Book Antiqua"/>
          <w:color w:val="000000"/>
        </w:rPr>
        <w:t xml:space="preserve">, Tjandra D, Garg M, Lubel JS, Fourlanos S, Johnson D, Al-Ani A, Christensen B. Letter: ACE2, IBD and COVID-19-why IBD patients may be at reduced risk of COVID-19. </w:t>
      </w:r>
      <w:r w:rsidRPr="00633DA6">
        <w:rPr>
          <w:rFonts w:ascii="Book Antiqua" w:eastAsia="Book Antiqua" w:hAnsi="Book Antiqua" w:cs="Book Antiqua"/>
          <w:i/>
          <w:iCs/>
          <w:color w:val="000000"/>
        </w:rPr>
        <w:t>Aliment Pharmacol Ther</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52</w:t>
      </w:r>
      <w:r w:rsidRPr="00633DA6">
        <w:rPr>
          <w:rFonts w:ascii="Book Antiqua" w:eastAsia="Book Antiqua" w:hAnsi="Book Antiqua" w:cs="Book Antiqua"/>
          <w:color w:val="000000"/>
        </w:rPr>
        <w:t>: 1422-1423 [PMID: 33105980 DOI: 10.1111/apt.16063]</w:t>
      </w:r>
    </w:p>
    <w:p w14:paraId="27CD212C"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38 </w:t>
      </w:r>
      <w:r w:rsidRPr="00633DA6">
        <w:rPr>
          <w:rFonts w:ascii="Book Antiqua" w:eastAsia="Book Antiqua" w:hAnsi="Book Antiqua" w:cs="Book Antiqua"/>
          <w:b/>
          <w:bCs/>
          <w:color w:val="000000"/>
        </w:rPr>
        <w:t>Reuken PA</w:t>
      </w:r>
      <w:r w:rsidRPr="00633DA6">
        <w:rPr>
          <w:rFonts w:ascii="Book Antiqua" w:eastAsia="Book Antiqua" w:hAnsi="Book Antiqua" w:cs="Book Antiqua"/>
          <w:color w:val="000000"/>
        </w:rPr>
        <w:t xml:space="preserve">, Wüst M, Löffler B, Bauer M, Stallmach A. Letter: SARS-CoV-2-induced gastrointestinal inflammation. </w:t>
      </w:r>
      <w:r w:rsidRPr="00633DA6">
        <w:rPr>
          <w:rFonts w:ascii="Book Antiqua" w:eastAsia="Book Antiqua" w:hAnsi="Book Antiqua" w:cs="Book Antiqua"/>
          <w:i/>
          <w:iCs/>
          <w:color w:val="000000"/>
        </w:rPr>
        <w:t>Aliment Pharmacol Ther</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52</w:t>
      </w:r>
      <w:r w:rsidRPr="00633DA6">
        <w:rPr>
          <w:rFonts w:ascii="Book Antiqua" w:eastAsia="Book Antiqua" w:hAnsi="Book Antiqua" w:cs="Book Antiqua"/>
          <w:color w:val="000000"/>
        </w:rPr>
        <w:t>: 1748-1749 [PMID: 33205881 DOI: 10.1111/apt.16087]</w:t>
      </w:r>
    </w:p>
    <w:p w14:paraId="037E66BC"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39 </w:t>
      </w:r>
      <w:r w:rsidRPr="00633DA6">
        <w:rPr>
          <w:rFonts w:ascii="Book Antiqua" w:eastAsia="Book Antiqua" w:hAnsi="Book Antiqua" w:cs="Book Antiqua"/>
          <w:b/>
          <w:bCs/>
          <w:color w:val="000000"/>
        </w:rPr>
        <w:t>Sultan K</w:t>
      </w:r>
      <w:r w:rsidRPr="00633DA6">
        <w:rPr>
          <w:rFonts w:ascii="Book Antiqua" w:eastAsia="Book Antiqua" w:hAnsi="Book Antiqua" w:cs="Book Antiqua"/>
          <w:color w:val="000000"/>
        </w:rPr>
        <w:t xml:space="preserve">, Mone A, Durbin L, Khuwaja S, Swaminath A. Review of inflammatory bowel disease and COVID-19. </w:t>
      </w:r>
      <w:r w:rsidRPr="00633DA6">
        <w:rPr>
          <w:rFonts w:ascii="Book Antiqua" w:eastAsia="Book Antiqua" w:hAnsi="Book Antiqua" w:cs="Book Antiqua"/>
          <w:i/>
          <w:iCs/>
          <w:color w:val="000000"/>
        </w:rPr>
        <w:t>World J Gastroenterol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26</w:t>
      </w:r>
      <w:r w:rsidRPr="00633DA6">
        <w:rPr>
          <w:rFonts w:ascii="Book Antiqua" w:eastAsia="Book Antiqua" w:hAnsi="Book Antiqua" w:cs="Book Antiqua"/>
          <w:color w:val="000000"/>
        </w:rPr>
        <w:t>: 5534-5542 [PMID: 33088153 DOI: 10.3748/wjg.v26.i37.5534]</w:t>
      </w:r>
    </w:p>
    <w:p w14:paraId="2337F44B"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lastRenderedPageBreak/>
        <w:t xml:space="preserve">40 </w:t>
      </w:r>
      <w:r w:rsidRPr="00633DA6">
        <w:rPr>
          <w:rFonts w:ascii="Book Antiqua" w:eastAsia="Book Antiqua" w:hAnsi="Book Antiqua" w:cs="Book Antiqua"/>
          <w:b/>
          <w:bCs/>
          <w:color w:val="000000"/>
        </w:rPr>
        <w:t>Viana SD</w:t>
      </w:r>
      <w:r w:rsidRPr="00633DA6">
        <w:rPr>
          <w:rFonts w:ascii="Book Antiqua" w:eastAsia="Book Antiqua" w:hAnsi="Book Antiqua" w:cs="Book Antiqua"/>
          <w:color w:val="000000"/>
        </w:rPr>
        <w:t xml:space="preserve">, Nunes S, Reis F. ACE2 imbalance as a key player for the poor outcomes in COVID-19 patients with age-related comorbidities - Role of gut microbiota dysbiosis. </w:t>
      </w:r>
      <w:r w:rsidRPr="00633DA6">
        <w:rPr>
          <w:rFonts w:ascii="Book Antiqua" w:eastAsia="Book Antiqua" w:hAnsi="Book Antiqua" w:cs="Book Antiqua"/>
          <w:i/>
          <w:iCs/>
          <w:color w:val="000000"/>
        </w:rPr>
        <w:t>Ageing Res Rev</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62</w:t>
      </w:r>
      <w:r w:rsidRPr="00633DA6">
        <w:rPr>
          <w:rFonts w:ascii="Book Antiqua" w:eastAsia="Book Antiqua" w:hAnsi="Book Antiqua" w:cs="Book Antiqua"/>
          <w:color w:val="000000"/>
        </w:rPr>
        <w:t>: 101123 [PMID: 32683039 DOI: 10.1016/j.arr.2020.101123]</w:t>
      </w:r>
    </w:p>
    <w:p w14:paraId="34A3AB5A"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41 </w:t>
      </w:r>
      <w:r w:rsidRPr="00633DA6">
        <w:rPr>
          <w:rFonts w:ascii="Book Antiqua" w:eastAsia="Book Antiqua" w:hAnsi="Book Antiqua" w:cs="Book Antiqua"/>
          <w:b/>
          <w:bCs/>
          <w:color w:val="000000"/>
        </w:rPr>
        <w:t>Kavaliers M</w:t>
      </w:r>
      <w:r w:rsidRPr="00633DA6">
        <w:rPr>
          <w:rFonts w:ascii="Book Antiqua" w:eastAsia="Book Antiqua" w:hAnsi="Book Antiqua" w:cs="Book Antiqua"/>
          <w:color w:val="000000"/>
        </w:rPr>
        <w:t xml:space="preserve">, Innes DG. Novelty-induced opioid analgesia in deer mice (Peromyscus maniculatus): sex and population differences. </w:t>
      </w:r>
      <w:r w:rsidRPr="00633DA6">
        <w:rPr>
          <w:rFonts w:ascii="Book Antiqua" w:eastAsia="Book Antiqua" w:hAnsi="Book Antiqua" w:cs="Book Antiqua"/>
          <w:i/>
          <w:iCs/>
          <w:color w:val="000000"/>
        </w:rPr>
        <w:t>Behav Neural Biol</w:t>
      </w:r>
      <w:r w:rsidRPr="00633DA6">
        <w:rPr>
          <w:rFonts w:ascii="Book Antiqua" w:eastAsia="Book Antiqua" w:hAnsi="Book Antiqua" w:cs="Book Antiqua"/>
          <w:color w:val="000000"/>
        </w:rPr>
        <w:t xml:space="preserve"> 1988; </w:t>
      </w:r>
      <w:r w:rsidRPr="00633DA6">
        <w:rPr>
          <w:rFonts w:ascii="Book Antiqua" w:eastAsia="Book Antiqua" w:hAnsi="Book Antiqua" w:cs="Book Antiqua"/>
          <w:b/>
          <w:bCs/>
          <w:color w:val="000000"/>
        </w:rPr>
        <w:t>49</w:t>
      </w:r>
      <w:r w:rsidRPr="00633DA6">
        <w:rPr>
          <w:rFonts w:ascii="Book Antiqua" w:eastAsia="Book Antiqua" w:hAnsi="Book Antiqua" w:cs="Book Antiqua"/>
          <w:color w:val="000000"/>
        </w:rPr>
        <w:t>: 54-60 [PMID: 3345191 DOI: 10.1016/j.dld.2020.12.012]</w:t>
      </w:r>
    </w:p>
    <w:p w14:paraId="05F167D4"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42 </w:t>
      </w:r>
      <w:r w:rsidRPr="00633DA6">
        <w:rPr>
          <w:rFonts w:ascii="Book Antiqua" w:eastAsia="Book Antiqua" w:hAnsi="Book Antiqua" w:cs="Book Antiqua"/>
          <w:b/>
          <w:bCs/>
          <w:color w:val="000000"/>
        </w:rPr>
        <w:t>Bhuiyan FR</w:t>
      </w:r>
      <w:r w:rsidRPr="00633DA6">
        <w:rPr>
          <w:rFonts w:ascii="Book Antiqua" w:eastAsia="Book Antiqua" w:hAnsi="Book Antiqua" w:cs="Book Antiqua"/>
          <w:color w:val="000000"/>
        </w:rPr>
        <w:t xml:space="preserve">, Howlader S, Raihan T, Hasan M. Plants Metabolites: Possibility of Natural Therapeutics Against the COVID-19 Pandemic. </w:t>
      </w:r>
      <w:r w:rsidRPr="00633DA6">
        <w:rPr>
          <w:rFonts w:ascii="Book Antiqua" w:eastAsia="Book Antiqua" w:hAnsi="Book Antiqua" w:cs="Book Antiqua"/>
          <w:i/>
          <w:iCs/>
          <w:color w:val="000000"/>
        </w:rPr>
        <w:t>Front Med (Lausanne)</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7</w:t>
      </w:r>
      <w:r w:rsidRPr="00633DA6">
        <w:rPr>
          <w:rFonts w:ascii="Book Antiqua" w:eastAsia="Book Antiqua" w:hAnsi="Book Antiqua" w:cs="Book Antiqua"/>
          <w:color w:val="000000"/>
        </w:rPr>
        <w:t>: 444 [PMID: 32850918 DOI: 10.3389/fmed.2020.00444]</w:t>
      </w:r>
    </w:p>
    <w:p w14:paraId="1928D21C"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43 </w:t>
      </w:r>
      <w:r w:rsidRPr="00633DA6">
        <w:rPr>
          <w:rFonts w:ascii="Book Antiqua" w:eastAsia="Book Antiqua" w:hAnsi="Book Antiqua" w:cs="Book Antiqua"/>
          <w:b/>
          <w:bCs/>
          <w:color w:val="000000"/>
        </w:rPr>
        <w:t>Panyod S</w:t>
      </w:r>
      <w:r w:rsidRPr="00633DA6">
        <w:rPr>
          <w:rFonts w:ascii="Book Antiqua" w:eastAsia="Book Antiqua" w:hAnsi="Book Antiqua" w:cs="Book Antiqua"/>
          <w:color w:val="000000"/>
        </w:rPr>
        <w:t xml:space="preserve">, Ho CT, Sheen LY. Dietary therapy and herbal medicine for COVID-19 prevention: A review and perspective. </w:t>
      </w:r>
      <w:r w:rsidRPr="00633DA6">
        <w:rPr>
          <w:rFonts w:ascii="Book Antiqua" w:eastAsia="Book Antiqua" w:hAnsi="Book Antiqua" w:cs="Book Antiqua"/>
          <w:i/>
          <w:iCs/>
          <w:color w:val="000000"/>
        </w:rPr>
        <w:t>J Tradit Complement Med</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10</w:t>
      </w:r>
      <w:r w:rsidRPr="00633DA6">
        <w:rPr>
          <w:rFonts w:ascii="Book Antiqua" w:eastAsia="Book Antiqua" w:hAnsi="Book Antiqua" w:cs="Book Antiqua"/>
          <w:color w:val="000000"/>
        </w:rPr>
        <w:t>: 420-427 [PMID: 32691006 DOI: 10.1016/j.jtcme.2020.05.004]</w:t>
      </w:r>
    </w:p>
    <w:p w14:paraId="4E114873"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44 </w:t>
      </w:r>
      <w:r w:rsidRPr="00633DA6">
        <w:rPr>
          <w:rFonts w:ascii="Book Antiqua" w:eastAsia="Book Antiqua" w:hAnsi="Book Antiqua" w:cs="Book Antiqua"/>
          <w:b/>
          <w:bCs/>
          <w:color w:val="000000"/>
        </w:rPr>
        <w:t>Huang J</w:t>
      </w:r>
      <w:r w:rsidRPr="00633DA6">
        <w:rPr>
          <w:rFonts w:ascii="Book Antiqua" w:eastAsia="Book Antiqua" w:hAnsi="Book Antiqua" w:cs="Book Antiqua"/>
          <w:color w:val="000000"/>
        </w:rPr>
        <w:t xml:space="preserve">, Tao G, Liu J, Cai J, Huang Z, Chen JX. Current Prevention of COVID-19: Natural Products and Herbal Medicine. </w:t>
      </w:r>
      <w:r w:rsidRPr="00633DA6">
        <w:rPr>
          <w:rFonts w:ascii="Book Antiqua" w:eastAsia="Book Antiqua" w:hAnsi="Book Antiqua" w:cs="Book Antiqua"/>
          <w:i/>
          <w:iCs/>
          <w:color w:val="000000"/>
        </w:rPr>
        <w:t>Front Pharmacol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11</w:t>
      </w:r>
      <w:r w:rsidRPr="00633DA6">
        <w:rPr>
          <w:rFonts w:ascii="Book Antiqua" w:eastAsia="Book Antiqua" w:hAnsi="Book Antiqua" w:cs="Book Antiqua"/>
          <w:color w:val="000000"/>
        </w:rPr>
        <w:t>: 588508 [PMID: 33178026 DOI: 10.3389/fphar.2020.588508]</w:t>
      </w:r>
    </w:p>
    <w:p w14:paraId="08153A2C"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45 </w:t>
      </w:r>
      <w:r w:rsidRPr="00633DA6">
        <w:rPr>
          <w:rFonts w:ascii="Book Antiqua" w:eastAsia="Book Antiqua" w:hAnsi="Book Antiqua" w:cs="Book Antiqua"/>
          <w:b/>
          <w:bCs/>
          <w:color w:val="000000"/>
        </w:rPr>
        <w:t>Boozari M,</w:t>
      </w:r>
      <w:r w:rsidRPr="00633DA6">
        <w:rPr>
          <w:rFonts w:ascii="Book Antiqua" w:eastAsia="Book Antiqua" w:hAnsi="Book Antiqua" w:cs="Book Antiqua"/>
          <w:color w:val="000000"/>
        </w:rPr>
        <w:t xml:space="preserve"> Hosseinzadeh H. Natural products for COVID</w:t>
      </w:r>
      <w:r w:rsidRPr="00633DA6">
        <w:rPr>
          <w:rFonts w:ascii="Cambria Math" w:eastAsia="Book Antiqua" w:hAnsi="Cambria Math" w:cs="Cambria Math"/>
          <w:color w:val="000000"/>
        </w:rPr>
        <w:t>‐</w:t>
      </w:r>
      <w:r w:rsidRPr="00633DA6">
        <w:rPr>
          <w:rFonts w:ascii="Book Antiqua" w:eastAsia="Book Antiqua" w:hAnsi="Book Antiqua" w:cs="Book Antiqua"/>
          <w:color w:val="000000"/>
        </w:rPr>
        <w:t>19 prevention and treatment regarding to previous coronavirus infections and novel studies. Phytother Res 2020 [DOI: 10.1002/ptr.6873]</w:t>
      </w:r>
    </w:p>
    <w:p w14:paraId="31656E05"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46 </w:t>
      </w:r>
      <w:r w:rsidRPr="00633DA6">
        <w:rPr>
          <w:rFonts w:ascii="Book Antiqua" w:eastAsia="Book Antiqua" w:hAnsi="Book Antiqua" w:cs="Book Antiqua"/>
          <w:b/>
          <w:bCs/>
          <w:color w:val="000000"/>
        </w:rPr>
        <w:t>Naik B</w:t>
      </w:r>
      <w:r w:rsidRPr="00633DA6">
        <w:rPr>
          <w:rFonts w:ascii="Book Antiqua" w:eastAsia="Book Antiqua" w:hAnsi="Book Antiqua" w:cs="Book Antiqua"/>
          <w:color w:val="000000"/>
        </w:rPr>
        <w:t xml:space="preserve">, Gupta N, Ojha R, Singh S, Prajapati VK, Prusty D. High throughput virtual screening reveals SARS-CoV-2 multi-target binding natural compounds to lead instant therapy for COVID-19 treatment. </w:t>
      </w:r>
      <w:r w:rsidRPr="00633DA6">
        <w:rPr>
          <w:rFonts w:ascii="Book Antiqua" w:eastAsia="Book Antiqua" w:hAnsi="Book Antiqua" w:cs="Book Antiqua"/>
          <w:i/>
          <w:iCs/>
          <w:color w:val="000000"/>
        </w:rPr>
        <w:t>Int J Biol Macromol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160</w:t>
      </w:r>
      <w:r w:rsidRPr="00633DA6">
        <w:rPr>
          <w:rFonts w:ascii="Book Antiqua" w:eastAsia="Book Antiqua" w:hAnsi="Book Antiqua" w:cs="Book Antiqua"/>
          <w:color w:val="000000"/>
        </w:rPr>
        <w:t>: 1-17 [PMID: 32470577 DOI: 10.1016/j.ijbiomac.2020.05.184]</w:t>
      </w:r>
    </w:p>
    <w:p w14:paraId="1B3A8CF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47 </w:t>
      </w:r>
      <w:r w:rsidRPr="00633DA6">
        <w:rPr>
          <w:rFonts w:ascii="Book Antiqua" w:eastAsia="Book Antiqua" w:hAnsi="Book Antiqua" w:cs="Book Antiqua"/>
          <w:b/>
          <w:bCs/>
          <w:color w:val="000000"/>
        </w:rPr>
        <w:t>da Silva Antonio A,</w:t>
      </w:r>
      <w:r w:rsidRPr="00633DA6">
        <w:rPr>
          <w:rFonts w:ascii="Book Antiqua" w:eastAsia="Book Antiqua" w:hAnsi="Book Antiqua" w:cs="Book Antiqua"/>
          <w:color w:val="000000"/>
        </w:rPr>
        <w:t xml:space="preserve"> Wiedemann LSM, Veiga-Junior VF. Natural products' role against COVID-19. RSC Adv 2020; 10: 23379-23393 [DOI: 10.1039/d0ra03774e]</w:t>
      </w:r>
    </w:p>
    <w:p w14:paraId="303E765C"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48 </w:t>
      </w:r>
      <w:r w:rsidRPr="00633DA6">
        <w:rPr>
          <w:rFonts w:ascii="Book Antiqua" w:eastAsia="Book Antiqua" w:hAnsi="Book Antiqua" w:cs="Book Antiqua"/>
          <w:b/>
          <w:bCs/>
          <w:color w:val="000000"/>
        </w:rPr>
        <w:t>Chen H,</w:t>
      </w:r>
      <w:r w:rsidRPr="00633DA6">
        <w:rPr>
          <w:rFonts w:ascii="Book Antiqua" w:eastAsia="Book Antiqua" w:hAnsi="Book Antiqua" w:cs="Book Antiqua"/>
          <w:color w:val="000000"/>
        </w:rPr>
        <w:t xml:space="preserve"> Du Q. Potential natural compounds for preventing SARS-CoV-2 (2019-nCoV) infection. 2020 Preprint. Available from: 202001.0358.v3</w:t>
      </w:r>
    </w:p>
    <w:p w14:paraId="674F7BB7"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49 </w:t>
      </w:r>
      <w:r w:rsidRPr="00633DA6">
        <w:rPr>
          <w:rFonts w:ascii="Book Antiqua" w:eastAsia="Book Antiqua" w:hAnsi="Book Antiqua" w:cs="Book Antiqua"/>
          <w:b/>
          <w:bCs/>
          <w:color w:val="000000"/>
        </w:rPr>
        <w:t>Seadawy MG,</w:t>
      </w:r>
      <w:r w:rsidRPr="00633DA6">
        <w:rPr>
          <w:rFonts w:ascii="Book Antiqua" w:eastAsia="Book Antiqua" w:hAnsi="Book Antiqua" w:cs="Book Antiqua"/>
          <w:color w:val="000000"/>
        </w:rPr>
        <w:t xml:space="preserve"> Gad AF, Shamel M, Elharty B, Mohamed MF, Elfiky AA, Ahmed A, Zekri ARN. in vitro: Natural Compounds (Thymol, Carvacrol, Hesperidine, And </w:t>
      </w:r>
      <w:r w:rsidRPr="00633DA6">
        <w:rPr>
          <w:rFonts w:ascii="Book Antiqua" w:eastAsia="Book Antiqua" w:hAnsi="Book Antiqua" w:cs="Book Antiqua"/>
          <w:color w:val="000000"/>
        </w:rPr>
        <w:lastRenderedPageBreak/>
        <w:t>Thymoquinone) Against SARS-CoV2 Strain Isolated From Egyptian Patients. 2020 Preprint. Available from: 2020.11.07.367649</w:t>
      </w:r>
    </w:p>
    <w:p w14:paraId="6F4A0294"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50 </w:t>
      </w:r>
      <w:r w:rsidRPr="00633DA6">
        <w:rPr>
          <w:rFonts w:ascii="Book Antiqua" w:eastAsia="Book Antiqua" w:hAnsi="Book Antiqua" w:cs="Book Antiqua"/>
          <w:b/>
          <w:bCs/>
          <w:color w:val="000000"/>
        </w:rPr>
        <w:t>Muchtaridi M</w:t>
      </w:r>
      <w:r w:rsidRPr="00633DA6">
        <w:rPr>
          <w:rFonts w:ascii="Book Antiqua" w:eastAsia="Book Antiqua" w:hAnsi="Book Antiqua" w:cs="Book Antiqua"/>
          <w:color w:val="000000"/>
        </w:rPr>
        <w:t xml:space="preserve">, Fauzi M, Khairul Ikram NK, Mohd Gazzali A, Wahab HA. Natural Flavonoids as Potential Angiotensin-Converting Enzyme 2 Inhibitors for Anti-SARS-CoV-2. </w:t>
      </w:r>
      <w:r w:rsidRPr="00633DA6">
        <w:rPr>
          <w:rFonts w:ascii="Book Antiqua" w:eastAsia="Book Antiqua" w:hAnsi="Book Antiqua" w:cs="Book Antiqua"/>
          <w:i/>
          <w:iCs/>
          <w:color w:val="000000"/>
        </w:rPr>
        <w:t>Molecules</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25</w:t>
      </w:r>
      <w:r w:rsidRPr="00633DA6">
        <w:rPr>
          <w:rFonts w:ascii="Book Antiqua" w:eastAsia="Book Antiqua" w:hAnsi="Book Antiqua" w:cs="Book Antiqua"/>
          <w:color w:val="000000"/>
        </w:rPr>
        <w:t xml:space="preserve"> [PMID: 32882868 DOI: 10.3390/molecules25173980]</w:t>
      </w:r>
    </w:p>
    <w:p w14:paraId="0551E593"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51 </w:t>
      </w:r>
      <w:r w:rsidRPr="00633DA6">
        <w:rPr>
          <w:rFonts w:ascii="Book Antiqua" w:eastAsia="Book Antiqua" w:hAnsi="Book Antiqua" w:cs="Book Antiqua"/>
          <w:b/>
          <w:bCs/>
          <w:color w:val="000000"/>
        </w:rPr>
        <w:t>Dabaghian F</w:t>
      </w:r>
      <w:r w:rsidRPr="00633DA6">
        <w:rPr>
          <w:rFonts w:ascii="Book Antiqua" w:eastAsia="Book Antiqua" w:hAnsi="Book Antiqua" w:cs="Book Antiqua"/>
          <w:color w:val="000000"/>
        </w:rPr>
        <w:t xml:space="preserve">, Khanavi M, Zarshenas MM. Bioactive compounds with possible inhibitory activity of Angiotensin-Converting Enzyme-II; a gate to manage and prevent COVID-19. </w:t>
      </w:r>
      <w:r w:rsidRPr="00633DA6">
        <w:rPr>
          <w:rFonts w:ascii="Book Antiqua" w:eastAsia="Book Antiqua" w:hAnsi="Book Antiqua" w:cs="Book Antiqua"/>
          <w:i/>
          <w:iCs/>
          <w:color w:val="000000"/>
        </w:rPr>
        <w:t>Med Hypotheses</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143</w:t>
      </w:r>
      <w:r w:rsidRPr="00633DA6">
        <w:rPr>
          <w:rFonts w:ascii="Book Antiqua" w:eastAsia="Book Antiqua" w:hAnsi="Book Antiqua" w:cs="Book Antiqua"/>
          <w:color w:val="000000"/>
        </w:rPr>
        <w:t>: 109841 [PMID: 32425303 DOI: 10.1016/j.mehy.2020.109841]</w:t>
      </w:r>
    </w:p>
    <w:p w14:paraId="31E0EAFB"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52 </w:t>
      </w:r>
      <w:r w:rsidRPr="00633DA6">
        <w:rPr>
          <w:rFonts w:ascii="Book Antiqua" w:eastAsia="Book Antiqua" w:hAnsi="Book Antiqua" w:cs="Book Antiqua"/>
          <w:b/>
          <w:bCs/>
          <w:color w:val="000000"/>
        </w:rPr>
        <w:t>Kulkarni SA</w:t>
      </w:r>
      <w:r w:rsidRPr="00633DA6">
        <w:rPr>
          <w:rFonts w:ascii="Book Antiqua" w:eastAsia="Book Antiqua" w:hAnsi="Book Antiqua" w:cs="Book Antiqua"/>
          <w:color w:val="000000"/>
        </w:rPr>
        <w:t xml:space="preserve">, Nagarajan SK, Ramesh V, Palaniyandi V, Selvam SP, Madhavan T. Computational evaluation of major components from plant essential oils as potent inhibitors of SARS-CoV-2 spike protein. </w:t>
      </w:r>
      <w:r w:rsidRPr="00633DA6">
        <w:rPr>
          <w:rFonts w:ascii="Book Antiqua" w:eastAsia="Book Antiqua" w:hAnsi="Book Antiqua" w:cs="Book Antiqua"/>
          <w:i/>
          <w:iCs/>
          <w:color w:val="000000"/>
        </w:rPr>
        <w:t>J Mol Struct</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1221</w:t>
      </w:r>
      <w:r w:rsidRPr="00633DA6">
        <w:rPr>
          <w:rFonts w:ascii="Book Antiqua" w:eastAsia="Book Antiqua" w:hAnsi="Book Antiqua" w:cs="Book Antiqua"/>
          <w:color w:val="000000"/>
        </w:rPr>
        <w:t>: 128823 [PMID: 32834111 DOI: 10.1016/j.molstruc.2020.128823]</w:t>
      </w:r>
    </w:p>
    <w:p w14:paraId="1CA369F7"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53 </w:t>
      </w:r>
      <w:r w:rsidRPr="00633DA6">
        <w:rPr>
          <w:rFonts w:ascii="Book Antiqua" w:eastAsia="Book Antiqua" w:hAnsi="Book Antiqua" w:cs="Book Antiqua"/>
          <w:b/>
          <w:bCs/>
          <w:color w:val="000000"/>
        </w:rPr>
        <w:t>Rathinavel T,</w:t>
      </w:r>
      <w:r w:rsidRPr="00633DA6">
        <w:rPr>
          <w:rFonts w:ascii="Book Antiqua" w:eastAsia="Book Antiqua" w:hAnsi="Book Antiqua" w:cs="Book Antiqua"/>
          <w:color w:val="000000"/>
        </w:rPr>
        <w:t xml:space="preserve"> Meganathan B, Kumarasamy S, Ammashi S, Thangaswamy S, Ragunathan Y, Palanisamy S. Potential COVID-19 Drug from Natural Phenolic Compounds through In Silico Virtual Screening Approach. Biointerface Res Appl Chem 2020; 10161-10173 [DOI: 10.33263/briac113.1016110173]</w:t>
      </w:r>
    </w:p>
    <w:p w14:paraId="4424E6D9"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54 </w:t>
      </w:r>
      <w:r w:rsidRPr="00633DA6">
        <w:rPr>
          <w:rFonts w:ascii="Book Antiqua" w:eastAsia="Book Antiqua" w:hAnsi="Book Antiqua" w:cs="Book Antiqua"/>
          <w:b/>
          <w:bCs/>
          <w:color w:val="000000"/>
        </w:rPr>
        <w:t>Solnier J,</w:t>
      </w:r>
      <w:r w:rsidRPr="00633DA6">
        <w:rPr>
          <w:rFonts w:ascii="Book Antiqua" w:eastAsia="Book Antiqua" w:hAnsi="Book Antiqua" w:cs="Book Antiqua"/>
          <w:color w:val="000000"/>
        </w:rPr>
        <w:t xml:space="preserve"> Fladerer JP. Flavonoids: A complementary approach to conventional therapy of COVID-19? Phytochem Rev 2020; 1-23 [DOI: 10.1007/s11101-020-09720-6]</w:t>
      </w:r>
    </w:p>
    <w:p w14:paraId="56B8DC8F"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55 </w:t>
      </w:r>
      <w:r w:rsidRPr="00633DA6">
        <w:rPr>
          <w:rFonts w:ascii="Book Antiqua" w:eastAsia="Book Antiqua" w:hAnsi="Book Antiqua" w:cs="Book Antiqua"/>
          <w:b/>
          <w:bCs/>
          <w:color w:val="000000"/>
        </w:rPr>
        <w:t>Luo P</w:t>
      </w:r>
      <w:r w:rsidRPr="00633DA6">
        <w:rPr>
          <w:rFonts w:ascii="Book Antiqua" w:eastAsia="Book Antiqua" w:hAnsi="Book Antiqua" w:cs="Book Antiqua"/>
          <w:color w:val="000000"/>
        </w:rPr>
        <w:t xml:space="preserve">, Liu D, Li J. Pharmacological perspective: glycyrrhizin may be an efficacious therapeutic agent for COVID-19. </w:t>
      </w:r>
      <w:r w:rsidRPr="00633DA6">
        <w:rPr>
          <w:rFonts w:ascii="Book Antiqua" w:eastAsia="Book Antiqua" w:hAnsi="Book Antiqua" w:cs="Book Antiqua"/>
          <w:i/>
          <w:iCs/>
          <w:color w:val="000000"/>
        </w:rPr>
        <w:t>Int J Antimicrob Agents</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55</w:t>
      </w:r>
      <w:r w:rsidRPr="00633DA6">
        <w:rPr>
          <w:rFonts w:ascii="Book Antiqua" w:eastAsia="Book Antiqua" w:hAnsi="Book Antiqua" w:cs="Book Antiqua"/>
          <w:color w:val="000000"/>
        </w:rPr>
        <w:t>: 105995 [PMID: 32335281 DOI: 10.1016/j.ijantimicag.2020.105995]</w:t>
      </w:r>
    </w:p>
    <w:p w14:paraId="0CF24FF7"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56 </w:t>
      </w:r>
      <w:r w:rsidRPr="00633DA6">
        <w:rPr>
          <w:rFonts w:ascii="Book Antiqua" w:eastAsia="Book Antiqua" w:hAnsi="Book Antiqua" w:cs="Book Antiqua"/>
          <w:b/>
          <w:bCs/>
          <w:color w:val="000000"/>
        </w:rPr>
        <w:t>Dowluru KS,</w:t>
      </w:r>
      <w:r w:rsidRPr="00633DA6">
        <w:rPr>
          <w:rFonts w:ascii="Book Antiqua" w:eastAsia="Book Antiqua" w:hAnsi="Book Antiqua" w:cs="Book Antiqua"/>
          <w:color w:val="000000"/>
        </w:rPr>
        <w:t xml:space="preserve"> Rao KRS. Phylogenetic analysis and In silico Screening of drug targets for ACE2 in Human and Spike Glycoprotein in Sars-CoV-2 for control of COVID19. 2020 Preprint. Available from: rs.3.rs-23862/v1</w:t>
      </w:r>
    </w:p>
    <w:p w14:paraId="46F26D6E"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57 </w:t>
      </w:r>
      <w:r w:rsidRPr="00633DA6">
        <w:rPr>
          <w:rFonts w:ascii="Book Antiqua" w:eastAsia="Book Antiqua" w:hAnsi="Book Antiqua" w:cs="Book Antiqua"/>
          <w:b/>
          <w:bCs/>
          <w:color w:val="000000"/>
        </w:rPr>
        <w:t>Mhatre S</w:t>
      </w:r>
      <w:r w:rsidRPr="00633DA6">
        <w:rPr>
          <w:rFonts w:ascii="Book Antiqua" w:eastAsia="Book Antiqua" w:hAnsi="Book Antiqua" w:cs="Book Antiqua"/>
          <w:color w:val="000000"/>
        </w:rPr>
        <w:t xml:space="preserve">, Naik S, Patravale V. A molecular docking study of EGCG and theaflavin digallate with the druggable targets of SARS-CoV-2. </w:t>
      </w:r>
      <w:r w:rsidRPr="00633DA6">
        <w:rPr>
          <w:rFonts w:ascii="Book Antiqua" w:eastAsia="Book Antiqua" w:hAnsi="Book Antiqua" w:cs="Book Antiqua"/>
          <w:i/>
          <w:iCs/>
          <w:color w:val="000000"/>
        </w:rPr>
        <w:t>Comput Biol Med</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129</w:t>
      </w:r>
      <w:r w:rsidRPr="00633DA6">
        <w:rPr>
          <w:rFonts w:ascii="Book Antiqua" w:eastAsia="Book Antiqua" w:hAnsi="Book Antiqua" w:cs="Book Antiqua"/>
          <w:color w:val="000000"/>
        </w:rPr>
        <w:t>: 104137 [PMID: 33302163 DOI: 10.1016/j.compbiomed.2020.104137]</w:t>
      </w:r>
    </w:p>
    <w:p w14:paraId="5D5CDF5D"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lastRenderedPageBreak/>
        <w:t xml:space="preserve">58 </w:t>
      </w:r>
      <w:r w:rsidRPr="00633DA6">
        <w:rPr>
          <w:rFonts w:ascii="Book Antiqua" w:eastAsia="Book Antiqua" w:hAnsi="Book Antiqua" w:cs="Book Antiqua"/>
          <w:b/>
          <w:bCs/>
          <w:color w:val="000000"/>
        </w:rPr>
        <w:t>Jang M</w:t>
      </w:r>
      <w:r w:rsidRPr="00633DA6">
        <w:rPr>
          <w:rFonts w:ascii="Book Antiqua" w:eastAsia="Book Antiqua" w:hAnsi="Book Antiqua" w:cs="Book Antiqua"/>
          <w:color w:val="000000"/>
        </w:rPr>
        <w:t xml:space="preserve">, Park R, Park YI, Cha YE, Yamamoto A, Lee JI, Park J. EGCG, a green tea polyphenol, inhibits human coronavirus replication in vitro. </w:t>
      </w:r>
      <w:r w:rsidRPr="00633DA6">
        <w:rPr>
          <w:rFonts w:ascii="Book Antiqua" w:eastAsia="Book Antiqua" w:hAnsi="Book Antiqua" w:cs="Book Antiqua"/>
          <w:i/>
          <w:iCs/>
          <w:color w:val="000000"/>
        </w:rPr>
        <w:t>Biochem Biophys Res Commun</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547</w:t>
      </w:r>
      <w:r w:rsidRPr="00633DA6">
        <w:rPr>
          <w:rFonts w:ascii="Book Antiqua" w:eastAsia="Book Antiqua" w:hAnsi="Book Antiqua" w:cs="Book Antiqua"/>
          <w:color w:val="000000"/>
        </w:rPr>
        <w:t>: 23-28 [PMID: 33588235 DOI: 10.1016/j.bbrc.2021.02.016]</w:t>
      </w:r>
    </w:p>
    <w:p w14:paraId="4EF1DAC9"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59 </w:t>
      </w:r>
      <w:r w:rsidRPr="00633DA6">
        <w:rPr>
          <w:rFonts w:ascii="Book Antiqua" w:eastAsia="Book Antiqua" w:hAnsi="Book Antiqua" w:cs="Book Antiqua"/>
          <w:b/>
          <w:bCs/>
          <w:color w:val="000000"/>
        </w:rPr>
        <w:t>Lichtenstein GR</w:t>
      </w:r>
      <w:r w:rsidRPr="00633DA6">
        <w:rPr>
          <w:rFonts w:ascii="Book Antiqua" w:eastAsia="Book Antiqua" w:hAnsi="Book Antiqua" w:cs="Book Antiqua"/>
          <w:color w:val="000000"/>
        </w:rPr>
        <w:t xml:space="preserve">, Rubin DT. Coronavirus and Patients With Inflammatory Bowel Disease: Management Strategies for the Practicing Clinician. </w:t>
      </w:r>
      <w:r w:rsidRPr="00633DA6">
        <w:rPr>
          <w:rFonts w:ascii="Book Antiqua" w:eastAsia="Book Antiqua" w:hAnsi="Book Antiqua" w:cs="Book Antiqua"/>
          <w:i/>
          <w:iCs/>
          <w:color w:val="000000"/>
        </w:rPr>
        <w:t>Am J Gastroenterol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115</w:t>
      </w:r>
      <w:r w:rsidRPr="00633DA6">
        <w:rPr>
          <w:rFonts w:ascii="Book Antiqua" w:eastAsia="Book Antiqua" w:hAnsi="Book Antiqua" w:cs="Book Antiqua"/>
          <w:color w:val="000000"/>
        </w:rPr>
        <w:t>: 1566-1569 [PMID: 32833732 DOI: 10.14309/ajg.0000000000000817]</w:t>
      </w:r>
    </w:p>
    <w:p w14:paraId="2F632F5B"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60 </w:t>
      </w:r>
      <w:r w:rsidRPr="00633DA6">
        <w:rPr>
          <w:rFonts w:ascii="Book Antiqua" w:eastAsia="Book Antiqua" w:hAnsi="Book Antiqua" w:cs="Book Antiqua"/>
          <w:b/>
          <w:bCs/>
          <w:color w:val="000000"/>
        </w:rPr>
        <w:t>Burke KE</w:t>
      </w:r>
      <w:r w:rsidRPr="00633DA6">
        <w:rPr>
          <w:rFonts w:ascii="Book Antiqua" w:eastAsia="Book Antiqua" w:hAnsi="Book Antiqua" w:cs="Book Antiqua"/>
          <w:color w:val="000000"/>
        </w:rPr>
        <w:t xml:space="preserve">, Kochar B, Allegretti JR, Winter RW, Lochhead P, Khalili H, Colizzo FP, Hamilton MJ, Chan WW, Ananthakrishnan AN. Immunosuppressive Therapy and Risk of COVID-19 Infection in Patients With Inflammatory Bowel Diseases. </w:t>
      </w:r>
      <w:r w:rsidRPr="00633DA6">
        <w:rPr>
          <w:rFonts w:ascii="Book Antiqua" w:eastAsia="Book Antiqua" w:hAnsi="Book Antiqua" w:cs="Book Antiqua"/>
          <w:i/>
          <w:iCs/>
          <w:color w:val="000000"/>
        </w:rPr>
        <w:t>Inflamm Bowel Dis</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27</w:t>
      </w:r>
      <w:r w:rsidRPr="00633DA6">
        <w:rPr>
          <w:rFonts w:ascii="Book Antiqua" w:eastAsia="Book Antiqua" w:hAnsi="Book Antiqua" w:cs="Book Antiqua"/>
          <w:color w:val="000000"/>
        </w:rPr>
        <w:t>: 155-161 [PMID: 33089863 DOI: 10.1093/ibd/izaa278]</w:t>
      </w:r>
    </w:p>
    <w:p w14:paraId="0B1C83D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61 </w:t>
      </w:r>
      <w:r w:rsidRPr="00633DA6">
        <w:rPr>
          <w:rFonts w:ascii="Book Antiqua" w:eastAsia="Book Antiqua" w:hAnsi="Book Antiqua" w:cs="Book Antiqua"/>
          <w:b/>
          <w:bCs/>
          <w:color w:val="000000"/>
        </w:rPr>
        <w:t>Sebastian S</w:t>
      </w:r>
      <w:r w:rsidRPr="00633DA6">
        <w:rPr>
          <w:rFonts w:ascii="Book Antiqua" w:eastAsia="Book Antiqua" w:hAnsi="Book Antiqua" w:cs="Book Antiqua"/>
          <w:color w:val="000000"/>
        </w:rPr>
        <w:t xml:space="preserve">, Walker GJ, Kennedy NA, Conley TE, Patel KV, Subramanian S, Kent AJ, Segal JP, Brookes MJ, Bhala N, Gonzalez HA, Hicks LC, Mehta SJ, Lamb CA; PROTECT-ASUC Study Group. Assessment, endoscopy, and treatment in patients with acute severe ulcerative colitis during the COVID-19 pandemic (PROTECT-ASUC): a multicentre, observational, case-control study. </w:t>
      </w:r>
      <w:r w:rsidRPr="00633DA6">
        <w:rPr>
          <w:rFonts w:ascii="Book Antiqua" w:eastAsia="Book Antiqua" w:hAnsi="Book Antiqua" w:cs="Book Antiqua"/>
          <w:i/>
          <w:iCs/>
          <w:color w:val="000000"/>
        </w:rPr>
        <w:t>Lancet Gastroenterol Hepatol</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6</w:t>
      </w:r>
      <w:r w:rsidRPr="00633DA6">
        <w:rPr>
          <w:rFonts w:ascii="Book Antiqua" w:eastAsia="Book Antiqua" w:hAnsi="Book Antiqua" w:cs="Book Antiqua"/>
          <w:color w:val="000000"/>
        </w:rPr>
        <w:t>: 271-281 [PMID: 33545083 DOI: 10.1016/S2468-1253(21)00016-9]</w:t>
      </w:r>
    </w:p>
    <w:p w14:paraId="5FFA710C"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62 </w:t>
      </w:r>
      <w:r w:rsidRPr="00633DA6">
        <w:rPr>
          <w:rFonts w:ascii="Book Antiqua" w:eastAsia="Book Antiqua" w:hAnsi="Book Antiqua" w:cs="Book Antiqua"/>
          <w:b/>
          <w:bCs/>
          <w:color w:val="000000"/>
        </w:rPr>
        <w:t>Zingone F</w:t>
      </w:r>
      <w:r w:rsidRPr="00633DA6">
        <w:rPr>
          <w:rFonts w:ascii="Book Antiqua" w:eastAsia="Book Antiqua" w:hAnsi="Book Antiqua" w:cs="Book Antiqua"/>
          <w:color w:val="000000"/>
        </w:rPr>
        <w:t xml:space="preserve">, Buda A, Savarino EV. Starting a biologic therapy in IBD patients amidst COVID-19: hold, careful monitoring or testing? </w:t>
      </w:r>
      <w:r w:rsidRPr="00633DA6">
        <w:rPr>
          <w:rFonts w:ascii="Book Antiqua" w:eastAsia="Book Antiqua" w:hAnsi="Book Antiqua" w:cs="Book Antiqua"/>
          <w:i/>
          <w:iCs/>
          <w:color w:val="000000"/>
        </w:rPr>
        <w:t>J Crohns Colitis</w:t>
      </w:r>
      <w:r w:rsidRPr="00633DA6">
        <w:rPr>
          <w:rFonts w:ascii="Book Antiqua" w:eastAsia="Book Antiqua" w:hAnsi="Book Antiqua" w:cs="Book Antiqua"/>
          <w:color w:val="000000"/>
        </w:rPr>
        <w:t xml:space="preserve"> 2020 [PMID: 32426800 DOI: 10.1093/ecco-jcc/jjaa102]</w:t>
      </w:r>
    </w:p>
    <w:p w14:paraId="25CFBE11"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63 </w:t>
      </w:r>
      <w:r w:rsidRPr="00633DA6">
        <w:rPr>
          <w:rFonts w:ascii="Book Antiqua" w:eastAsia="Book Antiqua" w:hAnsi="Book Antiqua" w:cs="Book Antiqua"/>
          <w:b/>
          <w:bCs/>
          <w:color w:val="000000"/>
        </w:rPr>
        <w:t>Attauabi M</w:t>
      </w:r>
      <w:r w:rsidRPr="00633DA6">
        <w:rPr>
          <w:rFonts w:ascii="Book Antiqua" w:eastAsia="Book Antiqua" w:hAnsi="Book Antiqua" w:cs="Book Antiqua"/>
          <w:color w:val="000000"/>
        </w:rPr>
        <w:t xml:space="preserve">, Seidelin J, Burisch J; Danish COVID-IBD Study Group. Association between 5-aminosalicylates in patients with IBD and risk of severe COVID-19: an artefactual result of research methodology? </w:t>
      </w:r>
      <w:r w:rsidRPr="00633DA6">
        <w:rPr>
          <w:rFonts w:ascii="Book Antiqua" w:eastAsia="Book Antiqua" w:hAnsi="Book Antiqua" w:cs="Book Antiqua"/>
          <w:i/>
          <w:iCs/>
          <w:color w:val="000000"/>
        </w:rPr>
        <w:t>Gut</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70</w:t>
      </w:r>
      <w:r w:rsidRPr="00633DA6">
        <w:rPr>
          <w:rFonts w:ascii="Book Antiqua" w:eastAsia="Book Antiqua" w:hAnsi="Book Antiqua" w:cs="Book Antiqua"/>
          <w:color w:val="000000"/>
        </w:rPr>
        <w:t>: 2020-2022 [PMID: 33658323 DOI: 10.1136/gutjnl-2021-324397]</w:t>
      </w:r>
    </w:p>
    <w:p w14:paraId="2DBB4A73"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64 </w:t>
      </w:r>
      <w:r w:rsidRPr="00633DA6">
        <w:rPr>
          <w:rFonts w:ascii="Book Antiqua" w:eastAsia="Book Antiqua" w:hAnsi="Book Antiqua" w:cs="Book Antiqua"/>
          <w:b/>
          <w:bCs/>
          <w:color w:val="000000"/>
        </w:rPr>
        <w:t>Halpin DMG</w:t>
      </w:r>
      <w:r w:rsidRPr="00633DA6">
        <w:rPr>
          <w:rFonts w:ascii="Book Antiqua" w:eastAsia="Book Antiqua" w:hAnsi="Book Antiqua" w:cs="Book Antiqua"/>
          <w:color w:val="000000"/>
        </w:rPr>
        <w:t xml:space="preserve">, Singh D, Hadfield RM. Inhaled corticosteroids and COVID-19: a systematic review and clinical perspective. </w:t>
      </w:r>
      <w:r w:rsidRPr="00633DA6">
        <w:rPr>
          <w:rFonts w:ascii="Book Antiqua" w:eastAsia="Book Antiqua" w:hAnsi="Book Antiqua" w:cs="Book Antiqua"/>
          <w:i/>
          <w:iCs/>
          <w:color w:val="000000"/>
        </w:rPr>
        <w:t>Eur Respir J</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55</w:t>
      </w:r>
      <w:r w:rsidRPr="00633DA6">
        <w:rPr>
          <w:rFonts w:ascii="Book Antiqua" w:eastAsia="Book Antiqua" w:hAnsi="Book Antiqua" w:cs="Book Antiqua"/>
          <w:color w:val="000000"/>
        </w:rPr>
        <w:t xml:space="preserve"> [PMID: 32341100 DOI: 10.1183/13993003.01009-2020]</w:t>
      </w:r>
    </w:p>
    <w:p w14:paraId="0523E111"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65 </w:t>
      </w:r>
      <w:r w:rsidRPr="00633DA6">
        <w:rPr>
          <w:rFonts w:ascii="Book Antiqua" w:eastAsia="Book Antiqua" w:hAnsi="Book Antiqua" w:cs="Book Antiqua"/>
          <w:b/>
          <w:bCs/>
          <w:color w:val="000000"/>
        </w:rPr>
        <w:t>Saad AF</w:t>
      </w:r>
      <w:r w:rsidRPr="00633DA6">
        <w:rPr>
          <w:rFonts w:ascii="Book Antiqua" w:eastAsia="Book Antiqua" w:hAnsi="Book Antiqua" w:cs="Book Antiqua"/>
          <w:color w:val="000000"/>
        </w:rPr>
        <w:t xml:space="preserve">, Chappell L, Saade GR, Pacheco LD. Corticosteroids in the Management of Pregnant Patients With Coronavirus Disease (COVID-19). </w:t>
      </w:r>
      <w:r w:rsidRPr="00633DA6">
        <w:rPr>
          <w:rFonts w:ascii="Book Antiqua" w:eastAsia="Book Antiqua" w:hAnsi="Book Antiqua" w:cs="Book Antiqua"/>
          <w:i/>
          <w:iCs/>
          <w:color w:val="000000"/>
        </w:rPr>
        <w:t>Obstet Gynecol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136</w:t>
      </w:r>
      <w:r w:rsidRPr="00633DA6">
        <w:rPr>
          <w:rFonts w:ascii="Book Antiqua" w:eastAsia="Book Antiqua" w:hAnsi="Book Antiqua" w:cs="Book Antiqua"/>
          <w:color w:val="000000"/>
        </w:rPr>
        <w:t>: 823-826 [PMID: 32769659 DOI: 10.1097/AOG.0000000000004103]</w:t>
      </w:r>
    </w:p>
    <w:p w14:paraId="4C7E00FF"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lastRenderedPageBreak/>
        <w:t xml:space="preserve">66 </w:t>
      </w:r>
      <w:r w:rsidRPr="00633DA6">
        <w:rPr>
          <w:rFonts w:ascii="Book Antiqua" w:eastAsia="Book Antiqua" w:hAnsi="Book Antiqua" w:cs="Book Antiqua"/>
          <w:b/>
          <w:bCs/>
          <w:color w:val="000000"/>
        </w:rPr>
        <w:t>Tlayjeh H,</w:t>
      </w:r>
      <w:r w:rsidRPr="00633DA6">
        <w:rPr>
          <w:rFonts w:ascii="Book Antiqua" w:eastAsia="Book Antiqua" w:hAnsi="Book Antiqua" w:cs="Book Antiqua"/>
          <w:color w:val="000000"/>
        </w:rPr>
        <w:t xml:space="preserve"> Mhish OH, Enani MA, Alruwaili A, Tleyjeh R, Thalib L, Hassett L, Arabi YM, Kashour T, Tleyjeh IM. Association of corticosteroids use and outcomes in COVID-19 patients: A systematic review and meta-analysis. J Infect Public Health 2020 [DOI: 10.1016/j.jiph.2020.09.008]</w:t>
      </w:r>
    </w:p>
    <w:p w14:paraId="18F91CD7"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67 </w:t>
      </w:r>
      <w:r w:rsidRPr="00633DA6">
        <w:rPr>
          <w:rFonts w:ascii="Book Antiqua" w:eastAsia="Book Antiqua" w:hAnsi="Book Antiqua" w:cs="Book Antiqua"/>
          <w:b/>
          <w:bCs/>
          <w:color w:val="000000"/>
        </w:rPr>
        <w:t>Brenner EJ</w:t>
      </w:r>
      <w:r w:rsidRPr="00633DA6">
        <w:rPr>
          <w:rFonts w:ascii="Book Antiqua" w:eastAsia="Book Antiqua" w:hAnsi="Book Antiqua" w:cs="Book Antiqua"/>
          <w:color w:val="000000"/>
        </w:rPr>
        <w:t xml:space="preserve">, Pigneur B, Focht G, Zhang X, Ungaro RC, Colombel JF, Turner D, Kappelman MD, Ruemmele FM. Benign Evolution of SARS-Cov2 Infections in Children With Inflammatory Bowel Disease: Results From Two International Databases. </w:t>
      </w:r>
      <w:r w:rsidRPr="00633DA6">
        <w:rPr>
          <w:rFonts w:ascii="Book Antiqua" w:eastAsia="Book Antiqua" w:hAnsi="Book Antiqua" w:cs="Book Antiqua"/>
          <w:i/>
          <w:iCs/>
          <w:color w:val="000000"/>
        </w:rPr>
        <w:t>Clin Gastroenterol Hepatol</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19</w:t>
      </w:r>
      <w:r w:rsidRPr="00633DA6">
        <w:rPr>
          <w:rFonts w:ascii="Book Antiqua" w:eastAsia="Book Antiqua" w:hAnsi="Book Antiqua" w:cs="Book Antiqua"/>
          <w:color w:val="000000"/>
        </w:rPr>
        <w:t>: 394-396.e5 [PMID: 33059040 DOI: 10.1016/j.cgh.2020.10.010]</w:t>
      </w:r>
    </w:p>
    <w:p w14:paraId="27D434A8"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68 </w:t>
      </w:r>
      <w:r w:rsidRPr="00633DA6">
        <w:rPr>
          <w:rFonts w:ascii="Book Antiqua" w:eastAsia="Book Antiqua" w:hAnsi="Book Antiqua" w:cs="Book Antiqua"/>
          <w:b/>
          <w:bCs/>
          <w:color w:val="000000"/>
        </w:rPr>
        <w:t>El Ouali S</w:t>
      </w:r>
      <w:r w:rsidRPr="00633DA6">
        <w:rPr>
          <w:rFonts w:ascii="Book Antiqua" w:eastAsia="Book Antiqua" w:hAnsi="Book Antiqua" w:cs="Book Antiqua"/>
          <w:color w:val="000000"/>
        </w:rPr>
        <w:t xml:space="preserve">, Rubin DT, Cohen BL, Regueiro MD, Rieder F. Optimal inflammatory bowel disease management during the global coronavirus disease 2019 pandemic. </w:t>
      </w:r>
      <w:r w:rsidRPr="00633DA6">
        <w:rPr>
          <w:rFonts w:ascii="Book Antiqua" w:eastAsia="Book Antiqua" w:hAnsi="Book Antiqua" w:cs="Book Antiqua"/>
          <w:i/>
          <w:iCs/>
          <w:color w:val="000000"/>
        </w:rPr>
        <w:t>Curr Opin Gastroenterol</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37</w:t>
      </w:r>
      <w:r w:rsidRPr="00633DA6">
        <w:rPr>
          <w:rFonts w:ascii="Book Antiqua" w:eastAsia="Book Antiqua" w:hAnsi="Book Antiqua" w:cs="Book Antiqua"/>
          <w:color w:val="000000"/>
        </w:rPr>
        <w:t>: 313-319 [PMID: 33859104 DOI: 10.1097/MOG.0000000000000741]</w:t>
      </w:r>
    </w:p>
    <w:p w14:paraId="12F4CEA0"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69 </w:t>
      </w:r>
      <w:r w:rsidRPr="00633DA6">
        <w:rPr>
          <w:rFonts w:ascii="Book Antiqua" w:eastAsia="Book Antiqua" w:hAnsi="Book Antiqua" w:cs="Book Antiqua"/>
          <w:b/>
          <w:bCs/>
          <w:color w:val="000000"/>
        </w:rPr>
        <w:t>Gutin LS</w:t>
      </w:r>
      <w:r w:rsidRPr="00633DA6">
        <w:rPr>
          <w:rFonts w:ascii="Book Antiqua" w:eastAsia="Book Antiqua" w:hAnsi="Book Antiqua" w:cs="Book Antiqua"/>
          <w:color w:val="000000"/>
        </w:rPr>
        <w:t xml:space="preserve">, Lam AY, Velayos FS, Santos SA. Going Viral: Management of IBD in the Era of the COVID-19 Pandemic. </w:t>
      </w:r>
      <w:r w:rsidRPr="00633DA6">
        <w:rPr>
          <w:rFonts w:ascii="Book Antiqua" w:eastAsia="Book Antiqua" w:hAnsi="Book Antiqua" w:cs="Book Antiqua"/>
          <w:i/>
          <w:iCs/>
          <w:color w:val="000000"/>
        </w:rPr>
        <w:t>Dig Dis Sci</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65</w:t>
      </w:r>
      <w:r w:rsidRPr="00633DA6">
        <w:rPr>
          <w:rFonts w:ascii="Book Antiqua" w:eastAsia="Book Antiqua" w:hAnsi="Book Antiqua" w:cs="Book Antiqua"/>
          <w:color w:val="000000"/>
        </w:rPr>
        <w:t>: 1571-1575 [PMID: 32363528 DOI: 10.1007/s10620-020-06299-y]</w:t>
      </w:r>
    </w:p>
    <w:p w14:paraId="54A78F70"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70 </w:t>
      </w:r>
      <w:r w:rsidRPr="00633DA6">
        <w:rPr>
          <w:rFonts w:ascii="Book Antiqua" w:eastAsia="Book Antiqua" w:hAnsi="Book Antiqua" w:cs="Book Antiqua"/>
          <w:b/>
          <w:bCs/>
          <w:color w:val="000000"/>
        </w:rPr>
        <w:t>Schuurmans MM</w:t>
      </w:r>
      <w:r w:rsidRPr="00633DA6">
        <w:rPr>
          <w:rFonts w:ascii="Book Antiqua" w:eastAsia="Book Antiqua" w:hAnsi="Book Antiqua" w:cs="Book Antiqua"/>
          <w:color w:val="000000"/>
        </w:rPr>
        <w:t xml:space="preserve">, Hage R. Cyclosporine A and COVID-19 - The COQUIMA cohort. </w:t>
      </w:r>
      <w:r w:rsidRPr="00633DA6">
        <w:rPr>
          <w:rFonts w:ascii="Book Antiqua" w:eastAsia="Book Antiqua" w:hAnsi="Book Antiqua" w:cs="Book Antiqua"/>
          <w:i/>
          <w:iCs/>
          <w:color w:val="000000"/>
        </w:rPr>
        <w:t>EClinicalMedicine</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31</w:t>
      </w:r>
      <w:r w:rsidRPr="00633DA6">
        <w:rPr>
          <w:rFonts w:ascii="Book Antiqua" w:eastAsia="Book Antiqua" w:hAnsi="Book Antiqua" w:cs="Book Antiqua"/>
          <w:color w:val="000000"/>
        </w:rPr>
        <w:t>: 100680 [PMID: 33385129 DOI: 10.1016/j.eclinm.2020.100680]</w:t>
      </w:r>
    </w:p>
    <w:p w14:paraId="3B36A82F"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71 Pathania YS. Cyclosporine: hope for severe COVID-19? BMJ Support Palliat Care 2021 [DOI: 10.1136/bmjspcare-2020-002681]</w:t>
      </w:r>
    </w:p>
    <w:p w14:paraId="3ADEED83"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72 </w:t>
      </w:r>
      <w:r w:rsidRPr="00633DA6">
        <w:rPr>
          <w:rFonts w:ascii="Book Antiqua" w:eastAsia="Book Antiqua" w:hAnsi="Book Antiqua" w:cs="Book Antiqua"/>
          <w:b/>
          <w:bCs/>
          <w:color w:val="000000"/>
        </w:rPr>
        <w:t>Al-Ani AH,</w:t>
      </w:r>
      <w:r w:rsidRPr="00633DA6">
        <w:rPr>
          <w:rFonts w:ascii="Book Antiqua" w:eastAsia="Book Antiqua" w:hAnsi="Book Antiqua" w:cs="Book Antiqua"/>
          <w:color w:val="000000"/>
        </w:rPr>
        <w:t xml:space="preserve"> Prentice RE, Christensen B. Letter to the Editor: Care of the Patient with IBD Requiring Hospitalisation During the COVID-19 Pandemic. J Crohns Colitis 2020 [DOI: 10.1093/ecco-jcc/jjaa183]</w:t>
      </w:r>
    </w:p>
    <w:p w14:paraId="154A9DA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73 </w:t>
      </w:r>
      <w:r w:rsidRPr="00633DA6">
        <w:rPr>
          <w:rFonts w:ascii="Book Antiqua" w:eastAsia="Book Antiqua" w:hAnsi="Book Antiqua" w:cs="Book Antiqua"/>
          <w:b/>
          <w:bCs/>
          <w:color w:val="000000"/>
        </w:rPr>
        <w:t>Ghoshal UC,</w:t>
      </w:r>
      <w:r w:rsidRPr="00633DA6">
        <w:rPr>
          <w:rFonts w:ascii="Book Antiqua" w:eastAsia="Book Antiqua" w:hAnsi="Book Antiqua" w:cs="Book Antiqua"/>
          <w:color w:val="000000"/>
        </w:rPr>
        <w:t xml:space="preserve"> Sahu S, Biswas SN, Singh P, Chaudhary M, Ghoshal U, Tiwari P, Rai S, Mishra SK. Care of inflammatory bowel disease patients during coronavirus disease</w:t>
      </w:r>
      <w:r w:rsidRPr="00633DA6">
        <w:rPr>
          <w:rFonts w:ascii="Cambria Math" w:eastAsia="Book Antiqua" w:hAnsi="Cambria Math" w:cs="Cambria Math"/>
          <w:color w:val="000000"/>
        </w:rPr>
        <w:t>‐</w:t>
      </w:r>
      <w:r w:rsidRPr="00633DA6">
        <w:rPr>
          <w:rFonts w:ascii="Book Antiqua" w:eastAsia="Book Antiqua" w:hAnsi="Book Antiqua" w:cs="Book Antiqua"/>
          <w:color w:val="000000"/>
        </w:rPr>
        <w:t>19 pandemic using digital health</w:t>
      </w:r>
      <w:r w:rsidRPr="00633DA6">
        <w:rPr>
          <w:rFonts w:ascii="Cambria Math" w:eastAsia="Book Antiqua" w:hAnsi="Cambria Math" w:cs="Cambria Math"/>
          <w:color w:val="000000"/>
        </w:rPr>
        <w:t>‐</w:t>
      </w:r>
      <w:r w:rsidRPr="00633DA6">
        <w:rPr>
          <w:rFonts w:ascii="Book Antiqua" w:eastAsia="Book Antiqua" w:hAnsi="Book Antiqua" w:cs="Book Antiqua"/>
          <w:color w:val="000000"/>
        </w:rPr>
        <w:t>care technology. JGH Open 2021 [DOI: 10.1002/jgh3.12498]</w:t>
      </w:r>
    </w:p>
    <w:p w14:paraId="6A8EA1B9"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lastRenderedPageBreak/>
        <w:t xml:space="preserve">74 </w:t>
      </w:r>
      <w:r w:rsidRPr="00633DA6">
        <w:rPr>
          <w:rFonts w:ascii="Book Antiqua" w:eastAsia="Book Antiqua" w:hAnsi="Book Antiqua" w:cs="Book Antiqua"/>
          <w:b/>
          <w:bCs/>
          <w:color w:val="000000"/>
        </w:rPr>
        <w:t>Mansouri P,</w:t>
      </w:r>
      <w:r w:rsidRPr="00633DA6">
        <w:rPr>
          <w:rFonts w:ascii="Book Antiqua" w:eastAsia="Book Antiqua" w:hAnsi="Book Antiqua" w:cs="Book Antiqua"/>
          <w:color w:val="000000"/>
        </w:rPr>
        <w:t xml:space="preserve"> Farshi S, Nickhah N, Nobari NN, Chalangari R, Nilforoushzadeh MA. Immunosuppressive/Immunomodulatory Therapies in Dermatology and COVID-19. Clin Dermatol 2021 [DOI: 10.1016/j.clindermatol.2021.01.003]</w:t>
      </w:r>
    </w:p>
    <w:p w14:paraId="7CDF2DCA"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75 </w:t>
      </w:r>
      <w:r w:rsidRPr="00633DA6">
        <w:rPr>
          <w:rFonts w:ascii="Book Antiqua" w:eastAsia="Book Antiqua" w:hAnsi="Book Antiqua" w:cs="Book Antiqua"/>
          <w:b/>
          <w:bCs/>
          <w:color w:val="000000"/>
        </w:rPr>
        <w:t>D’Silva KM,</w:t>
      </w:r>
      <w:r w:rsidRPr="00633DA6">
        <w:rPr>
          <w:rFonts w:ascii="Book Antiqua" w:eastAsia="Book Antiqua" w:hAnsi="Book Antiqua" w:cs="Book Antiqua"/>
          <w:color w:val="000000"/>
        </w:rPr>
        <w:t xml:space="preserve"> Serling-Boyd N, Hsu TY, Sparks JA, Wallace ZS. SARS-CoV-2 antibody response after COVID-19 in patients with rheumatic disease. Ann Rheum Dis 2021 [DOI: 10.1136/annrheumdis-2021-220166]</w:t>
      </w:r>
    </w:p>
    <w:p w14:paraId="18EC9AB1"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76 </w:t>
      </w:r>
      <w:r w:rsidRPr="00633DA6">
        <w:rPr>
          <w:rFonts w:ascii="Book Antiqua" w:eastAsia="Book Antiqua" w:hAnsi="Book Antiqua" w:cs="Book Antiqua"/>
          <w:b/>
          <w:bCs/>
          <w:color w:val="000000"/>
        </w:rPr>
        <w:t>Kasperkiewicz M</w:t>
      </w:r>
      <w:r w:rsidRPr="00633DA6">
        <w:rPr>
          <w:rFonts w:ascii="Book Antiqua" w:eastAsia="Book Antiqua" w:hAnsi="Book Antiqua" w:cs="Book Antiqua"/>
          <w:color w:val="000000"/>
        </w:rPr>
        <w:t xml:space="preserve">. COVID-19 outbreak and autoimmune bullous diseases: A systematic review of published cases. </w:t>
      </w:r>
      <w:r w:rsidRPr="00633DA6">
        <w:rPr>
          <w:rFonts w:ascii="Book Antiqua" w:eastAsia="Book Antiqua" w:hAnsi="Book Antiqua" w:cs="Book Antiqua"/>
          <w:i/>
          <w:iCs/>
          <w:color w:val="000000"/>
        </w:rPr>
        <w:t>J Am Acad Dermatol</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84</w:t>
      </w:r>
      <w:r w:rsidRPr="00633DA6">
        <w:rPr>
          <w:rFonts w:ascii="Book Antiqua" w:eastAsia="Book Antiqua" w:hAnsi="Book Antiqua" w:cs="Book Antiqua"/>
          <w:color w:val="000000"/>
        </w:rPr>
        <w:t>: 563-568 [PMID: 32781181 DOI: 10.1016/j.jaad.2020.08.012]</w:t>
      </w:r>
    </w:p>
    <w:p w14:paraId="47F738F7"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77 </w:t>
      </w:r>
      <w:r w:rsidRPr="00633DA6">
        <w:rPr>
          <w:rFonts w:ascii="Book Antiqua" w:eastAsia="Book Antiqua" w:hAnsi="Book Antiqua" w:cs="Book Antiqua"/>
          <w:b/>
          <w:bCs/>
          <w:color w:val="000000"/>
        </w:rPr>
        <w:t>Festa S,</w:t>
      </w:r>
      <w:r w:rsidRPr="00633DA6">
        <w:rPr>
          <w:rFonts w:ascii="Book Antiqua" w:eastAsia="Book Antiqua" w:hAnsi="Book Antiqua" w:cs="Book Antiqua"/>
          <w:color w:val="000000"/>
        </w:rPr>
        <w:t xml:space="preserve"> Aratari A, De Biasio F, Fascì-Spurio F, Papi C. Screening for active COVID-19 infection prior to biologic therapy in IBD patients: Let's not increase our uncertainty without reducing our concerns. Dig Liver Dis 2020; 52: 1246-1247 [DOI: 10.1016/j.dld.2020.05.037]</w:t>
      </w:r>
    </w:p>
    <w:p w14:paraId="72512C33"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78 </w:t>
      </w:r>
      <w:r w:rsidRPr="00633DA6">
        <w:rPr>
          <w:rFonts w:ascii="Book Antiqua" w:eastAsia="Book Antiqua" w:hAnsi="Book Antiqua" w:cs="Book Antiqua"/>
          <w:b/>
          <w:bCs/>
          <w:color w:val="000000"/>
        </w:rPr>
        <w:t>Danese S</w:t>
      </w:r>
      <w:r w:rsidRPr="00633DA6">
        <w:rPr>
          <w:rFonts w:ascii="Book Antiqua" w:eastAsia="Book Antiqua" w:hAnsi="Book Antiqua" w:cs="Book Antiqua"/>
          <w:color w:val="000000"/>
        </w:rPr>
        <w:t xml:space="preserve">, Cecconi M, Spinelli A. Management of IBD during the COVID-19 outbreak: resetting clinical priorities. </w:t>
      </w:r>
      <w:r w:rsidRPr="00633DA6">
        <w:rPr>
          <w:rFonts w:ascii="Book Antiqua" w:eastAsia="Book Antiqua" w:hAnsi="Book Antiqua" w:cs="Book Antiqua"/>
          <w:i/>
          <w:iCs/>
          <w:color w:val="000000"/>
        </w:rPr>
        <w:t>Nat Rev Gastroenterol Hepatol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17</w:t>
      </w:r>
      <w:r w:rsidRPr="00633DA6">
        <w:rPr>
          <w:rFonts w:ascii="Book Antiqua" w:eastAsia="Book Antiqua" w:hAnsi="Book Antiqua" w:cs="Book Antiqua"/>
          <w:color w:val="000000"/>
        </w:rPr>
        <w:t>: 253-255 [PMID: 32214232 DOI: 10.1038/s41575-020-0294-8]</w:t>
      </w:r>
    </w:p>
    <w:p w14:paraId="2F19A3E1"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79 </w:t>
      </w:r>
      <w:r w:rsidRPr="00633DA6">
        <w:rPr>
          <w:rFonts w:ascii="Book Antiqua" w:eastAsia="Book Antiqua" w:hAnsi="Book Antiqua" w:cs="Book Antiqua"/>
          <w:b/>
          <w:bCs/>
          <w:color w:val="000000"/>
        </w:rPr>
        <w:t>Weissman S</w:t>
      </w:r>
      <w:r w:rsidRPr="00633DA6">
        <w:rPr>
          <w:rFonts w:ascii="Book Antiqua" w:eastAsia="Book Antiqua" w:hAnsi="Book Antiqua" w:cs="Book Antiqua"/>
          <w:color w:val="000000"/>
        </w:rPr>
        <w:t xml:space="preserve">, Aziz M, Smith WL, Elias S, Swaminath A, Feuerstein JD. Safety of biologics in inflammatory bowel disease patients with COVID-19. </w:t>
      </w:r>
      <w:r w:rsidRPr="00633DA6">
        <w:rPr>
          <w:rFonts w:ascii="Book Antiqua" w:eastAsia="Book Antiqua" w:hAnsi="Book Antiqua" w:cs="Book Antiqua"/>
          <w:i/>
          <w:iCs/>
          <w:color w:val="000000"/>
        </w:rPr>
        <w:t>Int J Colorectal Dis</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36</w:t>
      </w:r>
      <w:r w:rsidRPr="00633DA6">
        <w:rPr>
          <w:rFonts w:ascii="Book Antiqua" w:eastAsia="Book Antiqua" w:hAnsi="Book Antiqua" w:cs="Book Antiqua"/>
          <w:color w:val="000000"/>
        </w:rPr>
        <w:t>: 2051-2055 [PMID: 34131784 DOI: 10.1007/s00384-021-03977-9]</w:t>
      </w:r>
    </w:p>
    <w:p w14:paraId="05B0B241"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80 </w:t>
      </w:r>
      <w:r w:rsidRPr="00633DA6">
        <w:rPr>
          <w:rFonts w:ascii="Book Antiqua" w:eastAsia="Book Antiqua" w:hAnsi="Book Antiqua" w:cs="Book Antiqua"/>
          <w:b/>
          <w:bCs/>
          <w:color w:val="000000"/>
        </w:rPr>
        <w:t>Gargallo-Puyuelo CJ</w:t>
      </w:r>
      <w:r w:rsidRPr="00633DA6">
        <w:rPr>
          <w:rFonts w:ascii="Book Antiqua" w:eastAsia="Book Antiqua" w:hAnsi="Book Antiqua" w:cs="Book Antiqua"/>
          <w:color w:val="000000"/>
        </w:rPr>
        <w:t xml:space="preserve">, Laredo V, Gomollón F. Thiopurines in Inflammatory Bowel Disease. How to Optimize Thiopurines in the Biologic Era? </w:t>
      </w:r>
      <w:r w:rsidRPr="00633DA6">
        <w:rPr>
          <w:rFonts w:ascii="Book Antiqua" w:eastAsia="Book Antiqua" w:hAnsi="Book Antiqua" w:cs="Book Antiqua"/>
          <w:i/>
          <w:iCs/>
          <w:color w:val="000000"/>
        </w:rPr>
        <w:t>Front Med (Lausanne)</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8</w:t>
      </w:r>
      <w:r w:rsidRPr="00633DA6">
        <w:rPr>
          <w:rFonts w:ascii="Book Antiqua" w:eastAsia="Book Antiqua" w:hAnsi="Book Antiqua" w:cs="Book Antiqua"/>
          <w:color w:val="000000"/>
        </w:rPr>
        <w:t>: 681907 [PMID: 34336887 DOI: 10.3389/fmed.2021.681907]</w:t>
      </w:r>
    </w:p>
    <w:p w14:paraId="66B30DF9"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81 </w:t>
      </w:r>
      <w:r w:rsidRPr="00633DA6">
        <w:rPr>
          <w:rFonts w:ascii="Book Antiqua" w:eastAsia="Book Antiqua" w:hAnsi="Book Antiqua" w:cs="Book Antiqua"/>
          <w:b/>
          <w:bCs/>
          <w:color w:val="000000"/>
        </w:rPr>
        <w:t>Aysha AA</w:t>
      </w:r>
      <w:r w:rsidRPr="00633DA6">
        <w:rPr>
          <w:rFonts w:ascii="Book Antiqua" w:eastAsia="Book Antiqua" w:hAnsi="Book Antiqua" w:cs="Book Antiqua"/>
          <w:color w:val="000000"/>
        </w:rPr>
        <w:t xml:space="preserve">, Rentsch C, Prentice R, Johnson D, Bryant RV, Ward MG, Costello SP, Lewindon P, Ghaly S, Connor SJ, Begun J, Christensen B. Practical management of inflammatory bowel disease patients during the COVID-19 pandemic: expert commentary from the Gastroenterological Society of Australia Inflammatory Bowel Disease faculty. </w:t>
      </w:r>
      <w:r w:rsidRPr="00633DA6">
        <w:rPr>
          <w:rFonts w:ascii="Book Antiqua" w:eastAsia="Book Antiqua" w:hAnsi="Book Antiqua" w:cs="Book Antiqua"/>
          <w:i/>
          <w:iCs/>
          <w:color w:val="000000"/>
        </w:rPr>
        <w:t>Intern Med J</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50</w:t>
      </w:r>
      <w:r w:rsidRPr="00633DA6">
        <w:rPr>
          <w:rFonts w:ascii="Book Antiqua" w:eastAsia="Book Antiqua" w:hAnsi="Book Antiqua" w:cs="Book Antiqua"/>
          <w:color w:val="000000"/>
        </w:rPr>
        <w:t>: 798-804 [PMID: 32656985 DOI: 10.1111/imj.14889]</w:t>
      </w:r>
    </w:p>
    <w:p w14:paraId="7E2C09A8"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lastRenderedPageBreak/>
        <w:t xml:space="preserve">82 </w:t>
      </w:r>
      <w:r w:rsidRPr="00633DA6">
        <w:rPr>
          <w:rFonts w:ascii="Book Antiqua" w:eastAsia="Book Antiqua" w:hAnsi="Book Antiqua" w:cs="Book Antiqua"/>
          <w:b/>
          <w:bCs/>
          <w:color w:val="000000"/>
        </w:rPr>
        <w:t>Weidinger C,</w:t>
      </w:r>
      <w:r w:rsidRPr="00633DA6">
        <w:rPr>
          <w:rFonts w:ascii="Book Antiqua" w:eastAsia="Book Antiqua" w:hAnsi="Book Antiqua" w:cs="Book Antiqua"/>
          <w:color w:val="000000"/>
        </w:rPr>
        <w:t xml:space="preserve"> Hegazy AN, Glauben R, Siegmund B. COVID-19—from mucosal immunology to IBD patients. Mucosal Immunol 2021; 1-8 [DOI: 10.1038/s41385-021-00384-9]</w:t>
      </w:r>
    </w:p>
    <w:p w14:paraId="7A7B6A10"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83 </w:t>
      </w:r>
      <w:r w:rsidRPr="00633DA6">
        <w:rPr>
          <w:rFonts w:ascii="Book Antiqua" w:eastAsia="Book Antiqua" w:hAnsi="Book Antiqua" w:cs="Book Antiqua"/>
          <w:b/>
          <w:bCs/>
          <w:color w:val="000000"/>
        </w:rPr>
        <w:t>Shields S,</w:t>
      </w:r>
      <w:r w:rsidRPr="00633DA6">
        <w:rPr>
          <w:rFonts w:ascii="Book Antiqua" w:eastAsia="Book Antiqua" w:hAnsi="Book Antiqua" w:cs="Book Antiqua"/>
          <w:color w:val="000000"/>
        </w:rPr>
        <w:t xml:space="preserve"> Dunlop A, Seenan JP, Macdonald J. Disease monitoring of biologic treatment in IBD: early impact and future implications of COVID-19 pandemic. BMJ 2020 [DOI: 10.1136/flgastro-2020-101563]</w:t>
      </w:r>
    </w:p>
    <w:p w14:paraId="6BA0E7B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84 </w:t>
      </w:r>
      <w:r w:rsidRPr="00633DA6">
        <w:rPr>
          <w:rFonts w:ascii="Book Antiqua" w:eastAsia="Book Antiqua" w:hAnsi="Book Antiqua" w:cs="Book Antiqua"/>
          <w:b/>
          <w:bCs/>
          <w:color w:val="000000"/>
        </w:rPr>
        <w:t>Fung M</w:t>
      </w:r>
      <w:r w:rsidRPr="00633DA6">
        <w:rPr>
          <w:rFonts w:ascii="Book Antiqua" w:eastAsia="Book Antiqua" w:hAnsi="Book Antiqua" w:cs="Book Antiqua"/>
          <w:color w:val="000000"/>
        </w:rPr>
        <w:t xml:space="preserve">, Babik JM. COVID-19 in Immunocompromised Hosts: What We Know So Far. </w:t>
      </w:r>
      <w:r w:rsidRPr="00633DA6">
        <w:rPr>
          <w:rFonts w:ascii="Book Antiqua" w:eastAsia="Book Antiqua" w:hAnsi="Book Antiqua" w:cs="Book Antiqua"/>
          <w:i/>
          <w:iCs/>
          <w:color w:val="000000"/>
        </w:rPr>
        <w:t>Clin Infect Dis</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72</w:t>
      </w:r>
      <w:r w:rsidRPr="00633DA6">
        <w:rPr>
          <w:rFonts w:ascii="Book Antiqua" w:eastAsia="Book Antiqua" w:hAnsi="Book Antiqua" w:cs="Book Antiqua"/>
          <w:color w:val="000000"/>
        </w:rPr>
        <w:t>: 340-350 [PMID: 33501974 DOI: 10.1093/cid/ciaa863]</w:t>
      </w:r>
    </w:p>
    <w:p w14:paraId="16E633B8"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85 </w:t>
      </w:r>
      <w:r w:rsidRPr="00633DA6">
        <w:rPr>
          <w:rFonts w:ascii="Book Antiqua" w:eastAsia="Book Antiqua" w:hAnsi="Book Antiqua" w:cs="Book Antiqua"/>
          <w:b/>
          <w:bCs/>
          <w:color w:val="000000"/>
        </w:rPr>
        <w:t>Norsa L,</w:t>
      </w:r>
      <w:r w:rsidRPr="00633DA6">
        <w:rPr>
          <w:rFonts w:ascii="Book Antiqua" w:eastAsia="Book Antiqua" w:hAnsi="Book Antiqua" w:cs="Book Antiqua"/>
          <w:color w:val="000000"/>
        </w:rPr>
        <w:t xml:space="preserve"> Indriolo A, Sansotta N, Cosimo P, Greco S, D'Antiga L. Uneventful course in IBD patients during SARS-CoV-2 outbreak in northern Italy. Gastroenterology 2020; 159: 371-372 [DOI: 10.1053/j.gastro.2020.03.062]</w:t>
      </w:r>
    </w:p>
    <w:p w14:paraId="185AE46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86 </w:t>
      </w:r>
      <w:r w:rsidRPr="00633DA6">
        <w:rPr>
          <w:rFonts w:ascii="Book Antiqua" w:eastAsia="Book Antiqua" w:hAnsi="Book Antiqua" w:cs="Book Antiqua"/>
          <w:b/>
          <w:bCs/>
          <w:color w:val="000000"/>
        </w:rPr>
        <w:t>Mazza S</w:t>
      </w:r>
      <w:r w:rsidRPr="00633DA6">
        <w:rPr>
          <w:rFonts w:ascii="Book Antiqua" w:eastAsia="Book Antiqua" w:hAnsi="Book Antiqua" w:cs="Book Antiqua"/>
          <w:color w:val="000000"/>
        </w:rPr>
        <w:t xml:space="preserve">, Sorce A, Peyvandi F, Vecchi M, Caprioli F. A fatal case of COVID-19 pneumonia occurring in a patient with severe acute ulcerative colitis. </w:t>
      </w:r>
      <w:r w:rsidRPr="00633DA6">
        <w:rPr>
          <w:rFonts w:ascii="Book Antiqua" w:eastAsia="Book Antiqua" w:hAnsi="Book Antiqua" w:cs="Book Antiqua"/>
          <w:i/>
          <w:iCs/>
          <w:color w:val="000000"/>
        </w:rPr>
        <w:t>Gut</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69</w:t>
      </w:r>
      <w:r w:rsidRPr="00633DA6">
        <w:rPr>
          <w:rFonts w:ascii="Book Antiqua" w:eastAsia="Book Antiqua" w:hAnsi="Book Antiqua" w:cs="Book Antiqua"/>
          <w:color w:val="000000"/>
        </w:rPr>
        <w:t>: 1148-1149 [PMID: 32245909 DOI: 10.1136/gutjnl-2020-321183]</w:t>
      </w:r>
    </w:p>
    <w:p w14:paraId="71F8ECA0"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87 </w:t>
      </w:r>
      <w:r w:rsidRPr="00633DA6">
        <w:rPr>
          <w:rFonts w:ascii="Book Antiqua" w:eastAsia="Book Antiqua" w:hAnsi="Book Antiqua" w:cs="Book Antiqua"/>
          <w:b/>
          <w:bCs/>
          <w:color w:val="000000"/>
        </w:rPr>
        <w:t>Tursi A</w:t>
      </w:r>
      <w:r w:rsidRPr="00633DA6">
        <w:rPr>
          <w:rFonts w:ascii="Book Antiqua" w:eastAsia="Book Antiqua" w:hAnsi="Book Antiqua" w:cs="Book Antiqua"/>
          <w:color w:val="000000"/>
        </w:rPr>
        <w:t xml:space="preserve">, Papa A. Impact of Anti-TNFα Antibodies on the Risk of Covid-19 and its Severity in Patients with Inflammatory Bowel Diseases. </w:t>
      </w:r>
      <w:r w:rsidRPr="00633DA6">
        <w:rPr>
          <w:rFonts w:ascii="Book Antiqua" w:eastAsia="Book Antiqua" w:hAnsi="Book Antiqua" w:cs="Book Antiqua"/>
          <w:i/>
          <w:iCs/>
          <w:color w:val="000000"/>
        </w:rPr>
        <w:t>J Crohns Colitis</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14</w:t>
      </w:r>
      <w:r w:rsidRPr="00633DA6">
        <w:rPr>
          <w:rFonts w:ascii="Book Antiqua" w:eastAsia="Book Antiqua" w:hAnsi="Book Antiqua" w:cs="Book Antiqua"/>
          <w:color w:val="000000"/>
        </w:rPr>
        <w:t>: 1646-1647 [PMID: 32303756 DOI: 10.1093/ecco-jcc/jjaa076]</w:t>
      </w:r>
    </w:p>
    <w:p w14:paraId="759AB294"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88 </w:t>
      </w:r>
      <w:r w:rsidRPr="00633DA6">
        <w:rPr>
          <w:rFonts w:ascii="Book Antiqua" w:eastAsia="Book Antiqua" w:hAnsi="Book Antiqua" w:cs="Book Antiqua"/>
          <w:b/>
          <w:bCs/>
          <w:color w:val="000000"/>
        </w:rPr>
        <w:t>Bodini G</w:t>
      </w:r>
      <w:r w:rsidRPr="00633DA6">
        <w:rPr>
          <w:rFonts w:ascii="Book Antiqua" w:eastAsia="Book Antiqua" w:hAnsi="Book Antiqua" w:cs="Book Antiqua"/>
          <w:color w:val="000000"/>
        </w:rPr>
        <w:t xml:space="preserve">, Demarzo MG, Casagrande E, De Maria C, Kayali S, Ziola S, Giannini EG. Concerns related to COVID-19 pandemic among patients with inflammatory bowel disease and its influence on patient management. </w:t>
      </w:r>
      <w:r w:rsidRPr="00633DA6">
        <w:rPr>
          <w:rFonts w:ascii="Book Antiqua" w:eastAsia="Book Antiqua" w:hAnsi="Book Antiqua" w:cs="Book Antiqua"/>
          <w:i/>
          <w:iCs/>
          <w:color w:val="000000"/>
        </w:rPr>
        <w:t>Eur J Clin Invest</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50</w:t>
      </w:r>
      <w:r w:rsidRPr="00633DA6">
        <w:rPr>
          <w:rFonts w:ascii="Book Antiqua" w:eastAsia="Book Antiqua" w:hAnsi="Book Antiqua" w:cs="Book Antiqua"/>
          <w:color w:val="000000"/>
        </w:rPr>
        <w:t>: e13233 [PMID: 32294238 DOI: 10.1111/eci.13233]</w:t>
      </w:r>
    </w:p>
    <w:p w14:paraId="4AC1CCBA"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89 </w:t>
      </w:r>
      <w:r w:rsidRPr="00633DA6">
        <w:rPr>
          <w:rFonts w:ascii="Book Antiqua" w:eastAsia="Book Antiqua" w:hAnsi="Book Antiqua" w:cs="Book Antiqua"/>
          <w:b/>
          <w:bCs/>
          <w:color w:val="000000"/>
        </w:rPr>
        <w:t>Tursi A,</w:t>
      </w:r>
      <w:r w:rsidRPr="00633DA6">
        <w:rPr>
          <w:rFonts w:ascii="Book Antiqua" w:eastAsia="Book Antiqua" w:hAnsi="Book Antiqua" w:cs="Book Antiqua"/>
          <w:color w:val="000000"/>
        </w:rPr>
        <w:t xml:space="preserve"> Angarano G, Monno L, Saracino A, Signorile F, Ricciardi A, Papa A. COVID-19 infection in Crohn's disease under treatment with adalimumab. Gut 2020; 69: 1364-1365 [DOI: 10.1136/gutjnl-2020-321240]</w:t>
      </w:r>
    </w:p>
    <w:p w14:paraId="07D7EA3E"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90 </w:t>
      </w:r>
      <w:r w:rsidRPr="00633DA6">
        <w:rPr>
          <w:rFonts w:ascii="Book Antiqua" w:eastAsia="Book Antiqua" w:hAnsi="Book Antiqua" w:cs="Book Antiqua"/>
          <w:b/>
          <w:bCs/>
          <w:color w:val="000000"/>
        </w:rPr>
        <w:t>Allocca M</w:t>
      </w:r>
      <w:r w:rsidRPr="00633DA6">
        <w:rPr>
          <w:rFonts w:ascii="Book Antiqua" w:eastAsia="Book Antiqua" w:hAnsi="Book Antiqua" w:cs="Book Antiqua"/>
          <w:color w:val="000000"/>
        </w:rPr>
        <w:t xml:space="preserve">, Fiorino G, Furfaro F, Gilardi D, Radice S, D'Amico F, Zilli A, Danese S. Maintaining the Quality Standards of Care for Inflammatory Bowel Disease Patients During the COVID-19 Pandemic. </w:t>
      </w:r>
      <w:r w:rsidRPr="00633DA6">
        <w:rPr>
          <w:rFonts w:ascii="Book Antiqua" w:eastAsia="Book Antiqua" w:hAnsi="Book Antiqua" w:cs="Book Antiqua"/>
          <w:i/>
          <w:iCs/>
          <w:color w:val="000000"/>
        </w:rPr>
        <w:t>Clin Gastroenterol Hepatol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18</w:t>
      </w:r>
      <w:r w:rsidRPr="00633DA6">
        <w:rPr>
          <w:rFonts w:ascii="Book Antiqua" w:eastAsia="Book Antiqua" w:hAnsi="Book Antiqua" w:cs="Book Antiqua"/>
          <w:color w:val="000000"/>
        </w:rPr>
        <w:t>: 1882-1883 [PMID: 32304737 DOI: 10.1016/j.cgh.2020.04.028]</w:t>
      </w:r>
    </w:p>
    <w:p w14:paraId="01420ADE"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lastRenderedPageBreak/>
        <w:t xml:space="preserve">91 </w:t>
      </w:r>
      <w:r w:rsidRPr="00633DA6">
        <w:rPr>
          <w:rFonts w:ascii="Book Antiqua" w:eastAsia="Book Antiqua" w:hAnsi="Book Antiqua" w:cs="Book Antiqua"/>
          <w:b/>
          <w:bCs/>
          <w:color w:val="000000"/>
        </w:rPr>
        <w:t>Jacobs J</w:t>
      </w:r>
      <w:r w:rsidRPr="00633DA6">
        <w:rPr>
          <w:rFonts w:ascii="Book Antiqua" w:eastAsia="Book Antiqua" w:hAnsi="Book Antiqua" w:cs="Book Antiqua"/>
          <w:color w:val="000000"/>
        </w:rPr>
        <w:t xml:space="preserve">, Clark-Snustad K, Lee S. Case Report of a SARS-CoV-2 Infection in a Patient With Ulcerative Colitis on Tofacitinib. </w:t>
      </w:r>
      <w:r w:rsidRPr="00633DA6">
        <w:rPr>
          <w:rFonts w:ascii="Book Antiqua" w:eastAsia="Book Antiqua" w:hAnsi="Book Antiqua" w:cs="Book Antiqua"/>
          <w:i/>
          <w:iCs/>
          <w:color w:val="000000"/>
        </w:rPr>
        <w:t>Inflamm Bowel Dis</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26</w:t>
      </w:r>
      <w:r w:rsidRPr="00633DA6">
        <w:rPr>
          <w:rFonts w:ascii="Book Antiqua" w:eastAsia="Book Antiqua" w:hAnsi="Book Antiqua" w:cs="Book Antiqua"/>
          <w:color w:val="000000"/>
        </w:rPr>
        <w:t>: e64 [PMID: 32342098 DOI: 10.1093/ibd/izaa093]</w:t>
      </w:r>
    </w:p>
    <w:p w14:paraId="5DA79EEB"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92 </w:t>
      </w:r>
      <w:r w:rsidRPr="00633DA6">
        <w:rPr>
          <w:rFonts w:ascii="Book Antiqua" w:eastAsia="Book Antiqua" w:hAnsi="Book Antiqua" w:cs="Book Antiqua"/>
          <w:b/>
          <w:bCs/>
          <w:color w:val="000000"/>
        </w:rPr>
        <w:t>Taxonera C</w:t>
      </w:r>
      <w:r w:rsidRPr="00633DA6">
        <w:rPr>
          <w:rFonts w:ascii="Book Antiqua" w:eastAsia="Book Antiqua" w:hAnsi="Book Antiqua" w:cs="Book Antiqua"/>
          <w:color w:val="000000"/>
        </w:rPr>
        <w:t xml:space="preserve">, Sagastagoitia I, Alba C, Mañas N, Olivares D, Rey E. 2019 novel coronavirus disease (COVID-19) in patients with inflammatory bowel diseases. </w:t>
      </w:r>
      <w:r w:rsidRPr="00633DA6">
        <w:rPr>
          <w:rFonts w:ascii="Book Antiqua" w:eastAsia="Book Antiqua" w:hAnsi="Book Antiqua" w:cs="Book Antiqua"/>
          <w:i/>
          <w:iCs/>
          <w:color w:val="000000"/>
        </w:rPr>
        <w:t>Aliment Pharmacol Ther</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52</w:t>
      </w:r>
      <w:r w:rsidRPr="00633DA6">
        <w:rPr>
          <w:rFonts w:ascii="Book Antiqua" w:eastAsia="Book Antiqua" w:hAnsi="Book Antiqua" w:cs="Book Antiqua"/>
          <w:color w:val="000000"/>
        </w:rPr>
        <w:t>: 276-283 [PMID: 32359205 DOI: 10.1111/apt.15804]</w:t>
      </w:r>
    </w:p>
    <w:p w14:paraId="0288870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93 </w:t>
      </w:r>
      <w:r w:rsidRPr="00633DA6">
        <w:rPr>
          <w:rFonts w:ascii="Book Antiqua" w:eastAsia="Book Antiqua" w:hAnsi="Book Antiqua" w:cs="Book Antiqua"/>
          <w:b/>
          <w:bCs/>
          <w:color w:val="000000"/>
        </w:rPr>
        <w:t>Allocca M</w:t>
      </w:r>
      <w:r w:rsidRPr="00633DA6">
        <w:rPr>
          <w:rFonts w:ascii="Book Antiqua" w:eastAsia="Book Antiqua" w:hAnsi="Book Antiqua" w:cs="Book Antiqua"/>
          <w:color w:val="000000"/>
        </w:rPr>
        <w:t xml:space="preserve">, Fiorino G, Zallot C, Furfaro F, Gilardi D, Radice S, Danese S, Peyrin-Biroulet L. Incidence and Patterns of COVID-19 Among Inflammatory Bowel Disease Patients From the Nancy and Milan Cohorts. </w:t>
      </w:r>
      <w:r w:rsidRPr="00633DA6">
        <w:rPr>
          <w:rFonts w:ascii="Book Antiqua" w:eastAsia="Book Antiqua" w:hAnsi="Book Antiqua" w:cs="Book Antiqua"/>
          <w:i/>
          <w:iCs/>
          <w:color w:val="000000"/>
        </w:rPr>
        <w:t>Clin Gastroenterol Hepatol</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18</w:t>
      </w:r>
      <w:r w:rsidRPr="00633DA6">
        <w:rPr>
          <w:rFonts w:ascii="Book Antiqua" w:eastAsia="Book Antiqua" w:hAnsi="Book Antiqua" w:cs="Book Antiqua"/>
          <w:color w:val="000000"/>
        </w:rPr>
        <w:t>: 2134-2135 [PMID: 32360811 DOI: 10.1016/j.cgh.2020.04.071]</w:t>
      </w:r>
    </w:p>
    <w:p w14:paraId="4AB0B477"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94 </w:t>
      </w:r>
      <w:r w:rsidRPr="00633DA6">
        <w:rPr>
          <w:rFonts w:ascii="Book Antiqua" w:eastAsia="Book Antiqua" w:hAnsi="Book Antiqua" w:cs="Book Antiqua"/>
          <w:b/>
          <w:bCs/>
          <w:color w:val="000000"/>
        </w:rPr>
        <w:t>Mak JWY</w:t>
      </w:r>
      <w:r w:rsidRPr="00633DA6">
        <w:rPr>
          <w:rFonts w:ascii="Book Antiqua" w:eastAsia="Book Antiqua" w:hAnsi="Book Antiqua" w:cs="Book Antiqua"/>
          <w:color w:val="000000"/>
        </w:rPr>
        <w:t xml:space="preserve">, Weng MT, Wei SC, Ng SC. Zero COVID-19 infection in inflammatory bowel disease patients: Findings from population-based inflammatory bowel disease registries in Hong Kong and Taiwan. </w:t>
      </w:r>
      <w:r w:rsidRPr="00633DA6">
        <w:rPr>
          <w:rFonts w:ascii="Book Antiqua" w:eastAsia="Book Antiqua" w:hAnsi="Book Antiqua" w:cs="Book Antiqua"/>
          <w:i/>
          <w:iCs/>
          <w:color w:val="000000"/>
        </w:rPr>
        <w:t>J Gastroenterol Hepatol</w:t>
      </w:r>
      <w:r w:rsidRPr="00633DA6">
        <w:rPr>
          <w:rFonts w:ascii="Book Antiqua" w:eastAsia="Book Antiqua" w:hAnsi="Book Antiqua" w:cs="Book Antiqua"/>
          <w:color w:val="000000"/>
        </w:rPr>
        <w:t xml:space="preserve"> 2021; </w:t>
      </w:r>
      <w:r w:rsidRPr="00633DA6">
        <w:rPr>
          <w:rFonts w:ascii="Book Antiqua" w:eastAsia="Book Antiqua" w:hAnsi="Book Antiqua" w:cs="Book Antiqua"/>
          <w:b/>
          <w:bCs/>
          <w:color w:val="000000"/>
        </w:rPr>
        <w:t>36</w:t>
      </w:r>
      <w:r w:rsidRPr="00633DA6">
        <w:rPr>
          <w:rFonts w:ascii="Book Antiqua" w:eastAsia="Book Antiqua" w:hAnsi="Book Antiqua" w:cs="Book Antiqua"/>
          <w:color w:val="000000"/>
        </w:rPr>
        <w:t>: 171-173 [PMID: 32589798 DOI: 10.1111/jgh.15164]</w:t>
      </w:r>
    </w:p>
    <w:p w14:paraId="7808176A"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95 </w:t>
      </w:r>
      <w:r w:rsidRPr="00633DA6">
        <w:rPr>
          <w:rFonts w:ascii="Book Antiqua" w:eastAsia="Book Antiqua" w:hAnsi="Book Antiqua" w:cs="Book Antiqua"/>
          <w:b/>
          <w:bCs/>
          <w:color w:val="000000"/>
        </w:rPr>
        <w:t>Bardasi G</w:t>
      </w:r>
      <w:r w:rsidRPr="00633DA6">
        <w:rPr>
          <w:rFonts w:ascii="Book Antiqua" w:eastAsia="Book Antiqua" w:hAnsi="Book Antiqua" w:cs="Book Antiqua"/>
          <w:color w:val="000000"/>
        </w:rPr>
        <w:t xml:space="preserve">, Alvisi P. SARS-CoV-2 infection in severe pediatric Crohn's disease. What about anti-tumor necrosis factor α therapy? </w:t>
      </w:r>
      <w:r w:rsidRPr="00633DA6">
        <w:rPr>
          <w:rFonts w:ascii="Book Antiqua" w:eastAsia="Book Antiqua" w:hAnsi="Book Antiqua" w:cs="Book Antiqua"/>
          <w:i/>
          <w:iCs/>
          <w:color w:val="000000"/>
        </w:rPr>
        <w:t>Dig Liver Dis</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52</w:t>
      </w:r>
      <w:r w:rsidRPr="00633DA6">
        <w:rPr>
          <w:rFonts w:ascii="Book Antiqua" w:eastAsia="Book Antiqua" w:hAnsi="Book Antiqua" w:cs="Book Antiqua"/>
          <w:color w:val="000000"/>
        </w:rPr>
        <w:t>: 1244-1245 [PMID: 32703727 DOI: 10.1016/j.dld.2020.06.047]</w:t>
      </w:r>
    </w:p>
    <w:p w14:paraId="69773AB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 xml:space="preserve">96 </w:t>
      </w:r>
      <w:r w:rsidRPr="00633DA6">
        <w:rPr>
          <w:rFonts w:ascii="Book Antiqua" w:eastAsia="Book Antiqua" w:hAnsi="Book Antiqua" w:cs="Book Antiqua"/>
          <w:b/>
          <w:bCs/>
          <w:color w:val="000000"/>
        </w:rPr>
        <w:t>Ashton JJ</w:t>
      </w:r>
      <w:r w:rsidRPr="00633DA6">
        <w:rPr>
          <w:rFonts w:ascii="Book Antiqua" w:eastAsia="Book Antiqua" w:hAnsi="Book Antiqua" w:cs="Book Antiqua"/>
          <w:color w:val="000000"/>
        </w:rPr>
        <w:t xml:space="preserve">, Kammermeier J, Spray C, Russell RK, Hansen R, Howarth LJ, Torrente F, Deb P, Renji E, Muhammed R, Paul T, Kiparissi F, Epstein J, Lawson M, Hope B, Zamvar V, Narula P, Kadir A, Devadason D, Bhavsar H, Beattie RM. Impact of COVID-19 on diagnosis and management of paediatric inflammatory bowel disease during lockdown: a UK nationwide study. </w:t>
      </w:r>
      <w:r w:rsidRPr="00633DA6">
        <w:rPr>
          <w:rFonts w:ascii="Book Antiqua" w:eastAsia="Book Antiqua" w:hAnsi="Book Antiqua" w:cs="Book Antiqua"/>
          <w:i/>
          <w:iCs/>
          <w:color w:val="000000"/>
        </w:rPr>
        <w:t>Arch Dis Child</w:t>
      </w:r>
      <w:r w:rsidRPr="00633DA6">
        <w:rPr>
          <w:rFonts w:ascii="Book Antiqua" w:eastAsia="Book Antiqua" w:hAnsi="Book Antiqua" w:cs="Book Antiqua"/>
          <w:color w:val="000000"/>
        </w:rPr>
        <w:t xml:space="preserve"> 2020; </w:t>
      </w:r>
      <w:r w:rsidRPr="00633DA6">
        <w:rPr>
          <w:rFonts w:ascii="Book Antiqua" w:eastAsia="Book Antiqua" w:hAnsi="Book Antiqua" w:cs="Book Antiqua"/>
          <w:b/>
          <w:bCs/>
          <w:color w:val="000000"/>
        </w:rPr>
        <w:t>105</w:t>
      </w:r>
      <w:r w:rsidRPr="00633DA6">
        <w:rPr>
          <w:rFonts w:ascii="Book Antiqua" w:eastAsia="Book Antiqua" w:hAnsi="Book Antiqua" w:cs="Book Antiqua"/>
          <w:color w:val="000000"/>
        </w:rPr>
        <w:t>: 1186-1191 [PMID: 32732316 DOI: 10.1136/archdischild-2020-319751]</w:t>
      </w:r>
    </w:p>
    <w:p w14:paraId="1E14460A" w14:textId="77777777" w:rsidR="00A77B3E" w:rsidRPr="00633DA6" w:rsidRDefault="00A77B3E" w:rsidP="007F5BFE">
      <w:pPr>
        <w:spacing w:line="360" w:lineRule="auto"/>
        <w:jc w:val="both"/>
        <w:rPr>
          <w:rFonts w:ascii="Book Antiqua" w:hAnsi="Book Antiqua"/>
        </w:rPr>
        <w:sectPr w:rsidR="00A77B3E" w:rsidRPr="00633DA6" w:rsidSect="004576DA">
          <w:pgSz w:w="12240" w:h="15840"/>
          <w:pgMar w:top="1440" w:right="1440" w:bottom="1440" w:left="1440" w:header="720" w:footer="720" w:gutter="0"/>
          <w:cols w:space="720"/>
          <w:docGrid w:linePitch="360"/>
        </w:sectPr>
      </w:pPr>
    </w:p>
    <w:p w14:paraId="0ACFB305"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lastRenderedPageBreak/>
        <w:t>Footnotes</w:t>
      </w:r>
    </w:p>
    <w:p w14:paraId="5D1381EF"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Conflict-of-interest statement: </w:t>
      </w:r>
      <w:r w:rsidRPr="00633DA6">
        <w:rPr>
          <w:rFonts w:ascii="Book Antiqua" w:eastAsia="Book Antiqua" w:hAnsi="Book Antiqua" w:cs="Book Antiqua"/>
          <w:color w:val="000000"/>
        </w:rPr>
        <w:t>The authors have no conflicts of interest to disclose.</w:t>
      </w:r>
    </w:p>
    <w:p w14:paraId="506C93BA" w14:textId="77777777" w:rsidR="00A77B3E" w:rsidRPr="00633DA6" w:rsidRDefault="00A77B3E" w:rsidP="007F5BFE">
      <w:pPr>
        <w:spacing w:line="360" w:lineRule="auto"/>
        <w:jc w:val="both"/>
        <w:rPr>
          <w:rFonts w:ascii="Book Antiqua" w:hAnsi="Book Antiqua"/>
        </w:rPr>
      </w:pPr>
    </w:p>
    <w:p w14:paraId="7F522BBE"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bCs/>
          <w:color w:val="000000"/>
        </w:rPr>
        <w:t xml:space="preserve">Open-Access: </w:t>
      </w:r>
      <w:r w:rsidRPr="00633D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E6522B8" w14:textId="77777777" w:rsidR="00A77B3E" w:rsidRPr="00633DA6" w:rsidRDefault="00A77B3E" w:rsidP="007F5BFE">
      <w:pPr>
        <w:spacing w:line="360" w:lineRule="auto"/>
        <w:jc w:val="both"/>
        <w:rPr>
          <w:rFonts w:ascii="Book Antiqua" w:hAnsi="Book Antiqua"/>
        </w:rPr>
      </w:pPr>
    </w:p>
    <w:p w14:paraId="58F1A8B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t xml:space="preserve">Provenance and peer review: </w:t>
      </w:r>
      <w:r w:rsidRPr="00633DA6">
        <w:rPr>
          <w:rFonts w:ascii="Book Antiqua" w:eastAsia="Book Antiqua" w:hAnsi="Book Antiqua" w:cs="Book Antiqua"/>
          <w:color w:val="000000"/>
        </w:rPr>
        <w:t>Invited article; Externally peer reviewed.</w:t>
      </w:r>
    </w:p>
    <w:p w14:paraId="544037D1" w14:textId="77777777" w:rsidR="00181917" w:rsidRPr="00633DA6" w:rsidRDefault="00181917" w:rsidP="00181917">
      <w:pPr>
        <w:pStyle w:val="af"/>
        <w:spacing w:before="0" w:beforeAutospacing="0" w:after="0" w:afterAutospacing="0" w:line="360" w:lineRule="auto"/>
        <w:jc w:val="both"/>
        <w:rPr>
          <w:rFonts w:ascii="Book Antiqua" w:hAnsi="Book Antiqua"/>
          <w:b/>
          <w:bCs/>
        </w:rPr>
      </w:pPr>
    </w:p>
    <w:p w14:paraId="0E5E571A" w14:textId="77777777" w:rsidR="00181917" w:rsidRPr="00633DA6" w:rsidRDefault="00181917" w:rsidP="00181917">
      <w:pPr>
        <w:pStyle w:val="af"/>
        <w:spacing w:before="0" w:beforeAutospacing="0" w:after="0" w:afterAutospacing="0" w:line="360" w:lineRule="auto"/>
        <w:jc w:val="both"/>
      </w:pPr>
      <w:r w:rsidRPr="00633DA6">
        <w:rPr>
          <w:rFonts w:ascii="Book Antiqua" w:hAnsi="Book Antiqua"/>
          <w:b/>
          <w:bCs/>
        </w:rPr>
        <w:t xml:space="preserve">Peer-review model: </w:t>
      </w:r>
      <w:r w:rsidRPr="00633DA6">
        <w:rPr>
          <w:rFonts w:ascii="Book Antiqua" w:hAnsi="Book Antiqua"/>
        </w:rPr>
        <w:t>Single blind</w:t>
      </w:r>
    </w:p>
    <w:p w14:paraId="49E22CFA" w14:textId="77777777" w:rsidR="00A77B3E" w:rsidRPr="00633DA6" w:rsidRDefault="00A77B3E" w:rsidP="007F5BFE">
      <w:pPr>
        <w:spacing w:line="360" w:lineRule="auto"/>
        <w:jc w:val="both"/>
        <w:rPr>
          <w:rFonts w:ascii="Book Antiqua" w:hAnsi="Book Antiqua"/>
        </w:rPr>
      </w:pPr>
    </w:p>
    <w:p w14:paraId="04E44B04"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t xml:space="preserve">Peer-review started: </w:t>
      </w:r>
      <w:r w:rsidRPr="00633DA6">
        <w:rPr>
          <w:rFonts w:ascii="Book Antiqua" w:eastAsia="Book Antiqua" w:hAnsi="Book Antiqua" w:cs="Book Antiqua"/>
          <w:color w:val="000000"/>
        </w:rPr>
        <w:t>March 16, 2021</w:t>
      </w:r>
    </w:p>
    <w:p w14:paraId="451E83E9"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t xml:space="preserve">First decision: </w:t>
      </w:r>
      <w:r w:rsidRPr="00633DA6">
        <w:rPr>
          <w:rFonts w:ascii="Book Antiqua" w:eastAsia="Book Antiqua" w:hAnsi="Book Antiqua" w:cs="Book Antiqua"/>
          <w:color w:val="000000"/>
        </w:rPr>
        <w:t>May 1, 2021</w:t>
      </w:r>
    </w:p>
    <w:p w14:paraId="3EB768F9" w14:textId="422607E8"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t xml:space="preserve">Article in press: </w:t>
      </w:r>
      <w:r w:rsidR="00112682" w:rsidRPr="00633DA6">
        <w:rPr>
          <w:rFonts w:ascii="Book Antiqua" w:eastAsia="Book Antiqua" w:hAnsi="Book Antiqua" w:cs="Book Antiqua"/>
          <w:color w:val="000000"/>
        </w:rPr>
        <w:t>November 28, 2021</w:t>
      </w:r>
    </w:p>
    <w:p w14:paraId="1D42DE71" w14:textId="77777777" w:rsidR="00A77B3E" w:rsidRPr="00633DA6" w:rsidRDefault="00A77B3E" w:rsidP="007F5BFE">
      <w:pPr>
        <w:spacing w:line="360" w:lineRule="auto"/>
        <w:jc w:val="both"/>
        <w:rPr>
          <w:rFonts w:ascii="Book Antiqua" w:hAnsi="Book Antiqua"/>
        </w:rPr>
      </w:pPr>
    </w:p>
    <w:p w14:paraId="295C618E" w14:textId="5DCC927E"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t xml:space="preserve">Specialty type: </w:t>
      </w:r>
      <w:r w:rsidRPr="00633DA6">
        <w:rPr>
          <w:rFonts w:ascii="Book Antiqua" w:eastAsia="Book Antiqua" w:hAnsi="Book Antiqua" w:cs="Book Antiqua"/>
          <w:color w:val="000000"/>
        </w:rPr>
        <w:t xml:space="preserve">Gastroenterology and </w:t>
      </w:r>
      <w:r w:rsidR="00457D80" w:rsidRPr="00633DA6">
        <w:rPr>
          <w:rFonts w:ascii="Book Antiqua" w:hAnsi="Book Antiqua" w:cs="Book Antiqua" w:hint="eastAsia"/>
          <w:color w:val="000000"/>
          <w:lang w:eastAsia="zh-CN"/>
        </w:rPr>
        <w:t>h</w:t>
      </w:r>
      <w:r w:rsidRPr="00633DA6">
        <w:rPr>
          <w:rFonts w:ascii="Book Antiqua" w:eastAsia="Book Antiqua" w:hAnsi="Book Antiqua" w:cs="Book Antiqua"/>
          <w:color w:val="000000"/>
        </w:rPr>
        <w:t>epatology</w:t>
      </w:r>
    </w:p>
    <w:p w14:paraId="58174985"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t xml:space="preserve">Country/Territory of origin: </w:t>
      </w:r>
      <w:r w:rsidRPr="00633DA6">
        <w:rPr>
          <w:rFonts w:ascii="Book Antiqua" w:eastAsia="Book Antiqua" w:hAnsi="Book Antiqua" w:cs="Book Antiqua"/>
          <w:color w:val="000000"/>
        </w:rPr>
        <w:t>Iran</w:t>
      </w:r>
    </w:p>
    <w:p w14:paraId="106C515B"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t>Peer-review report’s scientific quality classification</w:t>
      </w:r>
    </w:p>
    <w:p w14:paraId="2679C1F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Grade A (Excellent): 0</w:t>
      </w:r>
    </w:p>
    <w:p w14:paraId="2812D329"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Grade B (Very good): B, B</w:t>
      </w:r>
    </w:p>
    <w:p w14:paraId="753B88BC"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Grade C (Good): 0</w:t>
      </w:r>
    </w:p>
    <w:p w14:paraId="07F98106"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color w:val="000000"/>
        </w:rPr>
        <w:t>Grade D (Fair): 0</w:t>
      </w:r>
    </w:p>
    <w:p w14:paraId="09D765E0" w14:textId="77777777" w:rsidR="00A77B3E" w:rsidRPr="00633DA6" w:rsidRDefault="00D346F3" w:rsidP="007F5BFE">
      <w:pPr>
        <w:spacing w:line="360" w:lineRule="auto"/>
        <w:jc w:val="both"/>
        <w:rPr>
          <w:rFonts w:ascii="Book Antiqua" w:hAnsi="Book Antiqua"/>
          <w:lang w:val="pt-BR"/>
        </w:rPr>
      </w:pPr>
      <w:r w:rsidRPr="00633DA6">
        <w:rPr>
          <w:rFonts w:ascii="Book Antiqua" w:eastAsia="Book Antiqua" w:hAnsi="Book Antiqua" w:cs="Book Antiqua"/>
          <w:color w:val="000000"/>
          <w:lang w:val="pt-BR"/>
        </w:rPr>
        <w:t>Grade E (Poor): 0</w:t>
      </w:r>
    </w:p>
    <w:p w14:paraId="276BF9AD" w14:textId="77777777" w:rsidR="00A77B3E" w:rsidRPr="00633DA6" w:rsidRDefault="00A77B3E" w:rsidP="007F5BFE">
      <w:pPr>
        <w:spacing w:line="360" w:lineRule="auto"/>
        <w:jc w:val="both"/>
        <w:rPr>
          <w:rFonts w:ascii="Book Antiqua" w:hAnsi="Book Antiqua"/>
          <w:lang w:val="pt-BR"/>
        </w:rPr>
      </w:pPr>
    </w:p>
    <w:p w14:paraId="0E1A0FE6" w14:textId="77777777" w:rsidR="00A57224" w:rsidRPr="00633DA6" w:rsidRDefault="00D346F3" w:rsidP="007F5BFE">
      <w:pPr>
        <w:spacing w:line="360" w:lineRule="auto"/>
        <w:jc w:val="both"/>
        <w:rPr>
          <w:rFonts w:ascii="Book Antiqua" w:hAnsi="Book Antiqua" w:cs="Book Antiqua"/>
          <w:color w:val="000000"/>
          <w:lang w:val="pt-BR" w:eastAsia="zh-CN"/>
        </w:rPr>
      </w:pPr>
      <w:r w:rsidRPr="00633DA6">
        <w:rPr>
          <w:rFonts w:ascii="Book Antiqua" w:eastAsia="Book Antiqua" w:hAnsi="Book Antiqua" w:cs="Book Antiqua"/>
          <w:b/>
          <w:color w:val="000000"/>
          <w:lang w:val="pt-BR"/>
        </w:rPr>
        <w:lastRenderedPageBreak/>
        <w:t xml:space="preserve">P-Reviewer: </w:t>
      </w:r>
      <w:r w:rsidRPr="00633DA6">
        <w:rPr>
          <w:rFonts w:ascii="Book Antiqua" w:eastAsia="Book Antiqua" w:hAnsi="Book Antiqua" w:cs="Book Antiqua"/>
          <w:color w:val="000000"/>
          <w:lang w:val="pt-BR"/>
        </w:rPr>
        <w:t>Moreira TMM, Soares RLS</w:t>
      </w:r>
      <w:r w:rsidRPr="00633DA6">
        <w:rPr>
          <w:rFonts w:ascii="Book Antiqua" w:eastAsia="Book Antiqua" w:hAnsi="Book Antiqua" w:cs="Book Antiqua"/>
          <w:b/>
          <w:color w:val="000000"/>
          <w:lang w:val="pt-BR"/>
        </w:rPr>
        <w:t xml:space="preserve"> S-Editor: </w:t>
      </w:r>
      <w:r w:rsidRPr="00633DA6">
        <w:rPr>
          <w:rFonts w:ascii="Book Antiqua" w:eastAsia="Book Antiqua" w:hAnsi="Book Antiqua" w:cs="Book Antiqua"/>
          <w:color w:val="000000"/>
          <w:lang w:val="pt-BR"/>
        </w:rPr>
        <w:t>Fan JR</w:t>
      </w:r>
      <w:r w:rsidRPr="00633DA6">
        <w:rPr>
          <w:rFonts w:ascii="Book Antiqua" w:eastAsia="Book Antiqua" w:hAnsi="Book Antiqua" w:cs="Book Antiqua"/>
          <w:b/>
          <w:color w:val="000000"/>
          <w:lang w:val="pt-BR"/>
        </w:rPr>
        <w:t xml:space="preserve"> L-Editor: </w:t>
      </w:r>
      <w:r w:rsidRPr="00633DA6">
        <w:rPr>
          <w:rFonts w:ascii="Book Antiqua" w:eastAsia="Book Antiqua" w:hAnsi="Book Antiqua" w:cs="Book Antiqua"/>
          <w:bCs/>
          <w:color w:val="000000"/>
          <w:lang w:val="pt-BR"/>
        </w:rPr>
        <w:t xml:space="preserve">Filipodia </w:t>
      </w:r>
      <w:r w:rsidRPr="00633DA6">
        <w:rPr>
          <w:rFonts w:ascii="Book Antiqua" w:eastAsia="Book Antiqua" w:hAnsi="Book Antiqua" w:cs="Book Antiqua"/>
          <w:b/>
          <w:color w:val="000000"/>
          <w:lang w:val="pt-BR"/>
        </w:rPr>
        <w:t>P-Editor:</w:t>
      </w:r>
      <w:r w:rsidR="0031239A" w:rsidRPr="00633DA6">
        <w:rPr>
          <w:rFonts w:ascii="Book Antiqua" w:eastAsia="Book Antiqua" w:hAnsi="Book Antiqua" w:cs="Book Antiqua"/>
          <w:color w:val="000000"/>
          <w:lang w:val="pt-BR"/>
        </w:rPr>
        <w:t xml:space="preserve"> Fan JR</w:t>
      </w:r>
    </w:p>
    <w:p w14:paraId="4B4AE864" w14:textId="77777777" w:rsidR="008A5392" w:rsidRPr="00633DA6" w:rsidRDefault="008A5392" w:rsidP="007F5BFE">
      <w:pPr>
        <w:spacing w:line="360" w:lineRule="auto"/>
        <w:jc w:val="both"/>
        <w:rPr>
          <w:rFonts w:ascii="Book Antiqua" w:hAnsi="Book Antiqua" w:cs="Book Antiqua"/>
          <w:b/>
          <w:color w:val="000000"/>
          <w:lang w:val="pt-BR" w:eastAsia="zh-CN"/>
        </w:rPr>
      </w:pPr>
    </w:p>
    <w:p w14:paraId="25C79F77" w14:textId="77777777" w:rsidR="00A77B3E" w:rsidRPr="00633DA6" w:rsidRDefault="00D346F3" w:rsidP="007F5BFE">
      <w:pPr>
        <w:spacing w:line="360" w:lineRule="auto"/>
        <w:jc w:val="both"/>
        <w:rPr>
          <w:rFonts w:ascii="Book Antiqua" w:hAnsi="Book Antiqua"/>
        </w:rPr>
      </w:pPr>
      <w:r w:rsidRPr="00633DA6">
        <w:rPr>
          <w:rFonts w:ascii="Book Antiqua" w:eastAsia="Book Antiqua" w:hAnsi="Book Antiqua" w:cs="Book Antiqua"/>
          <w:b/>
          <w:color w:val="000000"/>
        </w:rPr>
        <w:t>Figure Legends</w:t>
      </w:r>
    </w:p>
    <w:p w14:paraId="6992E24E" w14:textId="77777777" w:rsidR="000E5CDA" w:rsidRPr="00633DA6" w:rsidRDefault="000E5CDA" w:rsidP="000E5CDA">
      <w:pPr>
        <w:spacing w:line="360" w:lineRule="auto"/>
        <w:jc w:val="both"/>
        <w:rPr>
          <w:rFonts w:ascii="Book Antiqua" w:hAnsi="Book Antiqua" w:cs="Book Antiqua"/>
          <w:b/>
          <w:bCs/>
          <w:color w:val="000000"/>
          <w:lang w:eastAsia="zh-CN"/>
        </w:rPr>
      </w:pPr>
      <w:r w:rsidRPr="00633DA6">
        <w:rPr>
          <w:rFonts w:ascii="Book Antiqua" w:hAnsi="Book Antiqua" w:cs="Book Antiqua"/>
          <w:b/>
          <w:bCs/>
          <w:noProof/>
          <w:color w:val="000000"/>
          <w:lang w:eastAsia="zh-CN"/>
        </w:rPr>
        <w:drawing>
          <wp:inline distT="0" distB="0" distL="0" distR="0" wp14:anchorId="6E514E2A" wp14:editId="4030971F">
            <wp:extent cx="4244340" cy="4533900"/>
            <wp:effectExtent l="0" t="0" r="0" b="0"/>
            <wp:docPr id="2" name="图片 2" descr="D:\樊佳茹-工作文件\第二次定稿\稿件编辑加工\稿件\已编稿件\待排版\65842\65842-PDF\6584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65842\65842-PDF\65842-g001.png"/>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244340" cy="4533900"/>
                    </a:xfrm>
                    <a:prstGeom prst="rect">
                      <a:avLst/>
                    </a:prstGeom>
                    <a:noFill/>
                    <a:ln>
                      <a:noFill/>
                    </a:ln>
                  </pic:spPr>
                </pic:pic>
              </a:graphicData>
            </a:graphic>
          </wp:inline>
        </w:drawing>
      </w:r>
    </w:p>
    <w:p w14:paraId="4300A6B9" w14:textId="77777777" w:rsidR="000E5CDA" w:rsidRPr="00633DA6" w:rsidRDefault="000E5CDA" w:rsidP="000E5CDA">
      <w:pPr>
        <w:spacing w:line="360" w:lineRule="auto"/>
        <w:jc w:val="both"/>
        <w:rPr>
          <w:rFonts w:ascii="Book Antiqua" w:hAnsi="Book Antiqua" w:cs="Book Antiqua"/>
          <w:color w:val="000000"/>
          <w:lang w:eastAsia="zh-CN"/>
        </w:rPr>
      </w:pPr>
      <w:r w:rsidRPr="00633DA6">
        <w:rPr>
          <w:rFonts w:ascii="Book Antiqua" w:eastAsia="Book Antiqua" w:hAnsi="Book Antiqua" w:cs="Book Antiqua"/>
          <w:b/>
          <w:bCs/>
          <w:color w:val="000000"/>
        </w:rPr>
        <w:t xml:space="preserve">Figure 1 </w:t>
      </w:r>
      <w:r w:rsidRPr="00633DA6">
        <w:rPr>
          <w:rFonts w:ascii="Book Antiqua" w:hAnsi="Book Antiqua" w:cs="Book Antiqua"/>
          <w:b/>
          <w:color w:val="000000"/>
          <w:lang w:eastAsia="zh-CN"/>
        </w:rPr>
        <w:t>C</w:t>
      </w:r>
      <w:r w:rsidRPr="00633DA6">
        <w:rPr>
          <w:rFonts w:ascii="Book Antiqua" w:eastAsia="Book Antiqua" w:hAnsi="Book Antiqua" w:cs="Book Antiqua"/>
          <w:b/>
          <w:color w:val="000000"/>
        </w:rPr>
        <w:t>oronavirus disease 2019</w:t>
      </w:r>
      <w:r w:rsidRPr="00633DA6">
        <w:rPr>
          <w:rFonts w:ascii="Book Antiqua" w:eastAsia="Book Antiqua" w:hAnsi="Book Antiqua" w:cs="Book Antiqua"/>
          <w:b/>
          <w:bCs/>
          <w:color w:val="000000"/>
        </w:rPr>
        <w:t xml:space="preserve"> induced inflammatory bowel diseases mechanism. </w:t>
      </w:r>
      <w:r w:rsidRPr="00633DA6">
        <w:rPr>
          <w:rFonts w:ascii="Book Antiqua" w:eastAsia="Book Antiqua" w:hAnsi="Book Antiqua" w:cs="Book Antiqua"/>
          <w:color w:val="000000"/>
        </w:rPr>
        <w:t>ADAM17: A disintegrin and metalloprotease domain 17; ACE2: Angiotensin-converting enzyme 2; TMPRSS2: Transmembrane serine protease 2; SARS-Cov-2:</w:t>
      </w:r>
      <w:r w:rsidRPr="00633DA6">
        <w:rPr>
          <w:rFonts w:ascii="Book Antiqua" w:hAnsi="Book Antiqua" w:cs="Book Antiqua"/>
          <w:color w:val="000000"/>
          <w:lang w:eastAsia="zh-CN"/>
        </w:rPr>
        <w:t xml:space="preserve"> </w:t>
      </w:r>
      <w:r w:rsidRPr="00633DA6">
        <w:rPr>
          <w:rFonts w:ascii="Book Antiqua" w:eastAsia="Book Antiqua" w:hAnsi="Book Antiqua" w:cs="Book Antiqua"/>
          <w:color w:val="000000"/>
        </w:rPr>
        <w:t>Severe acute respiratory syndrome coronavirus 2; GCSF:</w:t>
      </w:r>
      <w:r w:rsidRPr="00633DA6">
        <w:rPr>
          <w:rFonts w:ascii="Book Antiqua" w:hAnsi="Book Antiqua" w:cs="Book Antiqua"/>
          <w:color w:val="000000"/>
          <w:lang w:eastAsia="zh-CN"/>
        </w:rPr>
        <w:t xml:space="preserve"> </w:t>
      </w:r>
      <w:r w:rsidRPr="00633DA6">
        <w:rPr>
          <w:rFonts w:ascii="Book Antiqua" w:eastAsia="Book Antiqua" w:hAnsi="Book Antiqua" w:cs="Book Antiqua"/>
          <w:color w:val="000000"/>
        </w:rPr>
        <w:t>Granulocyte colony-stimulating factor; IP-10:</w:t>
      </w:r>
      <w:r w:rsidRPr="00633DA6">
        <w:rPr>
          <w:rFonts w:ascii="Book Antiqua" w:hAnsi="Book Antiqua" w:cs="Book Antiqua"/>
          <w:color w:val="000000"/>
          <w:lang w:eastAsia="zh-CN"/>
        </w:rPr>
        <w:t xml:space="preserve"> </w:t>
      </w:r>
      <w:r w:rsidRPr="00633DA6">
        <w:rPr>
          <w:rFonts w:ascii="Book Antiqua" w:eastAsia="Book Antiqua" w:hAnsi="Book Antiqua" w:cs="Book Antiqua"/>
          <w:color w:val="000000"/>
        </w:rPr>
        <w:t>Interferon gamma-induced protein 10; MCP1: Monocyte chemoattractant protein 1; MIP1-α:</w:t>
      </w:r>
      <w:r w:rsidRPr="00633DA6">
        <w:rPr>
          <w:rFonts w:ascii="Book Antiqua" w:hAnsi="Book Antiqua" w:cs="Book Antiqua"/>
          <w:color w:val="000000"/>
          <w:lang w:eastAsia="zh-CN"/>
        </w:rPr>
        <w:t xml:space="preserve"> </w:t>
      </w:r>
      <w:r w:rsidRPr="00633DA6">
        <w:rPr>
          <w:rFonts w:ascii="Book Antiqua" w:eastAsia="Book Antiqua" w:hAnsi="Book Antiqua" w:cs="Book Antiqua"/>
          <w:color w:val="000000"/>
        </w:rPr>
        <w:t>Macrophage inflammatory proteins-α</w:t>
      </w:r>
      <w:r w:rsidRPr="00633DA6">
        <w:rPr>
          <w:rFonts w:ascii="Book Antiqua" w:hAnsi="Book Antiqua" w:cs="Book Antiqua"/>
          <w:color w:val="000000"/>
          <w:lang w:eastAsia="zh-CN"/>
        </w:rPr>
        <w:t xml:space="preserve">; IBD: </w:t>
      </w:r>
      <w:r w:rsidRPr="00633DA6">
        <w:rPr>
          <w:rFonts w:ascii="Book Antiqua" w:eastAsia="Book Antiqua" w:hAnsi="Book Antiqua" w:cs="Book Antiqua"/>
          <w:color w:val="000000"/>
        </w:rPr>
        <w:t>Inflammatory bowel diseases</w:t>
      </w:r>
      <w:r w:rsidRPr="00633DA6">
        <w:rPr>
          <w:rFonts w:ascii="Book Antiqua" w:hAnsi="Book Antiqua" w:cs="Book Antiqua"/>
          <w:color w:val="000000"/>
          <w:lang w:eastAsia="zh-CN"/>
        </w:rPr>
        <w:t>.</w:t>
      </w:r>
    </w:p>
    <w:p w14:paraId="59E497B8" w14:textId="77777777" w:rsidR="00244B50" w:rsidRPr="00633DA6" w:rsidRDefault="00244B50" w:rsidP="000E5CDA">
      <w:pPr>
        <w:spacing w:line="360" w:lineRule="auto"/>
        <w:jc w:val="both"/>
        <w:rPr>
          <w:rFonts w:ascii="Book Antiqua" w:hAnsi="Book Antiqua" w:cs="Book Antiqua"/>
          <w:color w:val="000000"/>
          <w:lang w:eastAsia="zh-CN"/>
        </w:rPr>
      </w:pPr>
    </w:p>
    <w:p w14:paraId="0B08DFA0" w14:textId="77777777" w:rsidR="000E5CDA" w:rsidRPr="00633DA6" w:rsidRDefault="000E5CDA" w:rsidP="000E5CDA">
      <w:pPr>
        <w:spacing w:line="360" w:lineRule="auto"/>
        <w:jc w:val="both"/>
        <w:rPr>
          <w:rFonts w:ascii="Book Antiqua" w:hAnsi="Book Antiqua"/>
        </w:rPr>
        <w:sectPr w:rsidR="000E5CDA" w:rsidRPr="00633DA6">
          <w:pgSz w:w="12240" w:h="15840"/>
          <w:pgMar w:top="1440" w:right="1440" w:bottom="1440" w:left="1440" w:header="720" w:footer="720" w:gutter="0"/>
          <w:cols w:space="720"/>
          <w:docGrid w:linePitch="360"/>
        </w:sectPr>
      </w:pPr>
    </w:p>
    <w:p w14:paraId="6E77BD7C" w14:textId="77777777" w:rsidR="000E5CDA" w:rsidRPr="00633DA6" w:rsidRDefault="000E5CDA" w:rsidP="000E5CDA">
      <w:pPr>
        <w:adjustRightInd w:val="0"/>
        <w:snapToGrid w:val="0"/>
        <w:spacing w:line="360" w:lineRule="auto"/>
        <w:jc w:val="both"/>
        <w:rPr>
          <w:rFonts w:ascii="Book Antiqua" w:eastAsia="Calibri" w:hAnsi="Book Antiqua" w:cs="Book Antiqua"/>
          <w:b/>
          <w:bCs/>
          <w:lang w:eastAsia="zh-CN"/>
        </w:rPr>
      </w:pPr>
      <w:r w:rsidRPr="00633DA6">
        <w:rPr>
          <w:rFonts w:ascii="Book Antiqua" w:eastAsia="Calibri" w:hAnsi="Book Antiqua" w:cs="Book Antiqua"/>
          <w:b/>
          <w:bCs/>
        </w:rPr>
        <w:lastRenderedPageBreak/>
        <w:t xml:space="preserve">Table 1 Clinical evidences of </w:t>
      </w:r>
      <w:r w:rsidRPr="00633DA6">
        <w:rPr>
          <w:rFonts w:ascii="Book Antiqua" w:hAnsi="Book Antiqua" w:cs="Book Antiqua"/>
          <w:b/>
          <w:color w:val="000000"/>
          <w:lang w:eastAsia="zh-CN"/>
        </w:rPr>
        <w:t>c</w:t>
      </w:r>
      <w:r w:rsidRPr="00633DA6">
        <w:rPr>
          <w:rFonts w:ascii="Book Antiqua" w:eastAsia="Book Antiqua" w:hAnsi="Book Antiqua" w:cs="Book Antiqua"/>
          <w:b/>
          <w:color w:val="000000"/>
        </w:rPr>
        <w:t>oronavirus disease 2019</w:t>
      </w:r>
      <w:r w:rsidRPr="00633DA6">
        <w:rPr>
          <w:rFonts w:ascii="Book Antiqua" w:eastAsia="Calibri" w:hAnsi="Book Antiqua" w:cs="Book Antiqua"/>
          <w:b/>
          <w:bCs/>
        </w:rPr>
        <w:t xml:space="preserve">-induced </w:t>
      </w:r>
      <w:r w:rsidRPr="00633DA6">
        <w:rPr>
          <w:rFonts w:ascii="Book Antiqua" w:eastAsia="Book Antiqua" w:hAnsi="Book Antiqua" w:cs="Book Antiqua"/>
          <w:b/>
          <w:bCs/>
        </w:rPr>
        <w:t>inflammatory bowel diseases</w:t>
      </w:r>
      <w:r w:rsidRPr="00633DA6">
        <w:rPr>
          <w:rFonts w:ascii="Book Antiqua" w:eastAsia="Book Antiqua" w:hAnsi="Book Antiqua" w:cs="Book Antiqua"/>
        </w:rPr>
        <w:t xml:space="preserve"> </w:t>
      </w:r>
      <w:r w:rsidRPr="00633DA6">
        <w:rPr>
          <w:rFonts w:ascii="Book Antiqua" w:eastAsia="Calibri" w:hAnsi="Book Antiqua" w:cs="Book Antiqua"/>
          <w:b/>
          <w:bCs/>
        </w:rPr>
        <w:t>treatment</w:t>
      </w:r>
    </w:p>
    <w:tbl>
      <w:tblPr>
        <w:tblStyle w:val="ae"/>
        <w:tblW w:w="5756" w:type="pct"/>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
        <w:gridCol w:w="823"/>
        <w:gridCol w:w="928"/>
        <w:gridCol w:w="1546"/>
        <w:gridCol w:w="1133"/>
        <w:gridCol w:w="1958"/>
        <w:gridCol w:w="2988"/>
        <w:gridCol w:w="926"/>
      </w:tblGrid>
      <w:tr w:rsidR="000E5CDA" w:rsidRPr="00633DA6" w14:paraId="6DD89DEB" w14:textId="77777777" w:rsidTr="00B23FEF">
        <w:tc>
          <w:tcPr>
            <w:tcW w:w="327" w:type="pct"/>
            <w:tcBorders>
              <w:top w:val="single" w:sz="4" w:space="0" w:color="auto"/>
              <w:bottom w:val="single" w:sz="4" w:space="0" w:color="auto"/>
            </w:tcBorders>
          </w:tcPr>
          <w:p w14:paraId="02AD3F61"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b/>
                <w:bCs/>
              </w:rPr>
              <w:t>Ref.</w:t>
            </w:r>
          </w:p>
        </w:tc>
        <w:tc>
          <w:tcPr>
            <w:tcW w:w="373" w:type="pct"/>
            <w:tcBorders>
              <w:top w:val="single" w:sz="4" w:space="0" w:color="auto"/>
              <w:bottom w:val="single" w:sz="4" w:space="0" w:color="auto"/>
            </w:tcBorders>
          </w:tcPr>
          <w:p w14:paraId="4B650CFB" w14:textId="77777777" w:rsidR="000E5CDA" w:rsidRPr="00633DA6" w:rsidRDefault="000E5CDA" w:rsidP="00B23FEF">
            <w:pPr>
              <w:spacing w:line="360" w:lineRule="auto"/>
              <w:jc w:val="both"/>
              <w:rPr>
                <w:rFonts w:ascii="Book Antiqua" w:eastAsiaTheme="minorEastAsia" w:hAnsi="Book Antiqua" w:cs="Book Antiqua"/>
                <w:b/>
                <w:bCs/>
              </w:rPr>
            </w:pPr>
            <w:r w:rsidRPr="00633DA6">
              <w:rPr>
                <w:rFonts w:ascii="Book Antiqua" w:eastAsia="Calibri" w:hAnsi="Book Antiqua" w:cs="Book Antiqua"/>
                <w:b/>
                <w:bCs/>
              </w:rPr>
              <w:t>Clinical studies</w:t>
            </w:r>
          </w:p>
        </w:tc>
        <w:tc>
          <w:tcPr>
            <w:tcW w:w="421" w:type="pct"/>
            <w:tcBorders>
              <w:top w:val="single" w:sz="4" w:space="0" w:color="auto"/>
              <w:bottom w:val="single" w:sz="4" w:space="0" w:color="auto"/>
            </w:tcBorders>
          </w:tcPr>
          <w:p w14:paraId="7EAFE17C"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b/>
                <w:bCs/>
              </w:rPr>
              <w:t>Model of IBD</w:t>
            </w:r>
          </w:p>
        </w:tc>
        <w:tc>
          <w:tcPr>
            <w:tcW w:w="701" w:type="pct"/>
            <w:tcBorders>
              <w:top w:val="single" w:sz="4" w:space="0" w:color="auto"/>
              <w:bottom w:val="single" w:sz="4" w:space="0" w:color="auto"/>
            </w:tcBorders>
          </w:tcPr>
          <w:p w14:paraId="3C6A3CE5"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b/>
                <w:bCs/>
              </w:rPr>
              <w:t>Intervention</w:t>
            </w:r>
          </w:p>
        </w:tc>
        <w:tc>
          <w:tcPr>
            <w:tcW w:w="514" w:type="pct"/>
            <w:tcBorders>
              <w:top w:val="single" w:sz="4" w:space="0" w:color="auto"/>
              <w:bottom w:val="single" w:sz="4" w:space="0" w:color="auto"/>
            </w:tcBorders>
          </w:tcPr>
          <w:p w14:paraId="52AEF7C7"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b/>
                <w:bCs/>
              </w:rPr>
              <w:t>Duration of treatment</w:t>
            </w:r>
          </w:p>
        </w:tc>
        <w:tc>
          <w:tcPr>
            <w:tcW w:w="888" w:type="pct"/>
            <w:tcBorders>
              <w:top w:val="single" w:sz="4" w:space="0" w:color="auto"/>
              <w:bottom w:val="single" w:sz="4" w:space="0" w:color="auto"/>
            </w:tcBorders>
          </w:tcPr>
          <w:p w14:paraId="1D647E4A"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b/>
                <w:bCs/>
              </w:rPr>
              <w:t>Numbers of animals in intervention group and control group</w:t>
            </w:r>
          </w:p>
        </w:tc>
        <w:tc>
          <w:tcPr>
            <w:tcW w:w="1355" w:type="pct"/>
            <w:tcBorders>
              <w:top w:val="single" w:sz="4" w:space="0" w:color="auto"/>
              <w:bottom w:val="single" w:sz="4" w:space="0" w:color="auto"/>
            </w:tcBorders>
          </w:tcPr>
          <w:p w14:paraId="334D8D10"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b/>
                <w:bCs/>
              </w:rPr>
              <w:t>Outcomes</w:t>
            </w:r>
          </w:p>
        </w:tc>
        <w:tc>
          <w:tcPr>
            <w:tcW w:w="420" w:type="pct"/>
            <w:tcBorders>
              <w:top w:val="single" w:sz="4" w:space="0" w:color="auto"/>
              <w:bottom w:val="single" w:sz="4" w:space="0" w:color="auto"/>
            </w:tcBorders>
          </w:tcPr>
          <w:p w14:paraId="412970C9"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b/>
                <w:bCs/>
              </w:rPr>
              <w:t>Adverse effects</w:t>
            </w:r>
          </w:p>
        </w:tc>
      </w:tr>
      <w:tr w:rsidR="000E5CDA" w:rsidRPr="00633DA6" w14:paraId="67B742FC" w14:textId="77777777" w:rsidTr="00B23FEF">
        <w:tc>
          <w:tcPr>
            <w:tcW w:w="327" w:type="pct"/>
            <w:tcBorders>
              <w:top w:val="single" w:sz="4" w:space="0" w:color="auto"/>
            </w:tcBorders>
          </w:tcPr>
          <w:p w14:paraId="2A2F247A"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Book Antiqua" w:hAnsi="Book Antiqua" w:cs="Book Antiqua"/>
              </w:rPr>
              <w:t xml:space="preserve">Nowak </w:t>
            </w:r>
            <w:r w:rsidRPr="00633DA6">
              <w:rPr>
                <w:rFonts w:ascii="Book Antiqua" w:eastAsia="Book Antiqua" w:hAnsi="Book Antiqua" w:cs="Book Antiqua"/>
                <w:i/>
              </w:rPr>
              <w:t>et al</w:t>
            </w:r>
            <w:r w:rsidRPr="00633DA6">
              <w:rPr>
                <w:rFonts w:ascii="Book Antiqua" w:eastAsia="Calibri" w:hAnsi="Book Antiqua" w:cs="Book Antiqua"/>
                <w:vertAlign w:val="superscript"/>
              </w:rPr>
              <w:t>[25]</w:t>
            </w:r>
          </w:p>
        </w:tc>
        <w:tc>
          <w:tcPr>
            <w:tcW w:w="373" w:type="pct"/>
            <w:tcBorders>
              <w:top w:val="single" w:sz="4" w:space="0" w:color="auto"/>
            </w:tcBorders>
          </w:tcPr>
          <w:p w14:paraId="6D972992"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rPr>
              <w:t>Clinical trial</w:t>
            </w:r>
          </w:p>
        </w:tc>
        <w:tc>
          <w:tcPr>
            <w:tcW w:w="421" w:type="pct"/>
            <w:tcBorders>
              <w:top w:val="single" w:sz="4" w:space="0" w:color="auto"/>
            </w:tcBorders>
          </w:tcPr>
          <w:p w14:paraId="5B22AA4B"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rPr>
              <w:t>IBD in COVID-19</w:t>
            </w:r>
          </w:p>
        </w:tc>
        <w:tc>
          <w:tcPr>
            <w:tcW w:w="701" w:type="pct"/>
            <w:tcBorders>
              <w:top w:val="single" w:sz="4" w:space="0" w:color="auto"/>
            </w:tcBorders>
          </w:tcPr>
          <w:p w14:paraId="5BEBDA6F"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rPr>
              <w:t>-</w:t>
            </w:r>
          </w:p>
        </w:tc>
        <w:tc>
          <w:tcPr>
            <w:tcW w:w="514" w:type="pct"/>
            <w:tcBorders>
              <w:top w:val="single" w:sz="4" w:space="0" w:color="auto"/>
            </w:tcBorders>
          </w:tcPr>
          <w:p w14:paraId="0227B057"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rPr>
              <w:t>-</w:t>
            </w:r>
          </w:p>
        </w:tc>
        <w:tc>
          <w:tcPr>
            <w:tcW w:w="888" w:type="pct"/>
            <w:tcBorders>
              <w:top w:val="single" w:sz="4" w:space="0" w:color="auto"/>
            </w:tcBorders>
          </w:tcPr>
          <w:p w14:paraId="47A4AF2E"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rPr>
              <w:t>138 treatment naïve IBD patients (cases) and 154 controls</w:t>
            </w:r>
          </w:p>
        </w:tc>
        <w:tc>
          <w:tcPr>
            <w:tcW w:w="1355" w:type="pct"/>
            <w:tcBorders>
              <w:top w:val="single" w:sz="4" w:space="0" w:color="auto"/>
            </w:tcBorders>
          </w:tcPr>
          <w:p w14:paraId="13E14CAF"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↑ACE2/TMPRSS2 expression</w:t>
            </w:r>
            <w:r w:rsidRPr="00633DA6">
              <w:rPr>
                <w:rFonts w:ascii="Book Antiqua" w:eastAsiaTheme="minorEastAsia" w:hAnsi="Book Antiqua" w:cs="Book Antiqua"/>
              </w:rPr>
              <w:t xml:space="preserve">; </w:t>
            </w:r>
            <w:r w:rsidRPr="00633DA6">
              <w:rPr>
                <w:rFonts w:ascii="Book Antiqua" w:eastAsia="Calibri" w:hAnsi="Book Antiqua" w:cs="Book Antiqua"/>
              </w:rPr>
              <w:t>↑Inflammation</w:t>
            </w:r>
          </w:p>
        </w:tc>
        <w:tc>
          <w:tcPr>
            <w:tcW w:w="420" w:type="pct"/>
            <w:tcBorders>
              <w:top w:val="single" w:sz="4" w:space="0" w:color="auto"/>
            </w:tcBorders>
          </w:tcPr>
          <w:p w14:paraId="45479F4E" w14:textId="77777777" w:rsidR="000E5CDA" w:rsidRPr="00633DA6" w:rsidRDefault="000E5CDA" w:rsidP="00B23FEF">
            <w:pPr>
              <w:spacing w:line="360" w:lineRule="auto"/>
              <w:jc w:val="both"/>
              <w:rPr>
                <w:rFonts w:ascii="Book Antiqua" w:eastAsia="Calibri" w:hAnsi="Book Antiqua" w:cs="Book Antiqua"/>
                <w:b/>
                <w:bCs/>
              </w:rPr>
            </w:pPr>
            <w:r w:rsidRPr="00633DA6">
              <w:rPr>
                <w:rFonts w:ascii="Book Antiqua" w:eastAsia="Calibri" w:hAnsi="Book Antiqua" w:cs="Book Antiqua"/>
              </w:rPr>
              <w:t>-</w:t>
            </w:r>
          </w:p>
        </w:tc>
      </w:tr>
      <w:tr w:rsidR="000E5CDA" w:rsidRPr="00633DA6" w14:paraId="55A8CD89" w14:textId="77777777" w:rsidTr="00B23FEF">
        <w:tc>
          <w:tcPr>
            <w:tcW w:w="327" w:type="pct"/>
          </w:tcPr>
          <w:p w14:paraId="7C919A9B"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Brenner</w:t>
            </w:r>
            <w:r w:rsidRPr="00633DA6">
              <w:rPr>
                <w:rFonts w:ascii="Book Antiqua" w:eastAsia="Calibri" w:hAnsi="Book Antiqua" w:cs="Book Antiqua"/>
              </w:rPr>
              <w:t xml:space="preserve"> </w:t>
            </w:r>
            <w:r w:rsidRPr="00633DA6">
              <w:rPr>
                <w:rFonts w:ascii="Book Antiqua" w:eastAsia="Calibri" w:hAnsi="Book Antiqua" w:cs="Book Antiqua"/>
                <w:i/>
              </w:rPr>
              <w:t>et al</w:t>
            </w:r>
            <w:r w:rsidRPr="00633DA6">
              <w:rPr>
                <w:rFonts w:ascii="Book Antiqua" w:eastAsia="Calibri" w:hAnsi="Book Antiqua" w:cs="Book Antiqua"/>
                <w:vertAlign w:val="superscript"/>
              </w:rPr>
              <w:t>[67]</w:t>
            </w:r>
          </w:p>
        </w:tc>
        <w:tc>
          <w:tcPr>
            <w:tcW w:w="373" w:type="pct"/>
          </w:tcPr>
          <w:p w14:paraId="78E51D13"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18 yr (with IBD), the Pediatric IBD Porto Group</w:t>
            </w:r>
          </w:p>
        </w:tc>
        <w:tc>
          <w:tcPr>
            <w:tcW w:w="421" w:type="pct"/>
          </w:tcPr>
          <w:p w14:paraId="089949FB"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p w14:paraId="7BB7E132" w14:textId="77777777" w:rsidR="000E5CDA" w:rsidRPr="00633DA6" w:rsidRDefault="000E5CDA" w:rsidP="00B23FEF">
            <w:pPr>
              <w:spacing w:line="360" w:lineRule="auto"/>
              <w:jc w:val="both"/>
              <w:rPr>
                <w:rFonts w:ascii="Book Antiqua" w:eastAsia="Calibri" w:hAnsi="Book Antiqua" w:cs="Book Antiqua"/>
              </w:rPr>
            </w:pPr>
          </w:p>
        </w:tc>
        <w:tc>
          <w:tcPr>
            <w:tcW w:w="701" w:type="pct"/>
          </w:tcPr>
          <w:p w14:paraId="58473226"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TNF</w:t>
            </w:r>
            <w:r w:rsidRPr="00633DA6">
              <w:rPr>
                <w:rFonts w:ascii="Book Antiqua" w:eastAsiaTheme="minorEastAsia" w:hAnsi="Book Antiqua" w:cs="Book Antiqua" w:hint="eastAsia"/>
              </w:rPr>
              <w:t xml:space="preserve"> </w:t>
            </w:r>
            <w:r w:rsidRPr="00633DA6">
              <w:rPr>
                <w:rFonts w:ascii="Book Antiqua" w:eastAsia="Calibri" w:hAnsi="Book Antiqua" w:cs="Book Antiqua"/>
              </w:rPr>
              <w:t>antagonist monotherapy (48%), followed by sulfasalazine/mesalamine (23%)</w:t>
            </w:r>
          </w:p>
        </w:tc>
        <w:tc>
          <w:tcPr>
            <w:tcW w:w="514" w:type="pct"/>
          </w:tcPr>
          <w:p w14:paraId="3E5BC6BA"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 xml:space="preserve">March 2020-October 2020 </w:t>
            </w:r>
          </w:p>
        </w:tc>
        <w:tc>
          <w:tcPr>
            <w:tcW w:w="888" w:type="pct"/>
          </w:tcPr>
          <w:p w14:paraId="61E3AF20"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Hospitalized</w:t>
            </w:r>
            <w:r w:rsidRPr="00633DA6">
              <w:rPr>
                <w:rFonts w:ascii="Book Antiqua" w:eastAsiaTheme="minorEastAsia" w:hAnsi="Book Antiqua" w:cs="Book Antiqua" w:hint="eastAsia"/>
              </w:rPr>
              <w:t xml:space="preserve"> </w:t>
            </w:r>
            <w:r w:rsidRPr="00633DA6">
              <w:rPr>
                <w:rFonts w:ascii="Book Antiqua" w:eastAsia="Calibri" w:hAnsi="Book Antiqua" w:cs="Book Antiqua"/>
              </w:rPr>
              <w:t>cases (</w:t>
            </w:r>
            <w:r w:rsidRPr="00633DA6">
              <w:rPr>
                <w:rFonts w:ascii="Book Antiqua" w:eastAsiaTheme="minorEastAsia" w:hAnsi="Book Antiqua" w:cs="Book Antiqua" w:hint="eastAsia"/>
                <w:i/>
              </w:rPr>
              <w:t>n</w:t>
            </w:r>
            <w:r w:rsidRPr="00633DA6">
              <w:rPr>
                <w:rFonts w:ascii="Book Antiqua" w:eastAsiaTheme="minorEastAsia" w:hAnsi="Book Antiqua" w:cs="Book Antiqua" w:hint="eastAsia"/>
              </w:rPr>
              <w:t xml:space="preserve"> </w:t>
            </w:r>
            <w:r w:rsidRPr="00633DA6">
              <w:rPr>
                <w:rFonts w:ascii="Book Antiqua" w:eastAsia="Calibri" w:hAnsi="Book Antiqua" w:cs="Book Antiqua"/>
              </w:rPr>
              <w:t>= 14)</w:t>
            </w:r>
            <w:r w:rsidRPr="00633DA6">
              <w:rPr>
                <w:rFonts w:ascii="Book Antiqua" w:eastAsiaTheme="minorEastAsia" w:hAnsi="Book Antiqua" w:cs="Book Antiqua" w:hint="eastAsia"/>
              </w:rPr>
              <w:t xml:space="preserve">; </w:t>
            </w:r>
            <w:r w:rsidRPr="00633DA6">
              <w:rPr>
                <w:rFonts w:ascii="Book Antiqua" w:eastAsia="Calibri" w:hAnsi="Book Antiqua" w:cs="Book Antiqua"/>
              </w:rPr>
              <w:t>Outpatient</w:t>
            </w:r>
            <w:r w:rsidRPr="00633DA6">
              <w:rPr>
                <w:rFonts w:ascii="Book Antiqua" w:eastAsiaTheme="minorEastAsia" w:hAnsi="Book Antiqua" w:cs="Book Antiqua" w:hint="eastAsia"/>
              </w:rPr>
              <w:t xml:space="preserve"> </w:t>
            </w:r>
            <w:r w:rsidRPr="00633DA6">
              <w:rPr>
                <w:rFonts w:ascii="Book Antiqua" w:eastAsia="Calibri" w:hAnsi="Book Antiqua" w:cs="Book Antiqua"/>
              </w:rPr>
              <w:t>cases (</w:t>
            </w:r>
            <w:r w:rsidRPr="00633DA6">
              <w:rPr>
                <w:rFonts w:ascii="Book Antiqua" w:eastAsiaTheme="minorEastAsia" w:hAnsi="Book Antiqua" w:cs="Book Antiqua" w:hint="eastAsia"/>
                <w:i/>
              </w:rPr>
              <w:t>n</w:t>
            </w:r>
            <w:r w:rsidRPr="00633DA6">
              <w:rPr>
                <w:rFonts w:ascii="Book Antiqua" w:eastAsia="Calibri" w:hAnsi="Book Antiqua" w:cs="Book Antiqua"/>
              </w:rPr>
              <w:t xml:space="preserve"> = 195)</w:t>
            </w:r>
          </w:p>
        </w:tc>
        <w:tc>
          <w:tcPr>
            <w:tcW w:w="1355" w:type="pct"/>
          </w:tcPr>
          <w:p w14:paraId="76C24B7E"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Sulfasalazine/Mesalamine and steroid therapy were associated with increased hospitalization risk and TNF antagonist monotherapy was associated with decreased risk parallel those reported in adult IBD patients. PIBD patients have a relatively low risk of severe COVID-19, even when receiving biologic and/or other immune-suppressive therapies for their IBD</w:t>
            </w:r>
          </w:p>
        </w:tc>
        <w:tc>
          <w:tcPr>
            <w:tcW w:w="420" w:type="pct"/>
          </w:tcPr>
          <w:p w14:paraId="16D71E0E"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r>
      <w:tr w:rsidR="000E5CDA" w:rsidRPr="00633DA6" w14:paraId="3608621C" w14:textId="77777777" w:rsidTr="00B23FEF">
        <w:tc>
          <w:tcPr>
            <w:tcW w:w="327" w:type="pct"/>
          </w:tcPr>
          <w:p w14:paraId="47E1E16D"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Norsa</w:t>
            </w:r>
            <w:r w:rsidRPr="00633DA6">
              <w:rPr>
                <w:rFonts w:ascii="Book Antiqua" w:eastAsia="Calibri" w:hAnsi="Book Antiqua" w:cs="Book Antiqua"/>
              </w:rPr>
              <w:t xml:space="preserve"> </w:t>
            </w:r>
            <w:r w:rsidRPr="00633DA6">
              <w:rPr>
                <w:rFonts w:ascii="Book Antiqua" w:eastAsia="Calibri" w:hAnsi="Book Antiqua" w:cs="Book Antiqua"/>
                <w:i/>
              </w:rPr>
              <w:t xml:space="preserve">et </w:t>
            </w:r>
            <w:r w:rsidRPr="00633DA6">
              <w:rPr>
                <w:rFonts w:ascii="Book Antiqua" w:eastAsia="Calibri" w:hAnsi="Book Antiqua" w:cs="Book Antiqua"/>
                <w:i/>
              </w:rPr>
              <w:lastRenderedPageBreak/>
              <w:t>al</w:t>
            </w:r>
            <w:r w:rsidRPr="00633DA6">
              <w:rPr>
                <w:rFonts w:ascii="Book Antiqua" w:eastAsia="Calibri" w:hAnsi="Book Antiqua" w:cs="Book Antiqua"/>
                <w:vertAlign w:val="superscript"/>
              </w:rPr>
              <w:t>[85]</w:t>
            </w:r>
          </w:p>
        </w:tc>
        <w:tc>
          <w:tcPr>
            <w:tcW w:w="373" w:type="pct"/>
          </w:tcPr>
          <w:p w14:paraId="3F91F893"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 xml:space="preserve">Clinical </w:t>
            </w:r>
            <w:r w:rsidRPr="00633DA6">
              <w:rPr>
                <w:rFonts w:ascii="Book Antiqua" w:eastAsia="Calibri" w:hAnsi="Book Antiqua" w:cs="Book Antiqua"/>
              </w:rPr>
              <w:lastRenderedPageBreak/>
              <w:t>trial</w:t>
            </w:r>
          </w:p>
        </w:tc>
        <w:tc>
          <w:tcPr>
            <w:tcW w:w="421" w:type="pct"/>
          </w:tcPr>
          <w:p w14:paraId="5DFA0168"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Crohn diseas</w:t>
            </w:r>
            <w:r w:rsidRPr="00633DA6">
              <w:rPr>
                <w:rFonts w:ascii="Book Antiqua" w:eastAsia="Calibri" w:hAnsi="Book Antiqua" w:cs="Book Antiqua"/>
              </w:rPr>
              <w:lastRenderedPageBreak/>
              <w:t xml:space="preserve">e and Ulcer </w:t>
            </w:r>
            <w:r w:rsidRPr="00633DA6">
              <w:rPr>
                <w:rFonts w:ascii="Book Antiqua" w:eastAsiaTheme="minorEastAsia" w:hAnsi="Book Antiqua" w:cs="Book Antiqua" w:hint="eastAsia"/>
              </w:rPr>
              <w:t>c</w:t>
            </w:r>
            <w:r w:rsidRPr="00633DA6">
              <w:rPr>
                <w:rFonts w:ascii="Book Antiqua" w:eastAsia="Calibri" w:hAnsi="Book Antiqua" w:cs="Book Antiqua"/>
              </w:rPr>
              <w:t>olitis</w:t>
            </w:r>
          </w:p>
        </w:tc>
        <w:tc>
          <w:tcPr>
            <w:tcW w:w="701" w:type="pct"/>
          </w:tcPr>
          <w:p w14:paraId="5B14E319"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Anti-inflammator</w:t>
            </w:r>
            <w:r w:rsidRPr="00633DA6">
              <w:rPr>
                <w:rFonts w:ascii="Book Antiqua" w:eastAsia="Calibri" w:hAnsi="Book Antiqua" w:cs="Book Antiqua"/>
              </w:rPr>
              <w:lastRenderedPageBreak/>
              <w:t>y (Salicylates); thiopurines or methotrexate; biologics (Infliximab, Adalimumab, Ustekinumab, Vedolizumab, Golimumab); steroids; Other immunosuppressants (Tacrolimus, Cyclosporin, Mofetil Micofenolate)</w:t>
            </w:r>
          </w:p>
        </w:tc>
        <w:tc>
          <w:tcPr>
            <w:tcW w:w="514" w:type="pct"/>
          </w:tcPr>
          <w:p w14:paraId="4B591AA3"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February</w:t>
            </w:r>
            <w:r w:rsidRPr="00633DA6">
              <w:rPr>
                <w:rFonts w:ascii="Book Antiqua" w:eastAsiaTheme="minorEastAsia" w:hAnsi="Book Antiqua" w:cs="Book Antiqua" w:hint="eastAsia"/>
              </w:rPr>
              <w:t xml:space="preserve"> 2020</w:t>
            </w:r>
            <w:r w:rsidRPr="00633DA6">
              <w:rPr>
                <w:rFonts w:ascii="Book Antiqua" w:eastAsia="Calibri" w:hAnsi="Book Antiqua" w:cs="Book Antiqua"/>
              </w:rPr>
              <w:t>-</w:t>
            </w:r>
            <w:r w:rsidRPr="00633DA6">
              <w:rPr>
                <w:rFonts w:ascii="Book Antiqua" w:eastAsia="Calibri" w:hAnsi="Book Antiqua" w:cs="Book Antiqua"/>
              </w:rPr>
              <w:lastRenderedPageBreak/>
              <w:t>March 2020</w:t>
            </w:r>
          </w:p>
        </w:tc>
        <w:tc>
          <w:tcPr>
            <w:tcW w:w="888" w:type="pct"/>
          </w:tcPr>
          <w:p w14:paraId="345FAFEA" w14:textId="77777777" w:rsidR="000E5CDA" w:rsidRPr="00633DA6" w:rsidRDefault="000E5CDA" w:rsidP="00B23FEF">
            <w:pPr>
              <w:spacing w:line="360" w:lineRule="auto"/>
              <w:jc w:val="both"/>
              <w:rPr>
                <w:rFonts w:ascii="Book Antiqua" w:eastAsiaTheme="minorEastAsia" w:hAnsi="Book Antiqua" w:cs="Book Antiqua"/>
              </w:rPr>
            </w:pPr>
            <w:r w:rsidRPr="00633DA6">
              <w:rPr>
                <w:rFonts w:ascii="Book Antiqua" w:eastAsia="Calibri" w:hAnsi="Book Antiqua" w:cs="Book Antiqua"/>
              </w:rPr>
              <w:lastRenderedPageBreak/>
              <w:t>Crohn disease</w:t>
            </w:r>
            <w:r w:rsidRPr="00633DA6">
              <w:rPr>
                <w:rFonts w:ascii="Book Antiqua" w:eastAsiaTheme="minorEastAsia" w:hAnsi="Book Antiqua" w:cs="Book Antiqua" w:hint="eastAsia"/>
              </w:rPr>
              <w:t xml:space="preserve"> </w:t>
            </w:r>
            <w:r w:rsidRPr="00633DA6">
              <w:rPr>
                <w:rFonts w:ascii="Book Antiqua" w:eastAsia="Calibri" w:hAnsi="Book Antiqua" w:cs="Book Antiqua"/>
              </w:rPr>
              <w:t>=</w:t>
            </w:r>
            <w:r w:rsidRPr="00633DA6">
              <w:rPr>
                <w:rFonts w:ascii="Book Antiqua" w:eastAsiaTheme="minorEastAsia" w:hAnsi="Book Antiqua" w:cs="Book Antiqua" w:hint="eastAsia"/>
              </w:rPr>
              <w:t xml:space="preserve"> </w:t>
            </w:r>
            <w:r w:rsidRPr="00633DA6">
              <w:rPr>
                <w:rFonts w:ascii="Book Antiqua" w:eastAsia="Calibri" w:hAnsi="Book Antiqua" w:cs="Book Antiqua"/>
              </w:rPr>
              <w:t>186</w:t>
            </w:r>
            <w:r w:rsidRPr="00633DA6">
              <w:rPr>
                <w:rFonts w:ascii="Book Antiqua" w:eastAsiaTheme="minorEastAsia" w:hAnsi="Book Antiqua" w:cs="Book Antiqua" w:hint="eastAsia"/>
              </w:rPr>
              <w:t xml:space="preserve">; </w:t>
            </w:r>
            <w:r w:rsidRPr="00633DA6">
              <w:rPr>
                <w:rFonts w:ascii="Book Antiqua" w:eastAsia="Calibri" w:hAnsi="Book Antiqua" w:cs="Book Antiqua"/>
              </w:rPr>
              <w:t>Ulcer colitis</w:t>
            </w:r>
            <w:r w:rsidRPr="00633DA6">
              <w:rPr>
                <w:rFonts w:ascii="Book Antiqua" w:eastAsiaTheme="minorEastAsia" w:hAnsi="Book Antiqua" w:cs="Book Antiqua" w:hint="eastAsia"/>
              </w:rPr>
              <w:t xml:space="preserve"> </w:t>
            </w:r>
            <w:r w:rsidRPr="00633DA6">
              <w:rPr>
                <w:rFonts w:ascii="Book Antiqua" w:eastAsia="Calibri" w:hAnsi="Book Antiqua" w:cs="Book Antiqua"/>
              </w:rPr>
              <w:lastRenderedPageBreak/>
              <w:t>=</w:t>
            </w:r>
            <w:r w:rsidRPr="00633DA6">
              <w:rPr>
                <w:rFonts w:ascii="Book Antiqua" w:eastAsiaTheme="minorEastAsia" w:hAnsi="Book Antiqua" w:cs="Book Antiqua" w:hint="eastAsia"/>
              </w:rPr>
              <w:t xml:space="preserve"> </w:t>
            </w:r>
            <w:r w:rsidRPr="00633DA6">
              <w:rPr>
                <w:rFonts w:ascii="Book Antiqua" w:eastAsia="Calibri" w:hAnsi="Book Antiqua" w:cs="Book Antiqua"/>
              </w:rPr>
              <w:t>336</w:t>
            </w:r>
          </w:p>
          <w:p w14:paraId="55EC6F89" w14:textId="77777777" w:rsidR="000E5CDA" w:rsidRPr="00633DA6" w:rsidRDefault="000E5CDA" w:rsidP="00B23FEF">
            <w:pPr>
              <w:spacing w:line="360" w:lineRule="auto"/>
              <w:jc w:val="both"/>
              <w:rPr>
                <w:rFonts w:ascii="Book Antiqua" w:eastAsia="Calibri" w:hAnsi="Book Antiqua" w:cs="Book Antiqua"/>
              </w:rPr>
            </w:pPr>
          </w:p>
        </w:tc>
        <w:tc>
          <w:tcPr>
            <w:tcW w:w="1355" w:type="pct"/>
          </w:tcPr>
          <w:p w14:paraId="6A7FB834"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IBD improvement</w:t>
            </w:r>
            <w:r w:rsidRPr="00633DA6">
              <w:rPr>
                <w:rFonts w:ascii="Book Antiqua" w:eastAsiaTheme="minorEastAsia" w:hAnsi="Book Antiqua" w:cs="Book Antiqua" w:hint="eastAsia"/>
              </w:rPr>
              <w:t xml:space="preserve">: </w:t>
            </w:r>
            <w:r w:rsidRPr="00633DA6">
              <w:rPr>
                <w:rFonts w:ascii="Book Antiqua" w:hAnsi="Book Antiqua" w:cs="Book Antiqua"/>
              </w:rPr>
              <w:t>↓TNF-</w:t>
            </w:r>
            <w:r w:rsidRPr="00633DA6">
              <w:rPr>
                <w:rFonts w:ascii="Book Antiqua" w:eastAsiaTheme="minorEastAsia" w:hAnsi="Book Antiqua" w:cs="Book Antiqua"/>
              </w:rPr>
              <w:t>α</w:t>
            </w:r>
            <w:r w:rsidRPr="00633DA6">
              <w:rPr>
                <w:rFonts w:ascii="Book Antiqua" w:eastAsiaTheme="minorEastAsia" w:hAnsi="Book Antiqua" w:cs="Book Antiqua" w:hint="eastAsia"/>
              </w:rPr>
              <w:t xml:space="preserve">; </w:t>
            </w:r>
            <w:r w:rsidRPr="00633DA6">
              <w:rPr>
                <w:rFonts w:ascii="Book Antiqua" w:hAnsi="Book Antiqua" w:cs="Book Antiqua"/>
              </w:rPr>
              <w:t>↓Inflammation</w:t>
            </w:r>
            <w:r w:rsidRPr="00633DA6">
              <w:rPr>
                <w:rFonts w:ascii="Book Antiqua" w:eastAsiaTheme="minorEastAsia" w:hAnsi="Book Antiqua" w:cs="Book Antiqua" w:hint="eastAsia"/>
              </w:rPr>
              <w:t xml:space="preserve">; </w:t>
            </w:r>
            <w:r w:rsidRPr="00633DA6">
              <w:rPr>
                <w:rFonts w:ascii="Book Antiqua" w:hAnsi="Book Antiqua" w:cs="Book Antiqua"/>
              </w:rPr>
              <w:lastRenderedPageBreak/>
              <w:t>↓ACE2/TMPRSS2 expression</w:t>
            </w:r>
          </w:p>
        </w:tc>
        <w:tc>
          <w:tcPr>
            <w:tcW w:w="420" w:type="pct"/>
          </w:tcPr>
          <w:p w14:paraId="40CA9023"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w:t>
            </w:r>
          </w:p>
        </w:tc>
      </w:tr>
      <w:tr w:rsidR="000E5CDA" w:rsidRPr="00633DA6" w14:paraId="0428A128" w14:textId="77777777" w:rsidTr="00B23FEF">
        <w:tc>
          <w:tcPr>
            <w:tcW w:w="327" w:type="pct"/>
          </w:tcPr>
          <w:p w14:paraId="7AA8AC60"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Mazza</w:t>
            </w:r>
            <w:r w:rsidRPr="00633DA6">
              <w:rPr>
                <w:rFonts w:ascii="Book Antiqua" w:eastAsia="Calibri" w:hAnsi="Book Antiqua" w:cs="Book Antiqua"/>
              </w:rPr>
              <w:t xml:space="preserve"> </w:t>
            </w:r>
            <w:r w:rsidRPr="00633DA6">
              <w:rPr>
                <w:rFonts w:ascii="Book Antiqua" w:eastAsia="Calibri" w:hAnsi="Book Antiqua" w:cs="Book Antiqua"/>
                <w:i/>
              </w:rPr>
              <w:t>et al</w:t>
            </w:r>
            <w:r w:rsidRPr="00633DA6">
              <w:rPr>
                <w:rFonts w:ascii="Book Antiqua" w:eastAsia="Calibri" w:hAnsi="Book Antiqua" w:cs="Book Antiqua"/>
                <w:vertAlign w:val="superscript"/>
              </w:rPr>
              <w:t>[86]</w:t>
            </w:r>
          </w:p>
        </w:tc>
        <w:tc>
          <w:tcPr>
            <w:tcW w:w="373" w:type="pct"/>
          </w:tcPr>
          <w:p w14:paraId="33E9E7C5"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Clinical trial</w:t>
            </w:r>
          </w:p>
        </w:tc>
        <w:tc>
          <w:tcPr>
            <w:tcW w:w="421" w:type="pct"/>
          </w:tcPr>
          <w:p w14:paraId="2F6D4503"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 xml:space="preserve">Ulcerative </w:t>
            </w:r>
            <w:r w:rsidRPr="00633DA6">
              <w:rPr>
                <w:rFonts w:ascii="Book Antiqua" w:eastAsiaTheme="minorEastAsia" w:hAnsi="Book Antiqua" w:cs="Book Antiqua" w:hint="eastAsia"/>
              </w:rPr>
              <w:t>c</w:t>
            </w:r>
            <w:r w:rsidRPr="00633DA6">
              <w:rPr>
                <w:rFonts w:ascii="Book Antiqua" w:eastAsia="Calibri" w:hAnsi="Book Antiqua" w:cs="Book Antiqua"/>
              </w:rPr>
              <w:t>olitis</w:t>
            </w:r>
          </w:p>
        </w:tc>
        <w:tc>
          <w:tcPr>
            <w:tcW w:w="701" w:type="pct"/>
          </w:tcPr>
          <w:p w14:paraId="0DFD52C5"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Methylprednisolone (40 mg/d);</w:t>
            </w:r>
            <w:r w:rsidRPr="00633DA6">
              <w:rPr>
                <w:rFonts w:ascii="Book Antiqua" w:eastAsiaTheme="minorEastAsia" w:hAnsi="Book Antiqua" w:cs="Book Antiqua" w:hint="eastAsia"/>
              </w:rPr>
              <w:t xml:space="preserve"> </w:t>
            </w:r>
            <w:r w:rsidRPr="00633DA6">
              <w:rPr>
                <w:rFonts w:ascii="Book Antiqua" w:eastAsia="Calibri" w:hAnsi="Book Antiqua" w:cs="Book Antiqua"/>
              </w:rPr>
              <w:lastRenderedPageBreak/>
              <w:t>prednisone dosage at the time of patient’s death was 25 mg daily</w:t>
            </w:r>
          </w:p>
        </w:tc>
        <w:tc>
          <w:tcPr>
            <w:tcW w:w="514" w:type="pct"/>
          </w:tcPr>
          <w:p w14:paraId="4A5CF867"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December</w:t>
            </w:r>
            <w:r w:rsidRPr="00633DA6">
              <w:rPr>
                <w:rFonts w:ascii="Book Antiqua" w:eastAsiaTheme="minorEastAsia" w:hAnsi="Book Antiqua" w:cs="Book Antiqua" w:hint="eastAsia"/>
              </w:rPr>
              <w:t xml:space="preserve"> </w:t>
            </w:r>
            <w:r w:rsidRPr="00633DA6">
              <w:rPr>
                <w:rFonts w:ascii="Book Antiqua" w:eastAsia="Calibri" w:hAnsi="Book Antiqua" w:cs="Book Antiqua"/>
              </w:rPr>
              <w:t>2019-Februar</w:t>
            </w:r>
            <w:r w:rsidRPr="00633DA6">
              <w:rPr>
                <w:rFonts w:ascii="Book Antiqua" w:eastAsia="Calibri" w:hAnsi="Book Antiqua" w:cs="Book Antiqua"/>
              </w:rPr>
              <w:lastRenderedPageBreak/>
              <w:t>y 2020</w:t>
            </w:r>
          </w:p>
        </w:tc>
        <w:tc>
          <w:tcPr>
            <w:tcW w:w="888" w:type="pct"/>
          </w:tcPr>
          <w:p w14:paraId="6BB26108"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w:t>
            </w:r>
          </w:p>
        </w:tc>
        <w:tc>
          <w:tcPr>
            <w:tcW w:w="1355" w:type="pct"/>
          </w:tcPr>
          <w:p w14:paraId="3541530A"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IBD improvement</w:t>
            </w:r>
            <w:r w:rsidRPr="00633DA6">
              <w:rPr>
                <w:rFonts w:ascii="Book Antiqua" w:eastAsiaTheme="minorEastAsia" w:hAnsi="Book Antiqua" w:cs="Book Antiqua" w:hint="eastAsia"/>
              </w:rPr>
              <w:t xml:space="preserve">; </w:t>
            </w:r>
            <w:r w:rsidRPr="00633DA6">
              <w:rPr>
                <w:rFonts w:ascii="Book Antiqua" w:eastAsia="Calibri" w:hAnsi="Book Antiqua" w:cs="Book Antiqua"/>
              </w:rPr>
              <w:t>Improvement in</w:t>
            </w:r>
            <w:r w:rsidRPr="00633DA6">
              <w:rPr>
                <w:rFonts w:ascii="Book Antiqua" w:eastAsiaTheme="minorEastAsia" w:hAnsi="Book Antiqua" w:cs="Book Antiqua" w:hint="eastAsia"/>
              </w:rPr>
              <w:t xml:space="preserve"> </w:t>
            </w:r>
            <w:r w:rsidRPr="00633DA6">
              <w:rPr>
                <w:rFonts w:ascii="Book Antiqua" w:eastAsia="Calibri" w:hAnsi="Book Antiqua" w:cs="Book Antiqua"/>
              </w:rPr>
              <w:t>COVID-19 symptoms</w:t>
            </w:r>
            <w:r w:rsidRPr="00633DA6">
              <w:rPr>
                <w:rFonts w:ascii="Book Antiqua" w:eastAsiaTheme="minorEastAsia" w:hAnsi="Book Antiqua" w:cs="Book Antiqua" w:hint="eastAsia"/>
              </w:rPr>
              <w:t xml:space="preserve">; </w:t>
            </w:r>
            <w:r w:rsidRPr="00633DA6">
              <w:rPr>
                <w:rFonts w:ascii="Book Antiqua" w:eastAsia="Calibri" w:hAnsi="Book Antiqua" w:cs="Book Antiqua"/>
              </w:rPr>
              <w:lastRenderedPageBreak/>
              <w:t>↓Inflammation</w:t>
            </w:r>
          </w:p>
        </w:tc>
        <w:tc>
          <w:tcPr>
            <w:tcW w:w="420" w:type="pct"/>
          </w:tcPr>
          <w:p w14:paraId="261B6619"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w:t>
            </w:r>
          </w:p>
        </w:tc>
      </w:tr>
      <w:tr w:rsidR="000E5CDA" w:rsidRPr="00633DA6" w14:paraId="791B754D" w14:textId="77777777" w:rsidTr="00B23FEF">
        <w:tc>
          <w:tcPr>
            <w:tcW w:w="327" w:type="pct"/>
          </w:tcPr>
          <w:p w14:paraId="25BB275E"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Tursi</w:t>
            </w:r>
            <w:r w:rsidRPr="00633DA6">
              <w:rPr>
                <w:rFonts w:ascii="Book Antiqua" w:eastAsia="Calibri" w:hAnsi="Book Antiqua" w:cs="Book Antiqua"/>
              </w:rPr>
              <w:t xml:space="preserve"> </w:t>
            </w:r>
            <w:r w:rsidRPr="00633DA6">
              <w:rPr>
                <w:rFonts w:ascii="Book Antiqua" w:eastAsia="Calibri" w:hAnsi="Book Antiqua" w:cs="Book Antiqua"/>
                <w:i/>
              </w:rPr>
              <w:t>et al</w:t>
            </w:r>
            <w:r w:rsidRPr="00633DA6">
              <w:rPr>
                <w:rFonts w:ascii="Book Antiqua" w:eastAsia="Calibri" w:hAnsi="Book Antiqua" w:cs="Book Antiqua"/>
                <w:vertAlign w:val="superscript"/>
              </w:rPr>
              <w:t>[87]</w:t>
            </w:r>
          </w:p>
        </w:tc>
        <w:tc>
          <w:tcPr>
            <w:tcW w:w="373" w:type="pct"/>
          </w:tcPr>
          <w:p w14:paraId="17E1FE98"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Clinical trial</w:t>
            </w:r>
          </w:p>
        </w:tc>
        <w:tc>
          <w:tcPr>
            <w:tcW w:w="421" w:type="pct"/>
          </w:tcPr>
          <w:p w14:paraId="53F0BE98"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Crohn’s disease</w:t>
            </w:r>
          </w:p>
        </w:tc>
        <w:tc>
          <w:tcPr>
            <w:tcW w:w="701" w:type="pct"/>
          </w:tcPr>
          <w:p w14:paraId="55CCC1F5"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Adalimumab</w:t>
            </w:r>
          </w:p>
        </w:tc>
        <w:tc>
          <w:tcPr>
            <w:tcW w:w="514" w:type="pct"/>
          </w:tcPr>
          <w:p w14:paraId="2B39ADB2"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c>
          <w:tcPr>
            <w:tcW w:w="888" w:type="pct"/>
          </w:tcPr>
          <w:p w14:paraId="5EC94966"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c>
          <w:tcPr>
            <w:tcW w:w="1355" w:type="pct"/>
          </w:tcPr>
          <w:p w14:paraId="6B11AFAF"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Maintain of IBD remission during COVID-19</w:t>
            </w:r>
            <w:r w:rsidRPr="00633DA6">
              <w:rPr>
                <w:rFonts w:ascii="Book Antiqua" w:eastAsiaTheme="minorEastAsia" w:hAnsi="Book Antiqua" w:cs="Book Antiqua" w:hint="eastAsia"/>
              </w:rPr>
              <w:t xml:space="preserve">; </w:t>
            </w:r>
            <w:r w:rsidRPr="00633DA6">
              <w:rPr>
                <w:rFonts w:ascii="Book Antiqua" w:eastAsia="Calibri" w:hAnsi="Book Antiqua" w:cs="Book Antiqua"/>
              </w:rPr>
              <w:t>Managing/preventing COVID-driven pneumonia</w:t>
            </w:r>
            <w:r w:rsidRPr="00633DA6">
              <w:rPr>
                <w:rFonts w:ascii="Book Antiqua" w:eastAsiaTheme="minorEastAsia" w:hAnsi="Book Antiqua" w:cs="Book Antiqua" w:hint="eastAsia"/>
              </w:rPr>
              <w:t xml:space="preserve">: </w:t>
            </w:r>
            <w:r w:rsidRPr="00633DA6">
              <w:rPr>
                <w:rFonts w:ascii="Book Antiqua" w:hAnsi="Book Antiqua" w:cs="Book Antiqua"/>
              </w:rPr>
              <w:t>↓TNF-</w:t>
            </w:r>
            <w:r w:rsidRPr="00633DA6">
              <w:rPr>
                <w:rFonts w:ascii="Book Antiqua" w:eastAsiaTheme="minorEastAsia" w:hAnsi="Book Antiqua" w:cs="Book Antiqua"/>
              </w:rPr>
              <w:t xml:space="preserve">α; </w:t>
            </w:r>
            <w:r w:rsidRPr="00633DA6">
              <w:rPr>
                <w:rFonts w:ascii="Book Antiqua" w:eastAsia="Calibri" w:hAnsi="Book Antiqua" w:cs="Book Antiqua"/>
              </w:rPr>
              <w:t>↓Inflammation</w:t>
            </w:r>
            <w:r w:rsidRPr="00633DA6">
              <w:rPr>
                <w:rFonts w:ascii="Book Antiqua" w:eastAsiaTheme="minorEastAsia" w:hAnsi="Book Antiqua" w:cs="Book Antiqua" w:hint="eastAsia"/>
              </w:rPr>
              <w:t xml:space="preserve">; </w:t>
            </w:r>
            <w:r w:rsidRPr="00633DA6">
              <w:rPr>
                <w:rFonts w:ascii="Book Antiqua" w:eastAsia="Calibri" w:hAnsi="Book Antiqua" w:cs="Book Antiqua"/>
              </w:rPr>
              <w:t>↓ACE2/TMPRSS2 expression</w:t>
            </w:r>
          </w:p>
        </w:tc>
        <w:tc>
          <w:tcPr>
            <w:tcW w:w="420" w:type="pct"/>
          </w:tcPr>
          <w:p w14:paraId="208DC06A"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r>
      <w:tr w:rsidR="000E5CDA" w:rsidRPr="00633DA6" w14:paraId="633CCF71" w14:textId="77777777" w:rsidTr="00B23FEF">
        <w:tc>
          <w:tcPr>
            <w:tcW w:w="327" w:type="pct"/>
          </w:tcPr>
          <w:p w14:paraId="2D700029"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Bodini</w:t>
            </w:r>
            <w:r w:rsidRPr="00633DA6">
              <w:rPr>
                <w:rFonts w:ascii="Book Antiqua" w:eastAsia="Calibri" w:hAnsi="Book Antiqua" w:cs="Book Antiqua"/>
              </w:rPr>
              <w:t xml:space="preserve"> </w:t>
            </w:r>
            <w:r w:rsidRPr="00633DA6">
              <w:rPr>
                <w:rFonts w:ascii="Book Antiqua" w:eastAsia="Calibri" w:hAnsi="Book Antiqua" w:cs="Book Antiqua"/>
                <w:i/>
              </w:rPr>
              <w:t>et al</w:t>
            </w:r>
            <w:r w:rsidRPr="00633DA6">
              <w:rPr>
                <w:rFonts w:ascii="Book Antiqua" w:eastAsia="Calibri" w:hAnsi="Book Antiqua" w:cs="Book Antiqua"/>
                <w:vertAlign w:val="superscript"/>
              </w:rPr>
              <w:t>[88]</w:t>
            </w:r>
          </w:p>
        </w:tc>
        <w:tc>
          <w:tcPr>
            <w:tcW w:w="373" w:type="pct"/>
          </w:tcPr>
          <w:p w14:paraId="3CC30208"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Clinical trial</w:t>
            </w:r>
          </w:p>
        </w:tc>
        <w:tc>
          <w:tcPr>
            <w:tcW w:w="421" w:type="pct"/>
          </w:tcPr>
          <w:p w14:paraId="2031BE48"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IBD</w:t>
            </w:r>
          </w:p>
        </w:tc>
        <w:tc>
          <w:tcPr>
            <w:tcW w:w="701" w:type="pct"/>
          </w:tcPr>
          <w:p w14:paraId="2F5D8DAC"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Immunosuppressants/biological treatment</w:t>
            </w:r>
          </w:p>
        </w:tc>
        <w:tc>
          <w:tcPr>
            <w:tcW w:w="514" w:type="pct"/>
          </w:tcPr>
          <w:p w14:paraId="3310DE32" w14:textId="77777777" w:rsidR="000E5CDA" w:rsidRPr="00633DA6" w:rsidRDefault="000E5CDA" w:rsidP="00B23FEF">
            <w:pPr>
              <w:spacing w:line="360" w:lineRule="auto"/>
              <w:jc w:val="both"/>
              <w:rPr>
                <w:rFonts w:ascii="Book Antiqua" w:eastAsiaTheme="minorEastAsia" w:hAnsi="Book Antiqua" w:cs="Book Antiqua"/>
              </w:rPr>
            </w:pPr>
            <w:r w:rsidRPr="00633DA6">
              <w:rPr>
                <w:rFonts w:ascii="Book Antiqua" w:eastAsia="Calibri" w:hAnsi="Book Antiqua" w:cs="Book Antiqua"/>
              </w:rPr>
              <w:t>3 wk</w:t>
            </w:r>
          </w:p>
        </w:tc>
        <w:tc>
          <w:tcPr>
            <w:tcW w:w="888" w:type="pct"/>
          </w:tcPr>
          <w:p w14:paraId="2928EE6B"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48 patients</w:t>
            </w:r>
          </w:p>
        </w:tc>
        <w:tc>
          <w:tcPr>
            <w:tcW w:w="1355" w:type="pct"/>
          </w:tcPr>
          <w:p w14:paraId="224F58F0"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IBD improvement</w:t>
            </w:r>
            <w:r w:rsidRPr="00633DA6">
              <w:rPr>
                <w:rFonts w:ascii="Book Antiqua" w:eastAsiaTheme="minorEastAsia" w:hAnsi="Book Antiqua" w:cs="Book Antiqua" w:hint="eastAsia"/>
              </w:rPr>
              <w:t xml:space="preserve">; </w:t>
            </w:r>
            <w:r w:rsidRPr="00633DA6">
              <w:rPr>
                <w:rFonts w:ascii="Book Antiqua" w:eastAsia="Calibri" w:hAnsi="Book Antiqua" w:cs="Book Antiqua"/>
              </w:rPr>
              <w:t>Improvement in</w:t>
            </w:r>
            <w:r w:rsidRPr="00633DA6">
              <w:rPr>
                <w:rFonts w:ascii="Book Antiqua" w:eastAsiaTheme="minorEastAsia" w:hAnsi="Book Antiqua" w:cs="Book Antiqua" w:hint="eastAsia"/>
              </w:rPr>
              <w:t xml:space="preserve">; </w:t>
            </w:r>
            <w:r w:rsidRPr="00633DA6">
              <w:rPr>
                <w:rFonts w:ascii="Book Antiqua" w:eastAsia="Calibri" w:hAnsi="Book Antiqua" w:cs="Book Antiqua"/>
              </w:rPr>
              <w:t>COVID-19 symptoms</w:t>
            </w:r>
          </w:p>
        </w:tc>
        <w:tc>
          <w:tcPr>
            <w:tcW w:w="420" w:type="pct"/>
          </w:tcPr>
          <w:p w14:paraId="5913AF66"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Increase the risk of infection</w:t>
            </w:r>
          </w:p>
        </w:tc>
      </w:tr>
      <w:tr w:rsidR="000E5CDA" w:rsidRPr="00633DA6" w14:paraId="2C217B9C" w14:textId="77777777" w:rsidTr="00B23FEF">
        <w:tc>
          <w:tcPr>
            <w:tcW w:w="327" w:type="pct"/>
          </w:tcPr>
          <w:p w14:paraId="2EEF17C4"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Tursi</w:t>
            </w:r>
            <w:r w:rsidRPr="00633DA6">
              <w:rPr>
                <w:rFonts w:ascii="Book Antiqua" w:eastAsia="Calibri" w:hAnsi="Book Antiqua" w:cs="Book Antiqua"/>
              </w:rPr>
              <w:t xml:space="preserve"> </w:t>
            </w:r>
            <w:r w:rsidRPr="00633DA6">
              <w:rPr>
                <w:rFonts w:ascii="Book Antiqua" w:eastAsia="Calibri" w:hAnsi="Book Antiqua" w:cs="Book Antiqua"/>
                <w:i/>
              </w:rPr>
              <w:t>et al</w:t>
            </w:r>
            <w:r w:rsidRPr="00633DA6">
              <w:rPr>
                <w:rFonts w:ascii="Book Antiqua" w:eastAsia="Calibri" w:hAnsi="Book Antiqua" w:cs="Book Antiqua"/>
                <w:vertAlign w:val="superscript"/>
              </w:rPr>
              <w:t>[89]</w:t>
            </w:r>
          </w:p>
        </w:tc>
        <w:tc>
          <w:tcPr>
            <w:tcW w:w="373" w:type="pct"/>
          </w:tcPr>
          <w:p w14:paraId="256F7B65"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Clinical trial</w:t>
            </w:r>
          </w:p>
        </w:tc>
        <w:tc>
          <w:tcPr>
            <w:tcW w:w="421" w:type="pct"/>
          </w:tcPr>
          <w:p w14:paraId="40DD8637"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Crohn’s disease</w:t>
            </w:r>
          </w:p>
        </w:tc>
        <w:tc>
          <w:tcPr>
            <w:tcW w:w="701" w:type="pct"/>
          </w:tcPr>
          <w:p w14:paraId="0D72D27C"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Mesalazine (3 g/d) and Adalimumab 40 mg subcutaneously</w:t>
            </w:r>
          </w:p>
        </w:tc>
        <w:tc>
          <w:tcPr>
            <w:tcW w:w="514" w:type="pct"/>
          </w:tcPr>
          <w:p w14:paraId="0901A51C"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c>
          <w:tcPr>
            <w:tcW w:w="888" w:type="pct"/>
          </w:tcPr>
          <w:p w14:paraId="1F27D048"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74 cases</w:t>
            </w:r>
          </w:p>
        </w:tc>
        <w:tc>
          <w:tcPr>
            <w:tcW w:w="1355" w:type="pct"/>
          </w:tcPr>
          <w:p w14:paraId="556E1AF8"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 xml:space="preserve">IBD improvement; </w:t>
            </w:r>
            <w:r w:rsidRPr="00633DA6">
              <w:rPr>
                <w:rFonts w:ascii="Book Antiqua" w:eastAsiaTheme="minorEastAsia" w:hAnsi="Book Antiqua" w:cs="Book Antiqua" w:hint="eastAsia"/>
              </w:rPr>
              <w:t>I</w:t>
            </w:r>
            <w:r w:rsidRPr="00633DA6">
              <w:rPr>
                <w:rFonts w:ascii="Book Antiqua" w:eastAsia="Calibri" w:hAnsi="Book Antiqua" w:cs="Book Antiqua"/>
              </w:rPr>
              <w:t xml:space="preserve">mprovement in COVID-19 symptoms; </w:t>
            </w:r>
            <w:r w:rsidRPr="00633DA6">
              <w:rPr>
                <w:rFonts w:ascii="Book Antiqua" w:hAnsi="Book Antiqua" w:cs="Book Antiqua"/>
              </w:rPr>
              <w:t>↓TNF-</w:t>
            </w:r>
            <w:r w:rsidRPr="00633DA6">
              <w:rPr>
                <w:rFonts w:ascii="Book Antiqua" w:eastAsiaTheme="minorEastAsia" w:hAnsi="Book Antiqua" w:cs="Book Antiqua"/>
              </w:rPr>
              <w:t>α</w:t>
            </w:r>
            <w:r w:rsidRPr="00633DA6">
              <w:rPr>
                <w:rFonts w:ascii="Book Antiqua" w:hAnsi="Book Antiqua" w:cs="Book Antiqua"/>
              </w:rPr>
              <w:t xml:space="preserve">; </w:t>
            </w:r>
            <w:r w:rsidRPr="00633DA6">
              <w:rPr>
                <w:rFonts w:ascii="Book Antiqua" w:eastAsia="Calibri" w:hAnsi="Book Antiqua" w:cs="Book Antiqua"/>
              </w:rPr>
              <w:t>↓Inflammation; ↓ACE2/TMPRSS2 expression</w:t>
            </w:r>
          </w:p>
        </w:tc>
        <w:tc>
          <w:tcPr>
            <w:tcW w:w="420" w:type="pct"/>
          </w:tcPr>
          <w:p w14:paraId="7C0D7A80"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r>
      <w:tr w:rsidR="000E5CDA" w:rsidRPr="00633DA6" w14:paraId="22A2BC50" w14:textId="77777777" w:rsidTr="00B23FEF">
        <w:tc>
          <w:tcPr>
            <w:tcW w:w="327" w:type="pct"/>
          </w:tcPr>
          <w:p w14:paraId="1B8FD3EF"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Allocca</w:t>
            </w:r>
            <w:r w:rsidRPr="00633DA6">
              <w:rPr>
                <w:rFonts w:ascii="Book Antiqua" w:eastAsia="Calibri" w:hAnsi="Book Antiqua" w:cs="Book Antiqua"/>
              </w:rPr>
              <w:t xml:space="preserve"> </w:t>
            </w:r>
            <w:r w:rsidRPr="00633DA6">
              <w:rPr>
                <w:rFonts w:ascii="Book Antiqua" w:eastAsia="Calibri" w:hAnsi="Book Antiqua" w:cs="Book Antiqua"/>
                <w:i/>
              </w:rPr>
              <w:t xml:space="preserve">et </w:t>
            </w:r>
            <w:r w:rsidRPr="00633DA6">
              <w:rPr>
                <w:rFonts w:ascii="Book Antiqua" w:eastAsia="Calibri" w:hAnsi="Book Antiqua" w:cs="Book Antiqua"/>
                <w:i/>
              </w:rPr>
              <w:lastRenderedPageBreak/>
              <w:t>al</w:t>
            </w:r>
            <w:r w:rsidRPr="00633DA6">
              <w:rPr>
                <w:rFonts w:ascii="Book Antiqua" w:eastAsia="Calibri" w:hAnsi="Book Antiqua" w:cs="Book Antiqua"/>
                <w:vertAlign w:val="superscript"/>
              </w:rPr>
              <w:t>[90]</w:t>
            </w:r>
          </w:p>
        </w:tc>
        <w:tc>
          <w:tcPr>
            <w:tcW w:w="373" w:type="pct"/>
          </w:tcPr>
          <w:p w14:paraId="77C23D81"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Clinical trial</w:t>
            </w:r>
          </w:p>
        </w:tc>
        <w:tc>
          <w:tcPr>
            <w:tcW w:w="421" w:type="pct"/>
          </w:tcPr>
          <w:p w14:paraId="71BE7B37"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IBD</w:t>
            </w:r>
          </w:p>
        </w:tc>
        <w:tc>
          <w:tcPr>
            <w:tcW w:w="701" w:type="pct"/>
          </w:tcPr>
          <w:p w14:paraId="3389E8D7"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Biological treatment</w:t>
            </w:r>
          </w:p>
        </w:tc>
        <w:tc>
          <w:tcPr>
            <w:tcW w:w="514" w:type="pct"/>
          </w:tcPr>
          <w:p w14:paraId="4CB63D52"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c>
          <w:tcPr>
            <w:tcW w:w="888" w:type="pct"/>
          </w:tcPr>
          <w:p w14:paraId="065B5BFE"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162 IBD patients</w:t>
            </w:r>
          </w:p>
        </w:tc>
        <w:tc>
          <w:tcPr>
            <w:tcW w:w="1355" w:type="pct"/>
          </w:tcPr>
          <w:p w14:paraId="79E4D3A5"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IBD improvement</w:t>
            </w:r>
            <w:r w:rsidRPr="00633DA6">
              <w:rPr>
                <w:rFonts w:ascii="Book Antiqua" w:eastAsiaTheme="minorEastAsia" w:hAnsi="Book Antiqua" w:cs="Book Antiqua" w:hint="eastAsia"/>
              </w:rPr>
              <w:t xml:space="preserve">; </w:t>
            </w:r>
            <w:r w:rsidRPr="00633DA6">
              <w:rPr>
                <w:rFonts w:ascii="Book Antiqua" w:eastAsia="Calibri" w:hAnsi="Book Antiqua" w:cs="Book Antiqua"/>
              </w:rPr>
              <w:t>Improvement in</w:t>
            </w:r>
            <w:r w:rsidRPr="00633DA6">
              <w:rPr>
                <w:rFonts w:ascii="Book Antiqua" w:eastAsiaTheme="minorEastAsia" w:hAnsi="Book Antiqua" w:cs="Book Antiqua" w:hint="eastAsia"/>
              </w:rPr>
              <w:t xml:space="preserve"> </w:t>
            </w:r>
            <w:r w:rsidRPr="00633DA6">
              <w:rPr>
                <w:rFonts w:ascii="Book Antiqua" w:eastAsia="Calibri" w:hAnsi="Book Antiqua" w:cs="Book Antiqua"/>
              </w:rPr>
              <w:t xml:space="preserve">COVID-19 symptoms </w:t>
            </w:r>
          </w:p>
        </w:tc>
        <w:tc>
          <w:tcPr>
            <w:tcW w:w="420" w:type="pct"/>
          </w:tcPr>
          <w:p w14:paraId="5A985FDE"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r>
      <w:tr w:rsidR="000E5CDA" w:rsidRPr="00633DA6" w14:paraId="2FE858E9" w14:textId="77777777" w:rsidTr="00B23FEF">
        <w:tc>
          <w:tcPr>
            <w:tcW w:w="327" w:type="pct"/>
          </w:tcPr>
          <w:p w14:paraId="581F1BC8"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Jacobs</w:t>
            </w:r>
            <w:r w:rsidRPr="00633DA6">
              <w:rPr>
                <w:rFonts w:ascii="Book Antiqua" w:eastAsia="Calibri" w:hAnsi="Book Antiqua" w:cs="Book Antiqua"/>
              </w:rPr>
              <w:t xml:space="preserve"> </w:t>
            </w:r>
            <w:r w:rsidRPr="00633DA6">
              <w:rPr>
                <w:rFonts w:ascii="Book Antiqua" w:eastAsia="Calibri" w:hAnsi="Book Antiqua" w:cs="Book Antiqua"/>
                <w:i/>
              </w:rPr>
              <w:t>et al</w:t>
            </w:r>
            <w:r w:rsidRPr="00633DA6">
              <w:rPr>
                <w:rFonts w:ascii="Book Antiqua" w:eastAsia="Calibri" w:hAnsi="Book Antiqua" w:cs="Book Antiqua"/>
                <w:vertAlign w:val="superscript"/>
              </w:rPr>
              <w:t>[91]</w:t>
            </w:r>
          </w:p>
        </w:tc>
        <w:tc>
          <w:tcPr>
            <w:tcW w:w="373" w:type="pct"/>
          </w:tcPr>
          <w:p w14:paraId="3C79B5E0"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Clinical trial</w:t>
            </w:r>
          </w:p>
        </w:tc>
        <w:tc>
          <w:tcPr>
            <w:tcW w:w="421" w:type="pct"/>
          </w:tcPr>
          <w:p w14:paraId="244333A2"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 xml:space="preserve">Ulcerative </w:t>
            </w:r>
            <w:r w:rsidRPr="00633DA6">
              <w:rPr>
                <w:rFonts w:ascii="Book Antiqua" w:eastAsiaTheme="minorEastAsia" w:hAnsi="Book Antiqua" w:cs="Book Antiqua" w:hint="eastAsia"/>
              </w:rPr>
              <w:t>c</w:t>
            </w:r>
            <w:r w:rsidRPr="00633DA6">
              <w:rPr>
                <w:rFonts w:ascii="Book Antiqua" w:eastAsia="Calibri" w:hAnsi="Book Antiqua" w:cs="Book Antiqua"/>
              </w:rPr>
              <w:t>olitis</w:t>
            </w:r>
          </w:p>
        </w:tc>
        <w:tc>
          <w:tcPr>
            <w:tcW w:w="701" w:type="pct"/>
          </w:tcPr>
          <w:p w14:paraId="41209ED9"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Tofacitinib (10 mg twice daily)</w:t>
            </w:r>
          </w:p>
        </w:tc>
        <w:tc>
          <w:tcPr>
            <w:tcW w:w="514" w:type="pct"/>
          </w:tcPr>
          <w:p w14:paraId="1B7AD23C"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5 mo</w:t>
            </w:r>
          </w:p>
        </w:tc>
        <w:tc>
          <w:tcPr>
            <w:tcW w:w="888" w:type="pct"/>
          </w:tcPr>
          <w:p w14:paraId="51E014BF"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c>
          <w:tcPr>
            <w:tcW w:w="1355" w:type="pct"/>
          </w:tcPr>
          <w:p w14:paraId="1C88D222"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IBD improvement</w:t>
            </w:r>
            <w:r w:rsidRPr="00633DA6">
              <w:rPr>
                <w:rFonts w:ascii="Book Antiqua" w:eastAsiaTheme="minorEastAsia" w:hAnsi="Book Antiqua" w:cs="Book Antiqua" w:hint="eastAsia"/>
              </w:rPr>
              <w:t xml:space="preserve">; </w:t>
            </w:r>
            <w:r w:rsidRPr="00633DA6">
              <w:rPr>
                <w:rFonts w:ascii="Book Antiqua" w:eastAsia="Calibri" w:hAnsi="Book Antiqua" w:cs="Book Antiqua"/>
              </w:rPr>
              <w:t>Improvement in</w:t>
            </w:r>
            <w:r w:rsidRPr="00633DA6">
              <w:rPr>
                <w:rFonts w:ascii="Book Antiqua" w:eastAsiaTheme="minorEastAsia" w:hAnsi="Book Antiqua" w:cs="Book Antiqua" w:hint="eastAsia"/>
              </w:rPr>
              <w:t xml:space="preserve"> </w:t>
            </w:r>
            <w:r w:rsidRPr="00633DA6">
              <w:rPr>
                <w:rFonts w:ascii="Book Antiqua" w:eastAsia="Calibri" w:hAnsi="Book Antiqua" w:cs="Book Antiqua"/>
              </w:rPr>
              <w:t xml:space="preserve">COVID-19 symptoms </w:t>
            </w:r>
          </w:p>
        </w:tc>
        <w:tc>
          <w:tcPr>
            <w:tcW w:w="420" w:type="pct"/>
          </w:tcPr>
          <w:p w14:paraId="47F227A9"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Increase the risk of infection</w:t>
            </w:r>
          </w:p>
        </w:tc>
      </w:tr>
      <w:tr w:rsidR="000E5CDA" w:rsidRPr="00633DA6" w14:paraId="1D433A41" w14:textId="77777777" w:rsidTr="00B23FEF">
        <w:tc>
          <w:tcPr>
            <w:tcW w:w="327" w:type="pct"/>
          </w:tcPr>
          <w:p w14:paraId="7FA7A64D"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Gutin</w:t>
            </w:r>
            <w:r w:rsidRPr="00633DA6">
              <w:rPr>
                <w:rFonts w:ascii="Book Antiqua" w:eastAsia="Calibri" w:hAnsi="Book Antiqua" w:cs="Book Antiqua"/>
              </w:rPr>
              <w:t xml:space="preserve"> </w:t>
            </w:r>
            <w:r w:rsidRPr="00633DA6">
              <w:rPr>
                <w:rFonts w:ascii="Book Antiqua" w:eastAsia="Calibri" w:hAnsi="Book Antiqua" w:cs="Book Antiqua"/>
                <w:i/>
              </w:rPr>
              <w:t>et al</w:t>
            </w:r>
            <w:r w:rsidRPr="00633DA6">
              <w:rPr>
                <w:rFonts w:ascii="Book Antiqua" w:eastAsia="Calibri" w:hAnsi="Book Antiqua" w:cs="Book Antiqua"/>
                <w:vertAlign w:val="superscript"/>
              </w:rPr>
              <w:t>[</w:t>
            </w:r>
            <w:r w:rsidRPr="00633DA6">
              <w:rPr>
                <w:rFonts w:ascii="Book Antiqua" w:eastAsiaTheme="minorEastAsia" w:hAnsi="Book Antiqua" w:cs="Book Antiqua"/>
                <w:vertAlign w:val="superscript"/>
              </w:rPr>
              <w:t>69</w:t>
            </w:r>
            <w:r w:rsidRPr="00633DA6">
              <w:rPr>
                <w:rFonts w:ascii="Book Antiqua" w:eastAsia="Calibri" w:hAnsi="Book Antiqua" w:cs="Book Antiqua"/>
                <w:vertAlign w:val="superscript"/>
              </w:rPr>
              <w:t>]</w:t>
            </w:r>
          </w:p>
        </w:tc>
        <w:tc>
          <w:tcPr>
            <w:tcW w:w="373" w:type="pct"/>
          </w:tcPr>
          <w:p w14:paraId="5DA3D8FF"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Clinical trial</w:t>
            </w:r>
          </w:p>
        </w:tc>
        <w:tc>
          <w:tcPr>
            <w:tcW w:w="421" w:type="pct"/>
          </w:tcPr>
          <w:p w14:paraId="71C8A698"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Theme="minorEastAsia" w:hAnsi="Book Antiqua" w:cs="Book Antiqua" w:hint="eastAsia"/>
              </w:rPr>
              <w:t>U</w:t>
            </w:r>
            <w:r w:rsidRPr="00633DA6">
              <w:rPr>
                <w:rFonts w:ascii="Book Antiqua" w:eastAsia="Calibri" w:hAnsi="Book Antiqua" w:cs="Book Antiqua"/>
              </w:rPr>
              <w:t>lcerative colitis</w:t>
            </w:r>
          </w:p>
        </w:tc>
        <w:tc>
          <w:tcPr>
            <w:tcW w:w="701" w:type="pct"/>
          </w:tcPr>
          <w:p w14:paraId="39AC0E01"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Biological treatment</w:t>
            </w:r>
          </w:p>
        </w:tc>
        <w:tc>
          <w:tcPr>
            <w:tcW w:w="514" w:type="pct"/>
          </w:tcPr>
          <w:p w14:paraId="18A20EB6"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February</w:t>
            </w:r>
            <w:r w:rsidRPr="00633DA6">
              <w:rPr>
                <w:rFonts w:ascii="Book Antiqua" w:eastAsiaTheme="minorEastAsia" w:hAnsi="Book Antiqua" w:cs="Book Antiqua" w:hint="eastAsia"/>
              </w:rPr>
              <w:t xml:space="preserve"> 2020</w:t>
            </w:r>
            <w:r w:rsidRPr="00633DA6">
              <w:rPr>
                <w:rFonts w:ascii="Book Antiqua" w:eastAsia="Calibri" w:hAnsi="Book Antiqua" w:cs="Book Antiqua"/>
              </w:rPr>
              <w:t>-March 2020</w:t>
            </w:r>
          </w:p>
        </w:tc>
        <w:tc>
          <w:tcPr>
            <w:tcW w:w="888" w:type="pct"/>
          </w:tcPr>
          <w:p w14:paraId="1C1B277F"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522 patients</w:t>
            </w:r>
          </w:p>
        </w:tc>
        <w:tc>
          <w:tcPr>
            <w:tcW w:w="1355" w:type="pct"/>
          </w:tcPr>
          <w:p w14:paraId="58C702A2"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IBD improvement</w:t>
            </w:r>
            <w:r w:rsidRPr="00633DA6">
              <w:rPr>
                <w:rFonts w:ascii="Book Antiqua" w:eastAsiaTheme="minorEastAsia" w:hAnsi="Book Antiqua" w:cs="Book Antiqua" w:hint="eastAsia"/>
              </w:rPr>
              <w:t xml:space="preserve">; </w:t>
            </w:r>
            <w:r w:rsidRPr="00633DA6">
              <w:rPr>
                <w:rFonts w:ascii="Book Antiqua" w:eastAsia="Calibri" w:hAnsi="Book Antiqua" w:cs="Book Antiqua"/>
              </w:rPr>
              <w:t>Improvement in</w:t>
            </w:r>
            <w:r w:rsidRPr="00633DA6">
              <w:rPr>
                <w:rFonts w:ascii="Book Antiqua" w:eastAsiaTheme="minorEastAsia" w:hAnsi="Book Antiqua" w:cs="Book Antiqua" w:hint="eastAsia"/>
              </w:rPr>
              <w:t xml:space="preserve"> </w:t>
            </w:r>
            <w:r w:rsidRPr="00633DA6">
              <w:rPr>
                <w:rFonts w:ascii="Book Antiqua" w:eastAsia="Calibri" w:hAnsi="Book Antiqua" w:cs="Book Antiqua"/>
              </w:rPr>
              <w:t>COVID-19 symptoms</w:t>
            </w:r>
            <w:r w:rsidRPr="00633DA6">
              <w:rPr>
                <w:rFonts w:ascii="Book Antiqua" w:eastAsiaTheme="minorEastAsia" w:hAnsi="Book Antiqua" w:cs="Book Antiqua" w:hint="eastAsia"/>
              </w:rPr>
              <w:t>:</w:t>
            </w:r>
            <w:r w:rsidRPr="00633DA6">
              <w:rPr>
                <w:rFonts w:ascii="Book Antiqua" w:eastAsia="Calibri" w:hAnsi="Book Antiqua" w:cs="Book Antiqua"/>
              </w:rPr>
              <w:t xml:space="preserve"> ↓TNF-</w:t>
            </w:r>
            <w:r w:rsidRPr="00633DA6">
              <w:rPr>
                <w:rFonts w:ascii="Book Antiqua" w:eastAsiaTheme="minorEastAsia" w:hAnsi="Book Antiqua" w:cs="Book Antiqua"/>
              </w:rPr>
              <w:t xml:space="preserve">α; </w:t>
            </w:r>
            <w:r w:rsidRPr="00633DA6">
              <w:rPr>
                <w:rFonts w:ascii="Book Antiqua" w:eastAsia="Calibri" w:hAnsi="Book Antiqua" w:cs="Book Antiqua"/>
              </w:rPr>
              <w:t>↓Inflammation;</w:t>
            </w:r>
            <w:r w:rsidRPr="00633DA6">
              <w:rPr>
                <w:rFonts w:ascii="Book Antiqua" w:eastAsiaTheme="minorEastAsia" w:hAnsi="Book Antiqua" w:cs="Book Antiqua" w:hint="eastAsia"/>
              </w:rPr>
              <w:t xml:space="preserve"> </w:t>
            </w:r>
            <w:r w:rsidRPr="00633DA6">
              <w:rPr>
                <w:rFonts w:ascii="Book Antiqua" w:eastAsia="Calibri" w:hAnsi="Book Antiqua" w:cs="Book Antiqua"/>
              </w:rPr>
              <w:t>↓ACE2/TMPRSS2 expression</w:t>
            </w:r>
          </w:p>
        </w:tc>
        <w:tc>
          <w:tcPr>
            <w:tcW w:w="420" w:type="pct"/>
          </w:tcPr>
          <w:p w14:paraId="65BCF656" w14:textId="77777777" w:rsidR="000E5CDA" w:rsidRPr="00633DA6" w:rsidRDefault="000E5CDA" w:rsidP="00B23FEF">
            <w:pPr>
              <w:spacing w:line="360" w:lineRule="auto"/>
              <w:jc w:val="both"/>
              <w:rPr>
                <w:rFonts w:ascii="Book Antiqua" w:eastAsia="Calibri" w:hAnsi="Book Antiqua" w:cs="Book Antiqua"/>
              </w:rPr>
            </w:pPr>
          </w:p>
        </w:tc>
      </w:tr>
      <w:tr w:rsidR="000E5CDA" w:rsidRPr="00633DA6" w14:paraId="426B2312" w14:textId="77777777" w:rsidTr="00B23FEF">
        <w:tc>
          <w:tcPr>
            <w:tcW w:w="327" w:type="pct"/>
          </w:tcPr>
          <w:p w14:paraId="371E9081"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Taxonera</w:t>
            </w:r>
            <w:r w:rsidRPr="00633DA6">
              <w:rPr>
                <w:rFonts w:ascii="Book Antiqua" w:eastAsia="Calibri" w:hAnsi="Book Antiqua" w:cs="Book Antiqua"/>
              </w:rPr>
              <w:t xml:space="preserve"> </w:t>
            </w:r>
            <w:r w:rsidRPr="00633DA6">
              <w:rPr>
                <w:rFonts w:ascii="Book Antiqua" w:eastAsia="Calibri" w:hAnsi="Book Antiqua" w:cs="Book Antiqua"/>
                <w:i/>
              </w:rPr>
              <w:t>et al</w:t>
            </w:r>
            <w:r w:rsidRPr="00633DA6">
              <w:rPr>
                <w:rFonts w:ascii="Book Antiqua" w:eastAsia="Calibri" w:hAnsi="Book Antiqua" w:cs="Book Antiqua"/>
                <w:vertAlign w:val="superscript"/>
              </w:rPr>
              <w:t>[9</w:t>
            </w:r>
            <w:r w:rsidRPr="00633DA6">
              <w:rPr>
                <w:rFonts w:ascii="Book Antiqua" w:eastAsiaTheme="minorEastAsia" w:hAnsi="Book Antiqua" w:cs="Book Antiqua"/>
                <w:vertAlign w:val="superscript"/>
              </w:rPr>
              <w:t>2</w:t>
            </w:r>
            <w:r w:rsidRPr="00633DA6">
              <w:rPr>
                <w:rFonts w:ascii="Book Antiqua" w:eastAsia="Calibri" w:hAnsi="Book Antiqua" w:cs="Book Antiqua"/>
                <w:vertAlign w:val="superscript"/>
              </w:rPr>
              <w:t>]</w:t>
            </w:r>
          </w:p>
        </w:tc>
        <w:tc>
          <w:tcPr>
            <w:tcW w:w="373" w:type="pct"/>
          </w:tcPr>
          <w:p w14:paraId="2A9A63E1"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Clinical trial</w:t>
            </w:r>
          </w:p>
        </w:tc>
        <w:tc>
          <w:tcPr>
            <w:tcW w:w="421" w:type="pct"/>
          </w:tcPr>
          <w:p w14:paraId="7FF67F5C"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Crohn’s disease</w:t>
            </w:r>
          </w:p>
        </w:tc>
        <w:tc>
          <w:tcPr>
            <w:tcW w:w="701" w:type="pct"/>
          </w:tcPr>
          <w:p w14:paraId="2E80D759"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Immunomodulatory/biologics</w:t>
            </w:r>
          </w:p>
        </w:tc>
        <w:tc>
          <w:tcPr>
            <w:tcW w:w="514" w:type="pct"/>
          </w:tcPr>
          <w:p w14:paraId="1FD22C9A"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c>
          <w:tcPr>
            <w:tcW w:w="888" w:type="pct"/>
          </w:tcPr>
          <w:p w14:paraId="5D05DD6B"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Theme="minorEastAsia" w:hAnsi="Book Antiqua" w:cs="Book Antiqua" w:hint="eastAsia"/>
                <w:i/>
              </w:rPr>
              <w:t>n</w:t>
            </w:r>
            <w:r w:rsidRPr="00633DA6">
              <w:rPr>
                <w:rFonts w:ascii="Book Antiqua" w:eastAsiaTheme="minorEastAsia" w:hAnsi="Book Antiqua" w:cs="Book Antiqua" w:hint="eastAsia"/>
              </w:rPr>
              <w:t xml:space="preserve"> </w:t>
            </w:r>
            <w:r w:rsidRPr="00633DA6">
              <w:rPr>
                <w:rFonts w:ascii="Book Antiqua" w:eastAsia="Calibri" w:hAnsi="Book Antiqua" w:cs="Book Antiqua"/>
              </w:rPr>
              <w:t>=</w:t>
            </w:r>
            <w:r w:rsidRPr="00633DA6">
              <w:rPr>
                <w:rFonts w:ascii="Book Antiqua" w:eastAsiaTheme="minorEastAsia" w:hAnsi="Book Antiqua" w:cs="Book Antiqua" w:hint="eastAsia"/>
              </w:rPr>
              <w:t xml:space="preserve"> </w:t>
            </w:r>
            <w:r w:rsidRPr="00633DA6">
              <w:rPr>
                <w:rFonts w:ascii="Book Antiqua" w:eastAsia="Calibri" w:hAnsi="Book Antiqua" w:cs="Book Antiqua"/>
              </w:rPr>
              <w:t>12</w:t>
            </w:r>
          </w:p>
        </w:tc>
        <w:tc>
          <w:tcPr>
            <w:tcW w:w="1355" w:type="pct"/>
          </w:tcPr>
          <w:p w14:paraId="450C4B08"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 xml:space="preserve">IBD improvement; </w:t>
            </w:r>
            <w:r w:rsidRPr="00633DA6">
              <w:rPr>
                <w:rFonts w:ascii="Book Antiqua" w:eastAsiaTheme="minorEastAsia" w:hAnsi="Book Antiqua" w:cs="Book Antiqua" w:hint="eastAsia"/>
              </w:rPr>
              <w:t>I</w:t>
            </w:r>
            <w:r w:rsidRPr="00633DA6">
              <w:rPr>
                <w:rFonts w:ascii="Book Antiqua" w:eastAsia="Calibri" w:hAnsi="Book Antiqua" w:cs="Book Antiqua"/>
              </w:rPr>
              <w:t>mprovement in COVID-19 symptoms; ↓TNF-</w:t>
            </w:r>
            <w:r w:rsidRPr="00633DA6">
              <w:rPr>
                <w:rFonts w:ascii="Book Antiqua" w:eastAsiaTheme="minorEastAsia" w:hAnsi="Book Antiqua" w:cs="Book Antiqua"/>
              </w:rPr>
              <w:t xml:space="preserve">α; </w:t>
            </w:r>
            <w:r w:rsidRPr="00633DA6">
              <w:rPr>
                <w:rFonts w:ascii="Book Antiqua" w:eastAsia="Calibri" w:hAnsi="Book Antiqua" w:cs="Book Antiqua"/>
              </w:rPr>
              <w:t>↓Inflammation; ↓ACE2/TMPRSS2 expression</w:t>
            </w:r>
          </w:p>
        </w:tc>
        <w:tc>
          <w:tcPr>
            <w:tcW w:w="420" w:type="pct"/>
          </w:tcPr>
          <w:p w14:paraId="03A740BC" w14:textId="77777777" w:rsidR="000E5CDA" w:rsidRPr="00633DA6" w:rsidRDefault="000E5CDA" w:rsidP="00B23FEF">
            <w:pPr>
              <w:spacing w:line="360" w:lineRule="auto"/>
              <w:jc w:val="both"/>
              <w:rPr>
                <w:rFonts w:ascii="Book Antiqua" w:eastAsia="Calibri" w:hAnsi="Book Antiqua" w:cs="Book Antiqua"/>
              </w:rPr>
            </w:pPr>
          </w:p>
        </w:tc>
      </w:tr>
      <w:tr w:rsidR="000E5CDA" w:rsidRPr="00633DA6" w14:paraId="678489B4" w14:textId="77777777" w:rsidTr="00B23FEF">
        <w:tc>
          <w:tcPr>
            <w:tcW w:w="327" w:type="pct"/>
          </w:tcPr>
          <w:p w14:paraId="232D3AEA"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Allocca</w:t>
            </w:r>
            <w:r w:rsidRPr="00633DA6">
              <w:rPr>
                <w:rFonts w:ascii="Book Antiqua" w:eastAsia="Calibri" w:hAnsi="Book Antiqua" w:cs="Book Antiqua"/>
              </w:rPr>
              <w:t xml:space="preserve"> </w:t>
            </w:r>
            <w:r w:rsidRPr="00633DA6">
              <w:rPr>
                <w:rFonts w:ascii="Book Antiqua" w:eastAsia="Calibri" w:hAnsi="Book Antiqua" w:cs="Book Antiqua"/>
                <w:i/>
              </w:rPr>
              <w:t>et al</w:t>
            </w:r>
            <w:r w:rsidRPr="00633DA6">
              <w:rPr>
                <w:rFonts w:ascii="Book Antiqua" w:eastAsia="Calibri" w:hAnsi="Book Antiqua" w:cs="Book Antiqua"/>
                <w:vertAlign w:val="superscript"/>
              </w:rPr>
              <w:t>[9</w:t>
            </w:r>
            <w:r w:rsidRPr="00633DA6">
              <w:rPr>
                <w:rFonts w:ascii="Book Antiqua" w:eastAsiaTheme="minorEastAsia" w:hAnsi="Book Antiqua" w:cs="Book Antiqua"/>
                <w:vertAlign w:val="superscript"/>
              </w:rPr>
              <w:t>3</w:t>
            </w:r>
            <w:r w:rsidRPr="00633DA6">
              <w:rPr>
                <w:rFonts w:ascii="Book Antiqua" w:eastAsia="Calibri" w:hAnsi="Book Antiqua" w:cs="Book Antiqua"/>
                <w:vertAlign w:val="superscript"/>
              </w:rPr>
              <w:t>]</w:t>
            </w:r>
          </w:p>
        </w:tc>
        <w:tc>
          <w:tcPr>
            <w:tcW w:w="373" w:type="pct"/>
          </w:tcPr>
          <w:p w14:paraId="1939E087"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Clinical trial</w:t>
            </w:r>
          </w:p>
        </w:tc>
        <w:tc>
          <w:tcPr>
            <w:tcW w:w="421" w:type="pct"/>
          </w:tcPr>
          <w:p w14:paraId="5C675363"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c>
          <w:tcPr>
            <w:tcW w:w="701" w:type="pct"/>
          </w:tcPr>
          <w:p w14:paraId="02F6ED96"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Immunosuppressant or biologics</w:t>
            </w:r>
          </w:p>
        </w:tc>
        <w:tc>
          <w:tcPr>
            <w:tcW w:w="514" w:type="pct"/>
          </w:tcPr>
          <w:p w14:paraId="56054731"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c>
          <w:tcPr>
            <w:tcW w:w="888" w:type="pct"/>
          </w:tcPr>
          <w:p w14:paraId="23890962"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Theme="minorEastAsia" w:hAnsi="Book Antiqua" w:cs="Book Antiqua" w:hint="eastAsia"/>
                <w:i/>
              </w:rPr>
              <w:t>n</w:t>
            </w:r>
            <w:r w:rsidRPr="00633DA6">
              <w:rPr>
                <w:rFonts w:ascii="Book Antiqua" w:eastAsia="Calibri" w:hAnsi="Book Antiqua" w:cs="Book Antiqua"/>
              </w:rPr>
              <w:t xml:space="preserve"> =</w:t>
            </w:r>
            <w:r w:rsidRPr="00633DA6">
              <w:rPr>
                <w:rFonts w:ascii="Book Antiqua" w:eastAsiaTheme="minorEastAsia" w:hAnsi="Book Antiqua" w:cs="Book Antiqua" w:hint="eastAsia"/>
              </w:rPr>
              <w:t xml:space="preserve"> </w:t>
            </w:r>
            <w:r w:rsidRPr="00633DA6">
              <w:rPr>
                <w:rFonts w:ascii="Book Antiqua" w:eastAsia="Calibri" w:hAnsi="Book Antiqua" w:cs="Book Antiqua"/>
              </w:rPr>
              <w:t>15</w:t>
            </w:r>
          </w:p>
        </w:tc>
        <w:tc>
          <w:tcPr>
            <w:tcW w:w="1355" w:type="pct"/>
          </w:tcPr>
          <w:p w14:paraId="5B39B244"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 xml:space="preserve">IBD improvement; </w:t>
            </w:r>
            <w:r w:rsidRPr="00633DA6">
              <w:rPr>
                <w:rFonts w:ascii="Book Antiqua" w:eastAsiaTheme="minorEastAsia" w:hAnsi="Book Antiqua" w:cs="Book Antiqua" w:hint="eastAsia"/>
              </w:rPr>
              <w:t>I</w:t>
            </w:r>
            <w:r w:rsidRPr="00633DA6">
              <w:rPr>
                <w:rFonts w:ascii="Book Antiqua" w:eastAsia="Calibri" w:hAnsi="Book Antiqua" w:cs="Book Antiqua"/>
              </w:rPr>
              <w:t>mprovement in COVID-19 symptoms; ↓TNF-</w:t>
            </w:r>
            <w:r w:rsidRPr="00633DA6">
              <w:rPr>
                <w:rFonts w:ascii="Book Antiqua" w:eastAsiaTheme="minorEastAsia" w:hAnsi="Book Antiqua" w:cs="Book Antiqua"/>
              </w:rPr>
              <w:t xml:space="preserve">α; </w:t>
            </w:r>
            <w:r w:rsidRPr="00633DA6">
              <w:rPr>
                <w:rFonts w:ascii="Book Antiqua" w:eastAsia="Calibri" w:hAnsi="Book Antiqua" w:cs="Book Antiqua"/>
              </w:rPr>
              <w:t>↓Inflammation</w:t>
            </w:r>
          </w:p>
        </w:tc>
        <w:tc>
          <w:tcPr>
            <w:tcW w:w="420" w:type="pct"/>
          </w:tcPr>
          <w:p w14:paraId="4F78C759"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r>
      <w:tr w:rsidR="000E5CDA" w:rsidRPr="00633DA6" w14:paraId="0E0664C3" w14:textId="77777777" w:rsidTr="00B23FEF">
        <w:tc>
          <w:tcPr>
            <w:tcW w:w="327" w:type="pct"/>
          </w:tcPr>
          <w:p w14:paraId="62A3BF91"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Mak</w:t>
            </w:r>
            <w:r w:rsidRPr="00633DA6">
              <w:rPr>
                <w:rFonts w:ascii="Book Antiqua" w:eastAsia="Calibri" w:hAnsi="Book Antiqua" w:cs="Book Antiqua"/>
              </w:rPr>
              <w:t xml:space="preserve"> </w:t>
            </w:r>
            <w:r w:rsidRPr="00633DA6">
              <w:rPr>
                <w:rFonts w:ascii="Book Antiqua" w:eastAsia="Calibri" w:hAnsi="Book Antiqua" w:cs="Book Antiqua"/>
                <w:i/>
              </w:rPr>
              <w:t>et al</w:t>
            </w:r>
            <w:r w:rsidRPr="00633DA6">
              <w:rPr>
                <w:rFonts w:ascii="Book Antiqua" w:eastAsia="Calibri" w:hAnsi="Book Antiqua" w:cs="Book Antiqua"/>
                <w:vertAlign w:val="superscript"/>
              </w:rPr>
              <w:t>[9</w:t>
            </w:r>
            <w:r w:rsidRPr="00633DA6">
              <w:rPr>
                <w:rFonts w:ascii="Book Antiqua" w:eastAsiaTheme="minorEastAsia" w:hAnsi="Book Antiqua" w:cs="Book Antiqua"/>
                <w:vertAlign w:val="superscript"/>
              </w:rPr>
              <w:t>4</w:t>
            </w:r>
            <w:r w:rsidRPr="00633DA6">
              <w:rPr>
                <w:rFonts w:ascii="Book Antiqua" w:eastAsia="Calibri" w:hAnsi="Book Antiqua" w:cs="Book Antiqua"/>
                <w:vertAlign w:val="superscript"/>
              </w:rPr>
              <w:t>]</w:t>
            </w:r>
          </w:p>
        </w:tc>
        <w:tc>
          <w:tcPr>
            <w:tcW w:w="373" w:type="pct"/>
          </w:tcPr>
          <w:p w14:paraId="3EF8FD36"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Clinical trial</w:t>
            </w:r>
          </w:p>
        </w:tc>
        <w:tc>
          <w:tcPr>
            <w:tcW w:w="421" w:type="pct"/>
          </w:tcPr>
          <w:p w14:paraId="7116CACB"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IBD in COVID-19</w:t>
            </w:r>
          </w:p>
        </w:tc>
        <w:tc>
          <w:tcPr>
            <w:tcW w:w="701" w:type="pct"/>
          </w:tcPr>
          <w:p w14:paraId="126EC735"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 xml:space="preserve">Thirty (75%) were on 5-Aminosalicylates acid, 15 (37.5%) on </w:t>
            </w:r>
            <w:r w:rsidRPr="00633DA6">
              <w:rPr>
                <w:rFonts w:ascii="Book Antiqua" w:eastAsia="Calibri" w:hAnsi="Book Antiqua" w:cs="Book Antiqua"/>
              </w:rPr>
              <w:lastRenderedPageBreak/>
              <w:t>immunosuppressants (14 Thiopurine, one Tacrolimus), 11 (27.5%) on corticosteroids and 7 (17.5%) on biologics (3 Infliximab, 1 Adalimumab, 2 Vedolizumab and 1 Ustekinumab)</w:t>
            </w:r>
          </w:p>
        </w:tc>
        <w:tc>
          <w:tcPr>
            <w:tcW w:w="514" w:type="pct"/>
          </w:tcPr>
          <w:p w14:paraId="3EDD00AA"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w:t>
            </w:r>
          </w:p>
        </w:tc>
        <w:tc>
          <w:tcPr>
            <w:tcW w:w="888" w:type="pct"/>
          </w:tcPr>
          <w:p w14:paraId="3F6F4D61"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Theme="minorEastAsia" w:hAnsi="Book Antiqua" w:cs="Book Antiqua" w:hint="eastAsia"/>
                <w:i/>
              </w:rPr>
              <w:t>n</w:t>
            </w:r>
            <w:r w:rsidRPr="00633DA6">
              <w:rPr>
                <w:rFonts w:ascii="Book Antiqua" w:eastAsia="Calibri" w:hAnsi="Book Antiqua" w:cs="Book Antiqua"/>
              </w:rPr>
              <w:t xml:space="preserve"> =</w:t>
            </w:r>
            <w:r w:rsidRPr="00633DA6">
              <w:rPr>
                <w:rFonts w:ascii="Book Antiqua" w:eastAsiaTheme="minorEastAsia" w:hAnsi="Book Antiqua" w:cs="Book Antiqua" w:hint="eastAsia"/>
              </w:rPr>
              <w:t xml:space="preserve"> </w:t>
            </w:r>
            <w:r w:rsidRPr="00633DA6">
              <w:rPr>
                <w:rFonts w:ascii="Book Antiqua" w:eastAsia="Calibri" w:hAnsi="Book Antiqua" w:cs="Book Antiqua"/>
              </w:rPr>
              <w:t>63</w:t>
            </w:r>
          </w:p>
        </w:tc>
        <w:tc>
          <w:tcPr>
            <w:tcW w:w="1355" w:type="pct"/>
          </w:tcPr>
          <w:p w14:paraId="2BF850FD"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 xml:space="preserve">IBD improvement; </w:t>
            </w:r>
            <w:r w:rsidRPr="00633DA6">
              <w:rPr>
                <w:rFonts w:ascii="Book Antiqua" w:eastAsiaTheme="minorEastAsia" w:hAnsi="Book Antiqua" w:cs="Book Antiqua" w:hint="eastAsia"/>
              </w:rPr>
              <w:t>I</w:t>
            </w:r>
            <w:r w:rsidRPr="00633DA6">
              <w:rPr>
                <w:rFonts w:ascii="Book Antiqua" w:eastAsia="Calibri" w:hAnsi="Book Antiqua" w:cs="Book Antiqua"/>
              </w:rPr>
              <w:t>mprovement in COVID-19 symptoms; ↓Inflammation</w:t>
            </w:r>
          </w:p>
        </w:tc>
        <w:tc>
          <w:tcPr>
            <w:tcW w:w="420" w:type="pct"/>
          </w:tcPr>
          <w:p w14:paraId="7047D013"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r>
      <w:tr w:rsidR="000E5CDA" w:rsidRPr="00633DA6" w14:paraId="29A14116" w14:textId="77777777" w:rsidTr="00B23FEF">
        <w:tc>
          <w:tcPr>
            <w:tcW w:w="327" w:type="pct"/>
          </w:tcPr>
          <w:p w14:paraId="26544A0F"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Bardasi</w:t>
            </w:r>
            <w:r w:rsidRPr="00633DA6">
              <w:rPr>
                <w:rFonts w:ascii="Book Antiqua" w:eastAsia="Calibri" w:hAnsi="Book Antiqua" w:cs="Book Antiqua"/>
              </w:rPr>
              <w:t xml:space="preserve"> </w:t>
            </w:r>
            <w:r w:rsidRPr="00633DA6">
              <w:rPr>
                <w:rFonts w:ascii="Book Antiqua" w:eastAsiaTheme="minorEastAsia" w:hAnsi="Book Antiqua" w:cs="Book Antiqua" w:hint="eastAsia"/>
              </w:rPr>
              <w:t xml:space="preserve">and </w:t>
            </w:r>
            <w:r w:rsidRPr="00633DA6">
              <w:rPr>
                <w:rFonts w:ascii="Book Antiqua" w:eastAsia="Book Antiqua" w:hAnsi="Book Antiqua" w:cs="Book Antiqua"/>
                <w:color w:val="000000"/>
              </w:rPr>
              <w:t>Alvisi</w:t>
            </w:r>
            <w:r w:rsidRPr="00633DA6">
              <w:rPr>
                <w:rFonts w:ascii="Book Antiqua" w:eastAsia="Calibri" w:hAnsi="Book Antiqua" w:cs="Book Antiqua"/>
                <w:vertAlign w:val="superscript"/>
              </w:rPr>
              <w:t>[9</w:t>
            </w:r>
            <w:r w:rsidRPr="00633DA6">
              <w:rPr>
                <w:rFonts w:ascii="Book Antiqua" w:eastAsiaTheme="minorEastAsia" w:hAnsi="Book Antiqua" w:cs="Book Antiqua"/>
                <w:vertAlign w:val="superscript"/>
              </w:rPr>
              <w:t>5</w:t>
            </w:r>
            <w:r w:rsidRPr="00633DA6">
              <w:rPr>
                <w:rFonts w:ascii="Book Antiqua" w:eastAsia="Calibri" w:hAnsi="Book Antiqua" w:cs="Book Antiqua"/>
                <w:vertAlign w:val="superscript"/>
              </w:rPr>
              <w:t>]</w:t>
            </w:r>
          </w:p>
        </w:tc>
        <w:tc>
          <w:tcPr>
            <w:tcW w:w="373" w:type="pct"/>
          </w:tcPr>
          <w:p w14:paraId="0AA9E44A"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Clinical trial</w:t>
            </w:r>
          </w:p>
        </w:tc>
        <w:tc>
          <w:tcPr>
            <w:tcW w:w="421" w:type="pct"/>
          </w:tcPr>
          <w:p w14:paraId="32A79F42"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 xml:space="preserve">Crohn’s disease in </w:t>
            </w:r>
            <w:r w:rsidRPr="00633DA6">
              <w:rPr>
                <w:rFonts w:ascii="Book Antiqua" w:eastAsiaTheme="minorEastAsia" w:hAnsi="Book Antiqua" w:cs="Book Antiqua" w:hint="eastAsia"/>
              </w:rPr>
              <w:t>COVID</w:t>
            </w:r>
            <w:r w:rsidRPr="00633DA6">
              <w:rPr>
                <w:rFonts w:ascii="Book Antiqua" w:eastAsia="Calibri" w:hAnsi="Book Antiqua" w:cs="Book Antiqua"/>
              </w:rPr>
              <w:t>-19</w:t>
            </w:r>
          </w:p>
        </w:tc>
        <w:tc>
          <w:tcPr>
            <w:tcW w:w="701" w:type="pct"/>
          </w:tcPr>
          <w:p w14:paraId="63957F8A"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Subcutaneous administration of 40 mg Adalimumab</w:t>
            </w:r>
          </w:p>
        </w:tc>
        <w:tc>
          <w:tcPr>
            <w:tcW w:w="514" w:type="pct"/>
          </w:tcPr>
          <w:p w14:paraId="794AC5CB"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6 mo</w:t>
            </w:r>
          </w:p>
        </w:tc>
        <w:tc>
          <w:tcPr>
            <w:tcW w:w="888" w:type="pct"/>
          </w:tcPr>
          <w:p w14:paraId="4492F5D5"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c>
          <w:tcPr>
            <w:tcW w:w="1355" w:type="pct"/>
          </w:tcPr>
          <w:p w14:paraId="54EDB43C"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IBD improvement</w:t>
            </w:r>
            <w:r w:rsidRPr="00633DA6">
              <w:rPr>
                <w:rFonts w:ascii="Book Antiqua" w:eastAsiaTheme="minorEastAsia" w:hAnsi="Book Antiqua" w:cs="Book Antiqua" w:hint="eastAsia"/>
              </w:rPr>
              <w:t xml:space="preserve">; </w:t>
            </w:r>
            <w:r w:rsidRPr="00633DA6">
              <w:rPr>
                <w:rFonts w:ascii="Book Antiqua" w:eastAsia="Calibri" w:hAnsi="Book Antiqua" w:cs="Book Antiqua"/>
              </w:rPr>
              <w:t>Improvement in</w:t>
            </w:r>
            <w:r w:rsidRPr="00633DA6">
              <w:rPr>
                <w:rFonts w:ascii="Book Antiqua" w:eastAsiaTheme="minorEastAsia" w:hAnsi="Book Antiqua" w:cs="Book Antiqua" w:hint="eastAsia"/>
              </w:rPr>
              <w:t xml:space="preserve"> </w:t>
            </w:r>
            <w:r w:rsidRPr="00633DA6">
              <w:rPr>
                <w:rFonts w:ascii="Book Antiqua" w:eastAsia="Calibri" w:hAnsi="Book Antiqua" w:cs="Book Antiqua"/>
              </w:rPr>
              <w:t>COVID-19 symptoms ↓Inflammation</w:t>
            </w:r>
          </w:p>
        </w:tc>
        <w:tc>
          <w:tcPr>
            <w:tcW w:w="420" w:type="pct"/>
          </w:tcPr>
          <w:p w14:paraId="3E28430E"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w:t>
            </w:r>
          </w:p>
        </w:tc>
      </w:tr>
      <w:tr w:rsidR="000E5CDA" w:rsidRPr="00633DA6" w14:paraId="2262E54D" w14:textId="77777777" w:rsidTr="00B23FEF">
        <w:tc>
          <w:tcPr>
            <w:tcW w:w="327" w:type="pct"/>
          </w:tcPr>
          <w:p w14:paraId="2A4AAA08" w14:textId="77777777" w:rsidR="000E5CDA" w:rsidRPr="00633DA6" w:rsidRDefault="000E5CDA" w:rsidP="00B23FEF">
            <w:pPr>
              <w:spacing w:line="360" w:lineRule="auto"/>
              <w:jc w:val="both"/>
              <w:rPr>
                <w:rFonts w:ascii="Book Antiqua" w:eastAsia="宋体" w:hAnsi="Book Antiqua" w:cs="Book Antiqua"/>
              </w:rPr>
            </w:pPr>
            <w:r w:rsidRPr="00633DA6">
              <w:rPr>
                <w:rFonts w:ascii="Book Antiqua" w:eastAsia="Book Antiqua" w:hAnsi="Book Antiqua" w:cs="Book Antiqua"/>
              </w:rPr>
              <w:t>Ashton</w:t>
            </w:r>
            <w:r w:rsidRPr="00633DA6">
              <w:rPr>
                <w:rFonts w:ascii="Book Antiqua" w:eastAsia="Calibri" w:hAnsi="Book Antiqua" w:cs="Book Antiqua"/>
              </w:rPr>
              <w:t xml:space="preserve"> </w:t>
            </w:r>
            <w:r w:rsidRPr="00633DA6">
              <w:rPr>
                <w:rFonts w:ascii="Book Antiqua" w:eastAsia="Calibri" w:hAnsi="Book Antiqua" w:cs="Book Antiqua"/>
                <w:i/>
              </w:rPr>
              <w:lastRenderedPageBreak/>
              <w:t>et al</w:t>
            </w:r>
            <w:r w:rsidRPr="00633DA6">
              <w:rPr>
                <w:rFonts w:ascii="Book Antiqua" w:eastAsia="Calibri" w:hAnsi="Book Antiqua" w:cs="Book Antiqua"/>
                <w:vertAlign w:val="superscript"/>
              </w:rPr>
              <w:t>[9</w:t>
            </w:r>
            <w:r w:rsidRPr="00633DA6">
              <w:rPr>
                <w:rFonts w:ascii="Book Antiqua" w:eastAsiaTheme="minorEastAsia" w:hAnsi="Book Antiqua" w:cs="Book Antiqua"/>
                <w:vertAlign w:val="superscript"/>
              </w:rPr>
              <w:t>6</w:t>
            </w:r>
            <w:r w:rsidRPr="00633DA6">
              <w:rPr>
                <w:rFonts w:ascii="Book Antiqua" w:eastAsia="Calibri" w:hAnsi="Book Antiqua" w:cs="Book Antiqua"/>
                <w:vertAlign w:val="superscript"/>
              </w:rPr>
              <w:t>]</w:t>
            </w:r>
          </w:p>
        </w:tc>
        <w:tc>
          <w:tcPr>
            <w:tcW w:w="373" w:type="pct"/>
          </w:tcPr>
          <w:p w14:paraId="0D69C1DC"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 xml:space="preserve">Clinical </w:t>
            </w:r>
            <w:r w:rsidRPr="00633DA6">
              <w:rPr>
                <w:rFonts w:ascii="Book Antiqua" w:eastAsia="Calibri" w:hAnsi="Book Antiqua" w:cs="Book Antiqua"/>
              </w:rPr>
              <w:lastRenderedPageBreak/>
              <w:t>trial</w:t>
            </w:r>
          </w:p>
        </w:tc>
        <w:tc>
          <w:tcPr>
            <w:tcW w:w="421" w:type="pct"/>
          </w:tcPr>
          <w:p w14:paraId="2D3EDD4E"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IBD in COVI</w:t>
            </w:r>
            <w:r w:rsidRPr="00633DA6">
              <w:rPr>
                <w:rFonts w:ascii="Book Antiqua" w:eastAsia="Calibri" w:hAnsi="Book Antiqua" w:cs="Book Antiqua"/>
              </w:rPr>
              <w:lastRenderedPageBreak/>
              <w:t>D-19</w:t>
            </w:r>
          </w:p>
        </w:tc>
        <w:tc>
          <w:tcPr>
            <w:tcW w:w="701" w:type="pct"/>
          </w:tcPr>
          <w:p w14:paraId="5FBCBEA5"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 xml:space="preserve">Anti-TNF therapy </w:t>
            </w:r>
            <w:r w:rsidRPr="00633DA6">
              <w:rPr>
                <w:rFonts w:ascii="Book Antiqua" w:eastAsia="Calibri" w:hAnsi="Book Antiqua" w:cs="Book Antiqua"/>
              </w:rPr>
              <w:lastRenderedPageBreak/>
              <w:t>(Infliximab or Adalimumab)</w:t>
            </w:r>
          </w:p>
        </w:tc>
        <w:tc>
          <w:tcPr>
            <w:tcW w:w="514" w:type="pct"/>
          </w:tcPr>
          <w:p w14:paraId="66EA9A74"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w:t>
            </w:r>
          </w:p>
        </w:tc>
        <w:tc>
          <w:tcPr>
            <w:tcW w:w="888" w:type="pct"/>
          </w:tcPr>
          <w:p w14:paraId="51343E2A"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Theme="minorEastAsia" w:hAnsi="Book Antiqua" w:cs="Book Antiqua" w:hint="eastAsia"/>
                <w:i/>
              </w:rPr>
              <w:t>n</w:t>
            </w:r>
            <w:r w:rsidRPr="00633DA6">
              <w:rPr>
                <w:rFonts w:ascii="Book Antiqua" w:eastAsia="Calibri" w:hAnsi="Book Antiqua" w:cs="Book Antiqua"/>
              </w:rPr>
              <w:t xml:space="preserve"> =</w:t>
            </w:r>
            <w:r w:rsidRPr="00633DA6">
              <w:rPr>
                <w:rFonts w:ascii="Book Antiqua" w:eastAsiaTheme="minorEastAsia" w:hAnsi="Book Antiqua" w:cs="Book Antiqua" w:hint="eastAsia"/>
              </w:rPr>
              <w:t xml:space="preserve"> </w:t>
            </w:r>
            <w:r w:rsidRPr="00633DA6">
              <w:rPr>
                <w:rFonts w:ascii="Book Antiqua" w:eastAsia="Calibri" w:hAnsi="Book Antiqua" w:cs="Book Antiqua"/>
              </w:rPr>
              <w:t>122</w:t>
            </w:r>
          </w:p>
        </w:tc>
        <w:tc>
          <w:tcPr>
            <w:tcW w:w="1355" w:type="pct"/>
          </w:tcPr>
          <w:p w14:paraId="5C41ABEB"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t>IBD improvement</w:t>
            </w:r>
            <w:r w:rsidRPr="00633DA6">
              <w:rPr>
                <w:rFonts w:ascii="Book Antiqua" w:eastAsiaTheme="minorEastAsia" w:hAnsi="Book Antiqua" w:cs="Book Antiqua" w:hint="eastAsia"/>
              </w:rPr>
              <w:t xml:space="preserve">; </w:t>
            </w:r>
            <w:r w:rsidRPr="00633DA6">
              <w:rPr>
                <w:rFonts w:ascii="Book Antiqua" w:eastAsia="Calibri" w:hAnsi="Book Antiqua" w:cs="Book Antiqua"/>
              </w:rPr>
              <w:t>Improvement in</w:t>
            </w:r>
            <w:r w:rsidRPr="00633DA6">
              <w:rPr>
                <w:rFonts w:ascii="Book Antiqua" w:eastAsiaTheme="minorEastAsia" w:hAnsi="Book Antiqua" w:cs="Book Antiqua" w:hint="eastAsia"/>
              </w:rPr>
              <w:t xml:space="preserve"> </w:t>
            </w:r>
            <w:r w:rsidRPr="00633DA6">
              <w:rPr>
                <w:rFonts w:ascii="Book Antiqua" w:eastAsia="Calibri" w:hAnsi="Book Antiqua" w:cs="Book Antiqua"/>
              </w:rPr>
              <w:t>COVID-</w:t>
            </w:r>
            <w:r w:rsidRPr="00633DA6">
              <w:rPr>
                <w:rFonts w:ascii="Book Antiqua" w:eastAsia="Calibri" w:hAnsi="Book Antiqua" w:cs="Book Antiqua"/>
              </w:rPr>
              <w:lastRenderedPageBreak/>
              <w:t>19 symptoms</w:t>
            </w:r>
            <w:r w:rsidRPr="00633DA6">
              <w:rPr>
                <w:rFonts w:ascii="Book Antiqua" w:eastAsiaTheme="minorEastAsia" w:hAnsi="Book Antiqua" w:cs="Book Antiqua" w:hint="eastAsia"/>
              </w:rPr>
              <w:t xml:space="preserve">: </w:t>
            </w:r>
            <w:r w:rsidRPr="00633DA6">
              <w:rPr>
                <w:rFonts w:ascii="Book Antiqua" w:eastAsia="Calibri" w:hAnsi="Book Antiqua" w:cs="Book Antiqua"/>
              </w:rPr>
              <w:t>↓TNF-</w:t>
            </w:r>
            <w:r w:rsidRPr="00633DA6">
              <w:rPr>
                <w:rFonts w:ascii="Book Antiqua" w:eastAsiaTheme="minorEastAsia" w:hAnsi="Book Antiqua" w:cs="Book Antiqua"/>
              </w:rPr>
              <w:t>α</w:t>
            </w:r>
            <w:r w:rsidRPr="00633DA6">
              <w:rPr>
                <w:rFonts w:ascii="Book Antiqua" w:eastAsiaTheme="minorEastAsia" w:hAnsi="Book Antiqua" w:cs="Book Antiqua" w:hint="eastAsia"/>
              </w:rPr>
              <w:t xml:space="preserve">; </w:t>
            </w:r>
            <w:r w:rsidRPr="00633DA6">
              <w:rPr>
                <w:rFonts w:ascii="Book Antiqua" w:eastAsia="Calibri" w:hAnsi="Book Antiqua" w:cs="Book Antiqua"/>
              </w:rPr>
              <w:t>↓Inflammation</w:t>
            </w:r>
          </w:p>
        </w:tc>
        <w:tc>
          <w:tcPr>
            <w:tcW w:w="420" w:type="pct"/>
          </w:tcPr>
          <w:p w14:paraId="5E6D4E54" w14:textId="77777777" w:rsidR="000E5CDA" w:rsidRPr="00633DA6" w:rsidRDefault="000E5CDA" w:rsidP="00B23FEF">
            <w:pPr>
              <w:spacing w:line="360" w:lineRule="auto"/>
              <w:jc w:val="both"/>
              <w:rPr>
                <w:rFonts w:ascii="Book Antiqua" w:eastAsia="Calibri" w:hAnsi="Book Antiqua" w:cs="Book Antiqua"/>
              </w:rPr>
            </w:pPr>
            <w:r w:rsidRPr="00633DA6">
              <w:rPr>
                <w:rFonts w:ascii="Book Antiqua" w:eastAsia="Calibri" w:hAnsi="Book Antiqua" w:cs="Book Antiqua"/>
              </w:rPr>
              <w:lastRenderedPageBreak/>
              <w:t>-</w:t>
            </w:r>
          </w:p>
        </w:tc>
      </w:tr>
    </w:tbl>
    <w:p w14:paraId="763D5332" w14:textId="677C400C" w:rsidR="00137895" w:rsidRPr="00633DA6" w:rsidRDefault="000E5CDA" w:rsidP="000E5CDA">
      <w:pPr>
        <w:spacing w:line="360" w:lineRule="auto"/>
        <w:jc w:val="both"/>
        <w:rPr>
          <w:rFonts w:ascii="Book Antiqua" w:hAnsi="Book Antiqua" w:cs="Book Antiqua"/>
          <w:color w:val="000000"/>
          <w:lang w:eastAsia="zh-CN"/>
        </w:rPr>
      </w:pPr>
      <w:r w:rsidRPr="00633DA6">
        <w:rPr>
          <w:rFonts w:ascii="Book Antiqua" w:eastAsia="Book Antiqua" w:hAnsi="Book Antiqua" w:cs="Book Antiqua"/>
          <w:color w:val="000000"/>
        </w:rPr>
        <w:t xml:space="preserve">ACE2: Angiotensin-converting enzyme 2; TMPRSS2: Transmembrane serine protease 2; </w:t>
      </w:r>
      <w:r w:rsidRPr="00633DA6">
        <w:rPr>
          <w:rFonts w:ascii="Book Antiqua" w:hAnsi="Book Antiqua" w:cs="Book Antiqua"/>
          <w:color w:val="000000"/>
          <w:lang w:eastAsia="zh-CN"/>
        </w:rPr>
        <w:t xml:space="preserve">IBD: </w:t>
      </w:r>
      <w:r w:rsidRPr="00633DA6">
        <w:rPr>
          <w:rFonts w:ascii="Book Antiqua" w:eastAsia="Book Antiqua" w:hAnsi="Book Antiqua" w:cs="Book Antiqua"/>
          <w:color w:val="000000"/>
        </w:rPr>
        <w:t>Inflammatory bowel diseases</w:t>
      </w:r>
      <w:r w:rsidRPr="00633DA6">
        <w:rPr>
          <w:rFonts w:ascii="Book Antiqua" w:hAnsi="Book Antiqua" w:cs="Book Antiqua" w:hint="eastAsia"/>
          <w:color w:val="000000"/>
          <w:lang w:eastAsia="zh-CN"/>
        </w:rPr>
        <w:t>; TNF: T</w:t>
      </w:r>
      <w:r w:rsidRPr="00633DA6">
        <w:rPr>
          <w:rFonts w:ascii="Book Antiqua" w:eastAsia="Book Antiqua" w:hAnsi="Book Antiqua" w:cs="Book Antiqua"/>
          <w:color w:val="000000"/>
        </w:rPr>
        <w:t>umor necrosis factor</w:t>
      </w:r>
      <w:r w:rsidRPr="00633DA6">
        <w:rPr>
          <w:rFonts w:ascii="Book Antiqua" w:hAnsi="Book Antiqua" w:cs="Book Antiqua" w:hint="eastAsia"/>
          <w:color w:val="000000"/>
          <w:lang w:eastAsia="zh-CN"/>
        </w:rPr>
        <w:t>.</w:t>
      </w:r>
    </w:p>
    <w:p w14:paraId="24B1FC9B" w14:textId="77777777" w:rsidR="00137895" w:rsidRPr="00633DA6" w:rsidRDefault="00137895">
      <w:pPr>
        <w:rPr>
          <w:rFonts w:ascii="Book Antiqua" w:hAnsi="Book Antiqua" w:cs="Book Antiqua"/>
          <w:color w:val="000000"/>
          <w:lang w:eastAsia="zh-CN"/>
        </w:rPr>
      </w:pPr>
      <w:r w:rsidRPr="00633DA6">
        <w:rPr>
          <w:rFonts w:ascii="Book Antiqua" w:hAnsi="Book Antiqua" w:cs="Book Antiqua"/>
          <w:color w:val="000000"/>
          <w:lang w:eastAsia="zh-CN"/>
        </w:rPr>
        <w:br w:type="page"/>
      </w:r>
    </w:p>
    <w:p w14:paraId="2132343A" w14:textId="77777777" w:rsidR="00137895" w:rsidRPr="00633DA6" w:rsidRDefault="00137895" w:rsidP="00137895">
      <w:pPr>
        <w:ind w:leftChars="100" w:left="240"/>
        <w:jc w:val="center"/>
        <w:rPr>
          <w:rFonts w:ascii="Book Antiqua" w:hAnsi="Book Antiqua"/>
          <w:lang w:eastAsia="zh-CN"/>
        </w:rPr>
      </w:pPr>
      <w:bookmarkStart w:id="6" w:name="_Hlk88512952"/>
    </w:p>
    <w:p w14:paraId="1E0A64B9" w14:textId="77777777" w:rsidR="00137895" w:rsidRPr="00633DA6" w:rsidRDefault="00137895" w:rsidP="00137895">
      <w:pPr>
        <w:ind w:leftChars="100" w:left="240"/>
        <w:jc w:val="center"/>
        <w:rPr>
          <w:rFonts w:ascii="Book Antiqua" w:hAnsi="Book Antiqua"/>
          <w:lang w:eastAsia="zh-CN"/>
        </w:rPr>
      </w:pPr>
    </w:p>
    <w:p w14:paraId="0FC6C3E8" w14:textId="77777777" w:rsidR="00137895" w:rsidRPr="00633DA6" w:rsidRDefault="00137895" w:rsidP="00137895">
      <w:pPr>
        <w:ind w:leftChars="100" w:left="240"/>
        <w:jc w:val="center"/>
        <w:rPr>
          <w:rFonts w:ascii="Book Antiqua" w:hAnsi="Book Antiqua"/>
          <w:lang w:eastAsia="zh-CN"/>
        </w:rPr>
      </w:pPr>
    </w:p>
    <w:p w14:paraId="575665AF" w14:textId="77777777" w:rsidR="00137895" w:rsidRPr="00633DA6" w:rsidRDefault="00137895" w:rsidP="00137895">
      <w:pPr>
        <w:ind w:leftChars="100" w:left="240"/>
        <w:jc w:val="center"/>
        <w:rPr>
          <w:rFonts w:ascii="Book Antiqua" w:hAnsi="Book Antiqua"/>
          <w:lang w:eastAsia="zh-CN"/>
        </w:rPr>
      </w:pPr>
    </w:p>
    <w:p w14:paraId="2887D294" w14:textId="77777777" w:rsidR="00137895" w:rsidRPr="00633DA6" w:rsidRDefault="00137895" w:rsidP="00137895">
      <w:pPr>
        <w:ind w:leftChars="100" w:left="240"/>
        <w:jc w:val="center"/>
        <w:rPr>
          <w:rFonts w:ascii="Book Antiqua" w:hAnsi="Book Antiqua"/>
          <w:lang w:eastAsia="zh-CN"/>
        </w:rPr>
      </w:pPr>
      <w:r w:rsidRPr="00633DA6">
        <w:rPr>
          <w:rFonts w:ascii="Book Antiqua" w:hAnsi="Book Antiqua"/>
          <w:noProof/>
          <w:lang w:eastAsia="zh-CN"/>
        </w:rPr>
        <w:drawing>
          <wp:inline distT="0" distB="0" distL="0" distR="0" wp14:anchorId="25A15270" wp14:editId="38E468E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DA62FBC" w14:textId="77777777" w:rsidR="00137895" w:rsidRPr="00633DA6" w:rsidRDefault="00137895" w:rsidP="00137895">
      <w:pPr>
        <w:ind w:leftChars="100" w:left="240"/>
        <w:jc w:val="center"/>
        <w:rPr>
          <w:rFonts w:ascii="Book Antiqua" w:hAnsi="Book Antiqua"/>
          <w:lang w:eastAsia="zh-CN"/>
        </w:rPr>
      </w:pPr>
    </w:p>
    <w:p w14:paraId="6B82336F" w14:textId="77777777" w:rsidR="00137895" w:rsidRPr="00633DA6" w:rsidRDefault="00137895" w:rsidP="00137895">
      <w:pPr>
        <w:autoSpaceDE w:val="0"/>
        <w:autoSpaceDN w:val="0"/>
        <w:adjustRightInd w:val="0"/>
        <w:ind w:leftChars="100" w:left="240"/>
        <w:jc w:val="center"/>
        <w:rPr>
          <w:rFonts w:ascii="Book Antiqua" w:eastAsia="Garamond-Bold" w:hAnsi="Book Antiqua" w:cs="Garamond-Bold"/>
          <w:b/>
          <w:bCs/>
          <w:color w:val="000000"/>
          <w:sz w:val="28"/>
          <w:szCs w:val="28"/>
        </w:rPr>
      </w:pPr>
      <w:r w:rsidRPr="00633DA6">
        <w:rPr>
          <w:rFonts w:ascii="Book Antiqua" w:eastAsia="TimesNewRomanPSMT" w:hAnsi="Book Antiqua" w:cs="TimesNewRomanPSMT"/>
          <w:color w:val="000000"/>
          <w:sz w:val="28"/>
          <w:szCs w:val="28"/>
        </w:rPr>
        <w:t xml:space="preserve">Published by </w:t>
      </w:r>
      <w:r w:rsidRPr="00633DA6">
        <w:rPr>
          <w:rFonts w:ascii="Book Antiqua" w:eastAsia="Garamond-Bold" w:hAnsi="Book Antiqua" w:cs="Garamond-Bold"/>
          <w:b/>
          <w:bCs/>
          <w:color w:val="000000"/>
          <w:sz w:val="28"/>
          <w:szCs w:val="28"/>
        </w:rPr>
        <w:t>Baishideng Publishing Group Inc</w:t>
      </w:r>
    </w:p>
    <w:p w14:paraId="7CFC1824" w14:textId="77777777" w:rsidR="00137895" w:rsidRPr="00633DA6" w:rsidRDefault="00137895" w:rsidP="00137895">
      <w:pPr>
        <w:autoSpaceDE w:val="0"/>
        <w:autoSpaceDN w:val="0"/>
        <w:adjustRightInd w:val="0"/>
        <w:ind w:leftChars="100" w:left="240"/>
        <w:jc w:val="center"/>
        <w:rPr>
          <w:rFonts w:ascii="Book Antiqua" w:eastAsia="TimesNewRomanPSMT" w:hAnsi="Book Antiqua" w:cs="Garamond"/>
          <w:color w:val="000000"/>
          <w:sz w:val="28"/>
          <w:szCs w:val="28"/>
        </w:rPr>
      </w:pPr>
      <w:r w:rsidRPr="00633DA6">
        <w:rPr>
          <w:rFonts w:ascii="Book Antiqua" w:eastAsia="TimesNewRomanPSMT" w:hAnsi="Book Antiqua" w:cs="Garamond"/>
          <w:color w:val="000000"/>
          <w:sz w:val="28"/>
          <w:szCs w:val="28"/>
        </w:rPr>
        <w:t>7041 Koll Center Parkway, Suite 160, Pleasanton, CA 94566, USA</w:t>
      </w:r>
    </w:p>
    <w:p w14:paraId="6E370FCA" w14:textId="77777777" w:rsidR="00137895" w:rsidRPr="00633DA6" w:rsidRDefault="00137895" w:rsidP="00137895">
      <w:pPr>
        <w:autoSpaceDE w:val="0"/>
        <w:autoSpaceDN w:val="0"/>
        <w:adjustRightInd w:val="0"/>
        <w:ind w:leftChars="100" w:left="240"/>
        <w:jc w:val="center"/>
        <w:rPr>
          <w:rFonts w:ascii="Book Antiqua" w:eastAsia="TimesNewRomanPSMT" w:hAnsi="Book Antiqua" w:cs="Garamond"/>
          <w:color w:val="000000"/>
          <w:sz w:val="28"/>
          <w:szCs w:val="28"/>
        </w:rPr>
      </w:pPr>
      <w:r w:rsidRPr="00633DA6">
        <w:rPr>
          <w:rFonts w:ascii="Book Antiqua" w:eastAsia="Garamond-Bold" w:hAnsi="Book Antiqua" w:cs="Garamond-Bold"/>
          <w:b/>
          <w:bCs/>
          <w:color w:val="000000"/>
          <w:sz w:val="28"/>
          <w:szCs w:val="28"/>
        </w:rPr>
        <w:t xml:space="preserve">Telephone: </w:t>
      </w:r>
      <w:r w:rsidRPr="00633DA6">
        <w:rPr>
          <w:rFonts w:ascii="Book Antiqua" w:eastAsia="TimesNewRomanPSMT" w:hAnsi="Book Antiqua" w:cs="Garamond"/>
          <w:color w:val="000000"/>
          <w:sz w:val="28"/>
          <w:szCs w:val="28"/>
        </w:rPr>
        <w:t>+1-925-3991568</w:t>
      </w:r>
    </w:p>
    <w:p w14:paraId="5165BC2E" w14:textId="77777777" w:rsidR="00137895" w:rsidRPr="00633DA6" w:rsidRDefault="00137895" w:rsidP="00137895">
      <w:pPr>
        <w:autoSpaceDE w:val="0"/>
        <w:autoSpaceDN w:val="0"/>
        <w:adjustRightInd w:val="0"/>
        <w:ind w:leftChars="100" w:left="240"/>
        <w:jc w:val="center"/>
        <w:rPr>
          <w:rFonts w:ascii="Book Antiqua" w:eastAsia="TimesNewRomanPSMT" w:hAnsi="Book Antiqua" w:cs="Garamond"/>
          <w:color w:val="D56400"/>
          <w:sz w:val="28"/>
          <w:szCs w:val="28"/>
        </w:rPr>
      </w:pPr>
      <w:r w:rsidRPr="00633DA6">
        <w:rPr>
          <w:rFonts w:ascii="Book Antiqua" w:eastAsia="Garamond-Bold" w:hAnsi="Book Antiqua" w:cs="Garamond-Bold"/>
          <w:b/>
          <w:bCs/>
          <w:color w:val="000000"/>
          <w:sz w:val="28"/>
          <w:szCs w:val="28"/>
        </w:rPr>
        <w:t xml:space="preserve">E-mail: </w:t>
      </w:r>
      <w:r w:rsidRPr="00633DA6">
        <w:rPr>
          <w:rFonts w:ascii="Book Antiqua" w:eastAsia="TimesNewRomanPSMT" w:hAnsi="Book Antiqua" w:cs="Garamond"/>
          <w:color w:val="D56400"/>
          <w:sz w:val="28"/>
          <w:szCs w:val="28"/>
        </w:rPr>
        <w:t>bpgoffice@wjgnet.com</w:t>
      </w:r>
    </w:p>
    <w:p w14:paraId="46F11E08" w14:textId="77777777" w:rsidR="00137895" w:rsidRPr="00633DA6" w:rsidRDefault="00137895" w:rsidP="00137895">
      <w:pPr>
        <w:autoSpaceDE w:val="0"/>
        <w:autoSpaceDN w:val="0"/>
        <w:adjustRightInd w:val="0"/>
        <w:ind w:leftChars="100" w:left="240"/>
        <w:jc w:val="center"/>
        <w:rPr>
          <w:rFonts w:ascii="Book Antiqua" w:eastAsia="TimesNewRomanPSMT" w:hAnsi="Book Antiqua" w:cs="Garamond"/>
          <w:color w:val="D56400"/>
          <w:sz w:val="28"/>
          <w:szCs w:val="28"/>
        </w:rPr>
      </w:pPr>
      <w:r w:rsidRPr="00633DA6">
        <w:rPr>
          <w:rFonts w:ascii="Book Antiqua" w:eastAsia="Garamond-Bold" w:hAnsi="Book Antiqua" w:cs="Garamond-Bold"/>
          <w:b/>
          <w:bCs/>
          <w:color w:val="000000"/>
          <w:sz w:val="28"/>
          <w:szCs w:val="28"/>
        </w:rPr>
        <w:t xml:space="preserve">Help Desk: </w:t>
      </w:r>
      <w:r w:rsidRPr="00633DA6">
        <w:rPr>
          <w:rFonts w:ascii="Book Antiqua" w:eastAsia="TimesNewRomanPSMT" w:hAnsi="Book Antiqua" w:cs="Garamond"/>
          <w:color w:val="D56400"/>
          <w:sz w:val="28"/>
          <w:szCs w:val="28"/>
        </w:rPr>
        <w:t>https://www.f6publishing.com/helpdesk</w:t>
      </w:r>
    </w:p>
    <w:p w14:paraId="2B19F345" w14:textId="77777777" w:rsidR="00137895" w:rsidRPr="00633DA6" w:rsidRDefault="00137895" w:rsidP="00137895">
      <w:pPr>
        <w:ind w:leftChars="100" w:left="240"/>
        <w:jc w:val="center"/>
        <w:rPr>
          <w:rFonts w:ascii="Book Antiqua" w:hAnsi="Book Antiqua"/>
          <w:lang w:eastAsia="zh-CN"/>
        </w:rPr>
      </w:pPr>
      <w:r w:rsidRPr="00633DA6">
        <w:rPr>
          <w:rFonts w:ascii="Book Antiqua" w:eastAsia="TimesNewRomanPSMT" w:hAnsi="Book Antiqua" w:cs="Garamond"/>
          <w:color w:val="D56400"/>
          <w:sz w:val="28"/>
          <w:szCs w:val="28"/>
        </w:rPr>
        <w:t>https://www.wjgnet.com</w:t>
      </w:r>
    </w:p>
    <w:p w14:paraId="1D967A28" w14:textId="77777777" w:rsidR="00137895" w:rsidRPr="00633DA6" w:rsidRDefault="00137895" w:rsidP="00137895">
      <w:pPr>
        <w:ind w:leftChars="100" w:left="240"/>
        <w:jc w:val="center"/>
        <w:rPr>
          <w:rFonts w:ascii="Book Antiqua" w:hAnsi="Book Antiqua"/>
          <w:lang w:eastAsia="zh-CN"/>
        </w:rPr>
      </w:pPr>
    </w:p>
    <w:p w14:paraId="30D90D13" w14:textId="77777777" w:rsidR="00137895" w:rsidRPr="00633DA6" w:rsidRDefault="00137895" w:rsidP="00137895">
      <w:pPr>
        <w:ind w:leftChars="100" w:left="240"/>
        <w:jc w:val="center"/>
        <w:rPr>
          <w:rFonts w:ascii="Book Antiqua" w:hAnsi="Book Antiqua"/>
          <w:lang w:eastAsia="zh-CN"/>
        </w:rPr>
      </w:pPr>
    </w:p>
    <w:p w14:paraId="11D762C1" w14:textId="77777777" w:rsidR="00137895" w:rsidRPr="00633DA6" w:rsidRDefault="00137895" w:rsidP="00137895">
      <w:pPr>
        <w:ind w:leftChars="100" w:left="240"/>
        <w:jc w:val="center"/>
        <w:rPr>
          <w:rFonts w:ascii="Book Antiqua" w:hAnsi="Book Antiqua"/>
          <w:lang w:eastAsia="zh-CN"/>
        </w:rPr>
      </w:pPr>
    </w:p>
    <w:p w14:paraId="0EF43938" w14:textId="77777777" w:rsidR="00137895" w:rsidRPr="00633DA6" w:rsidRDefault="00137895" w:rsidP="00137895">
      <w:pPr>
        <w:ind w:leftChars="100" w:left="240"/>
        <w:jc w:val="center"/>
        <w:rPr>
          <w:rFonts w:ascii="Book Antiqua" w:hAnsi="Book Antiqua"/>
          <w:lang w:eastAsia="zh-CN"/>
        </w:rPr>
      </w:pPr>
      <w:r w:rsidRPr="00633DA6">
        <w:rPr>
          <w:rFonts w:ascii="Book Antiqua" w:hAnsi="Book Antiqua"/>
          <w:noProof/>
          <w:lang w:eastAsia="zh-CN"/>
        </w:rPr>
        <w:drawing>
          <wp:inline distT="0" distB="0" distL="0" distR="0" wp14:anchorId="2D9A4EED" wp14:editId="13D2931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A43C82C" w14:textId="77777777" w:rsidR="00137895" w:rsidRPr="00633DA6" w:rsidRDefault="00137895" w:rsidP="00137895">
      <w:pPr>
        <w:ind w:leftChars="100" w:left="240"/>
        <w:jc w:val="center"/>
        <w:rPr>
          <w:rFonts w:ascii="Book Antiqua" w:hAnsi="Book Antiqua"/>
          <w:lang w:eastAsia="zh-CN"/>
        </w:rPr>
      </w:pPr>
    </w:p>
    <w:p w14:paraId="25632DFB" w14:textId="77777777" w:rsidR="00137895" w:rsidRPr="00633DA6" w:rsidRDefault="00137895" w:rsidP="00137895">
      <w:pPr>
        <w:ind w:leftChars="100" w:left="240"/>
        <w:jc w:val="center"/>
        <w:rPr>
          <w:rFonts w:ascii="Book Antiqua" w:hAnsi="Book Antiqua"/>
          <w:lang w:eastAsia="zh-CN"/>
        </w:rPr>
      </w:pPr>
    </w:p>
    <w:p w14:paraId="68E7C289" w14:textId="77777777" w:rsidR="00137895" w:rsidRPr="00633DA6" w:rsidRDefault="00137895" w:rsidP="00137895">
      <w:pPr>
        <w:ind w:leftChars="100" w:left="240"/>
        <w:jc w:val="center"/>
        <w:rPr>
          <w:rFonts w:ascii="Book Antiqua" w:hAnsi="Book Antiqua"/>
          <w:lang w:eastAsia="zh-CN"/>
        </w:rPr>
      </w:pPr>
    </w:p>
    <w:p w14:paraId="1E1EDF22" w14:textId="77777777" w:rsidR="00137895" w:rsidRPr="00633DA6" w:rsidRDefault="00137895" w:rsidP="00137895">
      <w:pPr>
        <w:ind w:leftChars="100" w:left="240"/>
        <w:jc w:val="center"/>
        <w:rPr>
          <w:rFonts w:ascii="Book Antiqua" w:hAnsi="Book Antiqua"/>
          <w:lang w:eastAsia="zh-CN"/>
        </w:rPr>
      </w:pPr>
    </w:p>
    <w:p w14:paraId="2162DB45" w14:textId="77777777" w:rsidR="00137895" w:rsidRPr="00633DA6" w:rsidRDefault="00137895" w:rsidP="00137895">
      <w:pPr>
        <w:ind w:leftChars="100" w:left="240"/>
        <w:jc w:val="center"/>
        <w:rPr>
          <w:rFonts w:ascii="Book Antiqua" w:hAnsi="Book Antiqua"/>
          <w:lang w:eastAsia="zh-CN"/>
        </w:rPr>
      </w:pPr>
    </w:p>
    <w:p w14:paraId="68829738" w14:textId="77777777" w:rsidR="00137895" w:rsidRPr="00633DA6" w:rsidRDefault="00137895" w:rsidP="00137895">
      <w:pPr>
        <w:ind w:leftChars="100" w:left="240"/>
        <w:jc w:val="center"/>
        <w:rPr>
          <w:rFonts w:ascii="Book Antiqua" w:hAnsi="Book Antiqua"/>
          <w:lang w:eastAsia="zh-CN"/>
        </w:rPr>
      </w:pPr>
    </w:p>
    <w:p w14:paraId="74F01F2D" w14:textId="77777777" w:rsidR="00137895" w:rsidRPr="00633DA6" w:rsidRDefault="00137895" w:rsidP="00137895">
      <w:pPr>
        <w:ind w:leftChars="100" w:left="240"/>
        <w:jc w:val="center"/>
        <w:rPr>
          <w:rFonts w:ascii="Book Antiqua" w:hAnsi="Book Antiqua"/>
          <w:lang w:eastAsia="zh-CN"/>
        </w:rPr>
      </w:pPr>
    </w:p>
    <w:p w14:paraId="3AE8E767" w14:textId="77777777" w:rsidR="00137895" w:rsidRPr="00633DA6" w:rsidRDefault="00137895" w:rsidP="00137895">
      <w:pPr>
        <w:ind w:leftChars="100" w:left="240"/>
        <w:jc w:val="center"/>
        <w:rPr>
          <w:rFonts w:ascii="Book Antiqua" w:hAnsi="Book Antiqua"/>
          <w:lang w:eastAsia="zh-CN"/>
        </w:rPr>
      </w:pPr>
    </w:p>
    <w:p w14:paraId="14021D2F" w14:textId="77777777" w:rsidR="00137895" w:rsidRPr="00633DA6" w:rsidRDefault="00137895" w:rsidP="00137895">
      <w:pPr>
        <w:ind w:leftChars="100" w:left="240"/>
        <w:jc w:val="center"/>
        <w:rPr>
          <w:rFonts w:ascii="Book Antiqua" w:hAnsi="Book Antiqua"/>
          <w:lang w:eastAsia="zh-CN"/>
        </w:rPr>
      </w:pPr>
    </w:p>
    <w:p w14:paraId="3026417B" w14:textId="77777777" w:rsidR="00137895" w:rsidRPr="00633DA6" w:rsidRDefault="00137895" w:rsidP="00137895">
      <w:pPr>
        <w:ind w:leftChars="100" w:left="240"/>
        <w:jc w:val="right"/>
        <w:rPr>
          <w:rFonts w:ascii="Book Antiqua" w:hAnsi="Book Antiqua"/>
          <w:color w:val="000000" w:themeColor="text1"/>
          <w:lang w:eastAsia="zh-CN"/>
        </w:rPr>
      </w:pPr>
    </w:p>
    <w:p w14:paraId="46AAE85F" w14:textId="77777777" w:rsidR="00137895" w:rsidRPr="00763D22" w:rsidRDefault="00137895" w:rsidP="00137895">
      <w:pPr>
        <w:ind w:leftChars="100" w:left="240"/>
        <w:jc w:val="center"/>
        <w:rPr>
          <w:rFonts w:ascii="Book Antiqua" w:hAnsi="Book Antiqua"/>
          <w:color w:val="000000" w:themeColor="text1"/>
          <w:lang w:eastAsia="zh-CN"/>
        </w:rPr>
      </w:pPr>
      <w:r w:rsidRPr="00633DA6">
        <w:rPr>
          <w:rFonts w:ascii="Book Antiqua" w:eastAsia="BookAntiqua-Bold" w:hAnsi="Book Antiqua" w:cs="BookAntiqua-Bold"/>
          <w:b/>
          <w:bCs/>
          <w:color w:val="000000" w:themeColor="text1"/>
        </w:rPr>
        <w:t>© 2021 Baishideng Publishing Group Inc. All rights reserved.</w:t>
      </w:r>
      <w:r w:rsidRPr="00633DA6">
        <w:rPr>
          <w:rFonts w:ascii="Book Antiqua" w:hAnsi="Book Antiqua"/>
          <w:color w:val="000000" w:themeColor="text1"/>
          <w:lang w:eastAsia="zh-CN"/>
        </w:rPr>
        <w:fldChar w:fldCharType="begin"/>
      </w:r>
      <w:r w:rsidRPr="00633DA6">
        <w:rPr>
          <w:rFonts w:ascii="Book Antiqua" w:hAnsi="Book Antiqua"/>
          <w:color w:val="000000" w:themeColor="text1"/>
          <w:lang w:eastAsia="zh-CN"/>
        </w:rPr>
        <w:instrText xml:space="preserve"> ADDIN EN.REFLIST </w:instrText>
      </w:r>
      <w:r w:rsidRPr="00633DA6">
        <w:rPr>
          <w:rFonts w:ascii="Book Antiqua" w:hAnsi="Book Antiqua"/>
          <w:color w:val="000000" w:themeColor="text1"/>
          <w:lang w:eastAsia="zh-CN"/>
        </w:rPr>
        <w:fldChar w:fldCharType="end"/>
      </w:r>
      <w:bookmarkEnd w:id="6"/>
    </w:p>
    <w:p w14:paraId="60458E98" w14:textId="77777777" w:rsidR="00A77B3E" w:rsidRPr="00137895" w:rsidRDefault="00A77B3E" w:rsidP="000E5CDA">
      <w:pPr>
        <w:spacing w:line="360" w:lineRule="auto"/>
        <w:jc w:val="both"/>
        <w:rPr>
          <w:rFonts w:ascii="Book Antiqua" w:hAnsi="Book Antiqua"/>
          <w:lang w:eastAsia="zh-CN"/>
        </w:rPr>
      </w:pPr>
    </w:p>
    <w:sectPr w:rsidR="00A77B3E" w:rsidRPr="00137895" w:rsidSect="001378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9347" w14:textId="77777777" w:rsidR="001C3531" w:rsidRDefault="001C3531" w:rsidP="00D20228">
      <w:r>
        <w:separator/>
      </w:r>
    </w:p>
  </w:endnote>
  <w:endnote w:type="continuationSeparator" w:id="0">
    <w:p w14:paraId="1591FE00" w14:textId="77777777" w:rsidR="001C3531" w:rsidRDefault="001C3531" w:rsidP="00D2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1477" w14:textId="77777777" w:rsidR="000716B8" w:rsidRPr="006B76E0" w:rsidRDefault="000716B8" w:rsidP="00D20228">
    <w:pPr>
      <w:pStyle w:val="a7"/>
      <w:jc w:val="right"/>
      <w:rPr>
        <w:rFonts w:ascii="Book Antiqua" w:hAnsi="Book Antiqua"/>
      </w:rPr>
    </w:pPr>
    <w:r w:rsidRPr="0012524F">
      <w:rPr>
        <w:rFonts w:ascii="Book Antiqua" w:hAnsi="Book Antiqua"/>
      </w:rPr>
      <w:fldChar w:fldCharType="begin"/>
    </w:r>
    <w:r w:rsidRPr="0013205D">
      <w:rPr>
        <w:rFonts w:ascii="Book Antiqua" w:hAnsi="Book Antiqua"/>
      </w:rPr>
      <w:instrText>PAGE  \* Arabic  \* MERGEFORMAT</w:instrText>
    </w:r>
    <w:r w:rsidRPr="0012524F">
      <w:rPr>
        <w:rFonts w:ascii="Book Antiqua" w:hAnsi="Book Antiqua"/>
      </w:rPr>
      <w:fldChar w:fldCharType="separate"/>
    </w:r>
    <w:r w:rsidR="00FE379D">
      <w:rPr>
        <w:rFonts w:ascii="Book Antiqua" w:hAnsi="Book Antiqua"/>
        <w:noProof/>
      </w:rPr>
      <w:t>4</w:t>
    </w:r>
    <w:r w:rsidRPr="0012524F">
      <w:rPr>
        <w:rFonts w:ascii="Book Antiqua" w:hAnsi="Book Antiqua"/>
      </w:rPr>
      <w:fldChar w:fldCharType="end"/>
    </w:r>
    <w:r w:rsidRPr="006B76E0">
      <w:rPr>
        <w:rFonts w:ascii="Book Antiqua" w:hAnsi="Book Antiqua"/>
        <w:lang w:val="zh-CN" w:eastAsia="zh-CN"/>
      </w:rPr>
      <w:t xml:space="preserve"> / </w:t>
    </w:r>
    <w:r w:rsidRPr="0012524F">
      <w:rPr>
        <w:rFonts w:ascii="Book Antiqua" w:hAnsi="Book Antiqua"/>
      </w:rPr>
      <w:fldChar w:fldCharType="begin"/>
    </w:r>
    <w:r w:rsidRPr="0013205D">
      <w:rPr>
        <w:rFonts w:ascii="Book Antiqua" w:hAnsi="Book Antiqua"/>
      </w:rPr>
      <w:instrText>NUMPAGES  \* Arabic  \* MERGEFORMAT</w:instrText>
    </w:r>
    <w:r w:rsidRPr="0012524F">
      <w:rPr>
        <w:rFonts w:ascii="Book Antiqua" w:hAnsi="Book Antiqua"/>
      </w:rPr>
      <w:fldChar w:fldCharType="separate"/>
    </w:r>
    <w:r w:rsidR="00FE379D">
      <w:rPr>
        <w:rFonts w:ascii="Book Antiqua" w:hAnsi="Book Antiqua"/>
        <w:noProof/>
      </w:rPr>
      <w:t>33</w:t>
    </w:r>
    <w:r w:rsidRPr="0012524F">
      <w:rPr>
        <w:rFonts w:ascii="Book Antiqua" w:hAnsi="Book Antiqua"/>
      </w:rPr>
      <w:fldChar w:fldCharType="end"/>
    </w:r>
  </w:p>
  <w:p w14:paraId="469DE109" w14:textId="77777777" w:rsidR="000716B8" w:rsidRDefault="000716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D9242" w14:textId="77777777" w:rsidR="001C3531" w:rsidRDefault="001C3531" w:rsidP="00D20228">
      <w:r>
        <w:separator/>
      </w:r>
    </w:p>
  </w:footnote>
  <w:footnote w:type="continuationSeparator" w:id="0">
    <w:p w14:paraId="52B3804C" w14:textId="77777777" w:rsidR="001C3531" w:rsidRDefault="001C3531" w:rsidP="00D20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47DE8"/>
    <w:rsid w:val="00056C29"/>
    <w:rsid w:val="000716B8"/>
    <w:rsid w:val="00077CCF"/>
    <w:rsid w:val="0008306B"/>
    <w:rsid w:val="000A506A"/>
    <w:rsid w:val="000B2BD6"/>
    <w:rsid w:val="000E5CDA"/>
    <w:rsid w:val="001030D7"/>
    <w:rsid w:val="00112682"/>
    <w:rsid w:val="001150A2"/>
    <w:rsid w:val="001165FA"/>
    <w:rsid w:val="0013252B"/>
    <w:rsid w:val="00137895"/>
    <w:rsid w:val="00172B87"/>
    <w:rsid w:val="00181917"/>
    <w:rsid w:val="001A5629"/>
    <w:rsid w:val="001B2895"/>
    <w:rsid w:val="001B70B2"/>
    <w:rsid w:val="001C3531"/>
    <w:rsid w:val="00213419"/>
    <w:rsid w:val="00244B50"/>
    <w:rsid w:val="00257304"/>
    <w:rsid w:val="00263BED"/>
    <w:rsid w:val="0028214D"/>
    <w:rsid w:val="002C1E17"/>
    <w:rsid w:val="002F70E4"/>
    <w:rsid w:val="00302299"/>
    <w:rsid w:val="0031239A"/>
    <w:rsid w:val="0034083B"/>
    <w:rsid w:val="00383457"/>
    <w:rsid w:val="003A23BC"/>
    <w:rsid w:val="003B7A8E"/>
    <w:rsid w:val="003F264A"/>
    <w:rsid w:val="00403355"/>
    <w:rsid w:val="00431DEF"/>
    <w:rsid w:val="00437726"/>
    <w:rsid w:val="00453E1D"/>
    <w:rsid w:val="004576DA"/>
    <w:rsid w:val="00457D80"/>
    <w:rsid w:val="00497B8C"/>
    <w:rsid w:val="004A3450"/>
    <w:rsid w:val="004D769B"/>
    <w:rsid w:val="00595FD5"/>
    <w:rsid w:val="005B422E"/>
    <w:rsid w:val="00601F8D"/>
    <w:rsid w:val="0060289D"/>
    <w:rsid w:val="0061761B"/>
    <w:rsid w:val="00633DA6"/>
    <w:rsid w:val="00650C54"/>
    <w:rsid w:val="00671E81"/>
    <w:rsid w:val="006A3BA1"/>
    <w:rsid w:val="006C73AE"/>
    <w:rsid w:val="0070308C"/>
    <w:rsid w:val="007256DD"/>
    <w:rsid w:val="00745D7B"/>
    <w:rsid w:val="007A4D23"/>
    <w:rsid w:val="007F5BFE"/>
    <w:rsid w:val="008039DD"/>
    <w:rsid w:val="008666E9"/>
    <w:rsid w:val="008A1A3B"/>
    <w:rsid w:val="008A5392"/>
    <w:rsid w:val="008C65A9"/>
    <w:rsid w:val="008C73CA"/>
    <w:rsid w:val="008D6224"/>
    <w:rsid w:val="008F4705"/>
    <w:rsid w:val="00903EAA"/>
    <w:rsid w:val="009A28D6"/>
    <w:rsid w:val="009A6539"/>
    <w:rsid w:val="009B32B5"/>
    <w:rsid w:val="00A14090"/>
    <w:rsid w:val="00A23178"/>
    <w:rsid w:val="00A34095"/>
    <w:rsid w:val="00A4682F"/>
    <w:rsid w:val="00A57224"/>
    <w:rsid w:val="00A61004"/>
    <w:rsid w:val="00A63795"/>
    <w:rsid w:val="00A77B3E"/>
    <w:rsid w:val="00AE65DB"/>
    <w:rsid w:val="00AF6224"/>
    <w:rsid w:val="00B15B99"/>
    <w:rsid w:val="00B212C1"/>
    <w:rsid w:val="00BF63E8"/>
    <w:rsid w:val="00BF7446"/>
    <w:rsid w:val="00C06180"/>
    <w:rsid w:val="00C14847"/>
    <w:rsid w:val="00C273BE"/>
    <w:rsid w:val="00C62F21"/>
    <w:rsid w:val="00C639A4"/>
    <w:rsid w:val="00C8379E"/>
    <w:rsid w:val="00CA2A55"/>
    <w:rsid w:val="00CC34E3"/>
    <w:rsid w:val="00D1438C"/>
    <w:rsid w:val="00D20228"/>
    <w:rsid w:val="00D346F3"/>
    <w:rsid w:val="00DA0D3F"/>
    <w:rsid w:val="00DA50C9"/>
    <w:rsid w:val="00DF4B59"/>
    <w:rsid w:val="00DF553D"/>
    <w:rsid w:val="00EA77D1"/>
    <w:rsid w:val="00FB6319"/>
    <w:rsid w:val="00FE3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5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576DA"/>
    <w:rPr>
      <w:sz w:val="18"/>
      <w:szCs w:val="18"/>
    </w:rPr>
  </w:style>
  <w:style w:type="character" w:customStyle="1" w:styleId="a4">
    <w:name w:val="批注框文本 字符"/>
    <w:basedOn w:val="a0"/>
    <w:link w:val="a3"/>
    <w:rsid w:val="004576DA"/>
    <w:rPr>
      <w:sz w:val="18"/>
      <w:szCs w:val="18"/>
    </w:rPr>
  </w:style>
  <w:style w:type="paragraph" w:styleId="a5">
    <w:name w:val="header"/>
    <w:basedOn w:val="a"/>
    <w:link w:val="a6"/>
    <w:unhideWhenUsed/>
    <w:rsid w:val="00D20228"/>
    <w:pPr>
      <w:tabs>
        <w:tab w:val="center" w:pos="4680"/>
        <w:tab w:val="right" w:pos="9360"/>
      </w:tabs>
    </w:pPr>
  </w:style>
  <w:style w:type="character" w:customStyle="1" w:styleId="a6">
    <w:name w:val="页眉 字符"/>
    <w:basedOn w:val="a0"/>
    <w:link w:val="a5"/>
    <w:rsid w:val="00D20228"/>
    <w:rPr>
      <w:sz w:val="24"/>
      <w:szCs w:val="24"/>
    </w:rPr>
  </w:style>
  <w:style w:type="paragraph" w:styleId="a7">
    <w:name w:val="footer"/>
    <w:basedOn w:val="a"/>
    <w:link w:val="a8"/>
    <w:uiPriority w:val="99"/>
    <w:unhideWhenUsed/>
    <w:rsid w:val="00D20228"/>
    <w:pPr>
      <w:tabs>
        <w:tab w:val="center" w:pos="4680"/>
        <w:tab w:val="right" w:pos="9360"/>
      </w:tabs>
    </w:pPr>
  </w:style>
  <w:style w:type="character" w:customStyle="1" w:styleId="a8">
    <w:name w:val="页脚 字符"/>
    <w:basedOn w:val="a0"/>
    <w:link w:val="a7"/>
    <w:uiPriority w:val="99"/>
    <w:rsid w:val="00D20228"/>
    <w:rPr>
      <w:sz w:val="24"/>
      <w:szCs w:val="24"/>
    </w:rPr>
  </w:style>
  <w:style w:type="character" w:styleId="a9">
    <w:name w:val="annotation reference"/>
    <w:basedOn w:val="a0"/>
    <w:semiHidden/>
    <w:unhideWhenUsed/>
    <w:rsid w:val="00213419"/>
    <w:rPr>
      <w:sz w:val="16"/>
      <w:szCs w:val="16"/>
    </w:rPr>
  </w:style>
  <w:style w:type="paragraph" w:styleId="aa">
    <w:name w:val="annotation text"/>
    <w:basedOn w:val="a"/>
    <w:link w:val="ab"/>
    <w:semiHidden/>
    <w:unhideWhenUsed/>
    <w:rsid w:val="00213419"/>
    <w:rPr>
      <w:sz w:val="20"/>
      <w:szCs w:val="20"/>
    </w:rPr>
  </w:style>
  <w:style w:type="character" w:customStyle="1" w:styleId="ab">
    <w:name w:val="批注文字 字符"/>
    <w:basedOn w:val="a0"/>
    <w:link w:val="aa"/>
    <w:semiHidden/>
    <w:rsid w:val="00213419"/>
  </w:style>
  <w:style w:type="paragraph" w:styleId="ac">
    <w:name w:val="annotation subject"/>
    <w:basedOn w:val="aa"/>
    <w:next w:val="aa"/>
    <w:link w:val="ad"/>
    <w:semiHidden/>
    <w:unhideWhenUsed/>
    <w:rsid w:val="00213419"/>
    <w:rPr>
      <w:b/>
      <w:bCs/>
    </w:rPr>
  </w:style>
  <w:style w:type="character" w:customStyle="1" w:styleId="ad">
    <w:name w:val="批注主题 字符"/>
    <w:basedOn w:val="ab"/>
    <w:link w:val="ac"/>
    <w:semiHidden/>
    <w:rsid w:val="00213419"/>
    <w:rPr>
      <w:b/>
      <w:bCs/>
    </w:rPr>
  </w:style>
  <w:style w:type="table" w:styleId="ae">
    <w:name w:val="Table Grid"/>
    <w:basedOn w:val="a1"/>
    <w:uiPriority w:val="99"/>
    <w:rsid w:val="000E5CDA"/>
    <w:rPr>
      <w:rFonts w:eastAsia="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181917"/>
    <w:pPr>
      <w:spacing w:before="100" w:beforeAutospacing="1" w:after="100" w:afterAutospacing="1"/>
    </w:pPr>
    <w:rPr>
      <w:rFonts w:ascii="宋体" w:eastAsia="宋体" w:hAnsi="宋体" w:cs="宋体"/>
      <w:lang w:eastAsia="zh-CN"/>
    </w:rPr>
  </w:style>
  <w:style w:type="paragraph" w:styleId="af0">
    <w:name w:val="Revision"/>
    <w:hidden/>
    <w:uiPriority w:val="99"/>
    <w:semiHidden/>
    <w:rsid w:val="00112682"/>
    <w:rPr>
      <w:sz w:val="24"/>
      <w:szCs w:val="24"/>
    </w:rPr>
  </w:style>
  <w:style w:type="character" w:styleId="af1">
    <w:name w:val="Hyperlink"/>
    <w:basedOn w:val="a0"/>
    <w:unhideWhenUsed/>
    <w:rsid w:val="009B32B5"/>
    <w:rPr>
      <w:color w:val="0000FF" w:themeColor="hyperlink"/>
      <w:u w:val="single"/>
    </w:rPr>
  </w:style>
  <w:style w:type="character" w:styleId="af2">
    <w:name w:val="Unresolved Mention"/>
    <w:basedOn w:val="a0"/>
    <w:uiPriority w:val="99"/>
    <w:semiHidden/>
    <w:unhideWhenUsed/>
    <w:rsid w:val="009B3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909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momtaz\Downloads\ManuscriptRevisionWordPreview.aspx%3fFilePath=483545b1-8358-4bbe-8edd-6254fde438aa\65842_Auto_Edited.docx" TargetMode="External"/><Relationship Id="rId21" Type="http://schemas.openxmlformats.org/officeDocument/2006/relationships/hyperlink" Target="file:///C:\Users\momtaz\Downloads\ManuscriptRevisionWordPreview.aspx%3fFilePath=483545b1-8358-4bbe-8edd-6254fde438aa\65842_Auto_Edited.docx" TargetMode="External"/><Relationship Id="rId34" Type="http://schemas.openxmlformats.org/officeDocument/2006/relationships/hyperlink" Target="file:///C:\Users\momtaz\Downloads\ManuscriptRevisionWordPreview.aspx%3fFilePath=483545b1-8358-4bbe-8edd-6254fde438aa\65842_Auto_Edited.docx" TargetMode="External"/><Relationship Id="rId42" Type="http://schemas.openxmlformats.org/officeDocument/2006/relationships/hyperlink" Target="file:///C:\Users\momtaz\Downloads\ManuscriptRevisionWordPreview.aspx%3fFilePath=483545b1-8358-4bbe-8edd-6254fde438aa\65842_Auto_Edited.docx" TargetMode="External"/><Relationship Id="rId47" Type="http://schemas.openxmlformats.org/officeDocument/2006/relationships/hyperlink" Target="file:///C:\Users\momtaz\Downloads\ManuscriptRevisionWordPreview.aspx%3fFilePath=483545b1-8358-4bbe-8edd-6254fde438aa\65842_Auto_Edited.docx" TargetMode="External"/><Relationship Id="rId50" Type="http://schemas.openxmlformats.org/officeDocument/2006/relationships/hyperlink" Target="file:///C:\Users\momtaz\Downloads\ManuscriptRevisionWordPreview.aspx%3fFilePath=483545b1-8358-4bbe-8edd-6254fde438aa\65842_Auto_Edited.docx" TargetMode="External"/><Relationship Id="rId55" Type="http://schemas.openxmlformats.org/officeDocument/2006/relationships/hyperlink" Target="file:///C:\Users\momtaz\Downloads\ManuscriptRevisionWordPreview.aspx%3fFilePath=483545b1-8358-4bbe-8edd-6254fde438aa\65842_Auto_Edited.docx" TargetMode="External"/><Relationship Id="rId63" Type="http://schemas.openxmlformats.org/officeDocument/2006/relationships/hyperlink" Target="file:///C:\Users\momtaz\Downloads\ManuscriptRevisionWordPreview.aspx%3fFilePath=483545b1-8358-4bbe-8edd-6254fde438aa\65842_Auto_Edited.docx" TargetMode="External"/><Relationship Id="rId68" Type="http://schemas.openxmlformats.org/officeDocument/2006/relationships/hyperlink" Target="file:///C:\Users\momtaz\Downloads\ManuscriptRevisionWordPreview.aspx%3fFilePath=483545b1-8358-4bbe-8edd-6254fde438aa\65842_Auto_Edited.docx" TargetMode="External"/><Relationship Id="rId76" Type="http://schemas.openxmlformats.org/officeDocument/2006/relationships/hyperlink" Target="file:///C:\Users\momtaz\Downloads\ManuscriptRevisionWordPreview.aspx%3fFilePath=483545b1-8358-4bbe-8edd-6254fde438aa\65842_Auto_Edited.docx" TargetMode="External"/><Relationship Id="rId84" Type="http://schemas.openxmlformats.org/officeDocument/2006/relationships/hyperlink" Target="file:///C:\Users\momtaz\Downloads\ManuscriptRevisionWordPreview.aspx%3fFilePath=483545b1-8358-4bbe-8edd-6254fde438aa\65842_Auto_Edited.docx" TargetMode="External"/><Relationship Id="rId89" Type="http://schemas.openxmlformats.org/officeDocument/2006/relationships/hyperlink" Target="file:///C:\Users\momtaz\Downloads\ManuscriptRevisionWordPreview.aspx%3fFilePath=483545b1-8358-4bbe-8edd-6254fde438aa\65842_Auto_Edited.docx" TargetMode="External"/><Relationship Id="rId97" Type="http://schemas.openxmlformats.org/officeDocument/2006/relationships/image" Target="media/image1.png"/><Relationship Id="rId7" Type="http://schemas.openxmlformats.org/officeDocument/2006/relationships/hyperlink" Target="https://www.wjgnet.com/1007-9327/full/v27/i46/7943.htm" TargetMode="External"/><Relationship Id="rId71" Type="http://schemas.openxmlformats.org/officeDocument/2006/relationships/hyperlink" Target="file:///C:\Users\momtaz\Downloads\ManuscriptRevisionWordPreview.aspx%3fFilePath=483545b1-8358-4bbe-8edd-6254fde438aa\65842_Auto_Edited.docx" TargetMode="External"/><Relationship Id="rId92" Type="http://schemas.openxmlformats.org/officeDocument/2006/relationships/hyperlink" Target="file:///C:\Users\momtaz\Downloads\ManuscriptRevisionWordPreview.aspx%3fFilePath=483545b1-8358-4bbe-8edd-6254fde438aa\65842_Auto_Edited.docx" TargetMode="External"/><Relationship Id="rId2" Type="http://schemas.openxmlformats.org/officeDocument/2006/relationships/settings" Target="settings.xml"/><Relationship Id="rId16" Type="http://schemas.openxmlformats.org/officeDocument/2006/relationships/hyperlink" Target="file:///C:\Users\momtaz\Downloads\ManuscriptRevisionWordPreview.aspx%3fFilePath=483545b1-8358-4bbe-8edd-6254fde438aa\65842_Auto_Edited.docx" TargetMode="External"/><Relationship Id="rId29" Type="http://schemas.openxmlformats.org/officeDocument/2006/relationships/hyperlink" Target="file:///C:\Users\momtaz\Downloads\ManuscriptRevisionWordPreview.aspx%3fFilePath=483545b1-8358-4bbe-8edd-6254fde438aa\65842_Auto_Edited.docx" TargetMode="External"/><Relationship Id="rId11" Type="http://schemas.openxmlformats.org/officeDocument/2006/relationships/hyperlink" Target="file:///C:\Users\momtaz\Downloads\ManuscriptRevisionWordPreview.aspx%3fFilePath=483545b1-8358-4bbe-8edd-6254fde438aa\65842_Auto_Edited.docx" TargetMode="External"/><Relationship Id="rId24" Type="http://schemas.openxmlformats.org/officeDocument/2006/relationships/hyperlink" Target="file:///C:\Users\momtaz\Downloads\ManuscriptRevisionWordPreview.aspx%3fFilePath=483545b1-8358-4bbe-8edd-6254fde438aa\65842_Auto_Edited.docx" TargetMode="External"/><Relationship Id="rId32" Type="http://schemas.openxmlformats.org/officeDocument/2006/relationships/hyperlink" Target="file:///C:\Users\momtaz\Downloads\ManuscriptRevisionWordPreview.aspx%3fFilePath=483545b1-8358-4bbe-8edd-6254fde438aa\65842_Auto_Edited.docx" TargetMode="External"/><Relationship Id="rId37" Type="http://schemas.openxmlformats.org/officeDocument/2006/relationships/hyperlink" Target="file:///C:\Users\momtaz\Downloads\ManuscriptRevisionWordPreview.aspx%3fFilePath=483545b1-8358-4bbe-8edd-6254fde438aa\65842_Auto_Edited.docx" TargetMode="External"/><Relationship Id="rId40" Type="http://schemas.openxmlformats.org/officeDocument/2006/relationships/hyperlink" Target="file:///C:\Users\momtaz\Downloads\ManuscriptRevisionWordPreview.aspx%3fFilePath=483545b1-8358-4bbe-8edd-6254fde438aa\65842_Auto_Edited.docx" TargetMode="External"/><Relationship Id="rId45" Type="http://schemas.openxmlformats.org/officeDocument/2006/relationships/hyperlink" Target="file:///C:\Users\momtaz\Downloads\ManuscriptRevisionWordPreview.aspx%3fFilePath=483545b1-8358-4bbe-8edd-6254fde438aa\65842_Auto_Edited.docx" TargetMode="External"/><Relationship Id="rId53" Type="http://schemas.openxmlformats.org/officeDocument/2006/relationships/hyperlink" Target="file:///C:\Users\momtaz\Downloads\ManuscriptRevisionWordPreview.aspx%3fFilePath=483545b1-8358-4bbe-8edd-6254fde438aa\65842_Auto_Edited.docx" TargetMode="External"/><Relationship Id="rId58" Type="http://schemas.openxmlformats.org/officeDocument/2006/relationships/hyperlink" Target="file:///C:\Users\momtaz\Downloads\ManuscriptRevisionWordPreview.aspx%3fFilePath=483545b1-8358-4bbe-8edd-6254fde438aa\65842_Auto_Edited.docx" TargetMode="External"/><Relationship Id="rId66" Type="http://schemas.openxmlformats.org/officeDocument/2006/relationships/hyperlink" Target="file:///C:\Users\momtaz\Downloads\ManuscriptRevisionWordPreview.aspx%3fFilePath=483545b1-8358-4bbe-8edd-6254fde438aa\65842_Auto_Edited.docx" TargetMode="External"/><Relationship Id="rId74" Type="http://schemas.openxmlformats.org/officeDocument/2006/relationships/hyperlink" Target="file:///C:\Users\momtaz\Downloads\ManuscriptRevisionWordPreview.aspx%3fFilePath=483545b1-8358-4bbe-8edd-6254fde438aa\65842_Auto_Edited.docx" TargetMode="External"/><Relationship Id="rId79" Type="http://schemas.openxmlformats.org/officeDocument/2006/relationships/hyperlink" Target="file:///C:\Users\momtaz\Downloads\ManuscriptRevisionWordPreview.aspx%3fFilePath=483545b1-8358-4bbe-8edd-6254fde438aa\65842_Auto_Edited.docx" TargetMode="External"/><Relationship Id="rId87" Type="http://schemas.openxmlformats.org/officeDocument/2006/relationships/hyperlink" Target="file:///C:\Users\momtaz\Downloads\ManuscriptRevisionWordPreview.aspx%3fFilePath=483545b1-8358-4bbe-8edd-6254fde438aa\65842_Auto_Edited.docx" TargetMode="External"/><Relationship Id="rId5" Type="http://schemas.openxmlformats.org/officeDocument/2006/relationships/endnotes" Target="endnotes.xml"/><Relationship Id="rId61" Type="http://schemas.openxmlformats.org/officeDocument/2006/relationships/hyperlink" Target="file:///C:\Users\momtaz\Downloads\ManuscriptRevisionWordPreview.aspx%3fFilePath=483545b1-8358-4bbe-8edd-6254fde438aa\65842_Auto_Edited.docx" TargetMode="External"/><Relationship Id="rId82" Type="http://schemas.openxmlformats.org/officeDocument/2006/relationships/hyperlink" Target="file:///C:\Users\momtaz\Downloads\ManuscriptRevisionWordPreview.aspx%3fFilePath=483545b1-8358-4bbe-8edd-6254fde438aa\65842_Auto_Edited.docx" TargetMode="External"/><Relationship Id="rId90" Type="http://schemas.openxmlformats.org/officeDocument/2006/relationships/hyperlink" Target="file:///C:\Users\momtaz\Downloads\ManuscriptRevisionWordPreview.aspx%3fFilePath=483545b1-8358-4bbe-8edd-6254fde438aa\65842_Auto_Edited.docx" TargetMode="External"/><Relationship Id="rId95" Type="http://schemas.openxmlformats.org/officeDocument/2006/relationships/hyperlink" Target="file:///C:\Users\momtaz\Downloads\ManuscriptRevisionWordPreview.aspx%3fFilePath=483545b1-8358-4bbe-8edd-6254fde438aa\65842_Auto_Edited.docx" TargetMode="External"/><Relationship Id="rId19" Type="http://schemas.openxmlformats.org/officeDocument/2006/relationships/hyperlink" Target="file:///C:\Users\momtaz\Downloads\ManuscriptRevisionWordPreview.aspx%3fFilePath=483545b1-8358-4bbe-8edd-6254fde438aa\65842_Auto_Edited.docx" TargetMode="External"/><Relationship Id="rId14" Type="http://schemas.openxmlformats.org/officeDocument/2006/relationships/hyperlink" Target="file:///C:\Users\momtaz\Downloads\ManuscriptRevisionWordPreview.aspx%3fFilePath=483545b1-8358-4bbe-8edd-6254fde438aa\65842_Auto_Edited.docx" TargetMode="External"/><Relationship Id="rId22" Type="http://schemas.openxmlformats.org/officeDocument/2006/relationships/hyperlink" Target="file:///C:\Users\momtaz\Downloads\ManuscriptRevisionWordPreview.aspx%3fFilePath=483545b1-8358-4bbe-8edd-6254fde438aa\65842_Auto_Edited.docx" TargetMode="External"/><Relationship Id="rId27" Type="http://schemas.openxmlformats.org/officeDocument/2006/relationships/hyperlink" Target="file:///C:\Users\momtaz\Downloads\ManuscriptRevisionWordPreview.aspx%3fFilePath=483545b1-8358-4bbe-8edd-6254fde438aa\65842_Auto_Edited.docx" TargetMode="External"/><Relationship Id="rId30" Type="http://schemas.openxmlformats.org/officeDocument/2006/relationships/hyperlink" Target="file:///C:\Users\momtaz\Downloads\ManuscriptRevisionWordPreview.aspx%3fFilePath=483545b1-8358-4bbe-8edd-6254fde438aa\65842_Auto_Edited.docx" TargetMode="External"/><Relationship Id="rId35" Type="http://schemas.openxmlformats.org/officeDocument/2006/relationships/hyperlink" Target="file:///C:\Users\momtaz\Downloads\ManuscriptRevisionWordPreview.aspx%3fFilePath=483545b1-8358-4bbe-8edd-6254fde438aa\65842_Auto_Edited.docx" TargetMode="External"/><Relationship Id="rId43" Type="http://schemas.openxmlformats.org/officeDocument/2006/relationships/hyperlink" Target="file:///C:\Users\momtaz\Downloads\ManuscriptRevisionWordPreview.aspx%3fFilePath=483545b1-8358-4bbe-8edd-6254fde438aa\65842_Auto_Edited.docx" TargetMode="External"/><Relationship Id="rId48" Type="http://schemas.openxmlformats.org/officeDocument/2006/relationships/hyperlink" Target="file:///C:\Users\momtaz\Downloads\ManuscriptRevisionWordPreview.aspx%3fFilePath=483545b1-8358-4bbe-8edd-6254fde438aa\65842_Auto_Edited.docx" TargetMode="External"/><Relationship Id="rId56" Type="http://schemas.openxmlformats.org/officeDocument/2006/relationships/hyperlink" Target="file:///C:\Users\momtaz\Downloads\ManuscriptRevisionWordPreview.aspx%3fFilePath=483545b1-8358-4bbe-8edd-6254fde438aa\65842_Auto_Edited.docx" TargetMode="External"/><Relationship Id="rId64" Type="http://schemas.openxmlformats.org/officeDocument/2006/relationships/hyperlink" Target="file:///C:\Users\momtaz\Downloads\ManuscriptRevisionWordPreview.aspx%3fFilePath=483545b1-8358-4bbe-8edd-6254fde438aa\65842_Auto_Edited.docx" TargetMode="External"/><Relationship Id="rId69" Type="http://schemas.openxmlformats.org/officeDocument/2006/relationships/hyperlink" Target="file:///C:\Users\momtaz\Downloads\ManuscriptRevisionWordPreview.aspx%3fFilePath=483545b1-8358-4bbe-8edd-6254fde438aa\65842_Auto_Edited.docx" TargetMode="External"/><Relationship Id="rId77" Type="http://schemas.openxmlformats.org/officeDocument/2006/relationships/hyperlink" Target="file:///C:\Users\momtaz\Downloads\ManuscriptRevisionWordPreview.aspx%3fFilePath=483545b1-8358-4bbe-8edd-6254fde438aa\65842_Auto_Edited.docx" TargetMode="External"/><Relationship Id="rId100" Type="http://schemas.openxmlformats.org/officeDocument/2006/relationships/fontTable" Target="fontTable.xml"/><Relationship Id="rId8" Type="http://schemas.openxmlformats.org/officeDocument/2006/relationships/hyperlink" Target="file:///C:\Users\momtaz\Downloads\ManuscriptRevisionWordPreview.aspx%3fFilePath=483545b1-8358-4bbe-8edd-6254fde438aa\65842_Auto_Edited.docx" TargetMode="External"/><Relationship Id="rId51" Type="http://schemas.openxmlformats.org/officeDocument/2006/relationships/hyperlink" Target="file:///C:\Users\momtaz\Downloads\ManuscriptRevisionWordPreview.aspx%3fFilePath=483545b1-8358-4bbe-8edd-6254fde438aa\65842_Auto_Edited.docx" TargetMode="External"/><Relationship Id="rId72" Type="http://schemas.openxmlformats.org/officeDocument/2006/relationships/hyperlink" Target="file:///C:\Users\momtaz\Downloads\ManuscriptRevisionWordPreview.aspx%3fFilePath=483545b1-8358-4bbe-8edd-6254fde438aa\65842_Auto_Edited.docx" TargetMode="External"/><Relationship Id="rId80" Type="http://schemas.openxmlformats.org/officeDocument/2006/relationships/hyperlink" Target="file:///C:\Users\momtaz\Downloads\ManuscriptRevisionWordPreview.aspx%3fFilePath=483545b1-8358-4bbe-8edd-6254fde438aa\65842_Auto_Edited.docx" TargetMode="External"/><Relationship Id="rId85" Type="http://schemas.openxmlformats.org/officeDocument/2006/relationships/hyperlink" Target="file:///C:\Users\momtaz\Downloads\ManuscriptRevisionWordPreview.aspx%3fFilePath=483545b1-8358-4bbe-8edd-6254fde438aa\65842_Auto_Edited.docx" TargetMode="External"/><Relationship Id="rId93" Type="http://schemas.openxmlformats.org/officeDocument/2006/relationships/hyperlink" Target="file:///C:\Users\momtaz\Downloads\ManuscriptRevisionWordPreview.aspx%3fFilePath=483545b1-8358-4bbe-8edd-6254fde438aa\65842_Auto_Edited.docx" TargetMode="External"/><Relationship Id="rId98" Type="http://schemas.openxmlformats.org/officeDocument/2006/relationships/image" Target="media/image2.png"/><Relationship Id="rId3" Type="http://schemas.openxmlformats.org/officeDocument/2006/relationships/webSettings" Target="webSettings.xml"/><Relationship Id="rId12" Type="http://schemas.openxmlformats.org/officeDocument/2006/relationships/hyperlink" Target="file:///C:\Users\momtaz\Downloads\ManuscriptRevisionWordPreview.aspx%3fFilePath=483545b1-8358-4bbe-8edd-6254fde438aa\65842_Auto_Edited.docx" TargetMode="External"/><Relationship Id="rId17" Type="http://schemas.openxmlformats.org/officeDocument/2006/relationships/hyperlink" Target="file:///C:\Users\momtaz\Downloads\ManuscriptRevisionWordPreview.aspx%3fFilePath=483545b1-8358-4bbe-8edd-6254fde438aa\65842_Auto_Edited.docx" TargetMode="External"/><Relationship Id="rId25" Type="http://schemas.openxmlformats.org/officeDocument/2006/relationships/hyperlink" Target="file:///C:\Users\momtaz\Downloads\ManuscriptRevisionWordPreview.aspx%3fFilePath=483545b1-8358-4bbe-8edd-6254fde438aa\65842_Auto_Edited.docx" TargetMode="External"/><Relationship Id="rId33" Type="http://schemas.openxmlformats.org/officeDocument/2006/relationships/hyperlink" Target="file:///C:\Users\momtaz\Downloads\ManuscriptRevisionWordPreview.aspx%3fFilePath=483545b1-8358-4bbe-8edd-6254fde438aa\65842_Auto_Edited.docx" TargetMode="External"/><Relationship Id="rId38" Type="http://schemas.openxmlformats.org/officeDocument/2006/relationships/hyperlink" Target="file:///C:\Users\momtaz\Downloads\ManuscriptRevisionWordPreview.aspx%3fFilePath=483545b1-8358-4bbe-8edd-6254fde438aa\65842_Auto_Edited.docx" TargetMode="External"/><Relationship Id="rId46" Type="http://schemas.openxmlformats.org/officeDocument/2006/relationships/hyperlink" Target="file:///C:\Users\momtaz\Downloads\ManuscriptRevisionWordPreview.aspx%3fFilePath=483545b1-8358-4bbe-8edd-6254fde438aa\65842_Auto_Edited.docx" TargetMode="External"/><Relationship Id="rId59" Type="http://schemas.openxmlformats.org/officeDocument/2006/relationships/hyperlink" Target="file:///C:\Users\momtaz\Downloads\ManuscriptRevisionWordPreview.aspx%3fFilePath=483545b1-8358-4bbe-8edd-6254fde438aa\65842_Auto_Edited.docx" TargetMode="External"/><Relationship Id="rId67" Type="http://schemas.openxmlformats.org/officeDocument/2006/relationships/hyperlink" Target="file:///C:\Users\momtaz\Downloads\ManuscriptRevisionWordPreview.aspx%3fFilePath=483545b1-8358-4bbe-8edd-6254fde438aa\65842_Auto_Edited.docx" TargetMode="External"/><Relationship Id="rId20" Type="http://schemas.openxmlformats.org/officeDocument/2006/relationships/hyperlink" Target="file:///C:\Users\momtaz\Downloads\ManuscriptRevisionWordPreview.aspx%3fFilePath=483545b1-8358-4bbe-8edd-6254fde438aa\65842_Auto_Edited.docx" TargetMode="External"/><Relationship Id="rId41" Type="http://schemas.openxmlformats.org/officeDocument/2006/relationships/hyperlink" Target="file:///C:\Users\momtaz\Downloads\ManuscriptRevisionWordPreview.aspx%3fFilePath=483545b1-8358-4bbe-8edd-6254fde438aa\65842_Auto_Edited.docx" TargetMode="External"/><Relationship Id="rId54" Type="http://schemas.openxmlformats.org/officeDocument/2006/relationships/hyperlink" Target="file:///C:\Users\momtaz\Downloads\ManuscriptRevisionWordPreview.aspx%3fFilePath=483545b1-8358-4bbe-8edd-6254fde438aa\65842_Auto_Edited.docx" TargetMode="External"/><Relationship Id="rId62" Type="http://schemas.openxmlformats.org/officeDocument/2006/relationships/hyperlink" Target="file:///C:\Users\momtaz\Downloads\ManuscriptRevisionWordPreview.aspx%3fFilePath=483545b1-8358-4bbe-8edd-6254fde438aa\65842_Auto_Edited.docx" TargetMode="External"/><Relationship Id="rId70" Type="http://schemas.openxmlformats.org/officeDocument/2006/relationships/hyperlink" Target="file:///C:\Users\momtaz\Downloads\ManuscriptRevisionWordPreview.aspx%3fFilePath=483545b1-8358-4bbe-8edd-6254fde438aa\65842_Auto_Edited.docx" TargetMode="External"/><Relationship Id="rId75" Type="http://schemas.openxmlformats.org/officeDocument/2006/relationships/hyperlink" Target="file:///C:\Users\momtaz\Downloads\ManuscriptRevisionWordPreview.aspx%3fFilePath=483545b1-8358-4bbe-8edd-6254fde438aa\65842_Auto_Edited.docx" TargetMode="External"/><Relationship Id="rId83" Type="http://schemas.openxmlformats.org/officeDocument/2006/relationships/hyperlink" Target="file:///C:\Users\momtaz\Downloads\ManuscriptRevisionWordPreview.aspx%3fFilePath=483545b1-8358-4bbe-8edd-6254fde438aa\65842_Auto_Edited.docx" TargetMode="External"/><Relationship Id="rId88" Type="http://schemas.openxmlformats.org/officeDocument/2006/relationships/hyperlink" Target="file:///C:\Users\momtaz\Downloads\ManuscriptRevisionWordPreview.aspx%3fFilePath=483545b1-8358-4bbe-8edd-6254fde438aa\65842_Auto_Edited.docx" TargetMode="External"/><Relationship Id="rId91" Type="http://schemas.openxmlformats.org/officeDocument/2006/relationships/hyperlink" Target="file:///C:\Users\momtaz\Downloads\ManuscriptRevisionWordPreview.aspx%3fFilePath=483545b1-8358-4bbe-8edd-6254fde438aa\65842_Auto_Edited.docx" TargetMode="External"/><Relationship Id="rId96" Type="http://schemas.openxmlformats.org/officeDocument/2006/relationships/hyperlink" Target="file:///C:\Users\momtaz\Downloads\ManuscriptRevisionWordPreview.aspx%3fFilePath=483545b1-8358-4bbe-8edd-6254fde438aa\65842_Auto_Edited.docx"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file:///C:\Users\momtaz\Downloads\ManuscriptRevisionWordPreview.aspx%3fFilePath=483545b1-8358-4bbe-8edd-6254fde438aa\65842_Auto_Edited.docx" TargetMode="External"/><Relationship Id="rId23" Type="http://schemas.openxmlformats.org/officeDocument/2006/relationships/hyperlink" Target="file:///C:\Users\momtaz\Downloads\ManuscriptRevisionWordPreview.aspx%3fFilePath=483545b1-8358-4bbe-8edd-6254fde438aa\65842_Auto_Edited.docx" TargetMode="External"/><Relationship Id="rId28" Type="http://schemas.openxmlformats.org/officeDocument/2006/relationships/hyperlink" Target="file:///C:\Users\momtaz\Downloads\ManuscriptRevisionWordPreview.aspx%3fFilePath=483545b1-8358-4bbe-8edd-6254fde438aa\65842_Auto_Edited.docx" TargetMode="External"/><Relationship Id="rId36" Type="http://schemas.openxmlformats.org/officeDocument/2006/relationships/hyperlink" Target="file:///C:\Users\momtaz\Downloads\ManuscriptRevisionWordPreview.aspx%3fFilePath=483545b1-8358-4bbe-8edd-6254fde438aa\65842_Auto_Edited.docx" TargetMode="External"/><Relationship Id="rId49" Type="http://schemas.openxmlformats.org/officeDocument/2006/relationships/hyperlink" Target="file:///C:\Users\momtaz\Downloads\ManuscriptRevisionWordPreview.aspx%3fFilePath=483545b1-8358-4bbe-8edd-6254fde438aa\65842_Auto_Edited.docx" TargetMode="External"/><Relationship Id="rId57" Type="http://schemas.openxmlformats.org/officeDocument/2006/relationships/hyperlink" Target="file:///C:\Users\momtaz\Downloads\ManuscriptRevisionWordPreview.aspx%3fFilePath=483545b1-8358-4bbe-8edd-6254fde438aa\65842_Auto_Edited.docx" TargetMode="External"/><Relationship Id="rId10" Type="http://schemas.openxmlformats.org/officeDocument/2006/relationships/hyperlink" Target="file:///C:\Users\momtaz\Downloads\ManuscriptRevisionWordPreview.aspx%3fFilePath=483545b1-8358-4bbe-8edd-6254fde438aa\65842_Auto_Edited.docx" TargetMode="External"/><Relationship Id="rId31" Type="http://schemas.openxmlformats.org/officeDocument/2006/relationships/hyperlink" Target="file:///C:\Users\momtaz\Downloads\ManuscriptRevisionWordPreview.aspx%3fFilePath=483545b1-8358-4bbe-8edd-6254fde438aa\65842_Auto_Edited.docx" TargetMode="External"/><Relationship Id="rId44" Type="http://schemas.openxmlformats.org/officeDocument/2006/relationships/hyperlink" Target="file:///C:\Users\momtaz\Downloads\ManuscriptRevisionWordPreview.aspx%3fFilePath=483545b1-8358-4bbe-8edd-6254fde438aa\65842_Auto_Edited.docx" TargetMode="External"/><Relationship Id="rId52" Type="http://schemas.openxmlformats.org/officeDocument/2006/relationships/hyperlink" Target="file:///C:\Users\momtaz\Downloads\ManuscriptRevisionWordPreview.aspx%3fFilePath=483545b1-8358-4bbe-8edd-6254fde438aa\65842_Auto_Edited.docx" TargetMode="External"/><Relationship Id="rId60" Type="http://schemas.openxmlformats.org/officeDocument/2006/relationships/hyperlink" Target="file:///C:\Users\momtaz\Downloads\ManuscriptRevisionWordPreview.aspx%3fFilePath=483545b1-8358-4bbe-8edd-6254fde438aa\65842_Auto_Edited.docx" TargetMode="External"/><Relationship Id="rId65" Type="http://schemas.openxmlformats.org/officeDocument/2006/relationships/hyperlink" Target="file:///C:\Users\momtaz\Downloads\ManuscriptRevisionWordPreview.aspx%3fFilePath=483545b1-8358-4bbe-8edd-6254fde438aa\65842_Auto_Edited.docx" TargetMode="External"/><Relationship Id="rId73" Type="http://schemas.openxmlformats.org/officeDocument/2006/relationships/hyperlink" Target="file:///C:\Users\momtaz\Downloads\ManuscriptRevisionWordPreview.aspx%3fFilePath=483545b1-8358-4bbe-8edd-6254fde438aa\65842_Auto_Edited.docx" TargetMode="External"/><Relationship Id="rId78" Type="http://schemas.openxmlformats.org/officeDocument/2006/relationships/hyperlink" Target="file:///C:\Users\momtaz\Downloads\ManuscriptRevisionWordPreview.aspx%3fFilePath=483545b1-8358-4bbe-8edd-6254fde438aa\65842_Auto_Edited.docx" TargetMode="External"/><Relationship Id="rId81" Type="http://schemas.openxmlformats.org/officeDocument/2006/relationships/hyperlink" Target="file:///C:\Users\momtaz\Downloads\ManuscriptRevisionWordPreview.aspx%3fFilePath=483545b1-8358-4bbe-8edd-6254fde438aa\65842_Auto_Edited.docx" TargetMode="External"/><Relationship Id="rId86" Type="http://schemas.openxmlformats.org/officeDocument/2006/relationships/hyperlink" Target="file:///C:\Users\momtaz\Downloads\ManuscriptRevisionWordPreview.aspx%3fFilePath=483545b1-8358-4bbe-8edd-6254fde438aa\65842_Auto_Edited.docx" TargetMode="External"/><Relationship Id="rId94" Type="http://schemas.openxmlformats.org/officeDocument/2006/relationships/hyperlink" Target="file:///C:\Users\momtaz\Downloads\ManuscriptRevisionWordPreview.aspx%3fFilePath=483545b1-8358-4bbe-8edd-6254fde438aa\65842_Auto_Edited.docx" TargetMode="External"/><Relationship Id="rId99" Type="http://schemas.openxmlformats.org/officeDocument/2006/relationships/image" Target="media/image3.png"/><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C:\Users\momtaz\Downloads\ManuscriptRevisionWordPreview.aspx%3fFilePath=483545b1-8358-4bbe-8edd-6254fde438aa\65842_Auto_Edited.docx" TargetMode="External"/><Relationship Id="rId13" Type="http://schemas.openxmlformats.org/officeDocument/2006/relationships/hyperlink" Target="file:///C:\Users\momtaz\Downloads\ManuscriptRevisionWordPreview.aspx%3fFilePath=483545b1-8358-4bbe-8edd-6254fde438aa\65842_Auto_Edited.docx" TargetMode="External"/><Relationship Id="rId18" Type="http://schemas.openxmlformats.org/officeDocument/2006/relationships/hyperlink" Target="file:///C:\Users\momtaz\Downloads\ManuscriptRevisionWordPreview.aspx%3fFilePath=483545b1-8358-4bbe-8edd-6254fde438aa\65842_Auto_Edited.docx" TargetMode="External"/><Relationship Id="rId39" Type="http://schemas.openxmlformats.org/officeDocument/2006/relationships/hyperlink" Target="file:///C:\Users\momtaz\Downloads\ManuscriptRevisionWordPreview.aspx%3fFilePath=483545b1-8358-4bbe-8edd-6254fde438aa\65842_Auto_Edit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11151</Words>
  <Characters>63565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2021-11-22T00:29:00Z</dcterms:created>
  <dcterms:modified xsi:type="dcterms:W3CDTF">2021-12-08T05:53:00Z</dcterms:modified>
</cp:coreProperties>
</file>