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1AB8" w14:textId="492E0523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Name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Journal: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Journal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Hepatology</w:t>
      </w:r>
    </w:p>
    <w:p w14:paraId="5E61C2A8" w14:textId="53061C8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Manuscript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NO: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65897</w:t>
      </w:r>
    </w:p>
    <w:p w14:paraId="6775A19D" w14:textId="32DA7BB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Manuscript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Type: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</w:p>
    <w:p w14:paraId="26C5E42C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CF2130" w14:textId="7E343BD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Glutathione-S-transferases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genes</w:t>
      </w:r>
      <w:r w:rsidR="00491359" w:rsidRPr="0075347C">
        <w:rPr>
          <w:rFonts w:ascii="Book Antiqua" w:eastAsia="Book Antiqua" w:hAnsi="Book Antiqua" w:cs="Book Antiqua"/>
          <w:b/>
          <w:color w:val="000000"/>
        </w:rPr>
        <w:t>-</w:t>
      </w:r>
      <w:r w:rsidRPr="0075347C">
        <w:rPr>
          <w:rFonts w:ascii="Book Antiqua" w:eastAsia="Book Antiqua" w:hAnsi="Book Antiqua" w:cs="Book Antiqua"/>
          <w:b/>
          <w:color w:val="000000"/>
        </w:rPr>
        <w:t>promising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predictors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dysfunction</w:t>
      </w:r>
    </w:p>
    <w:p w14:paraId="7538E090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0BE202" w14:textId="4FF9E1D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D30"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D30"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03F68"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91359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eastAsia="Book Antiqua" w:hAnsi="Book Antiqua" w:cs="Book Antiqua"/>
          <w:color w:val="000000"/>
        </w:rPr>
        <w:t>predictors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dysfunction</w:t>
      </w:r>
    </w:p>
    <w:p w14:paraId="3CEA3D92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48D186" w14:textId="524339B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Vasyl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Prysyazhnyuk,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Larysa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Ruslan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Iryna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Prysiazhniuk,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Kateryna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Bobkovych,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Buzdugan,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Valentina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Dzuryak,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Petro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Prysyazhnyuk</w:t>
      </w:r>
    </w:p>
    <w:p w14:paraId="619AC018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C83E54" w14:textId="4E3D542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Vasyl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Kateryna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Bobkovych,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Department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Propedeutics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Bukovinian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University,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050BC0C9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EF8F33" w14:textId="1186FA9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Larysa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Sydorchuk,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Valentina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Dzuryak,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Department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Medicine,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Bukovinian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University,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37556980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BD2266" w14:textId="6F2912A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Ruslan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Sydorchuk,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Department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Surgery,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Bukovinian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University,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0CDD872A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96FD26" w14:textId="634D52F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Iryna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Prysiazhniuk,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Inna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Buzdugan,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Department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Invectious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Bukovinian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University,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207A58B3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A97FDB" w14:textId="4BD36A4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Petro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Department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Pharmaceutical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Chemistry,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Bukovinian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University,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519AAA35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BD123A" w14:textId="5CC2B54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491359" w:rsidRPr="007534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491359" w:rsidRPr="007534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 w:rsidRPr="0075347C">
        <w:rPr>
          <w:rStyle w:val="skip"/>
          <w:rFonts w:ascii="Book Antiqua" w:hAnsi="Book Antiqua" w:cs="Arial"/>
          <w:color w:val="999999"/>
          <w:shd w:val="clear" w:color="auto" w:fill="FFFFFF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conception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design</w:t>
      </w:r>
      <w:r w:rsidR="0052359E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interpretation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clinical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critical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manuscript</w:t>
      </w:r>
      <w:r w:rsidR="0052359E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approval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article;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</w:t>
      </w:r>
      <w:r w:rsidR="00491359" w:rsidRPr="0075347C">
        <w:rPr>
          <w:rFonts w:ascii="Book Antiqua" w:eastAsia="Book Antiqua" w:hAnsi="Book Antiqua" w:cs="Book Antiqua"/>
          <w:color w:val="000000"/>
        </w:rPr>
        <w:t>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interpret</w:t>
      </w:r>
      <w:r w:rsidR="00491359" w:rsidRPr="0075347C">
        <w:rPr>
          <w:rFonts w:ascii="Book Antiqua" w:eastAsia="Book Antiqua" w:hAnsi="Book Antiqua" w:cs="Book Antiqua"/>
          <w:color w:val="000000"/>
        </w:rPr>
        <w:t>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pathophysiological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critical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manuscript</w:t>
      </w:r>
      <w:r w:rsidR="0052359E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approval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article;</w:t>
      </w:r>
      <w:r w:rsidR="004A4D27" w:rsidRPr="0075347C">
        <w:rPr>
          <w:rFonts w:ascii="Book Antiqua" w:hAnsi="Book Antiqua"/>
          <w:lang w:eastAsia="zh-CN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Prysiazhniuk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="00491359" w:rsidRPr="007534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="00491359" w:rsidRPr="007534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acquisition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drafting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critical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manuscript</w:t>
      </w:r>
      <w:r w:rsidR="0052359E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approval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article;</w:t>
      </w:r>
      <w:r w:rsidR="004A4D27" w:rsidRPr="0075347C">
        <w:rPr>
          <w:rFonts w:ascii="Book Antiqua" w:hAnsi="Book Antiqua"/>
          <w:lang w:eastAsia="zh-CN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Bobkovych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Buzdugan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Dzhuryak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12" w:history="1">
        <w:r w:rsidR="00491359" w:rsidRPr="007534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hyperlink r:id="rId13" w:history="1">
        <w:r w:rsidR="00491359" w:rsidRPr="007534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acquisition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critical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manuscript</w:t>
      </w:r>
      <w:r w:rsidR="0052359E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approval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</w:t>
      </w:r>
      <w:r w:rsidR="00491359" w:rsidRPr="0075347C">
        <w:rPr>
          <w:rFonts w:ascii="Book Antiqua" w:eastAsia="Book Antiqua" w:hAnsi="Book Antiqua" w:cs="Book Antiqua"/>
          <w:color w:val="000000"/>
        </w:rPr>
        <w:t>.</w:t>
      </w:r>
    </w:p>
    <w:p w14:paraId="2A70E2DC" w14:textId="77777777" w:rsidR="00A77B3E" w:rsidRPr="0075347C" w:rsidRDefault="00A77B3E" w:rsidP="007D5170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6C3896B" w14:textId="37D70C71" w:rsidR="004A4D27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Vasyl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b/>
          <w:bCs/>
          <w:color w:val="000000"/>
        </w:rPr>
        <w:t>DSc</w:t>
      </w:r>
      <w:proofErr w:type="gramEnd"/>
      <w:r w:rsidRPr="0075347C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A4D27" w:rsidRPr="0075347C">
        <w:rPr>
          <w:rFonts w:ascii="Book Antiqua" w:eastAsia="Book Antiqua" w:hAnsi="Book Antiqua" w:cs="Book Antiqua"/>
          <w:color w:val="000000"/>
        </w:rPr>
        <w:t>Department of Propedeutics of Internal Diseases, Bukovinian State Medical University,</w:t>
      </w:r>
      <w:r w:rsidR="004A4D27" w:rsidRPr="0075347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Teatralna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square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58002,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Chernivtsi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prysyaznyuk_v@ukr.net</w:t>
      </w:r>
    </w:p>
    <w:p w14:paraId="2E31A192" w14:textId="77777777" w:rsidR="004A4D27" w:rsidRPr="0075347C" w:rsidRDefault="004A4D27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14:paraId="1314DD01" w14:textId="0BCDE0B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2021</w:t>
      </w:r>
    </w:p>
    <w:p w14:paraId="226F21DE" w14:textId="6CCF516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2021</w:t>
      </w:r>
    </w:p>
    <w:p w14:paraId="1C730576" w14:textId="0937FCD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975A09" w:rsidRPr="0075347C">
        <w:rPr>
          <w:rFonts w:ascii="Book Antiqua" w:eastAsia="宋体" w:hAnsi="Book Antiqua"/>
          <w:color w:val="000000" w:themeColor="text1"/>
        </w:rPr>
        <w:t>J</w:t>
      </w:r>
      <w:r w:rsidR="00975A09" w:rsidRPr="0075347C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975A09" w:rsidRPr="0075347C">
        <w:rPr>
          <w:rFonts w:ascii="Book Antiqua" w:eastAsia="宋体" w:hAnsi="Book Antiqua"/>
          <w:color w:val="000000" w:themeColor="text1"/>
        </w:rPr>
        <w:t xml:space="preserve"> 3, 2021</w:t>
      </w:r>
      <w:bookmarkEnd w:id="0"/>
      <w:bookmarkEnd w:id="1"/>
      <w:bookmarkEnd w:id="2"/>
    </w:p>
    <w:p w14:paraId="03A5421C" w14:textId="1BF26E2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48D5" w:rsidRPr="0075347C">
        <w:rPr>
          <w:rFonts w:ascii="Book Antiqua" w:hAnsi="Book Antiqua"/>
          <w:color w:val="000000"/>
          <w:shd w:val="clear" w:color="auto" w:fill="FFFFFF"/>
        </w:rPr>
        <w:t>June </w:t>
      </w:r>
      <w:r w:rsidR="00C948D5" w:rsidRPr="0075347C">
        <w:rPr>
          <w:rFonts w:ascii="Book Antiqua" w:eastAsia="Microsoft YaHei UI" w:hAnsi="Book Antiqua" w:hint="eastAsia"/>
          <w:color w:val="000000"/>
        </w:rPr>
        <w:t>27</w:t>
      </w:r>
      <w:r w:rsidR="00C948D5" w:rsidRPr="0075347C">
        <w:rPr>
          <w:rFonts w:ascii="Book Antiqua" w:eastAsia="Microsoft YaHei UI" w:hAnsi="Book Antiqua" w:hint="eastAsia"/>
          <w:color w:val="000000"/>
          <w:lang w:eastAsia="zh-CN"/>
        </w:rPr>
        <w:t>, 2021</w:t>
      </w:r>
    </w:p>
    <w:p w14:paraId="75E5CF29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5347C" w:rsidSect="007D5170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49516F" w14:textId="7777777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C5B469" w14:textId="63317BF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diffuse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encodes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synthesis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g</w:t>
      </w:r>
      <w:r w:rsidRPr="0075347C">
        <w:rPr>
          <w:rFonts w:ascii="Book Antiqua" w:eastAsia="Book Antiqua" w:hAnsi="Book Antiqua" w:cs="Book Antiqua"/>
          <w:color w:val="000000"/>
        </w:rPr>
        <w:t>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27FEB" w:rsidRPr="0075347C">
        <w:rPr>
          <w:rFonts w:ascii="Book Antiqua" w:eastAsia="Book Antiqua" w:hAnsi="Book Antiqua" w:cs="Book Antiqua"/>
          <w:color w:val="000000"/>
        </w:rPr>
        <w:t>known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second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against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through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catalisation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sulfuric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decontamination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lipid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D16C94" w:rsidRPr="0075347C">
        <w:rPr>
          <w:rFonts w:ascii="Book Antiqua" w:eastAsia="Book Antiqua" w:hAnsi="Book Antiqua" w:cs="Book Antiqua"/>
          <w:color w:val="000000"/>
        </w:rPr>
        <w:t>deoxyribonucleic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D16C94" w:rsidRPr="0075347C">
        <w:rPr>
          <w:rFonts w:ascii="Book Antiqua" w:eastAsia="Book Antiqua" w:hAnsi="Book Antiqua" w:cs="Book Antiqua"/>
          <w:color w:val="000000"/>
        </w:rPr>
        <w:t>acid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products.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mitochondrial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fractions.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Recently,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eight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soluble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cytoplasmic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isoforms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widely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α-,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ζ-,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κ-,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μ-,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π-,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σ-,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ω-.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Nomenclature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Committee,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database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recorded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BE6F00" w:rsidRPr="0075347C">
        <w:rPr>
          <w:rFonts w:ascii="Book Antiqua" w:eastAsia="Book Antiqua" w:hAnsi="Book Antiqua" w:cs="Book Antiqua"/>
          <w:color w:val="000000"/>
        </w:rPr>
        <w:t>over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BE6F00" w:rsidRPr="0075347C">
        <w:rPr>
          <w:rFonts w:ascii="Book Antiqua" w:eastAsia="Book Antiqua" w:hAnsi="Book Antiqua" w:cs="Book Antiqua"/>
          <w:color w:val="000000"/>
        </w:rPr>
        <w:t>20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considered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crucial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sensitivity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broad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spectrum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Nevertheless,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complete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Current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supports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etiology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GST </w:t>
      </w:r>
      <w:r w:rsidRPr="0075347C">
        <w:rPr>
          <w:rFonts w:ascii="Book Antiqua" w:eastAsia="Book Antiqua" w:hAnsi="Book Antiqua" w:cs="Book Antiqua"/>
          <w:color w:val="000000"/>
        </w:rPr>
        <w:t>allelic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pathology,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correlations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subsequently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postulated.</w:t>
      </w:r>
    </w:p>
    <w:p w14:paraId="02A71CFB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0F6DF9" w14:textId="38A3B7A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</w:p>
    <w:p w14:paraId="4AFACA6B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B87C0FC" w14:textId="77777777" w:rsidR="0034393E" w:rsidRPr="0075347C" w:rsidRDefault="0034393E" w:rsidP="003439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75347C">
        <w:rPr>
          <w:rFonts w:ascii="Book Antiqua" w:eastAsia="Book Antiqua" w:hAnsi="Book Antiqua" w:cs="Book Antiqua"/>
          <w:b/>
          <w:color w:val="000000"/>
        </w:rPr>
        <w:t>©The</w:t>
      </w:r>
      <w:r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75347C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D85685C" w14:textId="77777777" w:rsidR="0034393E" w:rsidRPr="0075347C" w:rsidRDefault="0034393E" w:rsidP="007D5170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3DD6EAC" w14:textId="259E96EA" w:rsidR="0034393E" w:rsidRPr="0075347C" w:rsidRDefault="0034393E" w:rsidP="007D5170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5347C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r w:rsidRPr="007534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Prysiazhniuk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Bobkovych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Buzdugan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Dzuryak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Glutathione-S-transferases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genes</w:t>
      </w:r>
      <w:r w:rsidR="00D16C94" w:rsidRPr="0075347C">
        <w:rPr>
          <w:rFonts w:ascii="Book Antiqua" w:eastAsia="Book Antiqua" w:hAnsi="Book Antiqua" w:cs="Book Antiqua"/>
          <w:color w:val="000000"/>
        </w:rPr>
        <w:t>-</w:t>
      </w:r>
      <w:r w:rsidR="004B0B9E" w:rsidRPr="0075347C">
        <w:rPr>
          <w:rFonts w:ascii="Book Antiqua" w:eastAsia="Book Antiqua" w:hAnsi="Book Antiqua" w:cs="Book Antiqua"/>
          <w:color w:val="000000"/>
        </w:rPr>
        <w:t>promising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predictors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dysfunction.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B0B9E" w:rsidRPr="0075347C">
        <w:rPr>
          <w:rFonts w:ascii="Book Antiqua" w:eastAsia="Book Antiqua" w:hAnsi="Book Antiqua" w:cs="Book Antiqua"/>
          <w:color w:val="000000"/>
        </w:rPr>
        <w:t>2021;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C948D5" w:rsidRPr="0075347C">
        <w:rPr>
          <w:rFonts w:ascii="Book Antiqua" w:eastAsia="Book Antiqua" w:hAnsi="Book Antiqua" w:cs="Book Antiqua"/>
          <w:color w:val="000000"/>
        </w:rPr>
        <w:t xml:space="preserve">13(6): </w:t>
      </w:r>
      <w:r w:rsidRPr="0075347C">
        <w:rPr>
          <w:rFonts w:ascii="Book Antiqua" w:hAnsi="Book Antiqua" w:cs="Book Antiqua" w:hint="eastAsia"/>
          <w:color w:val="000000"/>
          <w:lang w:eastAsia="zh-CN"/>
        </w:rPr>
        <w:t>620</w:t>
      </w:r>
      <w:r w:rsidR="00C948D5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hAnsi="Book Antiqua" w:cs="Book Antiqua" w:hint="eastAsia"/>
          <w:color w:val="000000"/>
          <w:lang w:eastAsia="zh-CN"/>
        </w:rPr>
        <w:t>633</w:t>
      </w:r>
    </w:p>
    <w:p w14:paraId="65102C92" w14:textId="4B3133B3" w:rsidR="0034393E" w:rsidRPr="0075347C" w:rsidRDefault="00C948D5" w:rsidP="007D5170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5347C">
        <w:rPr>
          <w:rFonts w:ascii="Book Antiqua" w:hAnsi="Book Antiqua" w:cs="Book Antiqua"/>
          <w:b/>
          <w:color w:val="000000"/>
          <w:lang w:eastAsia="zh-CN"/>
        </w:rPr>
        <w:t>URL:</w:t>
      </w:r>
      <w:r w:rsidRPr="0075347C">
        <w:rPr>
          <w:rFonts w:ascii="Book Antiqua" w:eastAsia="Book Antiqua" w:hAnsi="Book Antiqua" w:cs="Book Antiqua"/>
          <w:color w:val="000000"/>
        </w:rPr>
        <w:t xml:space="preserve"> https://www.wjgnet.com/1948-5182/full/v13/i6/</w:t>
      </w:r>
      <w:r w:rsidR="0034393E" w:rsidRPr="0075347C">
        <w:rPr>
          <w:rFonts w:ascii="Book Antiqua" w:hAnsi="Book Antiqua" w:cs="Book Antiqua" w:hint="eastAsia"/>
          <w:color w:val="000000"/>
          <w:lang w:eastAsia="zh-CN"/>
        </w:rPr>
        <w:t>620</w:t>
      </w:r>
      <w:r w:rsidRPr="0075347C">
        <w:rPr>
          <w:rFonts w:ascii="Book Antiqua" w:eastAsia="Book Antiqua" w:hAnsi="Book Antiqua" w:cs="Book Antiqua"/>
          <w:color w:val="000000"/>
        </w:rPr>
        <w:t xml:space="preserve">.htm  </w:t>
      </w:r>
    </w:p>
    <w:p w14:paraId="12343700" w14:textId="1CE83C69" w:rsidR="00A77B3E" w:rsidRPr="0075347C" w:rsidRDefault="00C948D5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hAnsi="Book Antiqua" w:cs="Book Antiqua"/>
          <w:b/>
          <w:color w:val="000000"/>
          <w:lang w:eastAsia="zh-CN"/>
        </w:rPr>
        <w:t>DOI:</w:t>
      </w:r>
      <w:r w:rsidRPr="0075347C">
        <w:rPr>
          <w:rFonts w:ascii="Book Antiqua" w:eastAsia="Book Antiqua" w:hAnsi="Book Antiqua" w:cs="Book Antiqua"/>
          <w:color w:val="000000"/>
        </w:rPr>
        <w:t xml:space="preserve"> https://dx.doi.org/10.4254/wjh.v13.i6.</w:t>
      </w:r>
      <w:r w:rsidR="0034393E" w:rsidRPr="007534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4393E" w:rsidRPr="0075347C">
        <w:rPr>
          <w:rFonts w:ascii="Book Antiqua" w:hAnsi="Book Antiqua" w:cs="Book Antiqua" w:hint="eastAsia"/>
          <w:color w:val="000000"/>
          <w:lang w:eastAsia="zh-CN"/>
        </w:rPr>
        <w:t>620</w:t>
      </w:r>
    </w:p>
    <w:p w14:paraId="782EC374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0D2BC8" w14:textId="1665EE6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Current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glutathione-S-transferase (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)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etiology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GST </w:t>
      </w:r>
      <w:r w:rsidRPr="0075347C">
        <w:rPr>
          <w:rFonts w:ascii="Book Antiqua" w:eastAsia="Book Antiqua" w:hAnsi="Book Antiqua" w:cs="Book Antiqua"/>
          <w:color w:val="000000"/>
        </w:rPr>
        <w:t>allelic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correlations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subsequently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postulated.</w:t>
      </w:r>
    </w:p>
    <w:p w14:paraId="49716C80" w14:textId="708E2767" w:rsidR="00A77B3E" w:rsidRPr="0075347C" w:rsidRDefault="00D16C94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hAnsi="Book Antiqua"/>
        </w:rPr>
        <w:br w:type="page"/>
      </w:r>
      <w:r w:rsidR="004B0B9E" w:rsidRPr="0075347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12E229" w14:textId="7B6FBAD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Glutathione-S-transferases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(GSTs)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group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catalyses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(GSH)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variety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electrophilic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without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doubts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phase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catalyses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incorporation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foreign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intermediate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metabolite.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intermediates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components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DNA,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lipids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intermediate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adverse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Intermediate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substances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undergo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hydrophilic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facilitating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excretion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through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urine.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before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eliminated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body,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extraneous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directly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bypassing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deactivate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foreign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serves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therefore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referred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enzymes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16C94" w:rsidRPr="007534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current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overview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up-to-date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processes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desintoxication,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cancerogenesis,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0E8DCBB3" w14:textId="23F33FF6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membrane-bound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super-family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members.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distinct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homo-and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heterotrimerise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dimerise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solitary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site.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primary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substances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prostaglandins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leukotrienes.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contradistinction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easily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divided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eight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sub-classes: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α,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μ,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ω,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π,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ζ,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σ-,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ω-.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π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μ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mitogen-activated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pathway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participating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protein-protein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c-Jun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N-terminal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75347C">
        <w:rPr>
          <w:rFonts w:ascii="Book Antiqua" w:eastAsia="Book Antiqua" w:hAnsi="Book Antiqua" w:cs="Book Antiqua"/>
          <w:color w:val="000000"/>
        </w:rPr>
        <w:t>(JNK1)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apoptosis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signal-regulating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75347C">
        <w:rPr>
          <w:rFonts w:ascii="Book Antiqua" w:eastAsia="Book Antiqua" w:hAnsi="Book Antiqua" w:cs="Book Antiqua"/>
          <w:color w:val="000000"/>
        </w:rPr>
        <w:t>(ASK1)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JNK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ASK1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turn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stress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16C94" w:rsidRPr="007534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67C6F535" w14:textId="5887ADB6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broadly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world,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single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organisms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bacteria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animals,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φ,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τ,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ξ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λ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ξ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analogues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animals,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too.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ξ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numerous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non-vertebrate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animals.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Advocating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ancestral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progenitor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probably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dichloromethane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dehalogenase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prokaryote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537EE4" w:rsidRPr="0075347C">
        <w:rPr>
          <w:rFonts w:ascii="Book Antiqua" w:eastAsia="Book Antiqua" w:hAnsi="Book Antiqua" w:cs="Book Antiqua"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ethylobacteriaceae,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belonging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537EE4" w:rsidRPr="0075347C">
        <w:rPr>
          <w:rFonts w:ascii="Book Antiqua" w:eastAsia="Book Antiqua" w:hAnsi="Book Antiqua" w:cs="Book Antiqua"/>
          <w:color w:val="000000"/>
        </w:rPr>
        <w:t>r</w:t>
      </w:r>
      <w:r w:rsidRPr="0075347C">
        <w:rPr>
          <w:rFonts w:ascii="Book Antiqua" w:eastAsia="Book Antiqua" w:hAnsi="Book Antiqua" w:cs="Book Antiqua"/>
          <w:color w:val="000000"/>
        </w:rPr>
        <w:t>hizobiales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undergo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transformation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become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competent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uptake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exponential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growth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phase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16C94" w:rsidRPr="007534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312802C5" w14:textId="28A07199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Nomenclature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Committee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(HGNC),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database,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beginning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contained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group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minor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decade,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reported.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number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subfamilies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sources,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encoding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membrane-bound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GST-like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evolutionarily.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GST-κ1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1CA0" w:rsidRPr="0075347C">
        <w:rPr>
          <w:rFonts w:ascii="Book Antiqua" w:eastAsia="Book Antiqua" w:hAnsi="Book Antiqua" w:cs="Book Antiqua"/>
          <w:color w:val="000000"/>
        </w:rPr>
        <w:t>[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kappa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75347C">
        <w:rPr>
          <w:rFonts w:ascii="Book Antiqua" w:eastAsia="Book Antiqua" w:hAnsi="Book Antiqua" w:cs="Book Antiqua"/>
          <w:color w:val="000000"/>
        </w:rPr>
        <w:t>(</w:t>
      </w:r>
      <w:r w:rsidR="00DA1CA0" w:rsidRPr="0075347C">
        <w:rPr>
          <w:rFonts w:ascii="Book Antiqua" w:eastAsia="Book Antiqua" w:hAnsi="Book Antiqua" w:cs="Book Antiqua"/>
          <w:i/>
          <w:iCs/>
          <w:color w:val="000000"/>
        </w:rPr>
        <w:t>GSTK1</w:t>
      </w:r>
      <w:r w:rsidR="00DA1CA0" w:rsidRPr="0075347C">
        <w:rPr>
          <w:rFonts w:ascii="Book Antiqua" w:eastAsia="Book Antiqua" w:hAnsi="Book Antiqua" w:cs="Book Antiqua"/>
          <w:color w:val="000000"/>
        </w:rPr>
        <w:t>)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GST13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HGNC: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16906,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Chromosome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7q34</w:t>
      </w:r>
      <w:r w:rsidR="00DA1CA0" w:rsidRPr="0075347C">
        <w:rPr>
          <w:rFonts w:ascii="Book Antiqua" w:eastAsia="Book Antiqua" w:hAnsi="Book Antiqua" w:cs="Book Antiqua"/>
          <w:color w:val="000000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MGST1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Chromosome12p12.3)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1-like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(prostaglandin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synthase</w:t>
      </w:r>
      <w:r w:rsidR="00CF73E2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eastAsia="Book Antiqua" w:hAnsi="Book Antiqua" w:cs="Book Antiqua"/>
          <w:color w:val="000000"/>
        </w:rPr>
        <w:t>PTGES,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MGST-IV,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PIG12,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MGST1-L1,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TP53I12,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HGNC: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9599,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Chromosome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9q34.11),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MGST2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MGST-II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HGNC: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7063,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Chromosome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4q31.1),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MGST3,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GST-III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HGNC: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7064,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Chromosome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1q24.1).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subfamilies</w:t>
      </w:r>
      <w:r w:rsidR="00CF73E2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eastAsia="Book Antiqua" w:hAnsi="Book Antiqua" w:cs="Book Antiqua"/>
          <w:color w:val="000000"/>
        </w:rPr>
        <w:t>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(GSTA-alpha),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μ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(GSTM-miu),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ω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(GSTO-omega),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π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(GSTP-pi),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θ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(GSTT-theta)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ξ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(GSTZ-zeta)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6361BDBF" w14:textId="281F1839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Probably,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naming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confusion,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because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similarly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omega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(ω)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marking,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GSTQ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concurrently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(τ)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listing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sources.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lack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originates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HGNC’s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rules.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quite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similar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nomenclature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problems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reported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54BED89A" w14:textId="6E2F065B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Nonetheless,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clinical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significance,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interest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explain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connections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soluble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subdivided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mitochondrial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GSTκ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exclusively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mitochondrial,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GTSA1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4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encode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mitochondrial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encode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worthily,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number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first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identified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organisms,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recognised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mammals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extensively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classified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according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assented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criteria.</w:t>
      </w:r>
    </w:p>
    <w:p w14:paraId="38887AEA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E03D38" w14:textId="750C2A3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Non-human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62940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GSTS</w:t>
      </w:r>
    </w:p>
    <w:p w14:paraId="439981DB" w14:textId="36D95AE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Reports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concerning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revealed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catalysing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herbicide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atrazine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γ-L-glutamyl-L-cysteinyl-glycine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sorghum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maize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initiated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research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focuses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herbicides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plants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exhibit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electrophilic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centres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nucleophilic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tagging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vacuolar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sequestration.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γ-L-glutamyl-L-cysteinyl-β-alanine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water-soluble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original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participate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peroxidase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activity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6B7084DA" w14:textId="1EB2F690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floral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represent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soluble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manifest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auxin-inducibility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ligandin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participate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auxin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transport.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during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normal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secondary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products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anthocyanins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understanding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endogenous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floral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processes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substrates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still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complete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knowledge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collected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about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function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20,22]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2623D461" w14:textId="203ED7B4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Likewise,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genome,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floral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encoded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large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families.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thaliana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harbors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distinct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well-studied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large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specific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smaller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exist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tissues.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Lesser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obtainable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about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outlying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minor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dehydroascorbate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reductases,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tetrachlorohydroquinone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dehalogenase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21,23]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479753F8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7D3CEB" w14:textId="787B0FB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62940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GST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</w:t>
      </w:r>
    </w:p>
    <w:p w14:paraId="4696C575" w14:textId="648F291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complete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</w:t>
      </w:r>
      <w:r w:rsidR="00CF73E2" w:rsidRPr="0075347C">
        <w:rPr>
          <w:rFonts w:ascii="Book Antiqua" w:eastAsia="Book Antiqua" w:hAnsi="Book Antiqua" w:cs="Book Antiqua"/>
          <w:color w:val="000000"/>
        </w:rPr>
        <w:t>%</w:t>
      </w:r>
      <w:r w:rsidRPr="0075347C">
        <w:rPr>
          <w:rFonts w:ascii="Book Antiqua" w:eastAsia="Book Antiqua" w:hAnsi="Book Antiqua" w:cs="Book Antiqua"/>
          <w:color w:val="000000"/>
        </w:rPr>
        <w:t>-50%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populations)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prevalence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heterogeneous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ethnic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80%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Asians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38</w:t>
      </w:r>
      <w:r w:rsidR="00051C3B" w:rsidRPr="0075347C">
        <w:rPr>
          <w:rFonts w:ascii="Book Antiqua" w:eastAsia="Book Antiqua" w:hAnsi="Book Antiqua" w:cs="Book Antiqua"/>
          <w:color w:val="000000"/>
        </w:rPr>
        <w:t>%</w:t>
      </w:r>
      <w:r w:rsidRPr="0075347C">
        <w:rPr>
          <w:rFonts w:ascii="Book Antiqua" w:eastAsia="Book Antiqua" w:hAnsi="Book Antiqua" w:cs="Book Antiqua"/>
          <w:color w:val="000000"/>
        </w:rPr>
        <w:t>-67%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33</w:t>
      </w:r>
      <w:r w:rsidR="00CF73E2" w:rsidRPr="0075347C">
        <w:rPr>
          <w:rFonts w:ascii="Book Antiqua" w:eastAsia="Book Antiqua" w:hAnsi="Book Antiqua" w:cs="Book Antiqua"/>
          <w:color w:val="000000"/>
        </w:rPr>
        <w:t>%</w:t>
      </w:r>
      <w:r w:rsidRPr="0075347C">
        <w:rPr>
          <w:rFonts w:ascii="Book Antiqua" w:eastAsia="Book Antiqua" w:hAnsi="Book Antiqua" w:cs="Book Antiqua"/>
          <w:color w:val="000000"/>
        </w:rPr>
        <w:t>-63%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35%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Africans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African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Americans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substitution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adenine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guanine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nucleotide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leads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diseases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2121FB4A" w14:textId="7CF824F8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deficit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evident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impaired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environmental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substances,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carcinogens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consequently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generate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clinically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problems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lacking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14,27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59F46D60" w14:textId="55788158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GSTA,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neoplasms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(preneoplastic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nodules)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assumed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multidrug-resistant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observed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lesions.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majority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amounts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implicate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transcriptional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stabilization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either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75347C">
        <w:rPr>
          <w:rFonts w:ascii="Book Antiqua" w:eastAsia="Book Antiqua" w:hAnsi="Book Antiqua" w:cs="Book Antiqua"/>
          <w:color w:val="000000"/>
        </w:rPr>
        <w:t>messenger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75347C">
        <w:rPr>
          <w:rFonts w:ascii="Book Antiqua" w:eastAsia="Book Antiqua" w:hAnsi="Book Antiqua" w:cs="Book Antiqua"/>
          <w:color w:val="000000"/>
        </w:rPr>
        <w:t>ribonucleic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75347C">
        <w:rPr>
          <w:rFonts w:ascii="Book Antiqua" w:eastAsia="Book Antiqua" w:hAnsi="Book Antiqua" w:cs="Book Antiqua"/>
          <w:color w:val="000000"/>
        </w:rPr>
        <w:t>acid</w:t>
      </w:r>
      <w:r w:rsidR="004A4D27" w:rsidRPr="0075347C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amplification.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remarkable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interindividual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molecular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known;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missing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attributed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50%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16%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consequences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failure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hGSTMI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hGSTTI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malignancies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skin,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colon,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bladder,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cancer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0,3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6B8D8EA7" w14:textId="036B463D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considered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crucial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sensitivity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broad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spectrum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abundant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GSTP,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complex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exhibit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species-,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age-,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sex-,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tissue-,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tumor-specific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patterns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above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broad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spectrum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number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substances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occurring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non-nutritional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components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modern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food.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obvious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exposed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compounds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0]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012ADC37" w14:textId="4BB2BFD4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Majority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inhibitors,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transcriptional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through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either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antioxidant-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responsive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element,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xenobiotic-responsive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element,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enhancer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glucocorticoid-responsive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element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41C63557" w14:textId="3ABA2830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probability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oxygen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evidence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capable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generating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radicals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redox-cycling,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peroxide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strongly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oxygen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would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appear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represent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adaptive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peroxide-,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carbonyl-,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epoxide-containing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during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stress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3-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4EC748CB" w14:textId="29DA984B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positively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contribute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against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microorganisms,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whereas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physiologic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undergo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further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studying.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Notwithstanding,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accumulation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transcripts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often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observed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numerous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host-pathogen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interactions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23,3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organisms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defense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participation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together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crucial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eliminate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lipid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hydroperoxides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accumulate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tissues,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clearly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distinguishable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function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1AE0CC56" w14:textId="3200E7C9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Substantiation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commensals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parasites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immunomodulatory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immune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growing,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separate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transcription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patterns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growth.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manifest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prompt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transcription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leads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against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insult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environmental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drugs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06EAB677" w14:textId="017C9E16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microorganisms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ways: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(R-gene)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virulence.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first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(R-gene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mediated),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hypersensitive-type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specific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bacterial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product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organism.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corresponded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localised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unspecific,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recognition;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opposite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alien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organisms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recognised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molecular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patterns.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perceptible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symptoms,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hypersensitive-type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defense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virulence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7E21BEE8" w14:textId="2416B174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MGST2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MGST3,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up-regulated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spectrum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foreign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limited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fumaric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thiazolidinediones,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dexamethasone,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phenobarbital,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β-naphthoflavone,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oltipraz,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sulforaphane,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coumarin,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etc</w:t>
      </w:r>
      <w:proofErr w:type="gramStart"/>
      <w:r w:rsidR="00562940" w:rsidRPr="0075347C">
        <w:rPr>
          <w:rFonts w:ascii="Book Antiqua" w:eastAsia="Book Antiqua" w:hAnsi="Book Antiqua" w:cs="Book Antiqua"/>
          <w:i/>
          <w:color w:val="000000"/>
        </w:rPr>
        <w:t>.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0426"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explaining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aryl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hydrocarbon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rostane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Pregnane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nuclear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erythroid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CAATT/enhancer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protein-β,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peroxisome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proliferator-activated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receptor-γ,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connects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clinical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conditions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diabetes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mellitus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arterial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hypertension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abdominal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obesity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43D1E5C3" w14:textId="6E0A8946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Due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down-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up-regulation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obviously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industrials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environmental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pollutants.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demonstrated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modify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activities.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Furthermore,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strongly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hinge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remedy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administration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duration,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origin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isoform.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confusion,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often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inconsistent,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incongruous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conflicting.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Notwithstanding,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prudential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enriched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diets,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beneficial,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uncontrolled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intake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catechins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quercetin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dietary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supplement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threaten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consequence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combined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(acetaminophen,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cisplatine,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cyclophosphamide,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simvastatin)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(acrylamide,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isocyanates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polycyclic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aromatic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hydrocarbons,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chlorpyrifos),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substrates,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might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pharmacological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consequences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4A522C5D" w14:textId="0AB9CF41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often,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demonstrate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through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stimuli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origin.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example,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salicylic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(SA)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prompt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GSTF2,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GSTF8,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GSTF10,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GSTF11</w:t>
      </w:r>
      <w:r w:rsidRPr="0075347C">
        <w:rPr>
          <w:rFonts w:ascii="Book Antiqua" w:eastAsia="Book Antiqua" w:hAnsi="Book Antiqua" w:cs="Book Antiqua"/>
          <w:color w:val="000000"/>
        </w:rPr>
        <w:t>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recognised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SA-binding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though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relevance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needs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further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0426" w:rsidRPr="0075347C">
        <w:rPr>
          <w:rFonts w:ascii="Book Antiqua" w:hAnsi="Book Antiqua" w:cs="Book Antiqua"/>
          <w:color w:val="000000"/>
          <w:lang w:eastAsia="zh-CN"/>
        </w:rPr>
        <w:t>.</w:t>
      </w:r>
    </w:p>
    <w:p w14:paraId="4D7CC95F" w14:textId="25AF2865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Similar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behavior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observed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hepato-pancreatic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conditions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angiotensin-converting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peroxisome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proliferator-activated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receptors-γ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presume,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little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evidence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specific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precise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alteration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dysfunction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corresponding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genetics'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dysregulations.</w:t>
      </w:r>
    </w:p>
    <w:p w14:paraId="47461655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D38608" w14:textId="103BBC6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Nonalcoholic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fatty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5BC9C1DD" w14:textId="7ECFE05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Due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A313G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established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spread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(NAFLD)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75347C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=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5.69,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=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0.017)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(Table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1)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consonant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Hashemi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demonstrated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investigated,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bilirubin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A313G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alaninaminotransferase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noticed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genotype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51B97B73" w14:textId="2F6C81D6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Pro-and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anti-inflammatory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cytokines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(A313G)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Homozygous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characterised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interleukin</w:t>
      </w:r>
      <w:r w:rsidR="007B6C45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eastAsia="Book Antiqua" w:hAnsi="Book Antiqua" w:cs="Book Antiqua"/>
          <w:color w:val="000000"/>
        </w:rPr>
        <w:t>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(I1-10)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occur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necrosis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(TNF-α)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inflammation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processes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comparison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people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according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steatohepatitis.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indicating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course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reverse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tendency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genotype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probably,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stimulating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production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aforementioned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leptin-resistance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syndrome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cohort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patients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general,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observations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indicate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formation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imbalance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examined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NAFLD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against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4F3889AF" w14:textId="3F3FBE88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prevalence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approximately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suggested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reported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Japanese.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parameters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synthetic,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excretory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together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cytolytic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cholestatic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syndromes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lipid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agrees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Rafiee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contrasts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cholesterol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triglycerides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plasma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Interestingly,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earlier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Maciel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suggested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hypertriglyceridemia.</w:t>
      </w:r>
    </w:p>
    <w:p w14:paraId="702FC392" w14:textId="41895F0C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Elevated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Jamali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5B2F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5B2F" w:rsidRPr="0075347C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proposed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algorithm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NAFLD/non-alcoholic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steatohepatitis.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Importantly,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null-genotype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indicate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proinflammatory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segment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inflammatory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processes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worthily,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</w:t>
      </w:r>
      <w:r w:rsidR="00B13AE3" w:rsidRPr="0075347C">
        <w:rPr>
          <w:rFonts w:ascii="Book Antiqua" w:eastAsia="Book Antiqua" w:hAnsi="Book Antiqua" w:cs="Book Antiqua"/>
          <w:color w:val="000000"/>
        </w:rPr>
        <w:t>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inflammation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apoptosis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aggravated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null-genotype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gene.</w:t>
      </w:r>
    </w:p>
    <w:p w14:paraId="755AA569" w14:textId="3332842F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peculiarities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plasma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null-genotype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null-genotype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probably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TNF-α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concentration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stimulates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production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NAFLD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restored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products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thiobarbituric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3188AD0C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638198" w14:textId="0AAA1B3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</w:p>
    <w:p w14:paraId="7B6F950F" w14:textId="610020A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Prevalence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(A313G)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notably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comparison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cytolytic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syndrome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restored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comparison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IIe/Val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Turkey;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Val/Val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patients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addition,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denoted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stage.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IIe/Val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Val/Val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stages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tendency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cirrhosis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</w:p>
    <w:p w14:paraId="27119629" w14:textId="65C57CAE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our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572AFC" w:rsidRPr="0075347C">
        <w:rPr>
          <w:rFonts w:ascii="Book Antiqua" w:eastAsia="Book Antiqua" w:hAnsi="Book Antiqua" w:cs="Book Antiqua"/>
          <w:color w:val="000000"/>
        </w:rPr>
        <w:t>previous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572AFC" w:rsidRPr="0075347C">
        <w:rPr>
          <w:rFonts w:ascii="Book Antiqua" w:eastAsia="Book Antiqua" w:hAnsi="Book Antiqua" w:cs="Book Antiqua"/>
          <w:color w:val="000000"/>
        </w:rPr>
        <w:t>study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representative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0665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0665" w:rsidRPr="0075347C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discovered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GSTM3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promoter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methylation,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dysfunction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intracellular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antioxidant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defense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occurs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acute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failure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virus,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compensated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methylated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promoters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prognostic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acute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failure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degree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virus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color w:val="000000"/>
        </w:rPr>
        <w:t>HBV</w:t>
      </w:r>
      <w:r w:rsidR="0037504C" w:rsidRPr="0075347C">
        <w:rPr>
          <w:rFonts w:ascii="Book Antiqua" w:eastAsia="Book Antiqua" w:hAnsi="Book Antiqua" w:cs="Book Antiqua"/>
          <w:color w:val="000000"/>
        </w:rPr>
        <w:t>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mutant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(A/G,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G/G)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HBV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aforementioned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concluded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people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A/G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G/G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lastRenderedPageBreak/>
        <w:t>GSTO2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failure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driven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discovered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almost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twenty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years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homozygous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mutation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might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predispose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treatment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tuberculosis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CE3B7A" w:rsidRPr="0075347C">
        <w:rPr>
          <w:rFonts w:ascii="Book Antiqua" w:eastAsia="Book Antiqua" w:hAnsi="Book Antiqua" w:cs="Book Antiqua"/>
          <w:color w:val="000000"/>
        </w:rPr>
        <w:t>statement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supported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following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homozygous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Caucasians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Meanwhile,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presence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grades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Brazilians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Contrarily,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citizens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now,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researchers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linked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troglitazone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intoxication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diffuse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double-zero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considering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consequence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insufficient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defense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sulfuryl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damage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isoniazid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Finally,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medications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Caucasians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confirmed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relationship</w:t>
      </w:r>
      <w:r w:rsidR="00961C28" w:rsidRPr="0075347C">
        <w:rPr>
          <w:rFonts w:ascii="Book Antiqua" w:eastAsia="Book Antiqua" w:hAnsi="Book Antiqua" w:cs="Book Antiqua"/>
          <w:color w:val="000000"/>
        </w:rPr>
        <w:t>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disease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hand,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(A313G)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development.</w:t>
      </w:r>
    </w:p>
    <w:p w14:paraId="68BA7803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9B091E" w14:textId="7831D6E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5AB9B1AB" w14:textId="36C8297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report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Burim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pancreatitis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concerning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cytochromes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polymorphism,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revealed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Ghobadloo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discovered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cryptogenic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Val/Val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might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explained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implicate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occurrence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CE3B7A"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Goncharova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carriers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2.5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</w:p>
    <w:p w14:paraId="1132F630" w14:textId="555FCCA9" w:rsidR="00A77B3E" w:rsidRPr="007534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Khan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controls.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observed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carrying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combination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mentioned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manganese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superoxide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dismutase,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radicals,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cytochrome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2E1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generates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radicals,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Thus,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conclude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gene-gene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modulating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Brazil,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prevalence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without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cirrhosis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Several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older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conclusions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appearance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abuse.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Specifically,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Harada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Japanese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Savolainen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Finland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Whilst,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Frenzer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Rodrigo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Spanish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reported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Brind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prevalence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consume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Meanwhile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importantly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time,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frequency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cryptogenic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controls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Moreover,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cryptogenic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Iranian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population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Komuro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primary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biliary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concluded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nevertheless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anti-mitochondrial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antibody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and/or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Baclig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postulated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seems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Filipinos.</w:t>
      </w:r>
    </w:p>
    <w:p w14:paraId="6B1B4E3A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94E928" w14:textId="1CB3E39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Hepatocellular</w:t>
      </w:r>
      <w:r w:rsidR="004A4D27"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carcinoma</w:t>
      </w:r>
    </w:p>
    <w:p w14:paraId="18C14E2B" w14:textId="4D6AB9E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examined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malignancies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bladder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gastric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colon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lung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G/G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predisposing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bladder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Meanwhile,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regarding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(HCC)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sporicidal.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504C" w:rsidRPr="0075347C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single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nucleotide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="001102A9" w:rsidRPr="0075347C">
        <w:rPr>
          <w:rFonts w:ascii="Book Antiqua" w:hAnsi="Book Antiqua" w:cs="Arial"/>
          <w:color w:val="2E3033"/>
          <w:shd w:val="clear" w:color="auto" w:fill="FFFFFF"/>
        </w:rPr>
        <w:t>(</w:t>
      </w:r>
      <w:r w:rsidRPr="0075347C">
        <w:rPr>
          <w:rFonts w:ascii="Book Antiqua" w:eastAsia="Book Antiqua" w:hAnsi="Book Antiqua" w:cs="Book Antiqua"/>
          <w:color w:val="000000"/>
        </w:rPr>
        <w:t>SNPs</w:t>
      </w:r>
      <w:r w:rsidR="001102A9" w:rsidRPr="0075347C">
        <w:rPr>
          <w:rFonts w:ascii="Book Antiqua" w:eastAsia="Book Antiqua" w:hAnsi="Book Antiqua" w:cs="Book Antiqua"/>
          <w:color w:val="000000"/>
        </w:rPr>
        <w:t>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rs7085725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rs4147581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overall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suggested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combination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prognostic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markers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according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author’s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suggestion,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SNP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(rs4147581)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biomarker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≤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years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appear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modest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Egyptian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patients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2-fold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virus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(HCV)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compared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group.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considered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population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Meanwhile,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older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75347C">
        <w:rPr>
          <w:rFonts w:ascii="Book Antiqua" w:eastAsia="Book Antiqua" w:hAnsi="Book Antiqua" w:cs="Book Antiqua"/>
          <w:color w:val="000000"/>
        </w:rPr>
        <w:t>-null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HBV,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Pr="0075347C">
        <w:rPr>
          <w:rFonts w:ascii="Book Antiqua" w:eastAsia="Book Antiqua" w:hAnsi="Book Antiqua" w:cs="Book Antiqua"/>
          <w:color w:val="000000"/>
        </w:rPr>
        <w:t>-null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early-onset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HCC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F73E2"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75347C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thousands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GSTM1-GSTT1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dual-null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extend.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Interestingly,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during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ethnicity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consideration,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connection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significant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Africans.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older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02A9" w:rsidRPr="0075347C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B718DE"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B718DE"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</w:t>
      </w:r>
      <w:r w:rsidR="00B718DE"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similar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ethnic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pattern.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GST-P1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rs1138272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(341C&gt;T)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high-risk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HCV/HBV-positive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ethnicity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GST-P1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</w:t>
      </w:r>
      <w:r w:rsidRPr="0075347C">
        <w:rPr>
          <w:rFonts w:ascii="Book Antiqua" w:eastAsia="Book Antiqua" w:hAnsi="Book Antiqua" w:cs="Book Antiqua"/>
          <w:i/>
          <w:color w:val="000000"/>
        </w:rPr>
        <w:t>i.e.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Ile105Val,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rs1695)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European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African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,10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F87FB0" w:rsidRPr="0075347C">
        <w:rPr>
          <w:rFonts w:ascii="Book Antiqua" w:eastAsia="Book Antiqua" w:hAnsi="Book Antiqua" w:cs="Book Antiqua"/>
          <w:color w:val="000000"/>
        </w:rPr>
        <w:t>l</w:t>
      </w:r>
      <w:r w:rsidRPr="0075347C">
        <w:rPr>
          <w:rFonts w:ascii="Book Antiqua" w:eastAsia="Book Antiqua" w:hAnsi="Book Antiqua" w:cs="Book Antiqua"/>
          <w:color w:val="000000"/>
        </w:rPr>
        <w:t>evels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tissues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indicated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overall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disease-free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patients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mentioned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p-Akt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alfa-fetoprotein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GSTP1’s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accomplished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arresting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cycle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G1/S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cells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GSTA1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suggesting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carrying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2-fold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HCCs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09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Chinese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typical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Furthermore,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Ile105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however,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incidence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high-risk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Spanish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population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47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7B6C45" w:rsidRPr="007534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Marahatta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7534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02A9" w:rsidRPr="0075347C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provided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support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GSTO1*A140D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cholangiocarcinoma.</w:t>
      </w:r>
    </w:p>
    <w:p w14:paraId="4AE088A9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78859" w14:textId="7777777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6686B7" w14:textId="269E11B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Current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supports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specifically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etiology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Certain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correlations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postulated.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Still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obtained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sometimes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controversial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75347C">
        <w:rPr>
          <w:rFonts w:ascii="Book Antiqua" w:eastAsia="Book Antiqua" w:hAnsi="Book Antiqua" w:cs="Book Antiqua"/>
          <w:color w:val="000000"/>
        </w:rPr>
        <w:t>conflicting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Thus</w:t>
      </w:r>
      <w:r w:rsidR="00961C28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investigations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75347C">
        <w:rPr>
          <w:rFonts w:ascii="Book Antiqua" w:eastAsia="Book Antiqua" w:hAnsi="Book Antiqua" w:cs="Book Antiqua"/>
          <w:color w:val="000000"/>
        </w:rPr>
        <w:t>larger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75347C">
        <w:rPr>
          <w:rFonts w:ascii="Book Antiqua" w:eastAsia="Book Antiqua" w:hAnsi="Book Antiqua" w:cs="Book Antiqua"/>
          <w:color w:val="000000"/>
        </w:rPr>
        <w:t>numbers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needed</w:t>
      </w:r>
      <w:r w:rsidR="00204AA5" w:rsidRPr="0075347C">
        <w:rPr>
          <w:rFonts w:ascii="Book Antiqua" w:eastAsia="Book Antiqua" w:hAnsi="Book Antiqua" w:cs="Book Antiqua"/>
          <w:color w:val="000000"/>
        </w:rPr>
        <w:t>.</w:t>
      </w:r>
    </w:p>
    <w:p w14:paraId="234ADFCB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7822E6" w14:textId="7777777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DF9537" w14:textId="0158A66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1"/>
      <w:bookmarkStart w:id="4" w:name="OLE_LINK13"/>
      <w:bookmarkStart w:id="5" w:name="OLE_LINK2"/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Wilce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Parker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MW.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Structure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1205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1-18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8142473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10.1016/0167-4838(94)90086-8]</w:t>
      </w:r>
    </w:p>
    <w:p w14:paraId="456C39A5" w14:textId="63BB394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Fretland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Omiecinski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Epoxide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hydrolases: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biochemistry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molecular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41-59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11154734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10.1016/s0009-2797(00)00197-6]</w:t>
      </w:r>
    </w:p>
    <w:p w14:paraId="63EC4089" w14:textId="53B0893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Flanagan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JU,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Jowsey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51-88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15822171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10.1146/annurev.pharmtox.45.120403.095857]</w:t>
      </w:r>
    </w:p>
    <w:p w14:paraId="7974C08D" w14:textId="741A1C2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Decker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Cronin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epoxide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hydrolases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signalling.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297-318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19340413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10.1007/s00204-009-0416-0]</w:t>
      </w:r>
    </w:p>
    <w:p w14:paraId="0F0BD9EF" w14:textId="15CFE97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lastRenderedPageBreak/>
        <w:t>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CH.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"/>
      <w:r w:rsidRPr="0075347C">
        <w:rPr>
          <w:rFonts w:ascii="Book Antiqua" w:eastAsia="Book Antiqua" w:hAnsi="Book Antiqua" w:cs="Book Antiqua"/>
          <w:color w:val="000000"/>
        </w:rPr>
        <w:t>Phase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Pr="0075347C">
        <w:rPr>
          <w:rFonts w:ascii="Book Antiqua" w:eastAsia="Book Antiqua" w:hAnsi="Book Antiqua" w:cs="Book Antiqua"/>
          <w:color w:val="000000"/>
        </w:rPr>
        <w:t>New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York: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Springer</w:t>
      </w:r>
      <w:r w:rsidR="00562940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37-48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10.1007/978-1-4614-1049-2_5]</w:t>
      </w:r>
    </w:p>
    <w:p w14:paraId="54B47147" w14:textId="5784F4D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Çelįk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Yildirim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Ö,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Turan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Görür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Yildirim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Tamer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age-related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cataract.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113-119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25923095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10.17219/acem/38143]</w:t>
      </w:r>
    </w:p>
    <w:p w14:paraId="296A8743" w14:textId="1DAD48C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Townsend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7369-7375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14576844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10.1038/sj.onc.1206940]</w:t>
      </w:r>
    </w:p>
    <w:p w14:paraId="76D3E057" w14:textId="7290F6C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Tew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Townsend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Antioxid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Redox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1728-1737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22540427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10.1089/ars.2012.4640]</w:t>
      </w:r>
    </w:p>
    <w:p w14:paraId="395262FD" w14:textId="419B16A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Roche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Leisinger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Sequence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bacterial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dichloromethane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dehalogenase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Bacteriol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164-171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2104602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10.1128/jb.172.1.164-171.1990]</w:t>
      </w:r>
    </w:p>
    <w:p w14:paraId="28AC67A4" w14:textId="3DCF8A5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Pulford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chemoprotection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445-600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8770536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10.3109/10409239509083491]</w:t>
      </w:r>
    </w:p>
    <w:p w14:paraId="7910CF59" w14:textId="0DA85FC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Sheehan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Foley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Dowd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evolution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implications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members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ancient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superfamily.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1-16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11695986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10.1042/0264-6021:3600001]</w:t>
      </w:r>
    </w:p>
    <w:p w14:paraId="14EF8232" w14:textId="76F4710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Kovaleva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Degener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HC.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Methylobacterium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health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care-associated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1317-1321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24430456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10.1128/JCM.03561-13]</w:t>
      </w:r>
    </w:p>
    <w:p w14:paraId="43626B31" w14:textId="1989FB7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9823E7" w:rsidRPr="0075347C">
        <w:rPr>
          <w:rFonts w:ascii="Book Antiqua" w:eastAsia="Book Antiqua" w:hAnsi="Book Antiqua" w:cs="Book Antiqua"/>
          <w:b/>
          <w:bCs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Soluble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(GST)</w:t>
      </w:r>
      <w:r w:rsidR="009823E7" w:rsidRPr="0075347C">
        <w:rPr>
          <w:rFonts w:ascii="Book Antiqua" w:eastAsia="Book Antiqua" w:hAnsi="Book Antiqua" w:cs="Book Antiqua"/>
          <w:color w:val="000000"/>
        </w:rPr>
        <w:t>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204AA5" w:rsidRPr="0075347C">
        <w:rPr>
          <w:rFonts w:ascii="Book Antiqua" w:eastAsia="Book Antiqua" w:hAnsi="Book Antiqua" w:cs="Book Antiqua"/>
          <w:color w:val="000000"/>
        </w:rPr>
        <w:t>[cited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204AA5" w:rsidRPr="0075347C">
        <w:rPr>
          <w:rFonts w:ascii="Book Antiqua" w:eastAsia="Book Antiqua" w:hAnsi="Book Antiqua" w:cs="Book Antiqua"/>
          <w:color w:val="000000"/>
        </w:rPr>
        <w:t>20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204AA5" w:rsidRPr="0075347C">
        <w:rPr>
          <w:rFonts w:ascii="Book Antiqua" w:eastAsia="Book Antiqua" w:hAnsi="Book Antiqua" w:cs="Book Antiqua"/>
          <w:color w:val="000000"/>
        </w:rPr>
        <w:t>March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204AA5" w:rsidRPr="0075347C">
        <w:rPr>
          <w:rFonts w:ascii="Book Antiqua" w:eastAsia="Book Antiqua" w:hAnsi="Book Antiqua" w:cs="Book Antiqua"/>
          <w:color w:val="000000"/>
        </w:rPr>
        <w:t>2021]</w:t>
      </w:r>
      <w:r w:rsidR="00562940"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Available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https://www.genenames.org/data/genegroup/#!/group/567</w:t>
      </w:r>
    </w:p>
    <w:p w14:paraId="31B70507" w14:textId="0B30EAB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lastRenderedPageBreak/>
        <w:t>14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Nebert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Vasiliou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460-464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15607001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10.1186/1479-7364-1-6-460]</w:t>
      </w:r>
    </w:p>
    <w:p w14:paraId="5548A94B" w14:textId="6848687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Islam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Sajib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Jui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Islam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Ghosh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Genome-wide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identification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pepper,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classification,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under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anatomical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environmental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conditions.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9101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31235811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10.1038/s41598-019-45320-x]</w:t>
      </w:r>
    </w:p>
    <w:p w14:paraId="5F939496" w14:textId="69615E1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Cuesta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Pedrola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Palau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Marín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Evolutionary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GDAP1,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Charcot-Marie-Tooth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characterize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Evol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176-187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14595091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10.1093/molbev/msh013]</w:t>
      </w:r>
    </w:p>
    <w:p w14:paraId="3BB81F60" w14:textId="5C75C28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17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Saisawang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Wongsantichon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Ketterman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AJ.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preliminary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characterization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Drosophila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melanogaster.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442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181-190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22082028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10.1042/BJ20111747]</w:t>
      </w:r>
    </w:p>
    <w:p w14:paraId="21987A65" w14:textId="3D32DD6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Wongtrakul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Janphen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Saisawang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Ketterman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Interaction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Omega,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Sigma,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p38b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mitogen-activated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fruit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Drosophila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melanogaster.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Insect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25373207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10.1093/jis/14.1.60]</w:t>
      </w:r>
    </w:p>
    <w:p w14:paraId="719C4A55" w14:textId="7F14B6C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Schröder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Scheer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Diekmann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Stampfl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foreign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Translocation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roots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barley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(Hordeum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vulgare).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2007;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114-122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17455821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10.1065/espr2006.10.352]</w:t>
      </w:r>
    </w:p>
    <w:p w14:paraId="13DC9053" w14:textId="5AD8D26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20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Selective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conjugates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derivatives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284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21249-21256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19520850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10.1074/jbc.M109.020107]</w:t>
      </w:r>
    </w:p>
    <w:p w14:paraId="0F9973EE" w14:textId="26F15A2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Davis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divergence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Identification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two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putative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functions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redox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homeostasis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thaliana.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30859-30869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12077129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10.1074/jbc.M202919200]</w:t>
      </w:r>
    </w:p>
    <w:p w14:paraId="0D0138A5" w14:textId="3833453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22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Skipsey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secondary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metabolism.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Phytochemistry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338-350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20079507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10.1016/j.phytochem.2009.12.012]</w:t>
      </w:r>
    </w:p>
    <w:p w14:paraId="02E6DADA" w14:textId="23E61CB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23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Dixon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Mauch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diversity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515-532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12090627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10.1023/a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:1015557300450</w:t>
      </w:r>
      <w:proofErr w:type="gramEnd"/>
      <w:r w:rsidRPr="0075347C">
        <w:rPr>
          <w:rFonts w:ascii="Book Antiqua" w:eastAsia="Book Antiqua" w:hAnsi="Book Antiqua" w:cs="Book Antiqua"/>
          <w:color w:val="000000"/>
        </w:rPr>
        <w:t>]</w:t>
      </w:r>
    </w:p>
    <w:p w14:paraId="6D66868E" w14:textId="2BE652C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Landi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Mammalian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carcinogens: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Mutat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463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247-283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11018744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10.1016/s1383-5742(00)00050-8]</w:t>
      </w:r>
    </w:p>
    <w:p w14:paraId="1144D99F" w14:textId="7A755883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Katoh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Inatomi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Nagaoka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Sugita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Cytochrome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P4501A1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homozygous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urothelial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655-657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7697828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10.1093/carcin/16.3.655]</w:t>
      </w:r>
    </w:p>
    <w:p w14:paraId="195D5FB0" w14:textId="18DC937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Hamajima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Takezaki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Tajima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Allele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Frequencies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Pertaining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Japanese,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Koreans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Chinese.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197-206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12718576]</w:t>
      </w:r>
    </w:p>
    <w:p w14:paraId="2E2C9BE2" w14:textId="6BF1143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Coles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BF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Kadlubar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FF.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Detoxification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electrophilic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catalysis: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carcinogens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chemotherapeutic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drugs?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Biofactors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115-130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12897434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10.1002/biof.5520170112]</w:t>
      </w:r>
    </w:p>
    <w:p w14:paraId="006508BE" w14:textId="0B5729F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Townsend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157-172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12814324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10.2165/00129785-200303030-00002]</w:t>
      </w:r>
    </w:p>
    <w:p w14:paraId="3F0D1A1F" w14:textId="154D36C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29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Katoh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Yamano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Tsuji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Watanabe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prostate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93-104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18154451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10.2217/14622416.9.1.93]</w:t>
      </w:r>
    </w:p>
    <w:p w14:paraId="74AFDA79" w14:textId="0582AFC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30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Kautiainen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Dwivedi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MacDonald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TZ.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sex-specific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verbal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intelligence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pediatric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medulloblastoma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Neuropsychol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739-753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32054423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10.1080/09297049.2020.1726886]</w:t>
      </w:r>
    </w:p>
    <w:p w14:paraId="195D3990" w14:textId="2175816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31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Fulco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AJ.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Barbie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box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sequences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cis-acting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elements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involved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barbiturate-mediated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cytochromes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P450BM-1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P450BM-3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Bacillus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megaterium.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4438-4450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7876210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10.1074/jbc.270.9.4438]</w:t>
      </w:r>
    </w:p>
    <w:p w14:paraId="2876087B" w14:textId="6F04A30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Gullner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Komives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Király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Schröder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Plant-Pathogen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1836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30622544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10.3389/fpls.2018.01836]</w:t>
      </w:r>
    </w:p>
    <w:p w14:paraId="53300EE1" w14:textId="035BE88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33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Batist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analogues;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therapeutic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1830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3350-3353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23201199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10.1016/j.bbagen.2012.11.016]</w:t>
      </w:r>
    </w:p>
    <w:p w14:paraId="75B7B06A" w14:textId="7F0C326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Harshbarger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Gondi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Ficarro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Hunter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Udayakumar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Gurbani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Singer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Westover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Reveal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Compound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Piperlongumine.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2017;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112-120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27872191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10.1074/jbc.M116.750299]</w:t>
      </w:r>
    </w:p>
    <w:p w14:paraId="22F7DB2E" w14:textId="094635F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Allocati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Masulli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Ilio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Federici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substrates,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inihibitors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pro-drugs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neurodegenerative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Oncogenesis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29362397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10.1038/s41389-017-0025-3]</w:t>
      </w:r>
    </w:p>
    <w:p w14:paraId="19A0332E" w14:textId="468F8AA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36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Sappl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Carroll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Clifton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Lister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Whelan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Harvey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Millar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Singh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KB.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displays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complex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co-silencing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results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altered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sensitivity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53-68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19067976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10.1111/j.1365-313X.2008.03761.x]</w:t>
      </w:r>
    </w:p>
    <w:p w14:paraId="31D8196B" w14:textId="4679247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Identification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responding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infestation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tomentosa.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lastRenderedPageBreak/>
        <w:t>Funct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Integr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517-529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24870810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10.1007/s10142-014-0379-y]</w:t>
      </w:r>
    </w:p>
    <w:p w14:paraId="4A53F011" w14:textId="2C77B7A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38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Wahibah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Tsutsui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Tamaoki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Nishiuchi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barley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S-Transferase13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reduces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accumulation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oxygen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species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trichothecenes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paraquat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(Tokyo)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71-79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31275039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10.5511/plantbiotechnology.18.0205a]</w:t>
      </w:r>
    </w:p>
    <w:p w14:paraId="112D9FFC" w14:textId="3979AA0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5"/>
      <w:r w:rsidRPr="0075347C">
        <w:rPr>
          <w:rFonts w:ascii="Book Antiqua" w:eastAsia="Book Antiqua" w:hAnsi="Book Antiqua" w:cs="Book Antiqua"/>
          <w:color w:val="000000"/>
        </w:rPr>
        <w:t>39</w:t>
      </w:r>
      <w:bookmarkEnd w:id="7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"/>
      <w:r w:rsidR="004218C7" w:rsidRPr="0075347C">
        <w:rPr>
          <w:rFonts w:ascii="Book Antiqua" w:eastAsia="Book Antiqua" w:hAnsi="Book Antiqua" w:cs="Book Antiqua"/>
          <w:b/>
          <w:bCs/>
          <w:color w:val="000000"/>
        </w:rPr>
        <w:t>Hernandez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b/>
          <w:bCs/>
          <w:color w:val="000000"/>
        </w:rPr>
        <w:t>JA</w:t>
      </w:r>
      <w:r w:rsidR="004218C7"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Barba-Espin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Diaz-Vivancos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Glutathione-Mediated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Biotic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Tolerance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Plants.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color w:val="000000"/>
        </w:rPr>
        <w:t>In: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Hossain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Mostofa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Vuvancos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Burritt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Fujita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LSP.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"/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Growth,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Tolerance,</w:t>
      </w:r>
      <w:bookmarkEnd w:id="8"/>
      <w:bookmarkEnd w:id="9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Springer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International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Publishing</w:t>
      </w:r>
      <w:r w:rsidR="00562940" w:rsidRPr="0075347C">
        <w:rPr>
          <w:rFonts w:ascii="Book Antiqua" w:eastAsia="Book Antiqua" w:hAnsi="Book Antiqua" w:cs="Book Antiqua"/>
          <w:color w:val="000000"/>
        </w:rPr>
        <w:t xml:space="preserve">, </w:t>
      </w:r>
      <w:r w:rsidRPr="0075347C">
        <w:rPr>
          <w:rFonts w:ascii="Book Antiqua" w:eastAsia="Book Antiqua" w:hAnsi="Book Antiqua" w:cs="Book Antiqua"/>
          <w:color w:val="000000"/>
        </w:rPr>
        <w:t>2017: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309</w:t>
      </w:r>
      <w:r w:rsidR="00562940" w:rsidRPr="0075347C">
        <w:rPr>
          <w:rFonts w:ascii="Book Antiqua" w:eastAsia="Book Antiqua" w:hAnsi="Book Antiqua" w:cs="Book Antiqua"/>
          <w:color w:val="000000"/>
        </w:rPr>
        <w:t>-</w:t>
      </w:r>
      <w:r w:rsidRPr="0075347C">
        <w:rPr>
          <w:rFonts w:ascii="Book Antiqua" w:eastAsia="Book Antiqua" w:hAnsi="Book Antiqua" w:cs="Book Antiqua"/>
          <w:color w:val="000000"/>
        </w:rPr>
        <w:t>329</w:t>
      </w:r>
    </w:p>
    <w:p w14:paraId="1E5F37ED" w14:textId="55598DB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Ouaissi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Ouaissi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Sereno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parasites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behave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immunomodulatory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159-164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11947919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10.1016/s0165-2478(02)00035-4]</w:t>
      </w:r>
    </w:p>
    <w:p w14:paraId="45F14D79" w14:textId="1A864C7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Bae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Phylogenetic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characterization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Clonorchis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sinensis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homologous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sigma-class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Parasitol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46-55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26792248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10.1016/j.molbiopara.2016.01.002]</w:t>
      </w:r>
    </w:p>
    <w:p w14:paraId="5535F4A5" w14:textId="2C3FA3C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Hayes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Mechanisms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cytosolic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xenobiotics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pro-inflammatory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agents.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92-137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21495793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10.3109/03602532.2011.567391]</w:t>
      </w:r>
    </w:p>
    <w:p w14:paraId="11F7480B" w14:textId="67B441E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Dayama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Priya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Niccum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Khoruts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Blekhman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Interactions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microbiome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fibrosis.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31992345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10.1186/s13073-020-0710-2]</w:t>
      </w:r>
    </w:p>
    <w:p w14:paraId="56938943" w14:textId="53B60B2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Sokolenko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Kryklyvets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Biryuk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Fliundra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Sokolenko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arterial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hypertension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abdominal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obesity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depending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PPAR-γ2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polymorphism: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opinion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concerning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problem.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6"/>
      <w:r w:rsidRPr="0075347C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Armenian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bookmarkEnd w:id="10"/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43-51</w:t>
      </w:r>
    </w:p>
    <w:p w14:paraId="7505C32D" w14:textId="28F9EEF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Boušová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Skálová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induction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flavonoids: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pharmacological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toxicological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consequences.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267-286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22998389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10.3109/03602532.2012.713969]</w:t>
      </w:r>
    </w:p>
    <w:p w14:paraId="791D8E81" w14:textId="3E9507B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46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Sellars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Edwards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Arabidopsis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AtGSTF2: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regulation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biologically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heterocyclic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ligands.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438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63-70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21631432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10.1042/BJ20101884]</w:t>
      </w:r>
    </w:p>
    <w:p w14:paraId="7DF0E01F" w14:textId="72FDE8D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Csiszár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Horváth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Váry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Gallé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Á,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Brunner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supergene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family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tomato: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Salt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stress-regulated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expression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representative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from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distinct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classes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primed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salicylic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15-26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24607575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10.1016/j.plaphy.2014.02.010]</w:t>
      </w:r>
    </w:p>
    <w:p w14:paraId="1CD30FCE" w14:textId="42A341A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Dahl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Friso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Wijk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Klessig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DF.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combined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photoaffinity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labeling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surface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plasmon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resonance-based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technology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identifies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multiple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salicylic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acid-binding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proteins.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1027-1038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23083132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10.1111/tpj.12016]</w:t>
      </w:r>
    </w:p>
    <w:p w14:paraId="68122621" w14:textId="062E1AB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49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Yarynych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Knut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Matyukha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Fedoniuk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Khodorovskyi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Petrynych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Babinec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7"/>
      <w:r w:rsidRPr="0075347C">
        <w:rPr>
          <w:rFonts w:ascii="Book Antiqua" w:eastAsia="Book Antiqua" w:hAnsi="Book Antiqua" w:cs="Book Antiqua"/>
          <w:color w:val="000000"/>
        </w:rPr>
        <w:t>Hepatocytes'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depending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(rs4646994)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PPAR-γ2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(rs1801282)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polymorphisms.</w:t>
      </w:r>
      <w:bookmarkEnd w:id="11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Chir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Iaşi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358-364</w:t>
      </w:r>
    </w:p>
    <w:p w14:paraId="1B4DA718" w14:textId="06B3B0E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Rossokha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Gorovenko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Variation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particular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indicators,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structural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parameters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locus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A313G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"/>
      <w:r w:rsidRPr="0075347C">
        <w:rPr>
          <w:rFonts w:ascii="Book Antiqua" w:eastAsia="Book Antiqua" w:hAnsi="Book Antiqua" w:cs="Book Antiqua"/>
          <w:i/>
          <w:iCs/>
          <w:color w:val="000000"/>
        </w:rPr>
        <w:t>Cytol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r w:rsidRPr="0075347C">
        <w:rPr>
          <w:rFonts w:ascii="Book Antiqua" w:eastAsia="Book Antiqua" w:hAnsi="Book Antiqua" w:cs="Book Antiqua"/>
          <w:color w:val="000000"/>
        </w:rPr>
        <w:t>2017;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50-57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[DOI</w:t>
      </w:r>
      <w:r w:rsidR="003E7D30"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10.3103/S0095452717060111]</w:t>
      </w:r>
    </w:p>
    <w:p w14:paraId="0D0FF4CD" w14:textId="2AC89E2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Hashemi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Eskandari-Nasab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Fazaeli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Bahari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Hashemzehi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Shafieipour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Taheri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Moazeni-Roodi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Zakeri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Bakhshipour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Ghavami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(GSTT1,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Zahedan,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Southeast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Iran.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672-677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22011249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10.1089/dna.2011.1343]</w:t>
      </w:r>
    </w:p>
    <w:p w14:paraId="382F0EFA" w14:textId="6486B1B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LP.</w:t>
      </w:r>
      <w:bookmarkStart w:id="13" w:name="OLE_LINK9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A313G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biochemical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parameters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bookmarkEnd w:id="13"/>
      <w:r w:rsidRPr="0075347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A4D27" w:rsidRPr="0075347C">
        <w:rPr>
          <w:rFonts w:ascii="Book Antiqua" w:hAnsi="Book Antiqua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Archives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Balkan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75347C">
        <w:rPr>
          <w:rFonts w:ascii="Book Antiqua" w:eastAsia="Book Antiqua" w:hAnsi="Book Antiqua" w:cs="Book Antiqua"/>
          <w:i/>
          <w:iCs/>
          <w:color w:val="000000"/>
        </w:rPr>
        <w:t>Union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178–182</w:t>
      </w:r>
    </w:p>
    <w:p w14:paraId="005E50A2" w14:textId="43E5614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53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Liedtke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Trautwein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TNF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dependent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inflammatory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582-589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22153863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10.1016/j.ejcb.2011.10.001]</w:t>
      </w:r>
    </w:p>
    <w:p w14:paraId="3D481917" w14:textId="49EB57C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Brenner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Galluzzi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Kepp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Kroemer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Decoding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death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inflammation.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583-594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23567086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10.1016/j.jhep.2013.03.033]</w:t>
      </w:r>
    </w:p>
    <w:p w14:paraId="11F750B7" w14:textId="5E17AD7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Younossi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Jarrar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Nugent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Randhawa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Afendy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Stepanova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Rafiq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Goodman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Chandhoke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Baranova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diagnostic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biomarker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obesity-related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steatohepatitis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(NASH).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1430-1437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18500507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10.1007/s11695-008-9506-y]</w:t>
      </w:r>
    </w:p>
    <w:p w14:paraId="57E037AC" w14:textId="58F4669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Elevated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hematocrit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cardiovascular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disease?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Hemorheol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Microcirc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59-68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22240370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10.3233/CH-2011-1509]</w:t>
      </w:r>
    </w:p>
    <w:p w14:paraId="4FC4AE5B" w14:textId="7425A96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57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Paniagua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75347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Nutrition,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insulin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dysfunctional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tissue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determine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components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syndrome.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483-514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27895819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10.4239/wjd.v7.i19.483]</w:t>
      </w:r>
    </w:p>
    <w:p w14:paraId="4761AFFA" w14:textId="3D4FC4B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58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Altirriba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Rohner-Jeanrenaud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Oxytocin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Administration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Treatment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Against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Impaired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Signaling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Leptin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Resistance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Obesity.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26300847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10.3389/fendo.2015.00119]</w:t>
      </w:r>
    </w:p>
    <w:p w14:paraId="09A8D846" w14:textId="4A20B6C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59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Kaser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Moschen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Cayon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Kaser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Crespo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Pons-Romero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Ebenbichler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Patsch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Tilg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receptors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steatohepatitis.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117-121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15591515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10.1136/gut.2003.037010]</w:t>
      </w:r>
    </w:p>
    <w:p w14:paraId="2D7DAFBA" w14:textId="6E32E92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60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Perumpail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Ahmed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Harrison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hepatocarcinogenesis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non-cirrhotic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Potential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mechanistic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pathways.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2384-2388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26464753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10.4254/wjh.v7.i22.2384]</w:t>
      </w:r>
    </w:p>
    <w:p w14:paraId="49CB322F" w14:textId="3E58EBA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Oniki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Nakagawa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Takata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Mihara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Marubayashi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Nakagawa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combinations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164-168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18492019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10.1111/j.1478-3231.2008.01794.x]</w:t>
      </w:r>
    </w:p>
    <w:p w14:paraId="13511715" w14:textId="2AB8E72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Voloshyn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Prysiazhniuk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Ilashchuk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profiles.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142-149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32728632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10.5114/ceh.2020.95678]</w:t>
      </w:r>
    </w:p>
    <w:p w14:paraId="28EF4A96" w14:textId="0840C043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Rafiee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Shokouh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Roohafza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Mansourian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Javanmard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metabolic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syndrome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Iranian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27135032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10.4103/2277-9175.179185]</w:t>
      </w:r>
    </w:p>
    <w:p w14:paraId="7F0D1AAE" w14:textId="7ECC400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Maciel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Pereira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Silva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Rodrigues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Krieger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triglycerides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HDL-cholesterol.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204-208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19419718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10.1016/j.atherosclerosis.2009.02.011]</w:t>
      </w:r>
    </w:p>
    <w:p w14:paraId="34C57C46" w14:textId="46D869A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65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Chakraborty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Choudhury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Saha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(NAFLD)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Young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Obese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Tribal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Subjects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Tripura: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(OH)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Vitamin-D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Levels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Immune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Modulators.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52-56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31562717]</w:t>
      </w:r>
    </w:p>
    <w:p w14:paraId="173D5509" w14:textId="7F26A0D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66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Jamali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Razavizade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Aarabi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Via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Novel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Adipokines.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e2630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26844476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10.1097/MD.0000000000002630]</w:t>
      </w:r>
    </w:p>
    <w:p w14:paraId="26F3F850" w14:textId="21B29BC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67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Polyzos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Kountouras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Zavos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multi-hit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process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antagonistic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tumor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necrosis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factor-alpha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adiponectin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Hippokratia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127;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reply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19561788]</w:t>
      </w:r>
    </w:p>
    <w:p w14:paraId="3A3B8AF9" w14:textId="7FCD7C4A" w:rsidR="00BD3143" w:rsidRPr="0075347C" w:rsidRDefault="004B0B9E" w:rsidP="0031253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5347C">
        <w:rPr>
          <w:rFonts w:ascii="Book Antiqua" w:eastAsia="Book Antiqua" w:hAnsi="Book Antiqua" w:cs="Book Antiqua"/>
          <w:color w:val="000000"/>
        </w:rPr>
        <w:t>68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Sydorchuk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LP.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14" w:name="OLE_LINK23"/>
      <w:proofErr w:type="gramStart"/>
      <w:r w:rsidR="00BD3143" w:rsidRPr="0075347C">
        <w:rPr>
          <w:rFonts w:ascii="Book Antiqua" w:eastAsia="Book Antiqua" w:hAnsi="Book Antiqua" w:cs="Book Antiqua"/>
          <w:bCs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relationship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biochemical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blood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parameters,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indicators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pro-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antioxidant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systems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disease</w:t>
      </w:r>
      <w:bookmarkEnd w:id="14"/>
      <w:r w:rsidR="00BD3143" w:rsidRPr="0075347C">
        <w:rPr>
          <w:rFonts w:ascii="Book Antiqua" w:eastAsia="Book Antiqua" w:hAnsi="Book Antiqua" w:cs="Book Antiqua"/>
          <w:bCs/>
          <w:color w:val="000000"/>
        </w:rPr>
        <w:t>.</w:t>
      </w:r>
      <w:proofErr w:type="gramEnd"/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i/>
          <w:color w:val="000000"/>
        </w:rPr>
        <w:t>Gastro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/>
          <w:bCs/>
          <w:color w:val="000000"/>
        </w:rPr>
        <w:t>5:</w:t>
      </w:r>
      <w:r w:rsidR="004A4D27" w:rsidRPr="007534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75347C">
        <w:rPr>
          <w:rFonts w:ascii="Book Antiqua" w:eastAsia="Book Antiqua" w:hAnsi="Book Antiqua" w:cs="Book Antiqua"/>
          <w:bCs/>
          <w:color w:val="000000"/>
        </w:rPr>
        <w:t>40-47</w:t>
      </w:r>
    </w:p>
    <w:p w14:paraId="5B298D6C" w14:textId="6FE1A20A" w:rsidR="00A77B3E" w:rsidRPr="0075347C" w:rsidRDefault="004B0B9E" w:rsidP="0031253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</w:rPr>
        <w:t>69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</w:rPr>
        <w:t>Prysyazhnyuk</w:t>
      </w:r>
      <w:r w:rsidR="004A4D27" w:rsidRPr="0075347C">
        <w:rPr>
          <w:rFonts w:ascii="Book Antiqua" w:eastAsia="Book Antiqua" w:hAnsi="Book Antiqua" w:cs="Book Antiqua"/>
          <w:b/>
          <w:bCs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</w:rPr>
        <w:t>VP,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Voloshyn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OI,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Sydorchuk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LP.</w:t>
      </w:r>
      <w:bookmarkStart w:id="15" w:name="OLE_LINK12"/>
      <w:r w:rsidR="004A4D27" w:rsidRPr="0075347C">
        <w:rPr>
          <w:rFonts w:ascii="Book Antiqua" w:eastAsia="Book Antiqua" w:hAnsi="Book Antiqua" w:cs="Book Antiqua"/>
        </w:rPr>
        <w:t xml:space="preserve"> </w:t>
      </w:r>
      <w:bookmarkStart w:id="16" w:name="OLE_LINK18"/>
      <w:bookmarkStart w:id="17" w:name="OLE_LINK19"/>
      <w:bookmarkStart w:id="18" w:name="OLE_LINK20"/>
      <w:bookmarkStart w:id="19" w:name="OLE_LINK21"/>
      <w:proofErr w:type="gramStart"/>
      <w:r w:rsidRPr="0075347C">
        <w:rPr>
          <w:rFonts w:ascii="Book Antiqua" w:eastAsia="Book Antiqua" w:hAnsi="Book Antiqua" w:cs="Book Antiqua"/>
        </w:rPr>
        <w:t>Association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of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A313G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polymorphism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of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GSTP1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gene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with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biochemical,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pro-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and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antioxidant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blood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indicators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in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chronic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hepatitis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patients</w:t>
      </w:r>
      <w:bookmarkEnd w:id="15"/>
      <w:bookmarkEnd w:id="16"/>
      <w:bookmarkEnd w:id="17"/>
      <w:r w:rsidR="00670607" w:rsidRPr="0075347C">
        <w:rPr>
          <w:rFonts w:ascii="Book Antiqua" w:eastAsia="Book Antiqua" w:hAnsi="Book Antiqua" w:cs="Book Antiqua"/>
        </w:rPr>
        <w:t>.</w:t>
      </w:r>
      <w:proofErr w:type="gramEnd"/>
      <w:r w:rsidR="004A4D27" w:rsidRPr="0075347C">
        <w:rPr>
          <w:rFonts w:ascii="Book Antiqua" w:eastAsia="Book Antiqua" w:hAnsi="Book Antiqua" w:cs="Book Antiqua"/>
        </w:rPr>
        <w:t xml:space="preserve"> </w:t>
      </w:r>
      <w:bookmarkEnd w:id="18"/>
      <w:bookmarkEnd w:id="19"/>
      <w:r w:rsidR="00435B04" w:rsidRPr="0075347C">
        <w:rPr>
          <w:rFonts w:ascii="Book Antiqua" w:eastAsia="Book Antiqua" w:hAnsi="Book Antiqua" w:cs="Book Antiqua"/>
          <w:i/>
          <w:iCs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</w:rPr>
        <w:t xml:space="preserve"> </w:t>
      </w:r>
      <w:r w:rsidR="00435B04" w:rsidRPr="0075347C">
        <w:rPr>
          <w:rFonts w:ascii="Book Antiqua" w:eastAsia="Book Antiqua" w:hAnsi="Book Antiqua" w:cs="Book Antiqua"/>
          <w:i/>
          <w:iCs/>
        </w:rPr>
        <w:t>Pharm</w:t>
      </w:r>
      <w:r w:rsidR="004A4D27" w:rsidRPr="0075347C">
        <w:rPr>
          <w:rFonts w:ascii="Book Antiqua" w:eastAsia="Book Antiqua" w:hAnsi="Book Antiqua" w:cs="Book Antiqua"/>
          <w:i/>
          <w:iCs/>
        </w:rPr>
        <w:t xml:space="preserve"> </w:t>
      </w:r>
      <w:r w:rsidR="00435B04" w:rsidRPr="0075347C">
        <w:rPr>
          <w:rFonts w:ascii="Book Antiqua" w:eastAsia="Book Antiqua" w:hAnsi="Book Antiqua" w:cs="Book Antiqua"/>
          <w:i/>
          <w:iCs/>
        </w:rPr>
        <w:t>Innov</w:t>
      </w:r>
      <w:r w:rsidR="004A4D27" w:rsidRPr="0075347C">
        <w:rPr>
          <w:rFonts w:ascii="Book Antiqua" w:eastAsia="Book Antiqua" w:hAnsi="Book Antiqua" w:cs="Book Antiqua"/>
          <w:i/>
          <w:iCs/>
        </w:rPr>
        <w:t xml:space="preserve"> </w:t>
      </w:r>
      <w:r w:rsidRPr="0075347C">
        <w:rPr>
          <w:rFonts w:ascii="Book Antiqua" w:eastAsia="Book Antiqua" w:hAnsi="Book Antiqua" w:cs="Book Antiqua"/>
        </w:rPr>
        <w:t>2017;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</w:rPr>
        <w:t>6</w:t>
      </w:r>
      <w:r w:rsidRPr="0075347C">
        <w:rPr>
          <w:rFonts w:ascii="Book Antiqua" w:eastAsia="Book Antiqua" w:hAnsi="Book Antiqua" w:cs="Book Antiqua"/>
        </w:rPr>
        <w:t>:</w:t>
      </w:r>
      <w:r w:rsidR="004A4D27" w:rsidRPr="0075347C">
        <w:rPr>
          <w:rFonts w:ascii="Book Antiqua" w:eastAsia="Book Antiqua" w:hAnsi="Book Antiqua" w:cs="Book Antiqua"/>
        </w:rPr>
        <w:t xml:space="preserve"> </w:t>
      </w:r>
      <w:r w:rsidRPr="0075347C">
        <w:rPr>
          <w:rFonts w:ascii="Book Antiqua" w:eastAsia="Book Antiqua" w:hAnsi="Book Antiqua" w:cs="Book Antiqua"/>
        </w:rPr>
        <w:t>40</w:t>
      </w:r>
      <w:r w:rsidR="007505E5" w:rsidRPr="0075347C">
        <w:rPr>
          <w:rFonts w:ascii="Book Antiqua" w:eastAsia="Book Antiqua" w:hAnsi="Book Antiqua" w:cs="Book Antiqua"/>
        </w:rPr>
        <w:t>-</w:t>
      </w:r>
      <w:r w:rsidRPr="0075347C">
        <w:rPr>
          <w:rFonts w:ascii="Book Antiqua" w:eastAsia="Book Antiqua" w:hAnsi="Book Antiqua" w:cs="Book Antiqua"/>
        </w:rPr>
        <w:t>43</w:t>
      </w:r>
      <w:r w:rsidR="00D52BD8" w:rsidRPr="0075347C">
        <w:rPr>
          <w:rFonts w:ascii="Book Antiqua" w:eastAsia="Book Antiqua" w:hAnsi="Book Antiqua" w:cs="Book Antiqua"/>
        </w:rPr>
        <w:t>a</w:t>
      </w:r>
    </w:p>
    <w:p w14:paraId="64234512" w14:textId="0535120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Kandemir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Tamer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Tasdelen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course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virus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1729-1733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19102379]</w:t>
      </w:r>
    </w:p>
    <w:p w14:paraId="381D9F67" w14:textId="3E65DE3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Qi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ZQ,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Guo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Methylation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promoter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acute-on-chronic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failure.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Tohoku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43-51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22976281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10.1620/tjem.228.43]</w:t>
      </w:r>
    </w:p>
    <w:p w14:paraId="6379006B" w14:textId="262D63F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72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Shaban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NZ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Salem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Elsadany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Hassona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Mogahed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Distribution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Omega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Stages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HBV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Infection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Including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Egyptian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2145-2150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27221910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10.7314/apjcp.2016.17.4.2145]</w:t>
      </w:r>
    </w:p>
    <w:p w14:paraId="3411E615" w14:textId="7EBAAAC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Chowdhury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Kundu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Santra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Chakraborty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Majumder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'null'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mutation.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1033-1037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11595069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10.1046/j.1440-1746.2001.02585.x]</w:t>
      </w:r>
    </w:p>
    <w:p w14:paraId="2DB48BF9" w14:textId="5190968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Leiro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Fernández-Villar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Valverde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Constenla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Vázquez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Piñeiro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González-Quintela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Influence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homozygous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mutations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835-839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18397238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10.1111/j.1478-3231.2008.01700.x]</w:t>
      </w:r>
    </w:p>
    <w:p w14:paraId="026A88DB" w14:textId="03F7E321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Monteiro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El-Jaick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Jeovanio-Silva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Brasil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Costa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Castro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712-718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22845549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10.1111/j.1365-2710.2012.01368.x]</w:t>
      </w:r>
    </w:p>
    <w:p w14:paraId="4C10F247" w14:textId="2B36690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Chatterjee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Lyle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Mandal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Kundu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465-470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20853551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10.1111/j.1365-2710.2009.01101.x]</w:t>
      </w:r>
    </w:p>
    <w:p w14:paraId="412B7AE4" w14:textId="2D326A8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77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idiosyncratic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hepatotoxicity: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prevention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strategy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developed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after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troglitazone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Pharmacokinet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2011;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60-70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21178300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10.2133/dmpk.dmpk-10-rv-090]</w:t>
      </w:r>
    </w:p>
    <w:p w14:paraId="3C16594A" w14:textId="59863F1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78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Perwitasari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Atthobari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Wilffert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Pharmacogenetics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isoniazid-induced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222-228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26095714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10.3109/03602532.2014.984070]</w:t>
      </w:r>
    </w:p>
    <w:p w14:paraId="406C4B44" w14:textId="2089649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79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75347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Recent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injury.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169-173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24593909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10.1016/j.jcma.2014.01.010]</w:t>
      </w:r>
    </w:p>
    <w:p w14:paraId="15905250" w14:textId="05D1116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Sandford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JQ.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(GSTP1)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Incidence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Anti-Tuberculosis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Drug-Induced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Hepatotoxicity.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e0157478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27281183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10.1371/journal.pone.0157478]</w:t>
      </w:r>
    </w:p>
    <w:p w14:paraId="5CB27C09" w14:textId="617B5F7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lastRenderedPageBreak/>
        <w:t>81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Burim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RV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Canalle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Martinelli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Takahashi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cytochromes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CYP2E1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CYP1A1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pancreatitis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Mutagenesis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291-298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15215328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10.1093/mutage/geh034]</w:t>
      </w:r>
    </w:p>
    <w:p w14:paraId="464D4F38" w14:textId="4007F8B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Ghobadloo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Yaghmaei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Bakayev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Goudarzi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Noorinayer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Samiy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Aghabozorghi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Zali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cryptogenic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423-427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15120366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10.1016/j.gassur.2004.02.005]</w:t>
      </w:r>
    </w:p>
    <w:p w14:paraId="1EE4EB0A" w14:textId="7CC6F2D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Goncharova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Rachkovskiĭ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Beloborodova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Gamal'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Abd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El'-Aziz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Nasar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Puzyrev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patogenetics: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genes].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(Mosk)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2010;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431-438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20608166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10.1134/s0026893310030118]</w:t>
      </w:r>
    </w:p>
    <w:p w14:paraId="4F19B45A" w14:textId="2EA07EE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Choudhuri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Husain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Parmar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Depend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183-190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19157724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10.1016/j.drugalcdep.2008.12.001]</w:t>
      </w:r>
    </w:p>
    <w:p w14:paraId="2828B2BE" w14:textId="7F6BA73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Harada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Horiike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Ishii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Ishii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Takada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epidemiologic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diseases].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Arukoru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Kenkyuto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Yakubutsu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400-413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8267523]</w:t>
      </w:r>
    </w:p>
    <w:p w14:paraId="3C5DF8E4" w14:textId="65C5282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86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Savolainen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VT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Pjarinen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Perola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Penttilä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Karhunen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PJ.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"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null</w:t>
      </w:r>
      <w:proofErr w:type="gramEnd"/>
      <w:r w:rsidRPr="0075347C">
        <w:rPr>
          <w:rFonts w:ascii="Book Antiqua" w:eastAsia="Book Antiqua" w:hAnsi="Book Antiqua" w:cs="Book Antiqua"/>
          <w:color w:val="000000"/>
        </w:rPr>
        <w:t>"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1340-1345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8947308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10.1111/j.1530-0277.1996.tb01132.x]</w:t>
      </w:r>
    </w:p>
    <w:p w14:paraId="7C2222CF" w14:textId="080FA64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87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Frenzer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Butler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Norton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Wilson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Apte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Pirola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Ryan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Roberts-Thomson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IC.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alcohol-metabolizing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enzymes,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apolipoprotein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alcohol-induced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177-182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11966948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10.1046/j.1440-1746.2002.02670.x]</w:t>
      </w:r>
    </w:p>
    <w:p w14:paraId="449E5330" w14:textId="300AB46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Rodrigo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Alvarez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Rodriguez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Pérez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Alvarez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N-acetyltransferase-2,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dehydrogenase,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lastRenderedPageBreak/>
        <w:t>cytochrome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P450IIE1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case-control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303-307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10232877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10.1080/00365529950173735]</w:t>
      </w:r>
    </w:p>
    <w:p w14:paraId="08EA392C" w14:textId="13F4567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89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Brind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Hurlstone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Edrisinghe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Gilmore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Fisher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Pirmohamed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Fryer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M3,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Alcoholism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478-483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15525789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10.1093/alcalc/agh105]</w:t>
      </w:r>
    </w:p>
    <w:p w14:paraId="1CA01392" w14:textId="6C844E9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Kapahtia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Hazam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Karra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Chowdhury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Cryptogenic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169-172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29892180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10.1016/j.jceh.2017.05.208]</w:t>
      </w:r>
    </w:p>
    <w:p w14:paraId="441B7F90" w14:textId="5E55ED6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Komuro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Takahashi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Sato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Tamaki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Zeniya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Toda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[Significance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serum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oxidative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stress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markers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pathogeneses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primary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biliary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cirrhosis].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Rinsho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Meneki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Kaishi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322-329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15559321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10.2177/jsci.27.322]</w:t>
      </w:r>
    </w:p>
    <w:p w14:paraId="6DF981A4" w14:textId="49EDE2E3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Baclig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Alvarez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Lozada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Mapua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Lozano-Kühne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Dimamay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Natividad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Gopez-Cervantes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Matias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chronic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among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Filipinos.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153-159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22724052]</w:t>
      </w:r>
    </w:p>
    <w:p w14:paraId="17EF519D" w14:textId="4912D3B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93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Taylor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Paulson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Robertson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Mohler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Lucier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GW.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carcinogen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exposure: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inherited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carcinogen-metabolism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(GSTM1)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bladder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1159-1164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8320745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10.1093/jnci/85.14.1159]</w:t>
      </w:r>
    </w:p>
    <w:p w14:paraId="531AB034" w14:textId="7986FF0A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PD.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Predictive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gastric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cases.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1515-1518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22799358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10.7314/apjcp.2012.13.4.1515]</w:t>
      </w:r>
    </w:p>
    <w:p w14:paraId="41E68F43" w14:textId="3D6DF28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lastRenderedPageBreak/>
        <w:t>95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Welfare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Monesola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Adeokun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Bassendine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MF</w:t>
      </w:r>
      <w:proofErr w:type="gramEnd"/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colorectal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1999;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289-292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10207630]</w:t>
      </w:r>
    </w:p>
    <w:p w14:paraId="4512C50C" w14:textId="19887C6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96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Dialyna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Miyakis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Georgatou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Spandidos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CYP1A1,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1829-1835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14534704]</w:t>
      </w:r>
    </w:p>
    <w:p w14:paraId="7C1E30AD" w14:textId="592EC5F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Xie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bladder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updated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analysis.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687-695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23054023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10.1007/s11033-012-2109-7]</w:t>
      </w:r>
    </w:p>
    <w:p w14:paraId="2D3E5C74" w14:textId="4FA3E15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Qu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survival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resected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2015;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4310-4322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25892883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10.3748/wjg.v21.i14.4310]</w:t>
      </w:r>
    </w:p>
    <w:p w14:paraId="4C6D8E81" w14:textId="689F325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99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Abd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El-Moneim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Younis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Allam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Gameel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Osman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deletion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Egyptian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patients.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125-134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20306695]</w:t>
      </w:r>
    </w:p>
    <w:p w14:paraId="2200C5D4" w14:textId="2B0D369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Kiran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Chawla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Kaur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Glutathione-S-transferase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microsomal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epoxide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hydrolase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viral-related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687-694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18816171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10.1089/dna.2008.0805]</w:t>
      </w:r>
    </w:p>
    <w:p w14:paraId="12B21D20" w14:textId="0A53AF8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Liaw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Lee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XRCC1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hepatitis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B-related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1485-1488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14519756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10.1093/jnci/djg051]</w:t>
      </w:r>
    </w:p>
    <w:p w14:paraId="56141690" w14:textId="4892399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Xue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Zheng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Hao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Zhai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Dai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genotype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increase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evidence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based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studies.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2019;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30976200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10.1186/s12935-019-0792-3]</w:t>
      </w:r>
    </w:p>
    <w:p w14:paraId="5BB26628" w14:textId="2A5A87C9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103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Huang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XW,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Qiu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</w:t>
      </w:r>
      <w:bookmarkStart w:id="20" w:name="_Hlk72706158"/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Quantitative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assessment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effect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bookmarkEnd w:id="20"/>
      <w:r w:rsidRPr="0075347C">
        <w:rPr>
          <w:rFonts w:ascii="Book Antiqua" w:eastAsia="Book Antiqua" w:hAnsi="Book Antiqua" w:cs="Book Antiqua"/>
          <w:color w:val="000000"/>
        </w:rPr>
        <w:t>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Tumour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2014;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4007-4015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24399650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10.1007/s13277-013-1524-2]</w:t>
      </w:r>
    </w:p>
    <w:p w14:paraId="6605F02F" w14:textId="25E300A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Mattia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Cecchin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Polesel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Bignucolo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Roncato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Lupo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Crovatto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Buonadonna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Tiribelli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Toffoli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biomarkers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caucasian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2017;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6674-6684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29085212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10.3748/wjg.v23.i36.6674]</w:t>
      </w:r>
    </w:p>
    <w:p w14:paraId="0CDC2B3F" w14:textId="4CAD689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NF,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SJ,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LQ.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relationship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between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Asian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2012;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10383-10393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23053942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10.1007/s11033-012-1917-0]</w:t>
      </w:r>
    </w:p>
    <w:p w14:paraId="7573C023" w14:textId="1F41DAE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75347C">
        <w:rPr>
          <w:rFonts w:ascii="Book Antiqua" w:eastAsia="Book Antiqua" w:hAnsi="Book Antiqua" w:cs="Book Antiqua"/>
          <w:color w:val="000000"/>
        </w:rPr>
        <w:t>106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Nurgalieva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El-Serag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HB.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variants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possible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factors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HuGE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377-389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18065725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10.1093/aje/kwm</w:t>
      </w:r>
      <w:r w:rsidRPr="007534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5347C">
        <w:rPr>
          <w:rFonts w:ascii="Book Antiqua" w:eastAsia="Book Antiqua" w:hAnsi="Book Antiqua" w:cs="Book Antiqua"/>
          <w:color w:val="000000"/>
        </w:rPr>
        <w:t>15]</w:t>
      </w:r>
    </w:p>
    <w:p w14:paraId="749EFE04" w14:textId="3F2DADE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Liao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Q,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GSTP1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inhibits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cell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proliferation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reducing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Akt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phosphorylation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better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prognosis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2018;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8957-8971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29507666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10.18632/oncotarget.23420]</w:t>
      </w:r>
    </w:p>
    <w:p w14:paraId="1283D0AC" w14:textId="38A5AFA3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Chen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Magaye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Zou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Zhao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susceptibility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(HCC)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Chinese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evaluated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updated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systematic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meta-analysis.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2013;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e57043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23437305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10.1371/journal.pone.0057043]</w:t>
      </w:r>
    </w:p>
    <w:p w14:paraId="65E91BA4" w14:textId="4509F6BE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109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Akhdar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Shamieh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Musso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Désert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Joumaa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Guyader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Aninat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Corlu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Morel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rs3957357C&gt;T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SNP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GSTA1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Associated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Higher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Occurrence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European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Individuals.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2016;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e0167543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27936036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10.1371/journal.pone.0167543]</w:t>
      </w:r>
    </w:p>
    <w:p w14:paraId="3AD65585" w14:textId="32669AF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lastRenderedPageBreak/>
        <w:t>110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Ladero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Martínez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García-Martín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Ropero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Briceño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Villegas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Díaz-Rubio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Agúndez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JA.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genetic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related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hepatocellular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carcinoma: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study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Spanish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population.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73-77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16314088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10.1016/j.ejca.2005.08.033]</w:t>
      </w:r>
    </w:p>
    <w:p w14:paraId="4B9B9B38" w14:textId="75884F9F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111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Marahatta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75347C">
        <w:rPr>
          <w:rFonts w:ascii="Book Antiqua" w:eastAsia="Book Antiqua" w:hAnsi="Book Antiqua" w:cs="Book Antiqua"/>
          <w:color w:val="000000"/>
        </w:rPr>
        <w:t>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Punyarit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Bhudisawasdi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V,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Paupairoj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Wongkham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Petmitr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Polymorphism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glutathione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S-transferase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omega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gene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risk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cancer.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 w:rsidRPr="007534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2006;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236</w:t>
      </w:r>
      <w:r w:rsidRPr="0075347C">
        <w:rPr>
          <w:rFonts w:ascii="Book Antiqua" w:eastAsia="Book Antiqua" w:hAnsi="Book Antiqua" w:cs="Book Antiqua"/>
          <w:color w:val="000000"/>
        </w:rPr>
        <w:t>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276-281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[PMID: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15992993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DOI: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10.1016/j.canlet.2005.05.020]</w:t>
      </w:r>
    </w:p>
    <w:bookmarkEnd w:id="3"/>
    <w:bookmarkEnd w:id="4"/>
    <w:bookmarkEnd w:id="5"/>
    <w:p w14:paraId="2B9E8D42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5347C" w:rsidSect="007D51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9DF59D" w14:textId="77777777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E483AB" w14:textId="2E27B5B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10"/>
      <w:bookmarkStart w:id="22" w:name="OLE_LINK14"/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authors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declare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conflict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interest</w:t>
      </w:r>
      <w:r w:rsidR="00C719CB" w:rsidRPr="0075347C">
        <w:rPr>
          <w:rFonts w:ascii="Book Antiqua" w:eastAsia="Book Antiqua" w:hAnsi="Book Antiqua" w:cs="Book Antiqua"/>
          <w:color w:val="000000"/>
        </w:rPr>
        <w:t>.</w:t>
      </w:r>
    </w:p>
    <w:bookmarkEnd w:id="21"/>
    <w:bookmarkEnd w:id="22"/>
    <w:p w14:paraId="239C05DF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9A122E" w14:textId="2300114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4D27" w:rsidRPr="007534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open-access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article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that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was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selected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in-house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editor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fully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peer-reviewed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external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reviewers.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accordance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with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Creative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Commons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Attribution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NonCommercial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(CC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BY-NC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4.0)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license,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which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permits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others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to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distribute,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remix,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adapt,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build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upon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non-commercially,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license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their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derivative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works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on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different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terms,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provided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original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work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properly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cited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the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use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is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non-commercial.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See: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B84434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1D6266" w14:textId="3DFA77BC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Manuscript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source: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Invited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16127" w:rsidRPr="0075347C">
        <w:rPr>
          <w:rFonts w:ascii="Book Antiqua" w:eastAsia="Book Antiqua" w:hAnsi="Book Antiqua" w:cs="Book Antiqua"/>
          <w:color w:val="000000"/>
        </w:rPr>
        <w:t>m</w:t>
      </w:r>
      <w:r w:rsidRPr="0075347C">
        <w:rPr>
          <w:rFonts w:ascii="Book Antiqua" w:eastAsia="Book Antiqua" w:hAnsi="Book Antiqua" w:cs="Book Antiqua"/>
          <w:color w:val="000000"/>
        </w:rPr>
        <w:t>anuscript</w:t>
      </w:r>
    </w:p>
    <w:p w14:paraId="52549EEC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61A299" w14:textId="3DD7B9A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Peer-review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started: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March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17,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2021</w:t>
      </w:r>
    </w:p>
    <w:p w14:paraId="23A77969" w14:textId="47FE4BD8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First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decision: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May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2021</w:t>
      </w:r>
    </w:p>
    <w:p w14:paraId="6AE982F7" w14:textId="0EE30C80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Article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in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press: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36E" w:rsidRPr="0075347C">
        <w:rPr>
          <w:rFonts w:ascii="Book Antiqua" w:eastAsia="宋体" w:hAnsi="Book Antiqua"/>
          <w:color w:val="000000" w:themeColor="text1"/>
        </w:rPr>
        <w:t>J</w:t>
      </w:r>
      <w:r w:rsidR="0072536E" w:rsidRPr="0075347C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72536E" w:rsidRPr="0075347C">
        <w:rPr>
          <w:rFonts w:ascii="Book Antiqua" w:eastAsia="宋体" w:hAnsi="Book Antiqua"/>
          <w:color w:val="000000" w:themeColor="text1"/>
        </w:rPr>
        <w:t xml:space="preserve"> 3, 2021</w:t>
      </w:r>
    </w:p>
    <w:p w14:paraId="1B52250F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647682" w14:textId="52F1AA72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Specialty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type: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Gastroenterology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and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916127" w:rsidRPr="0075347C">
        <w:rPr>
          <w:rFonts w:ascii="Book Antiqua" w:eastAsia="Book Antiqua" w:hAnsi="Book Antiqua" w:cs="Book Antiqua"/>
          <w:color w:val="000000"/>
        </w:rPr>
        <w:t>h</w:t>
      </w:r>
      <w:r w:rsidRPr="0075347C">
        <w:rPr>
          <w:rFonts w:ascii="Book Antiqua" w:eastAsia="Book Antiqua" w:hAnsi="Book Antiqua" w:cs="Book Antiqua"/>
          <w:color w:val="000000"/>
        </w:rPr>
        <w:t>epatology</w:t>
      </w:r>
    </w:p>
    <w:p w14:paraId="5E232CB2" w14:textId="4AFD2CA6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Country/Territory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of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origin: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Ukraine</w:t>
      </w:r>
    </w:p>
    <w:p w14:paraId="06768FD8" w14:textId="2E7571C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Peer-review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report’s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scientific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quality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790985" w14:textId="396CF05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47C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(Excellent):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0</w:t>
      </w:r>
    </w:p>
    <w:p w14:paraId="776EE1B2" w14:textId="5F95DC94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(Very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good):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B</w:t>
      </w:r>
    </w:p>
    <w:p w14:paraId="73D55436" w14:textId="7FF53845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(Good):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0</w:t>
      </w:r>
    </w:p>
    <w:p w14:paraId="5A0C80D8" w14:textId="07DDD6CB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(Fair):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0</w:t>
      </w:r>
    </w:p>
    <w:p w14:paraId="2CB7C798" w14:textId="088B1CBD" w:rsidR="00A77B3E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47C">
        <w:rPr>
          <w:rFonts w:ascii="Book Antiqua" w:eastAsia="Book Antiqua" w:hAnsi="Book Antiqua" w:cs="Book Antiqua"/>
          <w:color w:val="000000"/>
        </w:rPr>
        <w:t>Grade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E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(Poor):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0</w:t>
      </w:r>
    </w:p>
    <w:p w14:paraId="2170E5FE" w14:textId="77777777" w:rsidR="00A77B3E" w:rsidRPr="007534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33F79A" w14:textId="46812902" w:rsidR="00670607" w:rsidRPr="0075347C" w:rsidRDefault="004B0B9E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t>P-Reviewer: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Jha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RK,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Pham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TTT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S-Editor: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Zhang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</w:t>
      </w:r>
      <w:r w:rsidR="004A4D27" w:rsidRPr="007534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b/>
          <w:color w:val="000000"/>
        </w:rPr>
        <w:t>L-Editor: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C948D5" w:rsidRPr="0075347C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75347C">
        <w:rPr>
          <w:rFonts w:ascii="Book Antiqua" w:eastAsia="Book Antiqua" w:hAnsi="Book Antiqua" w:cs="Book Antiqua"/>
          <w:b/>
          <w:color w:val="000000"/>
        </w:rPr>
        <w:t>P-Editor: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="00C948D5" w:rsidRPr="0075347C">
        <w:rPr>
          <w:rFonts w:ascii="Book Antiqua" w:eastAsia="Book Antiqua" w:hAnsi="Book Antiqua" w:cs="Book Antiqua" w:hint="eastAsia"/>
          <w:color w:val="000000"/>
        </w:rPr>
        <w:t>Wang LL</w:t>
      </w:r>
    </w:p>
    <w:p w14:paraId="27627075" w14:textId="77777777" w:rsidR="00670607" w:rsidRPr="0075347C" w:rsidRDefault="00670607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347C">
        <w:rPr>
          <w:rFonts w:ascii="Book Antiqua" w:eastAsia="Book Antiqua" w:hAnsi="Book Antiqua" w:cs="Book Antiqua"/>
          <w:b/>
          <w:color w:val="000000"/>
        </w:rPr>
        <w:br w:type="page"/>
      </w:r>
    </w:p>
    <w:p w14:paraId="639F8DB2" w14:textId="7ABDDCED" w:rsidR="00670607" w:rsidRPr="0075347C" w:rsidRDefault="00670607" w:rsidP="007D5170">
      <w:pPr>
        <w:autoSpaceDE w:val="0"/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</w:rPr>
      </w:pPr>
      <w:r w:rsidRPr="0075347C">
        <w:rPr>
          <w:rFonts w:ascii="Book Antiqua" w:eastAsia="Calibri" w:hAnsi="Book Antiqua"/>
          <w:b/>
          <w:bCs/>
        </w:rPr>
        <w:lastRenderedPageBreak/>
        <w:t>Table</w:t>
      </w:r>
      <w:r w:rsidR="004A4D27" w:rsidRPr="0075347C">
        <w:rPr>
          <w:rFonts w:ascii="Book Antiqua" w:eastAsia="Calibri" w:hAnsi="Book Antiqua"/>
          <w:b/>
          <w:bCs/>
        </w:rPr>
        <w:t xml:space="preserve"> </w:t>
      </w:r>
      <w:r w:rsidRPr="0075347C">
        <w:rPr>
          <w:rFonts w:ascii="Book Antiqua" w:hAnsi="Book Antiqua"/>
          <w:b/>
          <w:bCs/>
        </w:rPr>
        <w:t>1</w:t>
      </w:r>
      <w:r w:rsidR="004A4D27" w:rsidRPr="0075347C">
        <w:rPr>
          <w:rFonts w:ascii="Book Antiqua" w:hAnsi="Book Antiqua"/>
          <w:b/>
          <w:bCs/>
        </w:rPr>
        <w:t xml:space="preserve"> </w:t>
      </w:r>
      <w:r w:rsidRPr="0075347C">
        <w:rPr>
          <w:rFonts w:ascii="Book Antiqua" w:eastAsia="Calibri" w:hAnsi="Book Antiqua"/>
          <w:b/>
          <w:bCs/>
        </w:rPr>
        <w:t>D</w:t>
      </w:r>
      <w:r w:rsidRPr="0075347C">
        <w:rPr>
          <w:rFonts w:ascii="Book Antiqua" w:eastAsia="Calibri" w:hAnsi="Book Antiqua"/>
          <w:b/>
        </w:rPr>
        <w:t>istribution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of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polymorphic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variants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of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the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A313G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polymorphism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of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the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  <w:i/>
          <w:iCs/>
        </w:rPr>
        <w:t>GSTP1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gene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in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patients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with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nonalcoholic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fatty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liver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disease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and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healthy</w:t>
      </w:r>
      <w:r w:rsidR="004A4D27" w:rsidRPr="0075347C">
        <w:rPr>
          <w:rFonts w:ascii="Book Antiqua" w:eastAsia="Calibri" w:hAnsi="Book Antiqua"/>
          <w:b/>
        </w:rPr>
        <w:t xml:space="preserve"> </w:t>
      </w:r>
      <w:r w:rsidRPr="0075347C">
        <w:rPr>
          <w:rFonts w:ascii="Book Antiqua" w:eastAsia="Calibri" w:hAnsi="Book Antiqua"/>
          <w:b/>
        </w:rPr>
        <w:t>individuals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941"/>
        <w:gridCol w:w="2183"/>
        <w:gridCol w:w="839"/>
        <w:gridCol w:w="2089"/>
        <w:gridCol w:w="804"/>
      </w:tblGrid>
      <w:tr w:rsidR="00670607" w:rsidRPr="0075347C" w14:paraId="4DB2B7C9" w14:textId="77777777" w:rsidTr="00BB38C8">
        <w:trPr>
          <w:trHeight w:val="80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0BCC16" w14:textId="25E21955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Genotypes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of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the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gene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  <w:i/>
              </w:rPr>
              <w:t>GSTP1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E4A3F0" w14:textId="20AACC1C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Patients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with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NAFLD,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=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7222EC" w14:textId="406E401B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Healthy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individuals,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=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45</w:t>
            </w:r>
          </w:p>
        </w:tc>
      </w:tr>
      <w:tr w:rsidR="00670607" w:rsidRPr="0075347C" w14:paraId="19A6C149" w14:textId="77777777" w:rsidTr="00BB38C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418431" w14:textId="77777777" w:rsidR="00670607" w:rsidRPr="0075347C" w:rsidRDefault="00670607" w:rsidP="007D517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793466" w14:textId="1A97689E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Absolute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number,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DC1CC6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8AB19" w14:textId="5CB21845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Absolute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</w:rPr>
              <w:t>number,</w:t>
            </w:r>
            <w:r w:rsidR="004A4D27" w:rsidRPr="0075347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534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8CFBF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5347C">
              <w:rPr>
                <w:rFonts w:ascii="Book Antiqua" w:eastAsia="Calibri" w:hAnsi="Book Antiqua"/>
                <w:b/>
                <w:bCs/>
              </w:rPr>
              <w:t>%</w:t>
            </w:r>
          </w:p>
        </w:tc>
      </w:tr>
      <w:tr w:rsidR="00670607" w:rsidRPr="0075347C" w14:paraId="64F1E563" w14:textId="77777777" w:rsidTr="00BB38C8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51BA67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368D3B1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8DF1B6" w14:textId="10E6CB55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45,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B7EA6BC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4CF6F69" w14:textId="5B092554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62,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2%</w:t>
            </w:r>
          </w:p>
        </w:tc>
      </w:tr>
      <w:tr w:rsidR="00670607" w:rsidRPr="0075347C" w14:paraId="5BC78171" w14:textId="77777777" w:rsidTr="00BB38C8"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F9E36D" w14:textId="11D8A1C8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AG</w:t>
            </w:r>
            <w:r w:rsidR="004A4D27" w:rsidRPr="0075347C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396ABFB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509ECB" w14:textId="60166EA2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40,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E886B8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852ACB" w14:textId="110A89E0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35,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6%</w:t>
            </w:r>
          </w:p>
        </w:tc>
      </w:tr>
      <w:tr w:rsidR="00670607" w:rsidRPr="0075347C" w14:paraId="294E6D03" w14:textId="77777777" w:rsidTr="00BB38C8">
        <w:tc>
          <w:tcPr>
            <w:tcW w:w="0" w:type="auto"/>
            <w:vAlign w:val="center"/>
            <w:hideMark/>
          </w:tcPr>
          <w:p w14:paraId="0FBDA1C6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78F3D49C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D3060E7" w14:textId="3A8CCA34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14,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14:paraId="04025E0E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DEF448" w14:textId="1DD311F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2,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2%</w:t>
            </w:r>
          </w:p>
        </w:tc>
      </w:tr>
      <w:tr w:rsidR="00670607" w:rsidRPr="0075347C" w14:paraId="6C7FEC51" w14:textId="77777777" w:rsidTr="00BB38C8">
        <w:tc>
          <w:tcPr>
            <w:tcW w:w="0" w:type="auto"/>
            <w:vAlign w:val="center"/>
            <w:hideMark/>
          </w:tcPr>
          <w:p w14:paraId="40B8D36C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A-allele</w:t>
            </w:r>
          </w:p>
        </w:tc>
        <w:tc>
          <w:tcPr>
            <w:tcW w:w="0" w:type="auto"/>
            <w:vAlign w:val="center"/>
            <w:hideMark/>
          </w:tcPr>
          <w:p w14:paraId="0D93AD14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75639FBF" w14:textId="4F5EFFB4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65,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14:paraId="09F4472B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B5AFBEF" w14:textId="1767DF38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80,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0%</w:t>
            </w:r>
          </w:p>
        </w:tc>
      </w:tr>
      <w:tr w:rsidR="00670607" w:rsidRPr="0075347C" w14:paraId="2EBC241D" w14:textId="77777777" w:rsidTr="00BB38C8">
        <w:tc>
          <w:tcPr>
            <w:tcW w:w="0" w:type="auto"/>
            <w:vAlign w:val="center"/>
            <w:hideMark/>
          </w:tcPr>
          <w:p w14:paraId="0299E03B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G-allele</w:t>
            </w:r>
          </w:p>
        </w:tc>
        <w:tc>
          <w:tcPr>
            <w:tcW w:w="0" w:type="auto"/>
            <w:vAlign w:val="center"/>
            <w:hideMark/>
          </w:tcPr>
          <w:p w14:paraId="643BF433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B142E48" w14:textId="06F1BF20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34,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14:paraId="00406444" w14:textId="77777777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1532B97" w14:textId="7848AEEA" w:rsidR="00670607" w:rsidRPr="007534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5347C">
              <w:rPr>
                <w:rFonts w:ascii="Book Antiqua" w:eastAsia="Calibri" w:hAnsi="Book Antiqua"/>
              </w:rPr>
              <w:t>20,</w:t>
            </w:r>
            <w:r w:rsidR="004A4D27" w:rsidRPr="0075347C">
              <w:rPr>
                <w:rFonts w:ascii="Book Antiqua" w:hAnsi="Book Antiqua" w:cs="Book Antiqua"/>
              </w:rPr>
              <w:t xml:space="preserve"> </w:t>
            </w:r>
            <w:r w:rsidRPr="0075347C">
              <w:rPr>
                <w:rFonts w:ascii="Book Antiqua" w:eastAsia="Calibri" w:hAnsi="Book Antiqua"/>
              </w:rPr>
              <w:t>0%</w:t>
            </w:r>
          </w:p>
        </w:tc>
      </w:tr>
    </w:tbl>
    <w:p w14:paraId="02C22FC0" w14:textId="09E0A047" w:rsidR="0075347C" w:rsidRDefault="009E2D54" w:rsidP="007D5170">
      <w:pPr>
        <w:autoSpaceDE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5347C">
        <w:rPr>
          <w:rFonts w:ascii="Book Antiqua" w:eastAsia="Calibri" w:hAnsi="Book Antiqua"/>
        </w:rPr>
        <w:t>NAFLD: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Nonalcoholic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fatty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liver</w:t>
      </w:r>
      <w:r w:rsidR="004A4D27" w:rsidRPr="0075347C">
        <w:rPr>
          <w:rFonts w:ascii="Book Antiqua" w:eastAsia="Book Antiqua" w:hAnsi="Book Antiqua" w:cs="Book Antiqua"/>
          <w:color w:val="000000"/>
        </w:rPr>
        <w:t xml:space="preserve"> </w:t>
      </w:r>
      <w:r w:rsidRPr="0075347C">
        <w:rPr>
          <w:rFonts w:ascii="Book Antiqua" w:eastAsia="Book Antiqua" w:hAnsi="Book Antiqua" w:cs="Book Antiqua"/>
          <w:color w:val="000000"/>
        </w:rPr>
        <w:t>disease</w:t>
      </w:r>
      <w:r w:rsidR="007D5170" w:rsidRPr="0075347C">
        <w:rPr>
          <w:rFonts w:ascii="Book Antiqua" w:hAnsi="Book Antiqua" w:cs="Book Antiqua"/>
          <w:color w:val="000000"/>
          <w:lang w:eastAsia="zh-CN"/>
        </w:rPr>
        <w:t>.</w:t>
      </w:r>
    </w:p>
    <w:p w14:paraId="09717FF7" w14:textId="77777777" w:rsidR="0075347C" w:rsidRDefault="0075347C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0C71113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7FE6E9A1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589DBCA0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365A189F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396F6514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01857787" w14:textId="06D27355" w:rsidR="0075347C" w:rsidRDefault="0075347C" w:rsidP="007534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84917A9" wp14:editId="17D5F987">
            <wp:extent cx="2498090" cy="1442085"/>
            <wp:effectExtent l="0" t="0" r="0" b="5715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1F8D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5B925630" w14:textId="77777777" w:rsidR="0075347C" w:rsidRDefault="0075347C" w:rsidP="0075347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8015F4F" w14:textId="77777777" w:rsidR="0075347C" w:rsidRDefault="0075347C" w:rsidP="00753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7B21472" w14:textId="77777777" w:rsidR="0075347C" w:rsidRDefault="0075347C" w:rsidP="00753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5C71C79" w14:textId="77777777" w:rsidR="0075347C" w:rsidRDefault="0075347C" w:rsidP="00753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29C3D99" w14:textId="77777777" w:rsidR="0075347C" w:rsidRDefault="0075347C" w:rsidP="00753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EF40926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30FC63C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0F348D98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6E28B09F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2A0CC1A5" w14:textId="6DF6153F" w:rsidR="0075347C" w:rsidRDefault="0075347C" w:rsidP="007534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1D7966" wp14:editId="5210EA37">
            <wp:extent cx="1447800" cy="1442085"/>
            <wp:effectExtent l="0" t="0" r="0" b="5715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9069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7449F232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53DD5123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6C7E97FC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4F998A71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50610078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345BD941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42AA6E67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1F5A2C74" w14:textId="77777777" w:rsidR="0075347C" w:rsidRDefault="0075347C" w:rsidP="0075347C">
      <w:pPr>
        <w:jc w:val="center"/>
        <w:rPr>
          <w:rFonts w:ascii="Book Antiqua" w:hAnsi="Book Antiqua"/>
          <w:lang w:eastAsia="zh-CN"/>
        </w:rPr>
      </w:pPr>
    </w:p>
    <w:p w14:paraId="6168191C" w14:textId="77777777" w:rsidR="0075347C" w:rsidRDefault="0075347C" w:rsidP="0075347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F667D46" w14:textId="529F3BB3" w:rsidR="00670607" w:rsidRPr="0075347C" w:rsidRDefault="0075347C" w:rsidP="0075347C">
      <w:pPr>
        <w:jc w:val="center"/>
        <w:rPr>
          <w:rFonts w:ascii="Book Antiqua" w:hAnsi="Book Antiqua" w:hint="eastAsi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  <w:bookmarkStart w:id="23" w:name="_GoBack"/>
      <w:bookmarkEnd w:id="23"/>
    </w:p>
    <w:p w14:paraId="063916F0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A8227C" w:rsidSect="007D5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9110" w14:textId="77777777" w:rsidR="006D4356" w:rsidRDefault="006D4356" w:rsidP="00670607">
      <w:r>
        <w:separator/>
      </w:r>
    </w:p>
  </w:endnote>
  <w:endnote w:type="continuationSeparator" w:id="0">
    <w:p w14:paraId="226E4ECC" w14:textId="77777777" w:rsidR="006D4356" w:rsidRDefault="006D4356" w:rsidP="0067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32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221F3" w14:textId="494DFBA1" w:rsidR="00670607" w:rsidRDefault="0067060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7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7C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D1DD9" w14:textId="77777777" w:rsidR="00670607" w:rsidRDefault="00670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644C" w14:textId="77777777" w:rsidR="006D4356" w:rsidRDefault="006D4356" w:rsidP="00670607">
      <w:r>
        <w:separator/>
      </w:r>
    </w:p>
  </w:footnote>
  <w:footnote w:type="continuationSeparator" w:id="0">
    <w:p w14:paraId="5D508F0D" w14:textId="77777777" w:rsidR="006D4356" w:rsidRDefault="006D4356" w:rsidP="0067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F27"/>
    <w:rsid w:val="00020D14"/>
    <w:rsid w:val="00051C3B"/>
    <w:rsid w:val="000558E4"/>
    <w:rsid w:val="001102A9"/>
    <w:rsid w:val="00135149"/>
    <w:rsid w:val="00141798"/>
    <w:rsid w:val="001506AF"/>
    <w:rsid w:val="00166801"/>
    <w:rsid w:val="001A6D11"/>
    <w:rsid w:val="001C0665"/>
    <w:rsid w:val="00204AA5"/>
    <w:rsid w:val="00246496"/>
    <w:rsid w:val="0027758C"/>
    <w:rsid w:val="002D3FE9"/>
    <w:rsid w:val="00312533"/>
    <w:rsid w:val="0034393E"/>
    <w:rsid w:val="003447BB"/>
    <w:rsid w:val="0037504C"/>
    <w:rsid w:val="003A36CB"/>
    <w:rsid w:val="003E7D30"/>
    <w:rsid w:val="003F420F"/>
    <w:rsid w:val="004218C7"/>
    <w:rsid w:val="00435B04"/>
    <w:rsid w:val="004559F5"/>
    <w:rsid w:val="00491359"/>
    <w:rsid w:val="004A4D27"/>
    <w:rsid w:val="004B0B9E"/>
    <w:rsid w:val="004C5B2F"/>
    <w:rsid w:val="005210E7"/>
    <w:rsid w:val="0052359E"/>
    <w:rsid w:val="00537EE4"/>
    <w:rsid w:val="00562940"/>
    <w:rsid w:val="00572AFC"/>
    <w:rsid w:val="005B414E"/>
    <w:rsid w:val="006470CB"/>
    <w:rsid w:val="00670607"/>
    <w:rsid w:val="006A456F"/>
    <w:rsid w:val="006D4356"/>
    <w:rsid w:val="006F3180"/>
    <w:rsid w:val="0072536E"/>
    <w:rsid w:val="007505E5"/>
    <w:rsid w:val="0075347C"/>
    <w:rsid w:val="007B6C45"/>
    <w:rsid w:val="007C2097"/>
    <w:rsid w:val="007D21C0"/>
    <w:rsid w:val="007D5170"/>
    <w:rsid w:val="00903F68"/>
    <w:rsid w:val="00916127"/>
    <w:rsid w:val="00927FEB"/>
    <w:rsid w:val="00961C28"/>
    <w:rsid w:val="00975A09"/>
    <w:rsid w:val="009823E7"/>
    <w:rsid w:val="009D16D1"/>
    <w:rsid w:val="009D1E6E"/>
    <w:rsid w:val="009D36AF"/>
    <w:rsid w:val="009E2D54"/>
    <w:rsid w:val="00A05AD3"/>
    <w:rsid w:val="00A53455"/>
    <w:rsid w:val="00A546F9"/>
    <w:rsid w:val="00A77B3E"/>
    <w:rsid w:val="00A8227C"/>
    <w:rsid w:val="00AB4033"/>
    <w:rsid w:val="00AD0A79"/>
    <w:rsid w:val="00B13AE3"/>
    <w:rsid w:val="00B718DE"/>
    <w:rsid w:val="00B72501"/>
    <w:rsid w:val="00BB38C8"/>
    <w:rsid w:val="00BB45D8"/>
    <w:rsid w:val="00BC2A37"/>
    <w:rsid w:val="00BD1D51"/>
    <w:rsid w:val="00BD3143"/>
    <w:rsid w:val="00BE6F00"/>
    <w:rsid w:val="00C719CB"/>
    <w:rsid w:val="00C948D5"/>
    <w:rsid w:val="00CA2A55"/>
    <w:rsid w:val="00CB6DFA"/>
    <w:rsid w:val="00CE3B7A"/>
    <w:rsid w:val="00CF73E2"/>
    <w:rsid w:val="00D16C94"/>
    <w:rsid w:val="00D52BD8"/>
    <w:rsid w:val="00DA1CA0"/>
    <w:rsid w:val="00E84905"/>
    <w:rsid w:val="00E90426"/>
    <w:rsid w:val="00F87FB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5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491359"/>
  </w:style>
  <w:style w:type="character" w:styleId="a3">
    <w:name w:val="Hyperlink"/>
    <w:basedOn w:val="a0"/>
    <w:uiPriority w:val="99"/>
    <w:semiHidden/>
    <w:unhideWhenUsed/>
    <w:rsid w:val="00491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359"/>
  </w:style>
  <w:style w:type="paragraph" w:styleId="a4">
    <w:name w:val="header"/>
    <w:basedOn w:val="a"/>
    <w:link w:val="Char"/>
    <w:unhideWhenUsed/>
    <w:rsid w:val="0067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0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06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0607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75347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53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491359"/>
  </w:style>
  <w:style w:type="character" w:styleId="a3">
    <w:name w:val="Hyperlink"/>
    <w:basedOn w:val="a0"/>
    <w:uiPriority w:val="99"/>
    <w:semiHidden/>
    <w:unhideWhenUsed/>
    <w:rsid w:val="00491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359"/>
  </w:style>
  <w:style w:type="paragraph" w:styleId="a4">
    <w:name w:val="header"/>
    <w:basedOn w:val="a"/>
    <w:link w:val="Char"/>
    <w:unhideWhenUsed/>
    <w:rsid w:val="0067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0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06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0607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75347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53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CC2E-1048-41C6-9481-A2F7925B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38</Pages>
  <Words>10038</Words>
  <Characters>57221</Characters>
  <Application>Microsoft Office Word</Application>
  <DocSecurity>0</DocSecurity>
  <Lines>476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马玉杰</cp:lastModifiedBy>
  <cp:revision>44</cp:revision>
  <dcterms:created xsi:type="dcterms:W3CDTF">2021-05-13T05:28:00Z</dcterms:created>
  <dcterms:modified xsi:type="dcterms:W3CDTF">2021-06-21T04:56:00Z</dcterms:modified>
</cp:coreProperties>
</file>