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37CDD4"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color w:val="000000"/>
        </w:rPr>
        <w:t xml:space="preserve">Name of Journal: </w:t>
      </w:r>
      <w:r w:rsidRPr="00F91674">
        <w:rPr>
          <w:rFonts w:ascii="Book Antiqua" w:eastAsia="Book Antiqua" w:hAnsi="Book Antiqua" w:cs="Book Antiqua"/>
          <w:i/>
          <w:color w:val="000000"/>
        </w:rPr>
        <w:t>World Journal of Stem Cells</w:t>
      </w:r>
    </w:p>
    <w:p w14:paraId="5DDFF277"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color w:val="000000"/>
        </w:rPr>
        <w:t xml:space="preserve">Manuscript NO: </w:t>
      </w:r>
      <w:r w:rsidRPr="00F91674">
        <w:rPr>
          <w:rFonts w:ascii="Book Antiqua" w:eastAsia="Book Antiqua" w:hAnsi="Book Antiqua" w:cs="Book Antiqua"/>
          <w:color w:val="000000"/>
        </w:rPr>
        <w:t>66386</w:t>
      </w:r>
    </w:p>
    <w:p w14:paraId="7365B5C4"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color w:val="000000"/>
        </w:rPr>
        <w:t xml:space="preserve">Manuscript Type: </w:t>
      </w:r>
      <w:r w:rsidRPr="00F91674">
        <w:rPr>
          <w:rFonts w:ascii="Book Antiqua" w:eastAsia="Book Antiqua" w:hAnsi="Book Antiqua" w:cs="Book Antiqua"/>
          <w:color w:val="000000"/>
        </w:rPr>
        <w:t>REVIEW</w:t>
      </w:r>
    </w:p>
    <w:p w14:paraId="1FFB07AE" w14:textId="77777777" w:rsidR="00D51910" w:rsidRPr="00F91674" w:rsidRDefault="00D51910" w:rsidP="00D51910">
      <w:pPr>
        <w:adjustRightInd w:val="0"/>
        <w:snapToGrid w:val="0"/>
        <w:spacing w:line="360" w:lineRule="auto"/>
        <w:jc w:val="both"/>
        <w:rPr>
          <w:rFonts w:ascii="Book Antiqua" w:hAnsi="Book Antiqua"/>
        </w:rPr>
      </w:pPr>
    </w:p>
    <w:p w14:paraId="7C627234"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bCs/>
          <w:color w:val="000000"/>
        </w:rPr>
        <w:t>SOX transcription factors and glioma stem cells: Choosing between stemness and differentiation</w:t>
      </w:r>
    </w:p>
    <w:p w14:paraId="67C4267B" w14:textId="77777777" w:rsidR="00D51910" w:rsidRPr="00F91674" w:rsidRDefault="00D51910" w:rsidP="00D51910">
      <w:pPr>
        <w:adjustRightInd w:val="0"/>
        <w:snapToGrid w:val="0"/>
        <w:spacing w:line="360" w:lineRule="auto"/>
        <w:jc w:val="both"/>
        <w:rPr>
          <w:rFonts w:ascii="Book Antiqua" w:hAnsi="Book Antiqua"/>
        </w:rPr>
      </w:pPr>
    </w:p>
    <w:p w14:paraId="6B05249B" w14:textId="77777777" w:rsidR="00D51910" w:rsidRPr="00F91674" w:rsidRDefault="00D51910" w:rsidP="00D51910">
      <w:pPr>
        <w:adjustRightInd w:val="0"/>
        <w:snapToGrid w:val="0"/>
        <w:spacing w:line="360" w:lineRule="auto"/>
        <w:jc w:val="both"/>
        <w:rPr>
          <w:rFonts w:ascii="Book Antiqua" w:hAnsi="Book Antiqua"/>
          <w:lang w:val="it-IT"/>
        </w:rPr>
      </w:pPr>
      <w:r w:rsidRPr="00F91674">
        <w:rPr>
          <w:rFonts w:ascii="Book Antiqua" w:eastAsia="Book Antiqua" w:hAnsi="Book Antiqua" w:cs="Book Antiqua"/>
          <w:color w:val="000000"/>
          <w:lang w:val="it-IT"/>
        </w:rPr>
        <w:t xml:space="preserve">Stevanovic M </w:t>
      </w:r>
      <w:r w:rsidRPr="00F91674">
        <w:rPr>
          <w:rFonts w:ascii="Book Antiqua" w:eastAsia="Book Antiqua" w:hAnsi="Book Antiqua" w:cs="Book Antiqua"/>
          <w:i/>
          <w:iCs/>
          <w:color w:val="000000"/>
          <w:lang w:val="it-IT"/>
        </w:rPr>
        <w:t>et al</w:t>
      </w:r>
      <w:r w:rsidRPr="00F91674">
        <w:rPr>
          <w:rFonts w:ascii="Book Antiqua" w:eastAsia="Book Antiqua" w:hAnsi="Book Antiqua" w:cs="Book Antiqua"/>
          <w:color w:val="000000"/>
          <w:lang w:val="it-IT"/>
        </w:rPr>
        <w:t>. SOX in glioma stem cells</w:t>
      </w:r>
    </w:p>
    <w:p w14:paraId="3F5A4C0A" w14:textId="77777777" w:rsidR="00D51910" w:rsidRPr="00F91674" w:rsidRDefault="00D51910" w:rsidP="00D51910">
      <w:pPr>
        <w:adjustRightInd w:val="0"/>
        <w:snapToGrid w:val="0"/>
        <w:spacing w:line="360" w:lineRule="auto"/>
        <w:jc w:val="both"/>
        <w:rPr>
          <w:rFonts w:ascii="Book Antiqua" w:hAnsi="Book Antiqua"/>
          <w:lang w:val="it-IT"/>
        </w:rPr>
      </w:pPr>
    </w:p>
    <w:p w14:paraId="0623EDAF" w14:textId="77777777" w:rsidR="00D51910" w:rsidRPr="00F91674" w:rsidRDefault="00D51910" w:rsidP="00D51910">
      <w:pPr>
        <w:adjustRightInd w:val="0"/>
        <w:snapToGrid w:val="0"/>
        <w:spacing w:line="360" w:lineRule="auto"/>
        <w:jc w:val="both"/>
        <w:rPr>
          <w:rFonts w:ascii="Book Antiqua" w:hAnsi="Book Antiqua"/>
          <w:lang w:val="it-IT"/>
        </w:rPr>
      </w:pPr>
      <w:r w:rsidRPr="00F91674">
        <w:rPr>
          <w:rFonts w:ascii="Book Antiqua" w:eastAsia="Book Antiqua" w:hAnsi="Book Antiqua" w:cs="Book Antiqua"/>
          <w:color w:val="000000"/>
          <w:lang w:val="it-IT"/>
        </w:rPr>
        <w:t>Milena Stevanovic, Natasa Kovacevic-Grujicic, Marija Mojsin, Milena Milivojevic, Danijela Drakulic</w:t>
      </w:r>
    </w:p>
    <w:p w14:paraId="2B620215" w14:textId="77777777" w:rsidR="00D51910" w:rsidRPr="00F91674" w:rsidRDefault="00D51910" w:rsidP="00D51910">
      <w:pPr>
        <w:adjustRightInd w:val="0"/>
        <w:snapToGrid w:val="0"/>
        <w:spacing w:line="360" w:lineRule="auto"/>
        <w:jc w:val="both"/>
        <w:rPr>
          <w:rFonts w:ascii="Book Antiqua" w:hAnsi="Book Antiqua"/>
          <w:lang w:val="it-IT"/>
        </w:rPr>
      </w:pPr>
    </w:p>
    <w:p w14:paraId="69F6993F" w14:textId="77777777" w:rsidR="00D51910" w:rsidRPr="00F91674" w:rsidRDefault="00D51910" w:rsidP="00D51910">
      <w:pPr>
        <w:adjustRightInd w:val="0"/>
        <w:snapToGrid w:val="0"/>
        <w:spacing w:line="360" w:lineRule="auto"/>
        <w:jc w:val="both"/>
        <w:rPr>
          <w:rFonts w:ascii="Book Antiqua" w:hAnsi="Book Antiqua"/>
          <w:lang w:val="it-IT"/>
        </w:rPr>
      </w:pPr>
      <w:r w:rsidRPr="00F91674">
        <w:rPr>
          <w:rFonts w:ascii="Book Antiqua" w:eastAsia="Book Antiqua" w:hAnsi="Book Antiqua" w:cs="Book Antiqua"/>
          <w:b/>
          <w:bCs/>
          <w:color w:val="000000"/>
          <w:lang w:val="it-IT"/>
        </w:rPr>
        <w:t xml:space="preserve">Milena Stevanovic, Natasa Kovacevic-Grujicic, Marija Mojsin, Milena Milivojevic, Danijela Drakulic, </w:t>
      </w:r>
      <w:r w:rsidRPr="00F91674">
        <w:rPr>
          <w:rFonts w:ascii="Book Antiqua" w:eastAsia="Book Antiqua" w:hAnsi="Book Antiqua" w:cs="Book Antiqua"/>
          <w:color w:val="000000"/>
          <w:lang w:val="it-IT"/>
        </w:rPr>
        <w:t>Laboratory for Human Molecular Genetics, Institute of Molecular Genetics and Genetic Engineering, University of Belgrade, Belgrade 11042, Serbia</w:t>
      </w:r>
    </w:p>
    <w:p w14:paraId="3461F9E0" w14:textId="77777777" w:rsidR="00D51910" w:rsidRPr="00F91674" w:rsidRDefault="00D51910" w:rsidP="00D51910">
      <w:pPr>
        <w:adjustRightInd w:val="0"/>
        <w:snapToGrid w:val="0"/>
        <w:spacing w:line="360" w:lineRule="auto"/>
        <w:jc w:val="both"/>
        <w:rPr>
          <w:rFonts w:ascii="Book Antiqua" w:hAnsi="Book Antiqua"/>
          <w:lang w:val="it-IT"/>
        </w:rPr>
      </w:pPr>
    </w:p>
    <w:p w14:paraId="2DBBE71C"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bCs/>
          <w:color w:val="000000"/>
        </w:rPr>
        <w:t xml:space="preserve">Milena Stevanovic, </w:t>
      </w:r>
      <w:r w:rsidRPr="00F91674">
        <w:rPr>
          <w:rFonts w:ascii="Book Antiqua" w:eastAsia="Book Antiqua" w:hAnsi="Book Antiqua" w:cs="Book Antiqua"/>
          <w:color w:val="000000"/>
        </w:rPr>
        <w:t>Chair Biochemistry and Molecular Biology, Faculty of Biology, University of Belgrade, Belgrade 11158, Serbia</w:t>
      </w:r>
    </w:p>
    <w:p w14:paraId="1C9DE3C2" w14:textId="77777777" w:rsidR="00D51910" w:rsidRPr="00F91674" w:rsidRDefault="00D51910" w:rsidP="00D51910">
      <w:pPr>
        <w:adjustRightInd w:val="0"/>
        <w:snapToGrid w:val="0"/>
        <w:spacing w:line="360" w:lineRule="auto"/>
        <w:jc w:val="both"/>
        <w:rPr>
          <w:rFonts w:ascii="Book Antiqua" w:hAnsi="Book Antiqua"/>
        </w:rPr>
      </w:pPr>
    </w:p>
    <w:p w14:paraId="703740FF" w14:textId="57717B95"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bCs/>
          <w:color w:val="000000"/>
        </w:rPr>
        <w:t xml:space="preserve">Milena Stevanovic, </w:t>
      </w:r>
      <w:r w:rsidRPr="00F91674">
        <w:rPr>
          <w:rFonts w:ascii="Book Antiqua" w:eastAsia="Book Antiqua" w:hAnsi="Book Antiqua" w:cs="Book Antiqua"/>
          <w:color w:val="000000"/>
        </w:rPr>
        <w:t>Department of Chemical and Biological Sciences, Serbian Academy of Sciences and Arts, Belgrade 11000, Serbia</w:t>
      </w:r>
    </w:p>
    <w:p w14:paraId="12C56755" w14:textId="77777777" w:rsidR="00D51910" w:rsidRPr="00F91674" w:rsidRDefault="00D51910" w:rsidP="00D51910">
      <w:pPr>
        <w:adjustRightInd w:val="0"/>
        <w:snapToGrid w:val="0"/>
        <w:spacing w:line="360" w:lineRule="auto"/>
        <w:jc w:val="both"/>
        <w:rPr>
          <w:rFonts w:ascii="Book Antiqua" w:hAnsi="Book Antiqua"/>
        </w:rPr>
      </w:pPr>
    </w:p>
    <w:p w14:paraId="3A19E28C"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bCs/>
          <w:color w:val="000000"/>
        </w:rPr>
        <w:t xml:space="preserve">Author contributions: </w:t>
      </w:r>
      <w:r w:rsidRPr="00F91674">
        <w:rPr>
          <w:rFonts w:ascii="Book Antiqua" w:eastAsia="Book Antiqua" w:hAnsi="Book Antiqua" w:cs="Book Antiqua"/>
          <w:color w:val="000000"/>
        </w:rPr>
        <w:t>All authors wrote the manuscript; Stevanovic M and Drakulic D designed the concept of the manuscript; Stevanovic M supervised and edited the manuscript; All authors contributed to the literature review; Stevanovic M, Milivojevic M and Mojsin M contributed to the preparation of the tables; All authors designed the figures; All authors contributed to the article and approved the submitted version.</w:t>
      </w:r>
    </w:p>
    <w:p w14:paraId="0E14F752" w14:textId="77777777" w:rsidR="00D51910" w:rsidRPr="00F91674" w:rsidRDefault="00D51910" w:rsidP="00D51910">
      <w:pPr>
        <w:adjustRightInd w:val="0"/>
        <w:snapToGrid w:val="0"/>
        <w:spacing w:line="360" w:lineRule="auto"/>
        <w:jc w:val="both"/>
        <w:rPr>
          <w:rFonts w:ascii="Book Antiqua" w:hAnsi="Book Antiqua"/>
        </w:rPr>
      </w:pPr>
    </w:p>
    <w:p w14:paraId="5560ABD3"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bCs/>
          <w:color w:val="000000"/>
        </w:rPr>
        <w:lastRenderedPageBreak/>
        <w:t xml:space="preserve">Supported by </w:t>
      </w:r>
      <w:r w:rsidRPr="00F91674">
        <w:rPr>
          <w:rFonts w:ascii="Book Antiqua" w:eastAsia="Book Antiqua" w:hAnsi="Book Antiqua" w:cs="Book Antiqua"/>
          <w:color w:val="000000"/>
        </w:rPr>
        <w:t xml:space="preserve">Ministry of Education, Science and Technological Development of the Republic of Serbia, No. 451-03-9/2021-14/200042. </w:t>
      </w:r>
    </w:p>
    <w:p w14:paraId="78ACAFD7" w14:textId="77777777" w:rsidR="00D51910" w:rsidRPr="00F91674" w:rsidRDefault="00D51910" w:rsidP="00D51910">
      <w:pPr>
        <w:adjustRightInd w:val="0"/>
        <w:snapToGrid w:val="0"/>
        <w:spacing w:line="360" w:lineRule="auto"/>
        <w:jc w:val="both"/>
        <w:rPr>
          <w:rFonts w:ascii="Book Antiqua" w:hAnsi="Book Antiqua"/>
        </w:rPr>
      </w:pPr>
    </w:p>
    <w:p w14:paraId="13E2C46B" w14:textId="379EE07E"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bCs/>
          <w:color w:val="000000"/>
        </w:rPr>
        <w:t xml:space="preserve">Corresponding author: Milena Stevanovic, PhD, Academic Fellow, Full Professor, Senior Research Fellow, </w:t>
      </w:r>
      <w:r w:rsidRPr="00F91674">
        <w:rPr>
          <w:rFonts w:ascii="Book Antiqua" w:eastAsia="Book Antiqua" w:hAnsi="Book Antiqua" w:cs="Book Antiqua"/>
          <w:color w:val="000000"/>
        </w:rPr>
        <w:t>Laboratory for Human Molecular Genetics, Institute of Molecular Genetics and Genetic Engineering, University of Belgrade, Vojvode Stepe 444a, 11042 Belgrade 152, Serbia. milenastevanovic@imgge.bg.ac.rs</w:t>
      </w:r>
    </w:p>
    <w:p w14:paraId="7D95F357" w14:textId="77777777" w:rsidR="00D51910" w:rsidRPr="00F91674" w:rsidRDefault="00D51910" w:rsidP="00D51910">
      <w:pPr>
        <w:adjustRightInd w:val="0"/>
        <w:snapToGrid w:val="0"/>
        <w:spacing w:line="360" w:lineRule="auto"/>
        <w:jc w:val="both"/>
        <w:rPr>
          <w:rFonts w:ascii="Book Antiqua" w:hAnsi="Book Antiqua"/>
        </w:rPr>
      </w:pPr>
    </w:p>
    <w:p w14:paraId="7CA552D4"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bCs/>
          <w:color w:val="000000"/>
        </w:rPr>
        <w:t xml:space="preserve">Received: </w:t>
      </w:r>
      <w:r w:rsidRPr="00F91674">
        <w:rPr>
          <w:rFonts w:ascii="Book Antiqua" w:eastAsia="Book Antiqua" w:hAnsi="Book Antiqua" w:cs="Book Antiqua"/>
          <w:color w:val="000000"/>
        </w:rPr>
        <w:t>March 26, 2021</w:t>
      </w:r>
    </w:p>
    <w:p w14:paraId="6D678387"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bCs/>
          <w:color w:val="000000"/>
        </w:rPr>
        <w:t>Revised:</w:t>
      </w:r>
      <w:r w:rsidRPr="00F91674">
        <w:rPr>
          <w:rFonts w:ascii="Book Antiqua" w:eastAsia="Book Antiqua" w:hAnsi="Book Antiqua" w:cs="Book Antiqua"/>
          <w:color w:val="000000"/>
        </w:rPr>
        <w:t xml:space="preserve"> July 15, 2021</w:t>
      </w:r>
    </w:p>
    <w:p w14:paraId="372DBD44"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bCs/>
          <w:color w:val="000000"/>
        </w:rPr>
        <w:t xml:space="preserve">Accepted: </w:t>
      </w:r>
      <w:r w:rsidRPr="00F91674">
        <w:rPr>
          <w:rFonts w:ascii="Book Antiqua" w:eastAsia="Book Antiqua" w:hAnsi="Book Antiqua" w:cs="Book Antiqua"/>
          <w:color w:val="000000"/>
        </w:rPr>
        <w:t>September 16, 2021</w:t>
      </w:r>
    </w:p>
    <w:p w14:paraId="70C2B0D8"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bCs/>
          <w:color w:val="000000"/>
        </w:rPr>
        <w:t xml:space="preserve">Published online: </w:t>
      </w:r>
      <w:r w:rsidRPr="00F91674">
        <w:rPr>
          <w:rFonts w:ascii="Book Antiqua" w:eastAsia="Book Antiqua" w:hAnsi="Book Antiqua" w:cs="Book Antiqua"/>
          <w:color w:val="000000"/>
        </w:rPr>
        <w:t>October 26, 2021</w:t>
      </w:r>
    </w:p>
    <w:p w14:paraId="780731D2" w14:textId="77777777" w:rsidR="00D51910" w:rsidRPr="00F91674" w:rsidRDefault="00D51910" w:rsidP="00D51910">
      <w:pPr>
        <w:adjustRightInd w:val="0"/>
        <w:snapToGrid w:val="0"/>
        <w:spacing w:line="360" w:lineRule="auto"/>
        <w:jc w:val="both"/>
        <w:rPr>
          <w:rFonts w:ascii="Book Antiqua" w:eastAsia="Book Antiqua" w:hAnsi="Book Antiqua" w:cs="Book Antiqua"/>
          <w:b/>
          <w:color w:val="000000"/>
        </w:rPr>
      </w:pPr>
    </w:p>
    <w:p w14:paraId="470F4019" w14:textId="77777777" w:rsidR="00D51910" w:rsidRPr="00F91674" w:rsidRDefault="00D51910" w:rsidP="00D51910">
      <w:pPr>
        <w:adjustRightInd w:val="0"/>
        <w:snapToGrid w:val="0"/>
        <w:spacing w:line="360" w:lineRule="auto"/>
        <w:jc w:val="both"/>
        <w:rPr>
          <w:rFonts w:ascii="Book Antiqua" w:eastAsia="Book Antiqua" w:hAnsi="Book Antiqua" w:cs="Book Antiqua"/>
          <w:b/>
          <w:color w:val="000000"/>
        </w:rPr>
      </w:pPr>
    </w:p>
    <w:p w14:paraId="2F1ACDD5"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color w:val="000000"/>
        </w:rPr>
        <w:t>Abstract</w:t>
      </w:r>
    </w:p>
    <w:p w14:paraId="32573A8C"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color w:val="000000"/>
        </w:rPr>
        <w:t>Glioblastoma (GBM) is the most common, most aggressive and deadliest brain tumor. Recently, remarkable progress has been made towards understanding the cellular and molecular biology of gliomas. GBM tumor initiation, progression and relapse as well as resistance to treatments are associated with glioma stem cells (GSCs). GSCs exhibit a high proliferation rate and self-renewal capacity and the ability to differentiate into diverse cell types, generating a range of distinct cell types within the tumor, leading to</w:t>
      </w:r>
      <w:r w:rsidRPr="00F91674">
        <w:rPr>
          <w:rFonts w:ascii="Book Antiqua" w:eastAsia="Book Antiqua" w:hAnsi="Book Antiqua" w:cs="Book Antiqua"/>
          <w:color w:val="000000"/>
          <w:shd w:val="clear" w:color="auto" w:fill="FFFFFF"/>
        </w:rPr>
        <w:t xml:space="preserve"> cellular heterogeneity</w:t>
      </w:r>
      <w:r w:rsidRPr="00F91674">
        <w:rPr>
          <w:rFonts w:ascii="Book Antiqua" w:eastAsia="Book Antiqua" w:hAnsi="Book Antiqua" w:cs="Book Antiqua"/>
          <w:color w:val="000000"/>
        </w:rPr>
        <w:t xml:space="preserve">. GBM tumors may contain different subsets of GSCs, and some of them may adopt a quiescent state that protects them against chemotherapy and radiotherapy. GSCs enriched in recurrent gliomas acquire more aggressive and therapy-resistant properties, making them more malignant, able to rapidly spread. The impact of SOX transcription factors (TFs) on brain tumors has been extensively studied in the last decade. Almost all </w:t>
      </w:r>
      <w:r w:rsidRPr="00F91674">
        <w:rPr>
          <w:rFonts w:ascii="Book Antiqua" w:eastAsia="Book Antiqua" w:hAnsi="Book Antiqua" w:cs="Book Antiqua"/>
          <w:i/>
          <w:iCs/>
          <w:color w:val="000000"/>
        </w:rPr>
        <w:t>SOX</w:t>
      </w:r>
      <w:r w:rsidRPr="00F91674">
        <w:rPr>
          <w:rFonts w:ascii="Book Antiqua" w:eastAsia="Book Antiqua" w:hAnsi="Book Antiqua" w:cs="Book Antiqua"/>
          <w:color w:val="000000"/>
        </w:rPr>
        <w:t xml:space="preserve"> genes are expressed in GBM, and their expression levels are associated with patient prognosis and survival. Numerous SOX TFs are involved in the maintenance of the stemness of GSCs or play a role in the initiation of GSC </w:t>
      </w:r>
      <w:r w:rsidRPr="00F91674">
        <w:rPr>
          <w:rFonts w:ascii="Book Antiqua" w:eastAsia="Book Antiqua" w:hAnsi="Book Antiqua" w:cs="Book Antiqua"/>
          <w:color w:val="000000"/>
        </w:rPr>
        <w:lastRenderedPageBreak/>
        <w:t xml:space="preserve">differentiation. The fine-tuning of </w:t>
      </w:r>
      <w:r w:rsidRPr="00F91674">
        <w:rPr>
          <w:rFonts w:ascii="Book Antiqua" w:eastAsia="Book Antiqua" w:hAnsi="Book Antiqua" w:cs="Book Antiqua"/>
          <w:i/>
          <w:iCs/>
          <w:color w:val="000000"/>
        </w:rPr>
        <w:t>SOX</w:t>
      </w:r>
      <w:r w:rsidRPr="00F91674">
        <w:rPr>
          <w:rFonts w:ascii="Book Antiqua" w:eastAsia="Book Antiqua" w:hAnsi="Book Antiqua" w:cs="Book Antiqua"/>
          <w:color w:val="000000"/>
        </w:rPr>
        <w:t xml:space="preserve"> gene expression levels controls the balance between cell stemness and differentiation. Therefore, innovative therapies targeting SOX TFs are emerging as promising tools for combatting GBM. Combatting GBM has been a demanding and challenging goal for decades. The current therapeutic strategies have not yet provided a cure for GBM and have only resulted in a slight improvement in patient survival. Novel approaches will require the fine adjustment of multimodal therapeutic strategies that simultaneously target numerous hallmarks of cancer cells to win the battle against GBM.</w:t>
      </w:r>
    </w:p>
    <w:p w14:paraId="576DE25A" w14:textId="77777777" w:rsidR="00D51910" w:rsidRPr="00F91674" w:rsidRDefault="00D51910" w:rsidP="00D51910">
      <w:pPr>
        <w:adjustRightInd w:val="0"/>
        <w:snapToGrid w:val="0"/>
        <w:spacing w:line="360" w:lineRule="auto"/>
        <w:jc w:val="both"/>
        <w:rPr>
          <w:rFonts w:ascii="Book Antiqua" w:hAnsi="Book Antiqua"/>
        </w:rPr>
      </w:pPr>
    </w:p>
    <w:p w14:paraId="2D917A34"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bCs/>
          <w:color w:val="000000"/>
        </w:rPr>
        <w:t xml:space="preserve">Key Words: </w:t>
      </w:r>
      <w:r w:rsidRPr="00F91674">
        <w:rPr>
          <w:rFonts w:ascii="Book Antiqua" w:eastAsia="Book Antiqua" w:hAnsi="Book Antiqua" w:cs="Book Antiqua"/>
          <w:color w:val="000000"/>
        </w:rPr>
        <w:t>Glioblastoma; SOX transcription factors; Glioma stem cells; Stemness; Differentiation</w:t>
      </w:r>
    </w:p>
    <w:p w14:paraId="0669974B" w14:textId="77777777" w:rsidR="00F91674" w:rsidRPr="00F91674" w:rsidRDefault="00F91674" w:rsidP="00F91674">
      <w:pPr>
        <w:spacing w:line="360" w:lineRule="auto"/>
        <w:rPr>
          <w:rFonts w:ascii="Book Antiqua" w:hAnsi="Book Antiqua" w:cs="Book Antiqua"/>
          <w:b/>
          <w:color w:val="000000"/>
        </w:rPr>
      </w:pPr>
    </w:p>
    <w:p w14:paraId="1BDDD491" w14:textId="77777777" w:rsidR="00F91674" w:rsidRPr="00F91674" w:rsidRDefault="00F91674" w:rsidP="00F91674">
      <w:pPr>
        <w:spacing w:line="360" w:lineRule="auto"/>
        <w:rPr>
          <w:rFonts w:ascii="Book Antiqua" w:eastAsia="Book Antiqua" w:hAnsi="Book Antiqua" w:cs="Book Antiqua"/>
          <w:color w:val="000000"/>
        </w:rPr>
      </w:pPr>
      <w:proofErr w:type="gramStart"/>
      <w:r w:rsidRPr="00F91674">
        <w:rPr>
          <w:rFonts w:ascii="Book Antiqua" w:eastAsia="Book Antiqua" w:hAnsi="Book Antiqua" w:cs="Book Antiqua" w:hint="eastAsia"/>
          <w:b/>
          <w:color w:val="000000"/>
        </w:rPr>
        <w:t>©</w:t>
      </w:r>
      <w:r w:rsidRPr="00F91674">
        <w:rPr>
          <w:rFonts w:ascii="Book Antiqua" w:eastAsia="Book Antiqua" w:hAnsi="Book Antiqua" w:cs="Book Antiqua"/>
          <w:b/>
          <w:color w:val="000000"/>
        </w:rPr>
        <w:t>The</w:t>
      </w:r>
      <w:r w:rsidRPr="00F91674">
        <w:rPr>
          <w:rFonts w:ascii="Book Antiqua" w:eastAsia="Book Antiqua" w:hAnsi="Book Antiqua" w:cs="Book Antiqua"/>
          <w:color w:val="000000"/>
        </w:rPr>
        <w:t xml:space="preserve"> </w:t>
      </w:r>
      <w:r w:rsidRPr="00F91674">
        <w:rPr>
          <w:rFonts w:ascii="Book Antiqua" w:eastAsia="Book Antiqua" w:hAnsi="Book Antiqua" w:cs="Book Antiqua"/>
          <w:b/>
          <w:color w:val="000000"/>
        </w:rPr>
        <w:t>Author(s) 2021.</w:t>
      </w:r>
      <w:proofErr w:type="gramEnd"/>
      <w:r w:rsidRPr="00F91674">
        <w:rPr>
          <w:rFonts w:ascii="Book Antiqua" w:eastAsia="Book Antiqua" w:hAnsi="Book Antiqua" w:cs="Book Antiqua"/>
          <w:b/>
          <w:color w:val="000000"/>
        </w:rPr>
        <w:t xml:space="preserve"> </w:t>
      </w:r>
      <w:proofErr w:type="gramStart"/>
      <w:r w:rsidRPr="00F91674">
        <w:rPr>
          <w:rFonts w:ascii="Book Antiqua" w:eastAsia="Book Antiqua" w:hAnsi="Book Antiqua" w:cs="Book Antiqua"/>
          <w:color w:val="000000"/>
        </w:rPr>
        <w:t>Published by Baishideng Publishing Group Inc.</w:t>
      </w:r>
      <w:proofErr w:type="gramEnd"/>
      <w:r w:rsidRPr="00F91674">
        <w:rPr>
          <w:rFonts w:ascii="Book Antiqua" w:eastAsia="Book Antiqua" w:hAnsi="Book Antiqua" w:cs="Book Antiqua"/>
          <w:color w:val="000000"/>
        </w:rPr>
        <w:t xml:space="preserve"> All rights reserved. </w:t>
      </w:r>
    </w:p>
    <w:p w14:paraId="4109D8C2" w14:textId="77777777" w:rsidR="00D51910" w:rsidRPr="00F91674" w:rsidRDefault="00D51910" w:rsidP="00D51910">
      <w:pPr>
        <w:adjustRightInd w:val="0"/>
        <w:snapToGrid w:val="0"/>
        <w:spacing w:line="360" w:lineRule="auto"/>
        <w:jc w:val="both"/>
        <w:rPr>
          <w:rFonts w:ascii="Book Antiqua" w:hAnsi="Book Antiqua"/>
        </w:rPr>
      </w:pPr>
    </w:p>
    <w:p w14:paraId="546C07AE" w14:textId="70C58A6F" w:rsidR="00F91674" w:rsidRPr="00F91674" w:rsidRDefault="00F91674" w:rsidP="00D51910">
      <w:pPr>
        <w:spacing w:line="360" w:lineRule="auto"/>
        <w:jc w:val="both"/>
        <w:rPr>
          <w:rFonts w:ascii="Book Antiqua" w:hAnsi="Book Antiqua" w:cs="Book Antiqua" w:hint="eastAsia"/>
          <w:color w:val="000000" w:themeColor="text1"/>
          <w:lang w:eastAsia="zh-CN"/>
        </w:rPr>
      </w:pPr>
      <w:r w:rsidRPr="00F91674">
        <w:rPr>
          <w:rFonts w:ascii="Book Antiqua" w:eastAsia="Book Antiqua" w:hAnsi="Book Antiqua" w:cs="Book Antiqua"/>
          <w:b/>
          <w:color w:val="000000"/>
        </w:rPr>
        <w:t xml:space="preserve">Citation: </w:t>
      </w:r>
      <w:r w:rsidR="00D51910" w:rsidRPr="00F91674">
        <w:rPr>
          <w:rFonts w:ascii="Book Antiqua" w:eastAsia="Book Antiqua" w:hAnsi="Book Antiqua" w:cs="Book Antiqua"/>
          <w:color w:val="000000"/>
        </w:rPr>
        <w:t xml:space="preserve">Stevanovic M, Kovacevic-Grujicic N, Mojsin M, Milivojevic M, Drakulic D. SOX transcription factors and glioma stem cells: Choosing between stemness and differentiation. </w:t>
      </w:r>
      <w:r w:rsidR="00D51910" w:rsidRPr="00F91674">
        <w:rPr>
          <w:rFonts w:ascii="Book Antiqua" w:eastAsia="Book Antiqua" w:hAnsi="Book Antiqua" w:cs="Book Antiqua"/>
          <w:i/>
          <w:iCs/>
          <w:color w:val="000000"/>
        </w:rPr>
        <w:t>World J Stem Cells</w:t>
      </w:r>
      <w:r w:rsidR="00D51910" w:rsidRPr="00F91674">
        <w:rPr>
          <w:rFonts w:ascii="Book Antiqua" w:eastAsia="Book Antiqua" w:hAnsi="Book Antiqua" w:cs="Book Antiqua"/>
          <w:color w:val="000000"/>
        </w:rPr>
        <w:t xml:space="preserve"> 2021;</w:t>
      </w:r>
      <w:bookmarkStart w:id="0" w:name="_Hlk84621576"/>
      <w:r w:rsidR="00D51910" w:rsidRPr="00F91674">
        <w:rPr>
          <w:rFonts w:ascii="Book Antiqua" w:eastAsia="Book Antiqua" w:hAnsi="Book Antiqua" w:cs="Book Antiqua"/>
          <w:color w:val="000000" w:themeColor="text1"/>
        </w:rPr>
        <w:t xml:space="preserve"> 13(10): </w:t>
      </w:r>
      <w:r w:rsidRPr="00F91674">
        <w:rPr>
          <w:rFonts w:ascii="Book Antiqua" w:hAnsi="Book Antiqua" w:cs="Book Antiqua" w:hint="eastAsia"/>
          <w:color w:val="000000" w:themeColor="text1"/>
          <w:lang w:eastAsia="zh-CN"/>
        </w:rPr>
        <w:t>1417-1445</w:t>
      </w:r>
      <w:r w:rsidR="00D51910" w:rsidRPr="00F91674">
        <w:rPr>
          <w:rFonts w:ascii="Book Antiqua" w:eastAsia="Book Antiqua" w:hAnsi="Book Antiqua" w:cs="Book Antiqua"/>
          <w:color w:val="000000" w:themeColor="text1"/>
        </w:rPr>
        <w:t xml:space="preserve">  </w:t>
      </w:r>
    </w:p>
    <w:p w14:paraId="2F48BBB9" w14:textId="4F6F7786" w:rsidR="00F91674" w:rsidRPr="00F91674" w:rsidRDefault="00D51910" w:rsidP="00D51910">
      <w:pPr>
        <w:spacing w:line="360" w:lineRule="auto"/>
        <w:jc w:val="both"/>
        <w:rPr>
          <w:rFonts w:ascii="Book Antiqua" w:hAnsi="Book Antiqua" w:cs="Book Antiqua" w:hint="eastAsia"/>
          <w:color w:val="000000" w:themeColor="text1"/>
          <w:lang w:eastAsia="zh-CN"/>
        </w:rPr>
      </w:pPr>
      <w:r w:rsidRPr="00F91674">
        <w:rPr>
          <w:rFonts w:ascii="Book Antiqua" w:eastAsia="Book Antiqua" w:hAnsi="Book Antiqua" w:cs="Book Antiqua"/>
          <w:color w:val="000000" w:themeColor="text1"/>
        </w:rPr>
        <w:t xml:space="preserve">URL: </w:t>
      </w:r>
      <w:hyperlink r:id="rId9" w:history="1">
        <w:r w:rsidR="00F91674" w:rsidRPr="00F91674">
          <w:rPr>
            <w:rStyle w:val="ac"/>
            <w:rFonts w:ascii="Book Antiqua" w:eastAsia="Book Antiqua" w:hAnsi="Book Antiqua" w:cs="Book Antiqua"/>
          </w:rPr>
          <w:t>https://www.wjgnet.com/1948-0210/full/v13/i10/</w:t>
        </w:r>
        <w:r w:rsidR="00F91674" w:rsidRPr="00F91674">
          <w:rPr>
            <w:rStyle w:val="ac"/>
            <w:rFonts w:ascii="Book Antiqua" w:hAnsi="Book Antiqua" w:cs="Book Antiqua" w:hint="eastAsia"/>
            <w:lang w:eastAsia="zh-CN"/>
          </w:rPr>
          <w:t>1417</w:t>
        </w:r>
        <w:r w:rsidR="00F91674" w:rsidRPr="00F91674">
          <w:rPr>
            <w:rStyle w:val="ac"/>
            <w:rFonts w:ascii="Book Antiqua" w:eastAsia="Book Antiqua" w:hAnsi="Book Antiqua" w:cs="Book Antiqua"/>
          </w:rPr>
          <w:t>.htm</w:t>
        </w:r>
      </w:hyperlink>
      <w:r w:rsidRPr="00F91674">
        <w:rPr>
          <w:rFonts w:ascii="Book Antiqua" w:eastAsia="Book Antiqua" w:hAnsi="Book Antiqua" w:cs="Book Antiqua"/>
          <w:color w:val="000000" w:themeColor="text1"/>
        </w:rPr>
        <w:t xml:space="preserve">  </w:t>
      </w:r>
    </w:p>
    <w:p w14:paraId="31CD6956" w14:textId="145678FC" w:rsidR="00D51910" w:rsidRPr="00F91674" w:rsidRDefault="00D51910" w:rsidP="00D51910">
      <w:pPr>
        <w:spacing w:line="360" w:lineRule="auto"/>
        <w:jc w:val="both"/>
        <w:rPr>
          <w:rFonts w:ascii="Book Antiqua" w:hAnsi="Book Antiqua" w:cs="Book Antiqua"/>
          <w:color w:val="000000" w:themeColor="text1"/>
          <w:lang w:eastAsia="zh-CN"/>
        </w:rPr>
      </w:pPr>
      <w:r w:rsidRPr="00F91674">
        <w:rPr>
          <w:rFonts w:ascii="Book Antiqua" w:eastAsia="Book Antiqua" w:hAnsi="Book Antiqua" w:cs="Book Antiqua"/>
          <w:color w:val="000000" w:themeColor="text1"/>
        </w:rPr>
        <w:t xml:space="preserve">DOI: </w:t>
      </w:r>
      <w:hyperlink r:id="rId10" w:history="1">
        <w:r w:rsidR="00F91674" w:rsidRPr="00F91674">
          <w:rPr>
            <w:rStyle w:val="ac"/>
            <w:rFonts w:ascii="Book Antiqua" w:eastAsia="Book Antiqua" w:hAnsi="Book Antiqua" w:cs="Book Antiqua"/>
          </w:rPr>
          <w:t>https://dx.doi.org/10.4252/wjsc.v13.i10.</w:t>
        </w:r>
        <w:r w:rsidR="00F91674" w:rsidRPr="00F91674">
          <w:rPr>
            <w:rStyle w:val="ac"/>
            <w:rFonts w:ascii="Book Antiqua" w:hAnsi="Book Antiqua" w:cs="Book Antiqua" w:hint="eastAsia"/>
            <w:lang w:eastAsia="zh-CN"/>
          </w:rPr>
          <w:t>1417</w:t>
        </w:r>
      </w:hyperlink>
      <w:bookmarkEnd w:id="0"/>
    </w:p>
    <w:p w14:paraId="304EE06F" w14:textId="77777777" w:rsidR="00D51910" w:rsidRPr="00F91674" w:rsidRDefault="00D51910" w:rsidP="00D51910">
      <w:pPr>
        <w:adjustRightInd w:val="0"/>
        <w:snapToGrid w:val="0"/>
        <w:spacing w:line="360" w:lineRule="auto"/>
        <w:jc w:val="both"/>
        <w:rPr>
          <w:rFonts w:ascii="Book Antiqua" w:hAnsi="Book Antiqua"/>
        </w:rPr>
      </w:pPr>
    </w:p>
    <w:p w14:paraId="5D04D425"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bCs/>
          <w:color w:val="000000"/>
        </w:rPr>
        <w:t xml:space="preserve">Core Tip: </w:t>
      </w:r>
      <w:r w:rsidRPr="00F91674">
        <w:rPr>
          <w:rFonts w:ascii="Book Antiqua" w:eastAsia="Book Antiqua" w:hAnsi="Book Antiqua" w:cs="Book Antiqua"/>
          <w:color w:val="000000"/>
        </w:rPr>
        <w:t xml:space="preserve">Despite the remarkable progress that has been made in understanding the cellular and molecular biology of gliomas, current therapeutic strategies have not yet provided a significant benefit to patients or a cure. This review highlights the key functions of SOX transcriptional factors (TFs) in glioblastoma (GBM) and glioma stem cells (GSCs). SOX TFs influence stemness, self-renewal, proliferation, differentiation, viability, migration, invasion, apoptosis, therapy resistance, sphere-forming capacity and tumorigenicity. We emphasized that fine-tuning of the SOX expression level is </w:t>
      </w:r>
      <w:r w:rsidRPr="00F91674">
        <w:rPr>
          <w:rFonts w:ascii="Book Antiqua" w:eastAsia="Book Antiqua" w:hAnsi="Book Antiqua" w:cs="Book Antiqua"/>
          <w:color w:val="000000"/>
        </w:rPr>
        <w:lastRenderedPageBreak/>
        <w:t>required to control the balance between the stemness and differentiation of GSCs, making SOX TFs promising therapeutic targets for combatting GBM.</w:t>
      </w:r>
    </w:p>
    <w:p w14:paraId="1D4B76C5" w14:textId="77777777" w:rsidR="00D51910" w:rsidRPr="00F91674" w:rsidRDefault="00D51910" w:rsidP="00D51910">
      <w:pPr>
        <w:adjustRightInd w:val="0"/>
        <w:snapToGrid w:val="0"/>
        <w:spacing w:line="360" w:lineRule="auto"/>
        <w:jc w:val="both"/>
        <w:rPr>
          <w:rFonts w:ascii="Book Antiqua" w:hAnsi="Book Antiqua"/>
        </w:rPr>
      </w:pPr>
    </w:p>
    <w:p w14:paraId="7318298C"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caps/>
          <w:color w:val="000000"/>
          <w:u w:val="single"/>
        </w:rPr>
        <w:t>INTRODUCTION</w:t>
      </w:r>
    </w:p>
    <w:p w14:paraId="00FED2BB" w14:textId="77777777" w:rsidR="00D51910" w:rsidRPr="00F91674" w:rsidRDefault="00D51910" w:rsidP="00D51910">
      <w:pPr>
        <w:adjustRightInd w:val="0"/>
        <w:snapToGrid w:val="0"/>
        <w:spacing w:line="360" w:lineRule="auto"/>
        <w:jc w:val="both"/>
        <w:rPr>
          <w:rFonts w:ascii="Book Antiqua" w:eastAsia="Book Antiqua" w:hAnsi="Book Antiqua" w:cs="Book Antiqua"/>
          <w:color w:val="000000"/>
        </w:rPr>
      </w:pPr>
      <w:r w:rsidRPr="00F91674">
        <w:rPr>
          <w:rFonts w:ascii="Book Antiqua" w:eastAsia="Book Antiqua" w:hAnsi="Book Antiqua" w:cs="Book Antiqua"/>
          <w:color w:val="000000"/>
        </w:rPr>
        <w:t>Cancer is among the leading causes of death worldwide, representing a substantial public health burden affecting welfare and life expectancy globally, with enormous impacts on individuals, families and health systems. The global burden of cancer continues to grow with its increasing incidence in the 21st century, mainly due to the growth and ageing of populations, adoption of unhealthy behaviors and exposure to unhealthy environments.</w:t>
      </w:r>
    </w:p>
    <w:p w14:paraId="4AE6EE94" w14:textId="77777777" w:rsidR="00D51910" w:rsidRPr="00F91674" w:rsidRDefault="00D51910" w:rsidP="00D51910">
      <w:pPr>
        <w:adjustRightInd w:val="0"/>
        <w:snapToGrid w:val="0"/>
        <w:spacing w:line="360" w:lineRule="auto"/>
        <w:jc w:val="both"/>
        <w:rPr>
          <w:rFonts w:ascii="Book Antiqua" w:eastAsia="Book Antiqua" w:hAnsi="Book Antiqua" w:cs="Book Antiqua"/>
          <w:color w:val="000000"/>
        </w:rPr>
      </w:pPr>
      <w:r w:rsidRPr="00F91674">
        <w:rPr>
          <w:rFonts w:ascii="Book Antiqua" w:eastAsia="Book Antiqua" w:hAnsi="Book Antiqua" w:cs="Book Antiqua"/>
          <w:color w:val="000000"/>
        </w:rPr>
        <w:t>Cancers comprise a large group of diseases that arise from cells that escape the normal checkpoints of cell division and are capable of uncontrolled growth and proliferation. Deregulation of the precise molecular networks operating at the molecular and cellular levels that control cell proliferation, differentiation and cell death leads to the transformation of normal cells into cancer. Despite decades of intensive research, the underlying mechanisms that transform normal cells into cancer cells and enable cancer cells to spread and metastasize other sites in the body, leading to a fatal outcome, are still not completely understood.</w:t>
      </w:r>
    </w:p>
    <w:p w14:paraId="185B88C6"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The transformation of normal cells into cancer cells is a complex multistep process, and in recent decades, tremendous efforts have been made to understand the underlying mechanisms. In a highly influential article published more than 20 years ago, Hanahan and </w:t>
      </w:r>
      <w:proofErr w:type="gramStart"/>
      <w:r w:rsidRPr="00F91674">
        <w:rPr>
          <w:rFonts w:ascii="Book Antiqua" w:eastAsia="Book Antiqua" w:hAnsi="Book Antiqua" w:cs="Book Antiqua"/>
          <w:color w:val="000000"/>
        </w:rPr>
        <w:t>Weinberg</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 \o "Hanahan, 2000 #1" </w:instrText>
      </w:r>
      <w:r w:rsidR="00BC0B14" w:rsidRPr="00F91674">
        <w:fldChar w:fldCharType="separate"/>
      </w:r>
      <w:r w:rsidRPr="00F91674">
        <w:rPr>
          <w:rFonts w:ascii="Book Antiqua" w:eastAsia="Book Antiqua" w:hAnsi="Book Antiqua" w:cs="Book Antiqua"/>
          <w:color w:val="000000"/>
          <w:vertAlign w:val="superscript"/>
        </w:rPr>
        <w:t>1</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elucidated six essential biological capabilities of cancer cell, widely accepted as the six hallmarks of cancer. Most, if not all, cancers acquire this set of capabilities during the multistep development of human tumors. The six hallmarks of cancer (Figure 1) include cell sufficiency in growth signals, insensitivity to growth-inhibitory signals, evasion of programmed cell death, limitless replicative potential, sustained angiogenesis, and tissue invasion and </w:t>
      </w:r>
      <w:proofErr w:type="gramStart"/>
      <w:r w:rsidRPr="00F91674">
        <w:rPr>
          <w:rFonts w:ascii="Book Antiqua" w:eastAsia="Book Antiqua" w:hAnsi="Book Antiqua" w:cs="Book Antiqua"/>
          <w:color w:val="000000"/>
        </w:rPr>
        <w:t>metastasis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 \o "Hanahan, 2000 #1" </w:instrText>
      </w:r>
      <w:r w:rsidR="00BC0B14" w:rsidRPr="00F91674">
        <w:fldChar w:fldCharType="separate"/>
      </w:r>
      <w:r w:rsidRPr="00F91674">
        <w:rPr>
          <w:rFonts w:ascii="Book Antiqua" w:eastAsia="Book Antiqua" w:hAnsi="Book Antiqua" w:cs="Book Antiqua"/>
          <w:color w:val="000000"/>
          <w:vertAlign w:val="superscript"/>
        </w:rPr>
        <w:t>1</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Together, these hallmarks constitute an organized framework for interpreting the remarkable diversity of neoplastic </w:t>
      </w:r>
      <w:proofErr w:type="gramStart"/>
      <w:r w:rsidRPr="00F91674">
        <w:rPr>
          <w:rFonts w:ascii="Book Antiqua" w:eastAsia="Book Antiqua" w:hAnsi="Book Antiqua" w:cs="Book Antiqua"/>
          <w:color w:val="000000"/>
        </w:rPr>
        <w:t>diseases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 \o "Hanahan, 2000 #1" </w:instrText>
      </w:r>
      <w:r w:rsidR="00BC0B14" w:rsidRPr="00F91674">
        <w:fldChar w:fldCharType="separate"/>
      </w:r>
      <w:r w:rsidRPr="00F91674">
        <w:rPr>
          <w:rFonts w:ascii="Book Antiqua" w:eastAsia="Book Antiqua" w:hAnsi="Book Antiqua" w:cs="Book Antiqua"/>
          <w:color w:val="000000"/>
          <w:vertAlign w:val="superscript"/>
        </w:rPr>
        <w:t>1</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It has been proposed that the genomic instability underlying these </w:t>
      </w:r>
      <w:r w:rsidRPr="00F91674">
        <w:rPr>
          <w:rFonts w:ascii="Book Antiqua" w:eastAsia="Book Antiqua" w:hAnsi="Book Antiqua" w:cs="Book Antiqua"/>
          <w:color w:val="000000"/>
        </w:rPr>
        <w:lastRenderedPageBreak/>
        <w:t xml:space="preserve">hallmarks generates genetic diversity, which contributes to multiple cancer hallmark </w:t>
      </w:r>
      <w:proofErr w:type="gramStart"/>
      <w:r w:rsidRPr="00F91674">
        <w:rPr>
          <w:rFonts w:ascii="Book Antiqua" w:eastAsia="Book Antiqua" w:hAnsi="Book Antiqua" w:cs="Book Antiqua"/>
          <w:color w:val="000000"/>
        </w:rPr>
        <w:t>functions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 \o "Hanahan, 2000 #1" </w:instrText>
      </w:r>
      <w:r w:rsidR="00BC0B14" w:rsidRPr="00F91674">
        <w:fldChar w:fldCharType="separate"/>
      </w:r>
      <w:r w:rsidRPr="00F91674">
        <w:rPr>
          <w:rFonts w:ascii="Book Antiqua" w:eastAsia="Book Antiqua" w:hAnsi="Book Antiqua" w:cs="Book Antiqua"/>
          <w:color w:val="000000"/>
          <w:vertAlign w:val="superscript"/>
        </w:rPr>
        <w:t>1</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0A9ACD2E" w14:textId="3EA89474"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In subsequent years, remarkable progress was made towards understanding the mechanisms underlying each of the six hallmarks. New technologies and significant advances in the understanding of the cellular and molecular biology of cancer cells provided better insight into the multiple events that allow cancer cells to acquire additional functional capabilities enabling them to survive, proliferate and disseminate. Thus, two additional enabling characteristics of cancer cells-genomic instability and inflammation </w:t>
      </w:r>
      <w:r w:rsidRPr="00F91674">
        <w:rPr>
          <w:rFonts w:ascii="Book Antiqua" w:eastAsia="Book Antiqua" w:hAnsi="Book Antiqua" w:cs="Book Antiqua"/>
          <w:i/>
          <w:color w:val="000000"/>
        </w:rPr>
        <w:t>via</w:t>
      </w:r>
      <w:r w:rsidRPr="00F91674">
        <w:rPr>
          <w:rFonts w:ascii="Book Antiqua" w:eastAsia="Book Antiqua" w:hAnsi="Book Antiqua" w:cs="Book Antiqua"/>
          <w:color w:val="000000"/>
        </w:rPr>
        <w:t xml:space="preserve"> innate immune cells, have been </w:t>
      </w:r>
      <w:proofErr w:type="gramStart"/>
      <w:r w:rsidRPr="00F91674">
        <w:rPr>
          <w:rFonts w:ascii="Book Antiqua" w:eastAsia="Book Antiqua" w:hAnsi="Book Antiqua" w:cs="Book Antiqua"/>
          <w:color w:val="000000"/>
        </w:rPr>
        <w:t>defined</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"_ENREF_2" \o "Hanahan, 2011 #2" </w:instrText>
      </w:r>
      <w:r w:rsidR="00BC0B14" w:rsidRPr="00F91674">
        <w:fldChar w:fldCharType="separate"/>
      </w:r>
      <w:r w:rsidRPr="00F91674">
        <w:rPr>
          <w:rFonts w:ascii="Book Antiqua" w:eastAsia="Book Antiqua" w:hAnsi="Book Antiqua" w:cs="Book Antiqua"/>
          <w:color w:val="000000"/>
          <w:vertAlign w:val="superscript"/>
        </w:rPr>
        <w:t>2</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Genomic instability in cancer cells generates random mutations and acquired genetic diversity, endowing cancer cells with genetic alterations that drive tumor </w:t>
      </w:r>
      <w:proofErr w:type="gramStart"/>
      <w:r w:rsidRPr="00F91674">
        <w:rPr>
          <w:rFonts w:ascii="Book Antiqua" w:eastAsia="Book Antiqua" w:hAnsi="Book Antiqua" w:cs="Book Antiqua"/>
          <w:color w:val="000000"/>
        </w:rPr>
        <w:t>progression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"_ENREF_3" \o "Negrini, 2010 #4" </w:instrText>
      </w:r>
      <w:r w:rsidR="00BC0B14" w:rsidRPr="00F91674">
        <w:fldChar w:fldCharType="separate"/>
      </w:r>
      <w:r w:rsidRPr="00F91674">
        <w:rPr>
          <w:rFonts w:ascii="Book Antiqua" w:eastAsia="Book Antiqua" w:hAnsi="Book Antiqua" w:cs="Book Antiqua"/>
          <w:color w:val="000000"/>
          <w:vertAlign w:val="superscript"/>
        </w:rPr>
        <w:t>3</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Inflammation that fights infections and heals wounds under physiological conditions can assist tumor progression in premalignant and malignant </w:t>
      </w:r>
      <w:proofErr w:type="gramStart"/>
      <w:r w:rsidRPr="00F91674">
        <w:rPr>
          <w:rFonts w:ascii="Book Antiqua" w:eastAsia="Book Antiqua" w:hAnsi="Book Antiqua" w:cs="Book Antiqua"/>
          <w:color w:val="000000"/>
        </w:rPr>
        <w:t>lesions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"_ENREF_4" \o "Colotta, 2009 #5" </w:instrText>
      </w:r>
      <w:r w:rsidR="00BC0B14" w:rsidRPr="00F91674">
        <w:fldChar w:fldCharType="separate"/>
      </w:r>
      <w:r w:rsidRPr="00F91674">
        <w:rPr>
          <w:rFonts w:ascii="Book Antiqua" w:eastAsia="Book Antiqua" w:hAnsi="Book Antiqua" w:cs="Book Antiqua"/>
          <w:color w:val="000000"/>
          <w:vertAlign w:val="superscript"/>
        </w:rPr>
        <w:t>4</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Research on the intersections between inflammation and cancer pathogenesis has provided overwhelming evidence of the essential effects that immune cells, largely of the innate immune system, have on tumor-promoting neoplastic </w:t>
      </w:r>
      <w:proofErr w:type="gramStart"/>
      <w:r w:rsidRPr="00F91674">
        <w:rPr>
          <w:rFonts w:ascii="Book Antiqua" w:eastAsia="Book Antiqua" w:hAnsi="Book Antiqua" w:cs="Book Antiqua"/>
          <w:color w:val="000000"/>
        </w:rPr>
        <w:t>progression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"_ENREF_4" \o "Colotta, 2009 #5" </w:instrText>
      </w:r>
      <w:r w:rsidR="00BC0B14" w:rsidRPr="00F91674">
        <w:fldChar w:fldCharType="separate"/>
      </w:r>
      <w:r w:rsidRPr="00F91674">
        <w:rPr>
          <w:rFonts w:ascii="Book Antiqua" w:eastAsia="Book Antiqua" w:hAnsi="Book Antiqua" w:cs="Book Antiqua"/>
          <w:color w:val="000000"/>
          <w:vertAlign w:val="superscript"/>
        </w:rPr>
        <w:t>4-6</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6FBE087E"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In an updated article published by Hanahan and </w:t>
      </w:r>
      <w:proofErr w:type="gramStart"/>
      <w:r w:rsidRPr="00F91674">
        <w:rPr>
          <w:rFonts w:ascii="Book Antiqua" w:eastAsia="Book Antiqua" w:hAnsi="Book Antiqua" w:cs="Book Antiqua"/>
          <w:color w:val="000000"/>
        </w:rPr>
        <w:t>Weinberg</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"_ENREF_2" \o "Hanahan, 2011 #2" </w:instrText>
      </w:r>
      <w:r w:rsidR="00BC0B14" w:rsidRPr="00F91674">
        <w:fldChar w:fldCharType="separate"/>
      </w:r>
      <w:r w:rsidRPr="00F91674">
        <w:rPr>
          <w:rFonts w:ascii="Book Antiqua" w:eastAsia="Book Antiqua" w:hAnsi="Book Antiqua" w:cs="Book Antiqua"/>
          <w:color w:val="000000"/>
          <w:vertAlign w:val="superscript"/>
        </w:rPr>
        <w:t>2</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in 2011, two novel hallmarks were proposed and added to the list of core hallmarks of cancer: reprogramming energy metabolism and evading immune destruction. The first includes the major reprogramming of cellular energy metabolism that is required to support uncontrolled cell proliferation. Since the immune system serves as an important barrier to tumor formation, the second hallmark implicates the ability of cancer cells to evade attack and elimination by immune </w:t>
      </w:r>
      <w:proofErr w:type="gramStart"/>
      <w:r w:rsidRPr="00F91674">
        <w:rPr>
          <w:rFonts w:ascii="Book Antiqua" w:eastAsia="Book Antiqua" w:hAnsi="Book Antiqua" w:cs="Book Antiqua"/>
          <w:color w:val="000000"/>
        </w:rPr>
        <w:t>cells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"_ENREF_2" \o "Hanahan, 2011 #2" </w:instrText>
      </w:r>
      <w:r w:rsidR="00BC0B14" w:rsidRPr="00F91674">
        <w:fldChar w:fldCharType="separate"/>
      </w:r>
      <w:r w:rsidRPr="00F91674">
        <w:rPr>
          <w:rFonts w:ascii="Book Antiqua" w:eastAsia="Book Antiqua" w:hAnsi="Book Antiqua" w:cs="Book Antiqua"/>
          <w:color w:val="000000"/>
          <w:vertAlign w:val="superscript"/>
        </w:rPr>
        <w:t>2</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6858BF1C"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It has become necessary for the hallmarks of cancer to be revised and upgraded as a result of the progression of cancer research and the accumulation of knowledge over the last decade. Four novel hallmarks of cancer were recently proposed, justified and incorporated into the mainstream hallmark conceptualization. These hallmarks include dedifferentiation and transdifferentiation, epigenetic dysregulation, altered microbiome and altered neuronal signaling (Figure 1</w:t>
      </w:r>
      <w:proofErr w:type="gramStart"/>
      <w:r w:rsidRPr="00F91674">
        <w:rPr>
          <w:rFonts w:ascii="Book Antiqua" w:eastAsia="Book Antiqua" w:hAnsi="Book Antiqua" w:cs="Book Antiqua"/>
          <w:color w:val="000000"/>
        </w:rPr>
        <w:t>)</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"_ENREF_7" \o "Senga, 2021 #3" </w:instrText>
      </w:r>
      <w:r w:rsidR="00BC0B14" w:rsidRPr="00F91674">
        <w:fldChar w:fldCharType="separate"/>
      </w:r>
      <w:r w:rsidRPr="00F91674">
        <w:rPr>
          <w:rFonts w:ascii="Book Antiqua" w:eastAsia="Book Antiqua" w:hAnsi="Book Antiqua" w:cs="Book Antiqua"/>
          <w:color w:val="000000"/>
          <w:vertAlign w:val="superscript"/>
        </w:rPr>
        <w:t>7</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2FA88065" w14:textId="77777777" w:rsidR="00D51910" w:rsidRPr="00F91674" w:rsidRDefault="00D51910" w:rsidP="00D51910">
      <w:pPr>
        <w:adjustRightInd w:val="0"/>
        <w:snapToGrid w:val="0"/>
        <w:spacing w:line="360" w:lineRule="auto"/>
        <w:jc w:val="both"/>
        <w:rPr>
          <w:rFonts w:ascii="Book Antiqua" w:eastAsia="Book Antiqua" w:hAnsi="Book Antiqua" w:cs="Book Antiqua"/>
          <w:color w:val="000000"/>
        </w:rPr>
      </w:pPr>
    </w:p>
    <w:p w14:paraId="6E5279C1" w14:textId="77777777" w:rsidR="00D51910" w:rsidRPr="00F91674" w:rsidRDefault="00D51910" w:rsidP="00D51910">
      <w:pPr>
        <w:adjustRightInd w:val="0"/>
        <w:snapToGrid w:val="0"/>
        <w:spacing w:line="360" w:lineRule="auto"/>
        <w:jc w:val="both"/>
        <w:rPr>
          <w:rFonts w:ascii="Book Antiqua" w:eastAsia="Book Antiqua" w:hAnsi="Book Antiqua" w:cs="Book Antiqua"/>
          <w:b/>
          <w:bCs/>
          <w:color w:val="000000"/>
          <w:u w:val="single"/>
        </w:rPr>
      </w:pPr>
      <w:r w:rsidRPr="00F91674">
        <w:rPr>
          <w:rFonts w:ascii="Book Antiqua" w:eastAsia="Book Antiqua" w:hAnsi="Book Antiqua" w:cs="Book Antiqua"/>
          <w:b/>
          <w:bCs/>
          <w:color w:val="000000"/>
          <w:u w:val="single"/>
        </w:rPr>
        <w:t>STEM CELLS: DEDIFFERENTIATION AND TRANSDIFFERENTIATION</w:t>
      </w:r>
    </w:p>
    <w:p w14:paraId="6D15E3DC" w14:textId="77777777" w:rsidR="00D51910" w:rsidRPr="00F91674" w:rsidRDefault="00D51910" w:rsidP="00D51910">
      <w:pPr>
        <w:adjustRightInd w:val="0"/>
        <w:snapToGrid w:val="0"/>
        <w:spacing w:line="360" w:lineRule="auto"/>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Stem cells are defined as cells that have self-renewing capacity and the ability to differentiate into multiple cell </w:t>
      </w:r>
      <w:proofErr w:type="gramStart"/>
      <w:r w:rsidRPr="00F91674">
        <w:rPr>
          <w:rFonts w:ascii="Book Antiqua" w:eastAsia="Book Antiqua" w:hAnsi="Book Antiqua" w:cs="Book Antiqua"/>
          <w:color w:val="000000"/>
        </w:rPr>
        <w:t>types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"_ENREF_8" \o "Weissman, 2000 #8" </w:instrText>
      </w:r>
      <w:r w:rsidR="00BC0B14" w:rsidRPr="00F91674">
        <w:fldChar w:fldCharType="separate"/>
      </w:r>
      <w:r w:rsidRPr="00F91674">
        <w:rPr>
          <w:rFonts w:ascii="Book Antiqua" w:eastAsia="Book Antiqua" w:hAnsi="Book Antiqua" w:cs="Book Antiqua"/>
          <w:color w:val="000000"/>
          <w:vertAlign w:val="superscript"/>
        </w:rPr>
        <w:t>8</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Stem cells are present in mammalian embryos at the blastocyst stage as well as in the tissues and organs of adults. While embryonic stem cells (ESCs) have the ability to differentiate into any cell type present in the adult body, adult stem cells are capable of generating and replacing terminally differentiated cells in specific tissues and are involved in the continual maintenance and repair of tissues and organs throughout life</w:t>
      </w:r>
      <w:r w:rsidRPr="00F91674">
        <w:rPr>
          <w:rFonts w:ascii="Book Antiqua" w:eastAsia="Book Antiqua" w:hAnsi="Book Antiqua" w:cs="Book Antiqua"/>
          <w:color w:val="000000"/>
          <w:vertAlign w:val="superscript"/>
        </w:rPr>
        <w:t>[</w:t>
      </w:r>
      <w:hyperlink w:anchor="_ENREF_9" w:tooltip="Korbling, 2003 #175" w:history="1">
        <w:r w:rsidRPr="00F91674">
          <w:rPr>
            <w:rFonts w:ascii="Book Antiqua" w:eastAsia="Book Antiqua" w:hAnsi="Book Antiqua" w:cs="Book Antiqua"/>
            <w:color w:val="000000"/>
            <w:vertAlign w:val="superscript"/>
          </w:rPr>
          <w:t>9</w:t>
        </w:r>
      </w:hyperlink>
      <w:r w:rsidRPr="00F91674">
        <w:rPr>
          <w:rFonts w:ascii="Book Antiqua" w:eastAsia="Book Antiqua" w:hAnsi="Book Antiqua" w:cs="Book Antiqua"/>
          <w:color w:val="000000"/>
          <w:vertAlign w:val="superscript"/>
        </w:rPr>
        <w:t>,</w:t>
      </w:r>
      <w:hyperlink w:anchor="_ENREF_10" w:tooltip="Young, 2004 #9" w:history="1">
        <w:r w:rsidRPr="00F91674">
          <w:rPr>
            <w:rFonts w:ascii="Book Antiqua" w:eastAsia="Book Antiqua" w:hAnsi="Book Antiqua" w:cs="Book Antiqua"/>
            <w:color w:val="000000"/>
            <w:vertAlign w:val="superscript"/>
          </w:rPr>
          <w:t>10</w:t>
        </w:r>
      </w:hyperlink>
      <w:r w:rsidRPr="00F91674">
        <w:rPr>
          <w:rFonts w:ascii="Book Antiqua" w:eastAsia="Book Antiqua" w:hAnsi="Book Antiqua" w:cs="Book Antiqua"/>
          <w:color w:val="000000"/>
          <w:vertAlign w:val="superscript"/>
        </w:rPr>
        <w:t>]</w:t>
      </w:r>
      <w:r w:rsidRPr="00F91674">
        <w:t>.</w:t>
      </w:r>
    </w:p>
    <w:p w14:paraId="7BD36DC6"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An unidirectional developmental model suggesting that pluripotent stem cells progressively lose their pluripotency as they differentiate along developmental pathways until they reach a terminally differentiated state was widely accepted for several </w:t>
      </w:r>
      <w:proofErr w:type="gramStart"/>
      <w:r w:rsidRPr="00F91674">
        <w:rPr>
          <w:rFonts w:ascii="Book Antiqua" w:eastAsia="Book Antiqua" w:hAnsi="Book Antiqua" w:cs="Book Antiqua"/>
          <w:color w:val="000000"/>
        </w:rPr>
        <w:t>decades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"_ENREF_11" \o "Waddington, 1957 #176" </w:instrText>
      </w:r>
      <w:r w:rsidR="00BC0B14" w:rsidRPr="00F91674">
        <w:fldChar w:fldCharType="separate"/>
      </w:r>
      <w:r w:rsidRPr="00F91674">
        <w:rPr>
          <w:rFonts w:ascii="Book Antiqua" w:eastAsia="Book Antiqua" w:hAnsi="Book Antiqua" w:cs="Book Antiqua"/>
          <w:color w:val="000000"/>
          <w:vertAlign w:val="superscript"/>
        </w:rPr>
        <w:t>11</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It was believed that adult stem cells have the ability to generate only the differentiated cell phenotypes of the tissue in which they reside. At the beginning of the 21st century, numerous studies challenged this strict hierarchy of stem cells and their unidirectional differentiation. The phenomenon of stem cell plasticity, or transdifferentiation, has emerged, suggesting that some adult stem cells have phenotypic potential that extends beyond the cell types of their resident </w:t>
      </w:r>
      <w:proofErr w:type="gramStart"/>
      <w:r w:rsidRPr="00F91674">
        <w:rPr>
          <w:rFonts w:ascii="Book Antiqua" w:eastAsia="Book Antiqua" w:hAnsi="Book Antiqua" w:cs="Book Antiqua"/>
          <w:color w:val="000000"/>
        </w:rPr>
        <w:t>tissue</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"_ENREF_12" \o "Krause, 2002 #11" </w:instrText>
      </w:r>
      <w:r w:rsidR="00BC0B14" w:rsidRPr="00F91674">
        <w:fldChar w:fldCharType="separate"/>
      </w:r>
      <w:r w:rsidRPr="00F91674">
        <w:rPr>
          <w:rFonts w:ascii="Book Antiqua" w:eastAsia="Book Antiqua" w:hAnsi="Book Antiqua" w:cs="Book Antiqua"/>
          <w:color w:val="000000"/>
          <w:vertAlign w:val="superscript"/>
        </w:rPr>
        <w:t>12</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hyperlink w:anchor="_ENREF_13" w:tooltip="Poulsom, 2002 #12" w:history="1">
        <w:r w:rsidRPr="00F91674">
          <w:rPr>
            <w:rFonts w:ascii="Book Antiqua" w:eastAsia="Book Antiqua" w:hAnsi="Book Antiqua" w:cs="Book Antiqua"/>
            <w:color w:val="000000"/>
            <w:vertAlign w:val="superscript"/>
          </w:rPr>
          <w:t>13</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It was proposed that some stem cells under specific conditions might diverge from their predetermined pathway and generate cells of a different tissue by entering into a process of transdifferentiation, or that mature cells dedifferentiate into cells with a stem cell phenotype and eventually differentiate into cells of a different </w:t>
      </w:r>
      <w:proofErr w:type="gramStart"/>
      <w:r w:rsidRPr="00F91674">
        <w:rPr>
          <w:rFonts w:ascii="Book Antiqua" w:eastAsia="Book Antiqua" w:hAnsi="Book Antiqua" w:cs="Book Antiqua"/>
          <w:color w:val="000000"/>
        </w:rPr>
        <w:t>tissue</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"_ENREF_9" \o "Korbling, 2003 #175" </w:instrText>
      </w:r>
      <w:r w:rsidR="00BC0B14" w:rsidRPr="00F91674">
        <w:fldChar w:fldCharType="separate"/>
      </w:r>
      <w:r w:rsidRPr="00F91674">
        <w:rPr>
          <w:rFonts w:ascii="Book Antiqua" w:eastAsia="Book Antiqua" w:hAnsi="Book Antiqua" w:cs="Book Antiqua"/>
          <w:color w:val="000000"/>
          <w:vertAlign w:val="superscript"/>
        </w:rPr>
        <w:t>9</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t>.</w:t>
      </w:r>
    </w:p>
    <w:p w14:paraId="792732B2"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In 1962, </w:t>
      </w:r>
      <w:proofErr w:type="gramStart"/>
      <w:r w:rsidRPr="00F91674">
        <w:rPr>
          <w:rFonts w:ascii="Book Antiqua" w:eastAsia="Book Antiqua" w:hAnsi="Book Antiqua" w:cs="Book Antiqua"/>
          <w:color w:val="000000"/>
        </w:rPr>
        <w:t>Gurdon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"_ENREF_14" \o "Gurdon, 1962 #13" </w:instrText>
      </w:r>
      <w:r w:rsidR="00BC0B14" w:rsidRPr="00F91674">
        <w:fldChar w:fldCharType="separate"/>
      </w:r>
      <w:r w:rsidRPr="00F91674">
        <w:rPr>
          <w:rFonts w:ascii="Book Antiqua" w:eastAsia="Book Antiqua" w:hAnsi="Book Antiqua" w:cs="Book Antiqua"/>
          <w:color w:val="000000"/>
          <w:vertAlign w:val="superscript"/>
        </w:rPr>
        <w:t>14</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first proposed the hypothesis that the genome of every specialized cell of an adult organism has all the information required to develop into all different cell types. This hypothesis was proven in the seminal publication of Takahashi and </w:t>
      </w:r>
      <w:proofErr w:type="gramStart"/>
      <w:r w:rsidRPr="00F91674">
        <w:rPr>
          <w:rFonts w:ascii="Book Antiqua" w:eastAsia="Book Antiqua" w:hAnsi="Book Antiqua" w:cs="Book Antiqua"/>
          <w:color w:val="000000"/>
        </w:rPr>
        <w:t>Yamanaka</w:t>
      </w:r>
      <w:r w:rsidRPr="00F91674">
        <w:rPr>
          <w:rFonts w:ascii="Book Antiqua" w:eastAsia="Book Antiqua" w:hAnsi="Book Antiqua" w:cs="Book Antiqua"/>
          <w:color w:val="000000"/>
          <w:vertAlign w:val="superscript"/>
        </w:rPr>
        <w:t>[</w:t>
      </w:r>
      <w:proofErr w:type="gramEnd"/>
      <w:r w:rsidRPr="00F91674">
        <w:rPr>
          <w:rFonts w:ascii="Book Antiqua" w:eastAsia="Book Antiqua" w:hAnsi="Book Antiqua" w:cs="Book Antiqua"/>
          <w:color w:val="000000"/>
          <w:vertAlign w:val="superscript"/>
        </w:rPr>
        <w:t>15]</w:t>
      </w:r>
      <w:r w:rsidRPr="00F91674">
        <w:rPr>
          <w:rFonts w:ascii="Book Antiqua" w:eastAsia="Book Antiqua" w:hAnsi="Book Antiqua" w:cs="Book Antiqua"/>
          <w:color w:val="000000"/>
        </w:rPr>
        <w:t xml:space="preserve">, which demonstrated that adult differentiated cells could be reprogrammed into induced pluripotent stem cells that have the ability to differentiate into any of the endodermal, ectodermal and mesodermal cell lineages. This </w:t>
      </w:r>
      <w:r w:rsidRPr="00F91674">
        <w:rPr>
          <w:rFonts w:ascii="Book Antiqua" w:eastAsia="Book Antiqua" w:hAnsi="Book Antiqua" w:cs="Book Antiqua"/>
          <w:color w:val="000000"/>
        </w:rPr>
        <w:lastRenderedPageBreak/>
        <w:t>reprogramming is achieved by the overexpression of stem cell-associated genes, also known as stemness factors or Yamanaka factors, in the differentiated cells.</w:t>
      </w:r>
    </w:p>
    <w:p w14:paraId="6FD0DAE9"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These findings validated the phenomenon of dedifferentiation and transdifferentiation, laying the groundwork for cancer stem cell (CSC) theory and the discovery of CSCs.</w:t>
      </w:r>
    </w:p>
    <w:p w14:paraId="3A6B0D6A" w14:textId="77777777" w:rsidR="00D51910" w:rsidRPr="00F91674" w:rsidRDefault="00D51910" w:rsidP="00D51910">
      <w:pPr>
        <w:adjustRightInd w:val="0"/>
        <w:snapToGrid w:val="0"/>
        <w:spacing w:line="360" w:lineRule="auto"/>
        <w:jc w:val="both"/>
        <w:rPr>
          <w:rFonts w:ascii="Book Antiqua" w:eastAsia="Book Antiqua" w:hAnsi="Book Antiqua" w:cs="Book Antiqua"/>
          <w:color w:val="000000"/>
        </w:rPr>
      </w:pPr>
    </w:p>
    <w:p w14:paraId="37EE5D39" w14:textId="77777777" w:rsidR="00D51910" w:rsidRPr="00F91674" w:rsidRDefault="00D51910" w:rsidP="00D51910">
      <w:pPr>
        <w:adjustRightInd w:val="0"/>
        <w:snapToGrid w:val="0"/>
        <w:spacing w:line="360" w:lineRule="auto"/>
        <w:jc w:val="both"/>
        <w:rPr>
          <w:rFonts w:ascii="Book Antiqua" w:eastAsia="Book Antiqua" w:hAnsi="Book Antiqua" w:cs="Book Antiqua"/>
          <w:b/>
          <w:bCs/>
          <w:color w:val="000000"/>
          <w:u w:val="single"/>
        </w:rPr>
      </w:pPr>
      <w:r w:rsidRPr="00F91674">
        <w:rPr>
          <w:rFonts w:ascii="Book Antiqua" w:eastAsia="Book Antiqua" w:hAnsi="Book Antiqua" w:cs="Book Antiqua"/>
          <w:b/>
          <w:bCs/>
          <w:color w:val="000000"/>
          <w:u w:val="single"/>
        </w:rPr>
        <w:t xml:space="preserve">CSCs </w:t>
      </w:r>
    </w:p>
    <w:p w14:paraId="4E7B12A5" w14:textId="77777777" w:rsidR="00D51910" w:rsidRPr="00F91674" w:rsidRDefault="00D51910" w:rsidP="00D51910">
      <w:pPr>
        <w:adjustRightInd w:val="0"/>
        <w:snapToGrid w:val="0"/>
        <w:spacing w:line="360" w:lineRule="auto"/>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The first indication of the existence of cancer cells with a stem cell phenotype came from the study of teratomas, which showed that undifferentiated cells preferably gave rise to nontumorigenic differentiated </w:t>
      </w:r>
      <w:proofErr w:type="gramStart"/>
      <w:r w:rsidRPr="00F91674">
        <w:rPr>
          <w:rFonts w:ascii="Book Antiqua" w:eastAsia="Book Antiqua" w:hAnsi="Book Antiqua" w:cs="Book Antiqua"/>
          <w:color w:val="000000"/>
        </w:rPr>
        <w:t>cells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"_ENREF_16" \o "Kleinsmith, 1964 #15" </w:instrText>
      </w:r>
      <w:r w:rsidR="00BC0B14" w:rsidRPr="00F91674">
        <w:fldChar w:fldCharType="separate"/>
      </w:r>
      <w:r w:rsidRPr="00F91674">
        <w:rPr>
          <w:rFonts w:ascii="Book Antiqua" w:eastAsia="Book Antiqua" w:hAnsi="Book Antiqua" w:cs="Book Antiqua"/>
          <w:color w:val="000000"/>
          <w:vertAlign w:val="superscript"/>
        </w:rPr>
        <w:t>16</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The CSC hypothesis was proposed in line with these data, suggesting that tumors comprise a mixture of malignant stem cells and their benign </w:t>
      </w:r>
      <w:proofErr w:type="gramStart"/>
      <w:r w:rsidRPr="00F91674">
        <w:rPr>
          <w:rFonts w:ascii="Book Antiqua" w:eastAsia="Book Antiqua" w:hAnsi="Book Antiqua" w:cs="Book Antiqua"/>
          <w:color w:val="000000"/>
        </w:rPr>
        <w:t>counterparts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"_ENREF_17" \o "Pierce, 1988 #16" </w:instrText>
      </w:r>
      <w:r w:rsidR="00BC0B14" w:rsidRPr="00F91674">
        <w:fldChar w:fldCharType="separate"/>
      </w:r>
      <w:r w:rsidRPr="00F91674">
        <w:rPr>
          <w:rFonts w:ascii="Book Antiqua" w:eastAsia="Book Antiqua" w:hAnsi="Book Antiqua" w:cs="Book Antiqua"/>
          <w:color w:val="000000"/>
          <w:vertAlign w:val="superscript"/>
        </w:rPr>
        <w:t>17</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628733F5"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CSCs represent a small subpopulation of tumor cells with the capabilities of self-renewal, differentiation, and tumorigenicity when transplanted into an animal </w:t>
      </w:r>
      <w:proofErr w:type="gramStart"/>
      <w:r w:rsidRPr="00F91674">
        <w:rPr>
          <w:rFonts w:ascii="Book Antiqua" w:eastAsia="Book Antiqua" w:hAnsi="Book Antiqua" w:cs="Book Antiqua"/>
          <w:color w:val="000000"/>
        </w:rPr>
        <w:t>host</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"_ENREF_18" \o "Yu, 2012 #17" </w:instrText>
      </w:r>
      <w:r w:rsidR="00BC0B14" w:rsidRPr="00F91674">
        <w:fldChar w:fldCharType="separate"/>
      </w:r>
      <w:r w:rsidRPr="00F91674">
        <w:rPr>
          <w:rFonts w:ascii="Book Antiqua" w:eastAsia="Book Antiqua" w:hAnsi="Book Antiqua" w:cs="Book Antiqua"/>
          <w:color w:val="000000"/>
          <w:vertAlign w:val="superscript"/>
        </w:rPr>
        <w:t>18</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CSCs and stem cells share similar properties, including self-renewal ability, unlimited growth potential, invasiveness and blockade of differentiation (reviewed in</w:t>
      </w:r>
      <w:r w:rsidRPr="00F91674">
        <w:rPr>
          <w:rFonts w:ascii="Book Antiqua" w:eastAsia="Book Antiqua" w:hAnsi="Book Antiqua" w:cs="Book Antiqua"/>
          <w:color w:val="000000"/>
          <w:vertAlign w:val="superscript"/>
        </w:rPr>
        <w:t>[</w:t>
      </w:r>
      <w:hyperlink w:anchor="_ENREF_19" w:tooltip="Carvalho, 2020 #18" w:history="1">
        <w:r w:rsidRPr="00F91674">
          <w:rPr>
            <w:rFonts w:ascii="Book Antiqua" w:eastAsia="Book Antiqua" w:hAnsi="Book Antiqua" w:cs="Book Antiqua"/>
            <w:color w:val="000000"/>
            <w:vertAlign w:val="superscript"/>
          </w:rPr>
          <w:t>19</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whereby indefinite self-renewal capability enables CSCs to initiate and maintain tumor growth.</w:t>
      </w:r>
    </w:p>
    <w:p w14:paraId="77E12D0B"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CSCs were first identified in acute myeloid leukemia</w:t>
      </w:r>
      <w:r w:rsidRPr="00F91674">
        <w:rPr>
          <w:rFonts w:ascii="Book Antiqua" w:eastAsia="Book Antiqua" w:hAnsi="Book Antiqua" w:cs="Book Antiqua"/>
          <w:color w:val="000000"/>
          <w:vertAlign w:val="superscript"/>
        </w:rPr>
        <w:t>[</w:t>
      </w:r>
      <w:hyperlink w:anchor="_ENREF_20" w:tooltip="Bonnet, 1997 #19" w:history="1">
        <w:r w:rsidRPr="00F91674">
          <w:rPr>
            <w:rFonts w:ascii="Book Antiqua" w:eastAsia="Book Antiqua" w:hAnsi="Book Antiqua" w:cs="Book Antiqua"/>
            <w:color w:val="000000"/>
            <w:vertAlign w:val="superscript"/>
          </w:rPr>
          <w:t>20</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and subsequently in a wide variety of tumor types, including melanoma, osteosarcoma, leukemia, breast, colorectal, brain, prostate, pancreatic, ovarian, liver and lung cancer</w:t>
      </w:r>
      <w:r w:rsidRPr="00F91674">
        <w:rPr>
          <w:rFonts w:ascii="Book Antiqua" w:eastAsia="Book Antiqua" w:hAnsi="Book Antiqua" w:cs="Book Antiqua"/>
          <w:color w:val="000000"/>
          <w:vertAlign w:val="superscript"/>
        </w:rPr>
        <w:t>[</w:t>
      </w:r>
      <w:hyperlink w:anchor="_ENREF_21" w:tooltip="Chen, 2016 #20" w:history="1">
        <w:r w:rsidRPr="00F91674">
          <w:rPr>
            <w:rFonts w:ascii="Book Antiqua" w:eastAsia="Book Antiqua" w:hAnsi="Book Antiqua" w:cs="Book Antiqua"/>
            <w:color w:val="000000"/>
            <w:vertAlign w:val="superscript"/>
          </w:rPr>
          <w:t>21-23</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148A068B"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Advances in whole-genome sequencing have revealed the remarkable genetic complexity of malignant tumors and the presence of subpopulations of cells with distinct genotypes and </w:t>
      </w:r>
      <w:proofErr w:type="gramStart"/>
      <w:r w:rsidRPr="00F91674">
        <w:rPr>
          <w:rFonts w:ascii="Book Antiqua" w:eastAsia="Book Antiqua" w:hAnsi="Book Antiqua" w:cs="Book Antiqua"/>
          <w:color w:val="000000"/>
        </w:rPr>
        <w:t>phenotypes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"_ENREF_24" \o "Fisher, 2013 #23" </w:instrText>
      </w:r>
      <w:r w:rsidR="00BC0B14" w:rsidRPr="00F91674">
        <w:fldChar w:fldCharType="separate"/>
      </w:r>
      <w:r w:rsidRPr="00F91674">
        <w:rPr>
          <w:rFonts w:ascii="Book Antiqua" w:eastAsia="Book Antiqua" w:hAnsi="Book Antiqua" w:cs="Book Antiqua"/>
          <w:color w:val="000000"/>
          <w:vertAlign w:val="superscript"/>
        </w:rPr>
        <w:t>24</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The distinct genotypes of cancer cells within the tumor endow the cells with different biological features and phenotypes, providing the basis for intra- and inter-tumor </w:t>
      </w:r>
      <w:proofErr w:type="gramStart"/>
      <w:r w:rsidRPr="00F91674">
        <w:rPr>
          <w:rFonts w:ascii="Book Antiqua" w:eastAsia="Book Antiqua" w:hAnsi="Book Antiqua" w:cs="Book Antiqua"/>
          <w:color w:val="000000"/>
        </w:rPr>
        <w:t>heterogeneity</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"_ENREF_25" \o "Prasetyanti, 2017 #24" </w:instrText>
      </w:r>
      <w:r w:rsidR="00BC0B14" w:rsidRPr="00F91674">
        <w:fldChar w:fldCharType="separate"/>
      </w:r>
      <w:r w:rsidRPr="00F91674">
        <w:rPr>
          <w:rFonts w:ascii="Book Antiqua" w:eastAsia="Book Antiqua" w:hAnsi="Book Antiqua" w:cs="Book Antiqua"/>
          <w:color w:val="000000"/>
          <w:vertAlign w:val="superscript"/>
        </w:rPr>
        <w:t>25</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The CSC model explains this phenotypic and functional heterogeneity among cancer </w:t>
      </w:r>
      <w:proofErr w:type="gramStart"/>
      <w:r w:rsidRPr="00F91674">
        <w:rPr>
          <w:rFonts w:ascii="Book Antiqua" w:eastAsia="Book Antiqua" w:hAnsi="Book Antiqua" w:cs="Book Antiqua"/>
          <w:color w:val="000000"/>
        </w:rPr>
        <w:t>cells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"_ENREF_26" \o "Clevers, 2011 #27" </w:instrText>
      </w:r>
      <w:r w:rsidR="00BC0B14" w:rsidRPr="00F91674">
        <w:fldChar w:fldCharType="separate"/>
      </w:r>
      <w:r w:rsidRPr="00F91674">
        <w:rPr>
          <w:rFonts w:ascii="Book Antiqua" w:eastAsia="Book Antiqua" w:hAnsi="Book Antiqua" w:cs="Book Antiqua"/>
          <w:color w:val="000000"/>
          <w:vertAlign w:val="superscript"/>
        </w:rPr>
        <w:t>26-29</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0E29CC9B"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It has been proposed that CSCs originate from either adult tissue-resident stem cells or from differentiated cells that have been reprogrammed to a pluripotent state by </w:t>
      </w:r>
      <w:r w:rsidRPr="00F91674">
        <w:rPr>
          <w:rFonts w:ascii="Book Antiqua" w:eastAsia="Book Antiqua" w:hAnsi="Book Antiqua" w:cs="Book Antiqua"/>
          <w:color w:val="000000"/>
        </w:rPr>
        <w:lastRenderedPageBreak/>
        <w:t xml:space="preserve">the process of </w:t>
      </w:r>
      <w:proofErr w:type="gramStart"/>
      <w:r w:rsidRPr="00F91674">
        <w:rPr>
          <w:rFonts w:ascii="Book Antiqua" w:eastAsia="Book Antiqua" w:hAnsi="Book Antiqua" w:cs="Book Antiqua"/>
          <w:color w:val="000000"/>
        </w:rPr>
        <w:t>dedifferentiation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"_ENREF_30" \o "Walcher, 2020 #29" </w:instrText>
      </w:r>
      <w:r w:rsidR="00BC0B14" w:rsidRPr="00F91674">
        <w:fldChar w:fldCharType="separate"/>
      </w:r>
      <w:r w:rsidRPr="00F91674">
        <w:rPr>
          <w:rFonts w:ascii="Book Antiqua" w:eastAsia="Book Antiqua" w:hAnsi="Book Antiqua" w:cs="Book Antiqua"/>
          <w:color w:val="000000"/>
          <w:vertAlign w:val="superscript"/>
        </w:rPr>
        <w:t>30</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The CSC hypothesis proposes that many heterogenic cancers are organized in a hierarchical fashion based on the differentiation capacity of the cells comprising the </w:t>
      </w:r>
      <w:proofErr w:type="gramStart"/>
      <w:r w:rsidRPr="00F91674">
        <w:rPr>
          <w:rFonts w:ascii="Book Antiqua" w:eastAsia="Book Antiqua" w:hAnsi="Book Antiqua" w:cs="Book Antiqua"/>
          <w:color w:val="000000"/>
        </w:rPr>
        <w:t>tumor</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"_ENREF_31" \o "Cole, 2020 #33" </w:instrText>
      </w:r>
      <w:r w:rsidR="00BC0B14" w:rsidRPr="00F91674">
        <w:fldChar w:fldCharType="separate"/>
      </w:r>
      <w:r w:rsidRPr="00F91674">
        <w:rPr>
          <w:rFonts w:ascii="Book Antiqua" w:eastAsia="Book Antiqua" w:hAnsi="Book Antiqua" w:cs="Book Antiqua"/>
          <w:color w:val="000000"/>
          <w:vertAlign w:val="superscript"/>
        </w:rPr>
        <w:t>31</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It has been suggested that this hierarchical order recapitulates the normal tissue hierarchy established by healthy stem cells. Thus, CSCs generate cellular heterogeneity by imposing a differentiation hierarchy by generating a range of distinct cell types present within the </w:t>
      </w:r>
      <w:proofErr w:type="gramStart"/>
      <w:r w:rsidRPr="00F91674">
        <w:rPr>
          <w:rFonts w:ascii="Book Antiqua" w:eastAsia="Book Antiqua" w:hAnsi="Book Antiqua" w:cs="Book Antiqua"/>
          <w:color w:val="000000"/>
        </w:rPr>
        <w:t>tumor</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"_ENREF_26" \o "Clevers, 2011 #27" </w:instrText>
      </w:r>
      <w:r w:rsidR="00BC0B14" w:rsidRPr="00F91674">
        <w:fldChar w:fldCharType="separate"/>
      </w:r>
      <w:r w:rsidRPr="00F91674">
        <w:rPr>
          <w:rFonts w:ascii="Book Antiqua" w:eastAsia="Book Antiqua" w:hAnsi="Book Antiqua" w:cs="Book Antiqua"/>
          <w:color w:val="000000"/>
          <w:vertAlign w:val="superscript"/>
        </w:rPr>
        <w:t>26</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However, the established hierarchy is not permanent, and under specific conditions, could be reversed as terminally differentiated cells become dedifferentiated and regain CSC </w:t>
      </w:r>
      <w:proofErr w:type="gramStart"/>
      <w:r w:rsidRPr="00F91674">
        <w:rPr>
          <w:rFonts w:ascii="Book Antiqua" w:eastAsia="Book Antiqua" w:hAnsi="Book Antiqua" w:cs="Book Antiqua"/>
          <w:color w:val="000000"/>
        </w:rPr>
        <w:t>properties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"_ENREF_22" \o "Medema, 2013 #21" </w:instrText>
      </w:r>
      <w:r w:rsidR="00BC0B14" w:rsidRPr="00F91674">
        <w:fldChar w:fldCharType="separate"/>
      </w:r>
      <w:r w:rsidRPr="00F91674">
        <w:rPr>
          <w:rFonts w:ascii="Book Antiqua" w:eastAsia="Book Antiqua" w:hAnsi="Book Antiqua" w:cs="Book Antiqua"/>
          <w:color w:val="000000"/>
          <w:vertAlign w:val="superscript"/>
        </w:rPr>
        <w:t>22</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hyperlink w:anchor="_ENREF_27" w:tooltip="Meacham, 2013 #28" w:history="1">
        <w:r w:rsidRPr="00F91674">
          <w:rPr>
            <w:rFonts w:ascii="Book Antiqua" w:eastAsia="Book Antiqua" w:hAnsi="Book Antiqua" w:cs="Book Antiqua"/>
            <w:color w:val="000000"/>
            <w:vertAlign w:val="superscript"/>
          </w:rPr>
          <w:t>27</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749AFC12"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CSCs have been shown to exhibit high plasticity, resulting in changes in their phenotypic and functional appearance in response to chemo- and radiotherapeutics that cause alterations in the tumor microenvironment (TME</w:t>
      </w:r>
      <w:proofErr w:type="gramStart"/>
      <w:r w:rsidRPr="00F91674">
        <w:rPr>
          <w:rFonts w:ascii="Book Antiqua" w:eastAsia="Book Antiqua" w:hAnsi="Book Antiqua" w:cs="Book Antiqua"/>
          <w:color w:val="000000"/>
        </w:rPr>
        <w:t>)</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"_ENREF_30" \o "Walcher, 2020 #29" </w:instrText>
      </w:r>
      <w:r w:rsidR="00BC0B14" w:rsidRPr="00F91674">
        <w:fldChar w:fldCharType="separate"/>
      </w:r>
      <w:r w:rsidRPr="00F91674">
        <w:rPr>
          <w:rFonts w:ascii="Book Antiqua" w:eastAsia="Book Antiqua" w:hAnsi="Book Antiqua" w:cs="Book Antiqua"/>
          <w:color w:val="000000"/>
          <w:vertAlign w:val="superscript"/>
        </w:rPr>
        <w:t>30</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The negative effects of senescence can directly promote cancer stemness by increasing CSC plasticity, activating stemness pathways in non-CSCs, and promoting senescence escape and subsequent activation of a stemness </w:t>
      </w:r>
      <w:proofErr w:type="gramStart"/>
      <w:r w:rsidRPr="00F91674">
        <w:rPr>
          <w:rFonts w:ascii="Book Antiqua" w:eastAsia="Book Antiqua" w:hAnsi="Book Antiqua" w:cs="Book Antiqua"/>
          <w:color w:val="000000"/>
        </w:rPr>
        <w:t>pathway</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"_ENREF_30" \o "Walcher, 2020 #29" </w:instrText>
      </w:r>
      <w:r w:rsidR="00BC0B14" w:rsidRPr="00F91674">
        <w:fldChar w:fldCharType="separate"/>
      </w:r>
      <w:r w:rsidRPr="00F91674">
        <w:rPr>
          <w:rFonts w:ascii="Book Antiqua" w:eastAsia="Book Antiqua" w:hAnsi="Book Antiqua" w:cs="Book Antiqua"/>
          <w:color w:val="000000"/>
          <w:vertAlign w:val="superscript"/>
        </w:rPr>
        <w:t>30</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78C52D5B"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CSCs share a number of unique features that distinguish them from other tumor cells. CSCs are believed to be responsible for cancer initiation, progression, metastasis, recurrence and drug </w:t>
      </w:r>
      <w:proofErr w:type="gramStart"/>
      <w:r w:rsidRPr="00F91674">
        <w:rPr>
          <w:rFonts w:ascii="Book Antiqua" w:eastAsia="Book Antiqua" w:hAnsi="Book Antiqua" w:cs="Book Antiqua"/>
          <w:color w:val="000000"/>
        </w:rPr>
        <w:t>resistance</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"_ENREF_32" \o "Visvader, 2008 #32" </w:instrText>
      </w:r>
      <w:r w:rsidR="00BC0B14" w:rsidRPr="00F91674">
        <w:fldChar w:fldCharType="separate"/>
      </w:r>
      <w:r w:rsidRPr="00F91674">
        <w:rPr>
          <w:rFonts w:ascii="Book Antiqua" w:eastAsia="Book Antiqua" w:hAnsi="Book Antiqua" w:cs="Book Antiqua"/>
          <w:color w:val="000000"/>
          <w:vertAlign w:val="superscript"/>
        </w:rPr>
        <w:t>32</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Epithelial CSCs express many genes/pathways typically associated with normal stem cells (reviewed </w:t>
      </w:r>
      <w:proofErr w:type="gramStart"/>
      <w:r w:rsidRPr="00F91674">
        <w:rPr>
          <w:rFonts w:ascii="Book Antiqua" w:eastAsia="Book Antiqua" w:hAnsi="Book Antiqua" w:cs="Book Antiqua"/>
          <w:color w:val="000000"/>
        </w:rPr>
        <w:t>in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"_ENREF_31" \o "Cole, 2020 #33" </w:instrText>
      </w:r>
      <w:r w:rsidR="00BC0B14" w:rsidRPr="00F91674">
        <w:fldChar w:fldCharType="separate"/>
      </w:r>
      <w:r w:rsidRPr="00F91674">
        <w:rPr>
          <w:rFonts w:ascii="Book Antiqua" w:eastAsia="Book Antiqua" w:hAnsi="Book Antiqua" w:cs="Book Antiqua"/>
          <w:color w:val="000000"/>
          <w:vertAlign w:val="superscript"/>
        </w:rPr>
        <w:t>31</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In many types of tumors, some CSCs acquire epithelial-to-mesenchymal transition profiles through the upregulation of the expression of specific genes driving metastasis. CSCs are suggested to be responsible for drug resistance and cancer relapse due to their ability to self-renew and differentiate into heterogeneous lineages of cancer </w:t>
      </w:r>
      <w:proofErr w:type="gramStart"/>
      <w:r w:rsidRPr="00F91674">
        <w:rPr>
          <w:rFonts w:ascii="Book Antiqua" w:eastAsia="Book Antiqua" w:hAnsi="Book Antiqua" w:cs="Book Antiqua"/>
          <w:color w:val="000000"/>
        </w:rPr>
        <w:t>cells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"_ENREF_33" \o "Phi, 2018 #34" </w:instrText>
      </w:r>
      <w:r w:rsidR="00BC0B14" w:rsidRPr="00F91674">
        <w:fldChar w:fldCharType="separate"/>
      </w:r>
      <w:r w:rsidRPr="00F91674">
        <w:rPr>
          <w:rFonts w:ascii="Book Antiqua" w:eastAsia="Book Antiqua" w:hAnsi="Book Antiqua" w:cs="Book Antiqua"/>
          <w:color w:val="000000"/>
          <w:vertAlign w:val="superscript"/>
        </w:rPr>
        <w:t>33</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Drug resistance has been linked to the ability of CSCs to become quiescent, upregulate the expression of enzymes such as aldehyde dehydrogenase, and upregulate the expression of anti-apoptotic proteins and multidrug resistance pumps that increase chemotherapeutic elimination from cells, resulting in low intracellular drug </w:t>
      </w:r>
      <w:proofErr w:type="gramStart"/>
      <w:r w:rsidRPr="00F91674">
        <w:rPr>
          <w:rFonts w:ascii="Book Antiqua" w:eastAsia="Book Antiqua" w:hAnsi="Book Antiqua" w:cs="Book Antiqua"/>
          <w:color w:val="000000"/>
        </w:rPr>
        <w:t>concentrations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"_ENREF_31" \o "Cole, 2020 #33" </w:instrText>
      </w:r>
      <w:r w:rsidR="00BC0B14" w:rsidRPr="00F91674">
        <w:fldChar w:fldCharType="separate"/>
      </w:r>
      <w:r w:rsidRPr="00F91674">
        <w:rPr>
          <w:rFonts w:ascii="Book Antiqua" w:eastAsia="Book Antiqua" w:hAnsi="Book Antiqua" w:cs="Book Antiqua"/>
          <w:color w:val="000000"/>
          <w:vertAlign w:val="superscript"/>
        </w:rPr>
        <w:t>31</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3F69EEC6"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Accordingly, the majority of CSC features depend on the deregulation of signaling pathways that, in turn, rely on the altered activity of specific transcription factors (TFs).</w:t>
      </w:r>
    </w:p>
    <w:p w14:paraId="5DF9FF5D" w14:textId="77777777" w:rsidR="00D51910" w:rsidRPr="00F91674" w:rsidRDefault="00D51910" w:rsidP="00D51910">
      <w:pPr>
        <w:adjustRightInd w:val="0"/>
        <w:snapToGrid w:val="0"/>
        <w:spacing w:line="360" w:lineRule="auto"/>
        <w:jc w:val="both"/>
        <w:rPr>
          <w:rFonts w:ascii="Book Antiqua" w:eastAsia="Book Antiqua" w:hAnsi="Book Antiqua" w:cs="Book Antiqua"/>
          <w:color w:val="000000"/>
        </w:rPr>
      </w:pPr>
    </w:p>
    <w:p w14:paraId="5AC68007" w14:textId="77777777" w:rsidR="00D51910" w:rsidRPr="00F91674" w:rsidRDefault="00D51910" w:rsidP="00D51910">
      <w:pPr>
        <w:adjustRightInd w:val="0"/>
        <w:snapToGrid w:val="0"/>
        <w:spacing w:line="360" w:lineRule="auto"/>
        <w:jc w:val="both"/>
        <w:rPr>
          <w:rFonts w:ascii="Book Antiqua" w:eastAsia="Book Antiqua" w:hAnsi="Book Antiqua" w:cs="Book Antiqua"/>
          <w:b/>
          <w:bCs/>
          <w:color w:val="000000"/>
          <w:u w:val="single"/>
        </w:rPr>
      </w:pPr>
      <w:r w:rsidRPr="00F91674">
        <w:rPr>
          <w:rFonts w:ascii="Book Antiqua" w:eastAsia="Book Antiqua" w:hAnsi="Book Antiqua" w:cs="Book Antiqua"/>
          <w:b/>
          <w:bCs/>
          <w:color w:val="000000"/>
          <w:u w:val="single"/>
        </w:rPr>
        <w:lastRenderedPageBreak/>
        <w:t>SOX TFs AND CSCs</w:t>
      </w:r>
    </w:p>
    <w:p w14:paraId="0C2A864E" w14:textId="77777777" w:rsidR="00D51910" w:rsidRPr="00F91674" w:rsidRDefault="00D51910" w:rsidP="00D51910">
      <w:pPr>
        <w:adjustRightInd w:val="0"/>
        <w:snapToGrid w:val="0"/>
        <w:spacing w:line="360" w:lineRule="auto"/>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SOX (Sry-related HMG box) proteins constitute a large family of diverse and well-conserved TFs comprising at least 20 SOX family members in </w:t>
      </w:r>
      <w:proofErr w:type="gramStart"/>
      <w:r w:rsidRPr="00F91674">
        <w:rPr>
          <w:rFonts w:ascii="Book Antiqua" w:eastAsia="Book Antiqua" w:hAnsi="Book Antiqua" w:cs="Book Antiqua"/>
          <w:color w:val="000000"/>
        </w:rPr>
        <w:t>mammals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"_ENREF_34" \o "Schepers, 2002 #35" </w:instrText>
      </w:r>
      <w:r w:rsidR="00BC0B14" w:rsidRPr="00F91674">
        <w:fldChar w:fldCharType="separate"/>
      </w:r>
      <w:r w:rsidRPr="00F91674">
        <w:rPr>
          <w:rFonts w:ascii="Book Antiqua" w:eastAsia="Book Antiqua" w:hAnsi="Book Antiqua" w:cs="Book Antiqua"/>
          <w:color w:val="000000"/>
          <w:vertAlign w:val="superscript"/>
        </w:rPr>
        <w:t>34</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They have been divided into eight distinct groups designated A-H based on their structure, expression profiles and homology (Table 1</w:t>
      </w:r>
      <w:proofErr w:type="gramStart"/>
      <w:r w:rsidRPr="00F91674">
        <w:rPr>
          <w:rFonts w:ascii="Book Antiqua" w:eastAsia="Book Antiqua" w:hAnsi="Book Antiqua" w:cs="Book Antiqua"/>
          <w:color w:val="000000"/>
        </w:rPr>
        <w:t>)</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"_ENREF_35" \o "Bowles, 2000 #178" </w:instrText>
      </w:r>
      <w:r w:rsidR="00BC0B14" w:rsidRPr="00F91674">
        <w:fldChar w:fldCharType="separate"/>
      </w:r>
      <w:r w:rsidRPr="00F91674">
        <w:rPr>
          <w:rFonts w:ascii="Book Antiqua" w:eastAsia="Book Antiqua" w:hAnsi="Book Antiqua" w:cs="Book Antiqua"/>
          <w:color w:val="000000"/>
          <w:vertAlign w:val="superscript"/>
        </w:rPr>
        <w:t>35</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The SOXB group is further subdivided into subgroup B1 comprising SOX1, SOX2 and SOX3 and subgroup B2 consisting of SOX14 and SOX21</w:t>
      </w:r>
      <w:r w:rsidRPr="00F91674">
        <w:rPr>
          <w:rFonts w:ascii="Book Antiqua" w:eastAsia="Book Antiqua" w:hAnsi="Book Antiqua" w:cs="Book Antiqua"/>
          <w:color w:val="000000"/>
          <w:vertAlign w:val="superscript"/>
        </w:rPr>
        <w:t>[</w:t>
      </w:r>
      <w:hyperlink w:anchor="_ENREF_36" w:tooltip="Uchikawa, 1999 #179" w:history="1">
        <w:r w:rsidRPr="00F91674">
          <w:rPr>
            <w:rFonts w:ascii="Book Antiqua" w:eastAsia="Book Antiqua" w:hAnsi="Book Antiqua" w:cs="Book Antiqua"/>
            <w:color w:val="000000"/>
            <w:vertAlign w:val="superscript"/>
          </w:rPr>
          <w:t>36</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566F182E" w14:textId="77777777" w:rsidR="00D51910" w:rsidRPr="00F91674" w:rsidRDefault="00D51910" w:rsidP="00D51910">
      <w:pPr>
        <w:adjustRightInd w:val="0"/>
        <w:snapToGrid w:val="0"/>
        <w:spacing w:line="360" w:lineRule="auto"/>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SOX proteins display properties of both classical TFs and architectural components of chromatin (reviewed </w:t>
      </w:r>
      <w:proofErr w:type="gramStart"/>
      <w:r w:rsidRPr="00F91674">
        <w:rPr>
          <w:rFonts w:ascii="Book Antiqua" w:eastAsia="Book Antiqua" w:hAnsi="Book Antiqua" w:cs="Book Antiqua"/>
          <w:color w:val="000000"/>
        </w:rPr>
        <w:t>in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"_ENREF_37" \o "Pevny, 1997 #180" </w:instrText>
      </w:r>
      <w:r w:rsidR="00BC0B14" w:rsidRPr="00F91674">
        <w:fldChar w:fldCharType="separate"/>
      </w:r>
      <w:r w:rsidRPr="00F91674">
        <w:rPr>
          <w:rFonts w:ascii="Book Antiqua" w:eastAsia="Book Antiqua" w:hAnsi="Book Antiqua" w:cs="Book Antiqua"/>
          <w:color w:val="000000"/>
          <w:vertAlign w:val="superscript"/>
        </w:rPr>
        <w:t>37</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SOX TFs possess a 79 amino acid HMG domain that enables their specific DNA binding and additional domains involved in transcriptional regulation (reviewed </w:t>
      </w:r>
      <w:proofErr w:type="gramStart"/>
      <w:r w:rsidRPr="00F91674">
        <w:rPr>
          <w:rFonts w:ascii="Book Antiqua" w:eastAsia="Book Antiqua" w:hAnsi="Book Antiqua" w:cs="Book Antiqua"/>
          <w:color w:val="000000"/>
        </w:rPr>
        <w:t>in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"_ENREF_37" \o "Pevny, 1997 #180" </w:instrText>
      </w:r>
      <w:r w:rsidR="00BC0B14" w:rsidRPr="00F91674">
        <w:fldChar w:fldCharType="separate"/>
      </w:r>
      <w:r w:rsidRPr="00F91674">
        <w:rPr>
          <w:rFonts w:ascii="Book Antiqua" w:eastAsia="Book Antiqua" w:hAnsi="Book Antiqua" w:cs="Book Antiqua"/>
          <w:color w:val="000000"/>
          <w:vertAlign w:val="superscript"/>
        </w:rPr>
        <w:t>37</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SOX TFs exert regulatory functions to activate or repress gene transcription through specific interactions with their partner factor(s) and by establishing contacts with the basic transcription </w:t>
      </w:r>
      <w:proofErr w:type="gramStart"/>
      <w:r w:rsidRPr="00F91674">
        <w:rPr>
          <w:rFonts w:ascii="Book Antiqua" w:eastAsia="Book Antiqua" w:hAnsi="Book Antiqua" w:cs="Book Antiqua"/>
          <w:color w:val="000000"/>
        </w:rPr>
        <w:t>machinery</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"_ENREF_38" \o "Kamachi, 2000 #181" </w:instrText>
      </w:r>
      <w:r w:rsidR="00BC0B14" w:rsidRPr="00F91674">
        <w:fldChar w:fldCharType="separate"/>
      </w:r>
      <w:r w:rsidRPr="00F91674">
        <w:rPr>
          <w:rFonts w:ascii="Book Antiqua" w:eastAsia="Book Antiqua" w:hAnsi="Book Antiqua" w:cs="Book Antiqua"/>
          <w:color w:val="000000"/>
          <w:vertAlign w:val="superscript"/>
        </w:rPr>
        <w:t>38</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w:t>
      </w:r>
    </w:p>
    <w:p w14:paraId="7EFF7F3D"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Several essential roles have been attributed to SOX TFs since their discovery. SOX TFs are a component of a regulatory network and, together with other TFs, signaling pathways, epigenetic modifiers and microRNAs, govern diverse cellular processes during development, such as the maintenance of stem cell pluripotency, cell proliferation, cell fate decisions, germ layer formation and the terminal differentiation of cells into tissues and organs (reviewed in</w:t>
      </w:r>
      <w:r w:rsidRPr="00F91674">
        <w:rPr>
          <w:rFonts w:ascii="Book Antiqua" w:eastAsia="Book Antiqua" w:hAnsi="Book Antiqua" w:cs="Book Antiqua"/>
          <w:color w:val="000000"/>
          <w:vertAlign w:val="superscript"/>
        </w:rPr>
        <w:t>[</w:t>
      </w:r>
      <w:hyperlink w:anchor="_ENREF_39" w:tooltip="Reiprich, 2015 #182" w:history="1">
        <w:r w:rsidRPr="00F91674">
          <w:rPr>
            <w:rFonts w:ascii="Book Antiqua" w:eastAsia="Book Antiqua" w:hAnsi="Book Antiqua" w:cs="Book Antiqua"/>
            <w:color w:val="000000"/>
            <w:vertAlign w:val="superscript"/>
          </w:rPr>
          <w:t>39</w:t>
        </w:r>
      </w:hyperlink>
      <w:r w:rsidRPr="00F91674">
        <w:rPr>
          <w:rFonts w:ascii="Book Antiqua" w:eastAsia="Book Antiqua" w:hAnsi="Book Antiqua" w:cs="Book Antiqua"/>
          <w:color w:val="000000"/>
          <w:vertAlign w:val="superscript"/>
        </w:rPr>
        <w:t>,</w:t>
      </w:r>
      <w:hyperlink w:anchor="_ENREF_40" w:tooltip="She, 2015 #183" w:history="1">
        <w:r w:rsidRPr="00F91674">
          <w:rPr>
            <w:rFonts w:ascii="Book Antiqua" w:eastAsia="Book Antiqua" w:hAnsi="Book Antiqua" w:cs="Book Antiqua"/>
            <w:color w:val="000000"/>
            <w:vertAlign w:val="superscript"/>
          </w:rPr>
          <w:t>40</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However, the roles of SOX TFs are not limited to development as they also influence cell survival, regeneration and death, and control homeostasis in adult tissues</w:t>
      </w:r>
      <w:r w:rsidRPr="00F91674">
        <w:rPr>
          <w:rFonts w:ascii="Book Antiqua" w:eastAsia="Book Antiqua" w:hAnsi="Book Antiqua" w:cs="Book Antiqua"/>
          <w:color w:val="000000"/>
          <w:vertAlign w:val="superscript"/>
        </w:rPr>
        <w:t>[</w:t>
      </w:r>
      <w:hyperlink w:anchor="_ENREF_41" w:tooltip="Mercurio, 2019 #184" w:history="1">
        <w:r w:rsidRPr="00F91674">
          <w:rPr>
            <w:rFonts w:ascii="Book Antiqua" w:eastAsia="Book Antiqua" w:hAnsi="Book Antiqua" w:cs="Book Antiqua"/>
            <w:color w:val="000000"/>
            <w:vertAlign w:val="superscript"/>
          </w:rPr>
          <w:t>41</w:t>
        </w:r>
      </w:hyperlink>
      <w:r w:rsidRPr="00F91674">
        <w:rPr>
          <w:rFonts w:ascii="Book Antiqua" w:eastAsia="Book Antiqua" w:hAnsi="Book Antiqua" w:cs="Book Antiqua"/>
          <w:color w:val="000000"/>
          <w:vertAlign w:val="superscript"/>
        </w:rPr>
        <w:t>,</w:t>
      </w:r>
      <w:hyperlink w:anchor="_ENREF_42" w:tooltip="Pevny, 2005 #185" w:history="1">
        <w:r w:rsidRPr="00F91674">
          <w:rPr>
            <w:rFonts w:ascii="Book Antiqua" w:eastAsia="Book Antiqua" w:hAnsi="Book Antiqua" w:cs="Book Antiqua"/>
            <w:color w:val="000000"/>
            <w:vertAlign w:val="superscript"/>
          </w:rPr>
          <w:t>42</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2AC141E5"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Numerous studies have reported the roles of SOX TFs in the preservation of stem cell characteristics, playing a part of regulatory network required to establish ESCs and to maintain their pluripotent and proliferative state. SOX2, OCT4 (octamer-binding TF 4) and NANOG (named after the mythological Celtic land of the ever-young, “Tir nan Og”)</w:t>
      </w:r>
      <w:r w:rsidRPr="00F91674">
        <w:rPr>
          <w:rFonts w:ascii="Book Antiqua" w:eastAsia="Book Antiqua" w:hAnsi="Book Antiqua" w:cs="Book Antiqua"/>
          <w:color w:val="000000"/>
          <w:vertAlign w:val="superscript"/>
        </w:rPr>
        <w:t>[</w:t>
      </w:r>
      <w:hyperlink w:anchor="_ENREF_43" w:tooltip="Cavaleri, 2003 #186" w:history="1">
        <w:r w:rsidRPr="00F91674">
          <w:rPr>
            <w:rFonts w:ascii="Book Antiqua" w:eastAsia="Book Antiqua" w:hAnsi="Book Antiqua" w:cs="Book Antiqua"/>
            <w:color w:val="000000"/>
            <w:vertAlign w:val="superscript"/>
          </w:rPr>
          <w:t>43</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comprise the core transcriptional circuit that orchestrates the maintenance of stem cell self-renewal and pluripotency</w:t>
      </w:r>
      <w:r w:rsidRPr="00F91674">
        <w:rPr>
          <w:rFonts w:ascii="Book Antiqua" w:eastAsia="Book Antiqua" w:hAnsi="Book Antiqua" w:cs="Book Antiqua"/>
          <w:color w:val="000000"/>
          <w:vertAlign w:val="superscript"/>
        </w:rPr>
        <w:t>[</w:t>
      </w:r>
      <w:hyperlink w:anchor="_ENREF_44" w:tooltip="Rodda, 2005 #187" w:history="1">
        <w:r w:rsidRPr="00F91674">
          <w:rPr>
            <w:rFonts w:ascii="Book Antiqua" w:eastAsia="Book Antiqua" w:hAnsi="Book Antiqua" w:cs="Book Antiqua"/>
            <w:color w:val="000000"/>
            <w:vertAlign w:val="superscript"/>
          </w:rPr>
          <w:t>44</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5309B60C" w14:textId="645405F9"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Accumulating evidence has demonstrated that OCT4, SOX2 and NANOG are the core factors in a pluripotency gene network involved in the induction, maintenance and </w:t>
      </w:r>
      <w:r w:rsidRPr="00F91674">
        <w:rPr>
          <w:rFonts w:ascii="Book Antiqua" w:eastAsia="Book Antiqua" w:hAnsi="Book Antiqua" w:cs="Book Antiqua"/>
          <w:color w:val="000000"/>
        </w:rPr>
        <w:lastRenderedPageBreak/>
        <w:t xml:space="preserve">loss of pluripotency (reviewed </w:t>
      </w:r>
      <w:proofErr w:type="gramStart"/>
      <w:r w:rsidRPr="00F91674">
        <w:rPr>
          <w:rFonts w:ascii="Book Antiqua" w:eastAsia="Book Antiqua" w:hAnsi="Book Antiqua" w:cs="Book Antiqua"/>
          <w:color w:val="000000"/>
        </w:rPr>
        <w:t>in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"_ENREF_45" \o "Chen, 2017 #37" </w:instrText>
      </w:r>
      <w:r w:rsidR="00BC0B14" w:rsidRPr="00F91674">
        <w:fldChar w:fldCharType="separate"/>
      </w:r>
      <w:r w:rsidRPr="00F91674">
        <w:rPr>
          <w:rFonts w:ascii="Book Antiqua" w:eastAsia="Book Antiqua" w:hAnsi="Book Antiqua" w:cs="Book Antiqua"/>
          <w:color w:val="000000"/>
          <w:vertAlign w:val="superscript"/>
        </w:rPr>
        <w:t>45</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hyperlink w:anchor="_ENREF_46" w:tooltip="Li, 2017 #36" w:history="1">
        <w:r w:rsidRPr="00F91674">
          <w:rPr>
            <w:rFonts w:ascii="Book Antiqua" w:eastAsia="Book Antiqua" w:hAnsi="Book Antiqua" w:cs="Book Antiqua"/>
            <w:color w:val="000000"/>
            <w:vertAlign w:val="superscript"/>
          </w:rPr>
          <w:t>46</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The state of pluripotency, displaying regulatory flexibility, is supported by a highly interconnected pluripotency gene regulatory network that functionally relies on a set of core pluripotency TFs. The state of pluripotency integrates external signals and exerts control over the decision between self-renewal and differentiation at the transcriptional, post-transcriptional and epigenetic </w:t>
      </w:r>
      <w:proofErr w:type="gramStart"/>
      <w:r w:rsidRPr="00F91674">
        <w:rPr>
          <w:rFonts w:ascii="Book Antiqua" w:eastAsia="Book Antiqua" w:hAnsi="Book Antiqua" w:cs="Book Antiqua"/>
          <w:color w:val="000000"/>
        </w:rPr>
        <w:t>levels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"_ENREF_46" \o "Li, 2017 #36" </w:instrText>
      </w:r>
      <w:r w:rsidR="00BC0B14" w:rsidRPr="00F91674">
        <w:fldChar w:fldCharType="separate"/>
      </w:r>
      <w:r w:rsidRPr="00F91674">
        <w:rPr>
          <w:rFonts w:ascii="Book Antiqua" w:eastAsia="Book Antiqua" w:hAnsi="Book Antiqua" w:cs="Book Antiqua"/>
          <w:color w:val="000000"/>
          <w:vertAlign w:val="superscript"/>
        </w:rPr>
        <w:t>46</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Growing evidence shows that the overexpression of these core stemness-associated TFs occurs in various types of human cancers, and aberrant expression of these TFs is associated with tumor initiation, progression and therapy resistance (reviewed </w:t>
      </w:r>
      <w:proofErr w:type="gramStart"/>
      <w:r w:rsidRPr="00F91674">
        <w:rPr>
          <w:rFonts w:ascii="Book Antiqua" w:eastAsia="Book Antiqua" w:hAnsi="Book Antiqua" w:cs="Book Antiqua"/>
          <w:color w:val="000000"/>
        </w:rPr>
        <w:t>in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"_ENREF_47" \o "Huang, 2020 #38" </w:instrText>
      </w:r>
      <w:r w:rsidR="00BC0B14" w:rsidRPr="00F91674">
        <w:fldChar w:fldCharType="separate"/>
      </w:r>
      <w:r w:rsidRPr="00F91674">
        <w:rPr>
          <w:rFonts w:ascii="Book Antiqua" w:eastAsia="Book Antiqua" w:hAnsi="Book Antiqua" w:cs="Book Antiqua"/>
          <w:color w:val="000000"/>
          <w:vertAlign w:val="superscript"/>
        </w:rPr>
        <w:t>47</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Although core stemness-associated TFs play critical roles in maintaining pluripotency and self-renewal in both ESCs and CSCs, distinct mechanistic functions between them have been proposed</w:t>
      </w:r>
      <w:r w:rsidRPr="00F91674">
        <w:rPr>
          <w:rFonts w:ascii="Book Antiqua" w:eastAsia="Book Antiqua" w:hAnsi="Book Antiqua" w:cs="Book Antiqua"/>
          <w:color w:val="000000"/>
          <w:vertAlign w:val="superscript"/>
        </w:rPr>
        <w:t>[</w:t>
      </w:r>
      <w:hyperlink w:anchor="_ENREF_48" w:tooltip="Liu, 2013 #39" w:history="1">
        <w:r w:rsidRPr="00F91674">
          <w:rPr>
            <w:rFonts w:ascii="Book Antiqua" w:eastAsia="Book Antiqua" w:hAnsi="Book Antiqua" w:cs="Book Antiqua"/>
            <w:color w:val="000000"/>
            <w:vertAlign w:val="superscript"/>
          </w:rPr>
          <w:t>48</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3699CB9E" w14:textId="338763BA"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Since the first reviews of the involvement of the </w:t>
      </w:r>
      <w:r w:rsidRPr="00F91674">
        <w:rPr>
          <w:rFonts w:ascii="Book Antiqua" w:eastAsia="Book Antiqua" w:hAnsi="Book Antiqua" w:cs="Book Antiqua"/>
          <w:i/>
          <w:color w:val="000000"/>
        </w:rPr>
        <w:t>SOX</w:t>
      </w:r>
      <w:r w:rsidRPr="00F91674">
        <w:rPr>
          <w:rFonts w:ascii="Book Antiqua" w:eastAsia="Book Antiqua" w:hAnsi="Book Antiqua" w:cs="Book Antiqua"/>
          <w:color w:val="000000"/>
        </w:rPr>
        <w:t xml:space="preserve"> genes in </w:t>
      </w:r>
      <w:proofErr w:type="gramStart"/>
      <w:r w:rsidRPr="00F91674">
        <w:rPr>
          <w:rFonts w:ascii="Book Antiqua" w:eastAsia="Book Antiqua" w:hAnsi="Book Antiqua" w:cs="Book Antiqua"/>
          <w:color w:val="000000"/>
        </w:rPr>
        <w:t>cancer</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"_ENREF_49" \o "Dong, 2004 #40" </w:instrText>
      </w:r>
      <w:r w:rsidR="00BC0B14" w:rsidRPr="00F91674">
        <w:fldChar w:fldCharType="separate"/>
      </w:r>
      <w:r w:rsidRPr="00F91674">
        <w:rPr>
          <w:rFonts w:ascii="Book Antiqua" w:eastAsia="Book Antiqua" w:hAnsi="Book Antiqua" w:cs="Book Antiqua"/>
          <w:color w:val="000000"/>
          <w:vertAlign w:val="superscript"/>
        </w:rPr>
        <w:t>49</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the roles of particular members of this gene family in the development of multiple cancer types have been extensively studied. It has been shown that </w:t>
      </w:r>
      <w:proofErr w:type="gramStart"/>
      <w:r w:rsidRPr="00F91674">
        <w:rPr>
          <w:rFonts w:ascii="Book Antiqua" w:eastAsia="Book Antiqua" w:hAnsi="Book Antiqua" w:cs="Book Antiqua"/>
          <w:i/>
          <w:iCs/>
          <w:color w:val="000000"/>
        </w:rPr>
        <w:t>SOX</w:t>
      </w:r>
      <w:r w:rsidRPr="00F91674">
        <w:rPr>
          <w:rFonts w:ascii="Book Antiqua" w:eastAsia="Book Antiqua" w:hAnsi="Book Antiqua" w:cs="Book Antiqua"/>
          <w:color w:val="000000"/>
        </w:rPr>
        <w:t xml:space="preserve">  genes</w:t>
      </w:r>
      <w:proofErr w:type="gramEnd"/>
      <w:r w:rsidRPr="00F91674">
        <w:rPr>
          <w:rFonts w:ascii="Book Antiqua" w:eastAsia="Book Antiqua" w:hAnsi="Book Antiqua" w:cs="Book Antiqua"/>
          <w:color w:val="000000"/>
        </w:rPr>
        <w:t xml:space="preserve"> may act as oncogenes, tumor suppressor genes, or both depending on the cellular context (reviewed in</w:t>
      </w:r>
      <w:r w:rsidRPr="00F91674">
        <w:rPr>
          <w:rFonts w:ascii="Book Antiqua" w:eastAsia="Book Antiqua" w:hAnsi="Book Antiqua" w:cs="Book Antiqua"/>
          <w:color w:val="000000"/>
          <w:vertAlign w:val="superscript"/>
        </w:rPr>
        <w:t>[</w:t>
      </w:r>
      <w:hyperlink w:anchor="_ENREF_50" w:tooltip="Castillo, 2012 #41" w:history="1">
        <w:r w:rsidRPr="00F91674">
          <w:rPr>
            <w:rFonts w:ascii="Book Antiqua" w:eastAsia="Book Antiqua" w:hAnsi="Book Antiqua" w:cs="Book Antiqua"/>
            <w:color w:val="000000"/>
            <w:vertAlign w:val="superscript"/>
          </w:rPr>
          <w:t>50</w:t>
        </w:r>
      </w:hyperlink>
      <w:r w:rsidRPr="00F91674">
        <w:rPr>
          <w:rFonts w:ascii="Book Antiqua" w:eastAsia="Book Antiqua" w:hAnsi="Book Antiqua" w:cs="Book Antiqua"/>
          <w:color w:val="000000"/>
          <w:vertAlign w:val="superscript"/>
        </w:rPr>
        <w:t>,</w:t>
      </w:r>
      <w:hyperlink w:anchor="_ENREF_51" w:tooltip="Thu, 2014 #42" w:history="1">
        <w:r w:rsidRPr="00F91674">
          <w:rPr>
            <w:rFonts w:ascii="Book Antiqua" w:eastAsia="Book Antiqua" w:hAnsi="Book Antiqua" w:cs="Book Antiqua"/>
            <w:color w:val="000000"/>
            <w:vertAlign w:val="superscript"/>
          </w:rPr>
          <w:t>51</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Oncogenic SOX TFs are overexpressed in multiple cancer types, exerting their oncogenic function </w:t>
      </w:r>
      <w:r w:rsidRPr="00F91674">
        <w:rPr>
          <w:rFonts w:ascii="Book Antiqua" w:eastAsia="Book Antiqua" w:hAnsi="Book Antiqua" w:cs="Book Antiqua"/>
          <w:i/>
          <w:color w:val="000000"/>
        </w:rPr>
        <w:t>via</w:t>
      </w:r>
      <w:r w:rsidRPr="00F91674">
        <w:rPr>
          <w:rFonts w:ascii="Book Antiqua" w:eastAsia="Book Antiqua" w:hAnsi="Book Antiqua" w:cs="Book Antiqua"/>
          <w:color w:val="000000"/>
        </w:rPr>
        <w:t xml:space="preserve"> several mechanisms, including the promotion of proliferation, suppression of apoptosis, promotion of metastasis, and maintenance of CSCs</w:t>
      </w:r>
      <w:r w:rsidRPr="00F91674">
        <w:rPr>
          <w:rFonts w:ascii="Book Antiqua" w:eastAsia="Book Antiqua" w:hAnsi="Book Antiqua" w:cs="Book Antiqua"/>
          <w:color w:val="000000"/>
          <w:vertAlign w:val="superscript"/>
        </w:rPr>
        <w:t>[</w:t>
      </w:r>
      <w:hyperlink w:anchor="_ENREF_50" w:tooltip="Castillo, 2012 #41" w:history="1">
        <w:r w:rsidRPr="00F91674">
          <w:rPr>
            <w:rFonts w:ascii="Book Antiqua" w:eastAsia="Book Antiqua" w:hAnsi="Book Antiqua" w:cs="Book Antiqua"/>
            <w:color w:val="000000"/>
            <w:vertAlign w:val="superscript"/>
          </w:rPr>
          <w:t>50</w:t>
        </w:r>
      </w:hyperlink>
      <w:r w:rsidRPr="00F91674">
        <w:rPr>
          <w:rFonts w:ascii="Book Antiqua" w:eastAsia="Book Antiqua" w:hAnsi="Book Antiqua" w:cs="Book Antiqua"/>
          <w:color w:val="000000"/>
          <w:vertAlign w:val="superscript"/>
        </w:rPr>
        <w:t>,</w:t>
      </w:r>
      <w:hyperlink w:anchor="_ENREF_52" w:tooltip="Sarkar, 2013 #43" w:history="1">
        <w:r w:rsidRPr="00F91674">
          <w:rPr>
            <w:rFonts w:ascii="Book Antiqua" w:eastAsia="Book Antiqua" w:hAnsi="Book Antiqua" w:cs="Book Antiqua"/>
            <w:color w:val="000000"/>
            <w:vertAlign w:val="superscript"/>
          </w:rPr>
          <w:t>52-54</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45253D65" w14:textId="46AB2CE4"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SOX2 TF is one of the most studied SOX proteins, and during the last decade, aberrant SOX2 expression has been associated with various types of cancer (reviewed </w:t>
      </w:r>
      <w:proofErr w:type="gramStart"/>
      <w:r w:rsidRPr="00F91674">
        <w:rPr>
          <w:rFonts w:ascii="Book Antiqua" w:eastAsia="Book Antiqua" w:hAnsi="Book Antiqua" w:cs="Book Antiqua"/>
          <w:color w:val="000000"/>
        </w:rPr>
        <w:t>in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"_ENREF_55" \o "Grimm, 2020 #47" </w:instrText>
      </w:r>
      <w:r w:rsidR="00BC0B14" w:rsidRPr="00F91674">
        <w:fldChar w:fldCharType="separate"/>
      </w:r>
      <w:r w:rsidRPr="00F91674">
        <w:rPr>
          <w:rFonts w:ascii="Book Antiqua" w:eastAsia="Book Antiqua" w:hAnsi="Book Antiqua" w:cs="Book Antiqua"/>
          <w:color w:val="000000"/>
          <w:vertAlign w:val="superscript"/>
        </w:rPr>
        <w:t>55</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hyperlink w:anchor="_ENREF_56" w:tooltip="Wuebben, 2017 #46" w:history="1">
        <w:r w:rsidRPr="00F91674">
          <w:rPr>
            <w:rFonts w:ascii="Book Antiqua" w:eastAsia="Book Antiqua" w:hAnsi="Book Antiqua" w:cs="Book Antiqua"/>
            <w:color w:val="000000"/>
            <w:vertAlign w:val="superscript"/>
          </w:rPr>
          <w:t>56</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In various tumor types, SOX2 has been linked to cancer stemness, and elevated SOX2 expression has also been associated with chemotherapy resistance</w:t>
      </w:r>
      <w:r w:rsidRPr="00F91674">
        <w:rPr>
          <w:rFonts w:ascii="Book Antiqua" w:eastAsia="Book Antiqua" w:hAnsi="Book Antiqua" w:cs="Book Antiqua"/>
          <w:color w:val="000000"/>
          <w:vertAlign w:val="superscript"/>
        </w:rPr>
        <w:t>[</w:t>
      </w:r>
      <w:hyperlink w:anchor="_ENREF_57" w:tooltip="Schaefer, 2015 #48" w:history="1">
        <w:r w:rsidRPr="00F91674">
          <w:rPr>
            <w:rFonts w:ascii="Book Antiqua" w:eastAsia="Book Antiqua" w:hAnsi="Book Antiqua" w:cs="Book Antiqua"/>
            <w:color w:val="000000"/>
            <w:vertAlign w:val="superscript"/>
          </w:rPr>
          <w:t>57</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endothelial-to mesenchymal transition</w:t>
      </w:r>
      <w:r w:rsidRPr="00F91674">
        <w:rPr>
          <w:rFonts w:ascii="Book Antiqua" w:eastAsia="Book Antiqua" w:hAnsi="Book Antiqua" w:cs="Book Antiqua"/>
          <w:color w:val="000000"/>
          <w:vertAlign w:val="superscript"/>
        </w:rPr>
        <w:t>[</w:t>
      </w:r>
      <w:hyperlink w:anchor="_ENREF_58" w:tooltip="Fang, 2011 #49" w:history="1">
        <w:r w:rsidRPr="00F91674">
          <w:rPr>
            <w:rFonts w:ascii="Book Antiqua" w:eastAsia="Book Antiqua" w:hAnsi="Book Antiqua" w:cs="Book Antiqua"/>
            <w:color w:val="000000"/>
            <w:vertAlign w:val="superscript"/>
          </w:rPr>
          <w:t>58</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promotion of clonogenicity, and </w:t>
      </w:r>
      <w:r w:rsidRPr="00F91674">
        <w:rPr>
          <w:rFonts w:ascii="Book Antiqua" w:eastAsia="Book Antiqua" w:hAnsi="Book Antiqua" w:cs="Book Antiqua"/>
          <w:i/>
          <w:color w:val="000000"/>
        </w:rPr>
        <w:t>in vivo</w:t>
      </w:r>
      <w:r w:rsidRPr="00F91674">
        <w:rPr>
          <w:rFonts w:ascii="Book Antiqua" w:eastAsia="Book Antiqua" w:hAnsi="Book Antiqua" w:cs="Book Antiqua"/>
          <w:color w:val="000000"/>
        </w:rPr>
        <w:t xml:space="preserve"> tumorigenicity</w:t>
      </w:r>
      <w:r w:rsidRPr="00F91674">
        <w:rPr>
          <w:rFonts w:ascii="Book Antiqua" w:eastAsia="Book Antiqua" w:hAnsi="Book Antiqua" w:cs="Book Antiqua"/>
          <w:color w:val="000000"/>
          <w:vertAlign w:val="superscript"/>
        </w:rPr>
        <w:t>[</w:t>
      </w:r>
      <w:hyperlink w:anchor="_ENREF_57" w:tooltip="Schaefer, 2015 #48" w:history="1">
        <w:r w:rsidRPr="00F91674">
          <w:rPr>
            <w:rFonts w:ascii="Book Antiqua" w:eastAsia="Book Antiqua" w:hAnsi="Book Antiqua" w:cs="Book Antiqua"/>
            <w:color w:val="000000"/>
            <w:vertAlign w:val="superscript"/>
          </w:rPr>
          <w:t>57</w:t>
        </w:r>
      </w:hyperlink>
      <w:r w:rsidRPr="00F91674">
        <w:rPr>
          <w:rFonts w:ascii="Book Antiqua" w:eastAsia="Book Antiqua" w:hAnsi="Book Antiqua" w:cs="Book Antiqua"/>
          <w:color w:val="000000"/>
          <w:vertAlign w:val="superscript"/>
        </w:rPr>
        <w:t>,</w:t>
      </w:r>
      <w:hyperlink w:anchor="_ENREF_59" w:tooltip="Bareiss, 2013 #50" w:history="1">
        <w:r w:rsidRPr="00F91674">
          <w:rPr>
            <w:rFonts w:ascii="Book Antiqua" w:eastAsia="Book Antiqua" w:hAnsi="Book Antiqua" w:cs="Book Antiqua"/>
            <w:color w:val="000000"/>
            <w:vertAlign w:val="superscript"/>
          </w:rPr>
          <w:t>59</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In addition, elevated SOX2 expression in glioblastoma (GBM) is associated with increased cell motility and tumor spreading, and its expression is detected amongst circulating CSC </w:t>
      </w:r>
      <w:proofErr w:type="gramStart"/>
      <w:r w:rsidRPr="00F91674">
        <w:rPr>
          <w:rFonts w:ascii="Book Antiqua" w:eastAsia="Book Antiqua" w:hAnsi="Book Antiqua" w:cs="Book Antiqua"/>
          <w:color w:val="000000"/>
        </w:rPr>
        <w:t>islets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"_ENREF_60" \o "Krol, 2018 #53" </w:instrText>
      </w:r>
      <w:r w:rsidR="00BC0B14" w:rsidRPr="00F91674">
        <w:fldChar w:fldCharType="separate"/>
      </w:r>
      <w:r w:rsidRPr="00F91674">
        <w:rPr>
          <w:rFonts w:ascii="Book Antiqua" w:eastAsia="Book Antiqua" w:hAnsi="Book Antiqua" w:cs="Book Antiqua"/>
          <w:color w:val="000000"/>
          <w:vertAlign w:val="superscript"/>
        </w:rPr>
        <w:t>60-62</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A summary of the various roles that SOX2 plays in cancer is presented in Figure 2.</w:t>
      </w:r>
    </w:p>
    <w:p w14:paraId="40B13318"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The impact of SOX proteins on brain tumors has been extensively studied in the last few years, and significant contributions have been made to the understanding of </w:t>
      </w:r>
      <w:r w:rsidRPr="00F91674">
        <w:rPr>
          <w:rFonts w:ascii="Book Antiqua" w:eastAsia="Book Antiqua" w:hAnsi="Book Antiqua" w:cs="Book Antiqua"/>
          <w:color w:val="000000"/>
        </w:rPr>
        <w:lastRenderedPageBreak/>
        <w:t>the roles of SOX in the initiation, progression, dedifferentiation and spreading of glioma tumors.</w:t>
      </w:r>
    </w:p>
    <w:p w14:paraId="6901ECAB" w14:textId="77777777" w:rsidR="00D51910" w:rsidRPr="00F91674" w:rsidRDefault="00D51910" w:rsidP="00D51910">
      <w:pPr>
        <w:adjustRightInd w:val="0"/>
        <w:snapToGrid w:val="0"/>
        <w:spacing w:line="360" w:lineRule="auto"/>
        <w:jc w:val="both"/>
        <w:rPr>
          <w:rFonts w:ascii="Book Antiqua" w:eastAsia="Book Antiqua" w:hAnsi="Book Antiqua" w:cs="Book Antiqua"/>
          <w:color w:val="000000"/>
        </w:rPr>
      </w:pPr>
    </w:p>
    <w:p w14:paraId="09E14ADE" w14:textId="77777777" w:rsidR="00D51910" w:rsidRPr="00F91674" w:rsidRDefault="00D51910" w:rsidP="00D51910">
      <w:pPr>
        <w:adjustRightInd w:val="0"/>
        <w:snapToGrid w:val="0"/>
        <w:spacing w:line="360" w:lineRule="auto"/>
        <w:jc w:val="both"/>
        <w:rPr>
          <w:rFonts w:ascii="Book Antiqua" w:eastAsia="Book Antiqua" w:hAnsi="Book Antiqua" w:cs="Book Antiqua"/>
          <w:color w:val="000000"/>
        </w:rPr>
      </w:pPr>
      <w:r w:rsidRPr="00F91674">
        <w:rPr>
          <w:rFonts w:ascii="Book Antiqua" w:eastAsia="Book Antiqua" w:hAnsi="Book Antiqua" w:cs="Book Antiqua"/>
          <w:b/>
          <w:bCs/>
          <w:color w:val="000000"/>
          <w:u w:val="single"/>
        </w:rPr>
        <w:t>GBM</w:t>
      </w:r>
    </w:p>
    <w:p w14:paraId="2301EBF6" w14:textId="2FE60444" w:rsidR="00D51910" w:rsidRPr="00F91674" w:rsidRDefault="00D51910" w:rsidP="00D51910">
      <w:pPr>
        <w:adjustRightInd w:val="0"/>
        <w:snapToGrid w:val="0"/>
        <w:spacing w:line="360" w:lineRule="auto"/>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GBM, classified as a grade IV glioma tumor, is the most common and malignant primary brain </w:t>
      </w:r>
      <w:proofErr w:type="gramStart"/>
      <w:r w:rsidRPr="00F91674">
        <w:rPr>
          <w:rFonts w:ascii="Book Antiqua" w:eastAsia="Book Antiqua" w:hAnsi="Book Antiqua" w:cs="Book Antiqua"/>
          <w:color w:val="000000"/>
        </w:rPr>
        <w:t>tumor</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"_ENREF_63" \o "Thakkar, 2014 #55" </w:instrText>
      </w:r>
      <w:r w:rsidR="00BC0B14" w:rsidRPr="00F91674">
        <w:fldChar w:fldCharType="separate"/>
      </w:r>
      <w:r w:rsidRPr="00F91674">
        <w:rPr>
          <w:rFonts w:ascii="Book Antiqua" w:eastAsia="Book Antiqua" w:hAnsi="Book Antiqua" w:cs="Book Antiqua"/>
          <w:color w:val="000000"/>
          <w:vertAlign w:val="superscript"/>
        </w:rPr>
        <w:t>63</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GBM accounts for more than 60% of all brain tumors in adults and approximately 45% of all gliomas; the annual incidence of GBM is 3-4 cases per 100000 </w:t>
      </w:r>
      <w:proofErr w:type="gramStart"/>
      <w:r w:rsidRPr="00F91674">
        <w:rPr>
          <w:rFonts w:ascii="Book Antiqua" w:eastAsia="Book Antiqua" w:hAnsi="Book Antiqua" w:cs="Book Antiqua"/>
          <w:color w:val="000000"/>
        </w:rPr>
        <w:t>people</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"_ENREF_64" \o "Hottinger, 2014 #58" </w:instrText>
      </w:r>
      <w:r w:rsidR="00BC0B14" w:rsidRPr="00F91674">
        <w:fldChar w:fldCharType="separate"/>
      </w:r>
      <w:r w:rsidRPr="00F91674">
        <w:rPr>
          <w:rFonts w:ascii="Book Antiqua" w:eastAsia="Book Antiqua" w:hAnsi="Book Antiqua" w:cs="Book Antiqua"/>
          <w:color w:val="000000"/>
          <w:vertAlign w:val="superscript"/>
        </w:rPr>
        <w:t>64-66</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The ratio of GBM occurrence is, to some extent, higher in men than in women (1.6:1</w:t>
      </w:r>
      <w:proofErr w:type="gramStart"/>
      <w:r w:rsidRPr="00F91674">
        <w:rPr>
          <w:rFonts w:ascii="Book Antiqua" w:eastAsia="Book Antiqua" w:hAnsi="Book Antiqua" w:cs="Book Antiqua"/>
          <w:color w:val="000000"/>
        </w:rPr>
        <w:t>)</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"_ENREF_63" \o "Thakkar, 2014 #55" </w:instrText>
      </w:r>
      <w:r w:rsidR="00BC0B14" w:rsidRPr="00F91674">
        <w:fldChar w:fldCharType="separate"/>
      </w:r>
      <w:r w:rsidRPr="00F91674">
        <w:rPr>
          <w:rFonts w:ascii="Book Antiqua" w:eastAsia="Book Antiqua" w:hAnsi="Book Antiqua" w:cs="Book Antiqua"/>
          <w:color w:val="000000"/>
          <w:vertAlign w:val="superscript"/>
        </w:rPr>
        <w:t>63</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The median overall survival of patients with this type of tumor is approximately 12–15 </w:t>
      </w:r>
      <w:proofErr w:type="gramStart"/>
      <w:r w:rsidRPr="00F91674">
        <w:rPr>
          <w:rFonts w:ascii="Book Antiqua" w:eastAsia="Book Antiqua" w:hAnsi="Book Antiqua" w:cs="Book Antiqua"/>
          <w:color w:val="000000"/>
        </w:rPr>
        <w:t>months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"_ENREF_67" \o "Stupp, 2005 #80" </w:instrText>
      </w:r>
      <w:r w:rsidR="00BC0B14" w:rsidRPr="00F91674">
        <w:fldChar w:fldCharType="separate"/>
      </w:r>
      <w:r w:rsidRPr="00F91674">
        <w:rPr>
          <w:rFonts w:ascii="Book Antiqua" w:eastAsia="Book Antiqua" w:hAnsi="Book Antiqua" w:cs="Book Antiqua"/>
          <w:color w:val="000000"/>
          <w:vertAlign w:val="superscript"/>
        </w:rPr>
        <w:t>67</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with a median age at diagnosis of 65 years</w:t>
      </w:r>
      <w:r w:rsidRPr="00F91674">
        <w:rPr>
          <w:rFonts w:ascii="Book Antiqua" w:eastAsia="Book Antiqua" w:hAnsi="Book Antiqua" w:cs="Book Antiqua"/>
          <w:color w:val="000000"/>
          <w:vertAlign w:val="superscript"/>
        </w:rPr>
        <w:t>[</w:t>
      </w:r>
      <w:hyperlink w:anchor="_ENREF_68" w:tooltip="Ostrom, 2019 #60" w:history="1">
        <w:r w:rsidRPr="00F91674">
          <w:rPr>
            <w:rFonts w:ascii="Book Antiqua" w:eastAsia="Book Antiqua" w:hAnsi="Book Antiqua" w:cs="Book Antiqua"/>
            <w:color w:val="000000"/>
            <w:vertAlign w:val="superscript"/>
          </w:rPr>
          <w:t>68</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It has been demonstrated that the 5-year survival rate of GBM is 5.3</w:t>
      </w:r>
      <w:proofErr w:type="gramStart"/>
      <w:r w:rsidRPr="00F91674">
        <w:rPr>
          <w:rFonts w:ascii="Book Antiqua" w:eastAsia="Book Antiqua" w:hAnsi="Book Antiqua" w:cs="Book Antiqua"/>
          <w:color w:val="000000"/>
        </w:rPr>
        <w:t>%</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"_ENREF_69" \o "Brennan, 2013 #61" </w:instrText>
      </w:r>
      <w:r w:rsidR="00BC0B14" w:rsidRPr="00F91674">
        <w:fldChar w:fldCharType="separate"/>
      </w:r>
      <w:r w:rsidRPr="00F91674">
        <w:rPr>
          <w:rFonts w:ascii="Book Antiqua" w:eastAsia="Book Antiqua" w:hAnsi="Book Antiqua" w:cs="Book Antiqua"/>
          <w:color w:val="000000"/>
          <w:vertAlign w:val="superscript"/>
        </w:rPr>
        <w:t>69</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It is the most aggressive malignant brain tumor in adults, is among the most vascularized solid tumors (reviewed in</w:t>
      </w:r>
      <w:r w:rsidRPr="00F91674">
        <w:rPr>
          <w:rFonts w:ascii="Book Antiqua" w:eastAsia="Book Antiqua" w:hAnsi="Book Antiqua" w:cs="Book Antiqua"/>
          <w:color w:val="000000"/>
          <w:vertAlign w:val="superscript"/>
        </w:rPr>
        <w:t>[</w:t>
      </w:r>
      <w:hyperlink w:anchor="_ENREF_70" w:tooltip="Conroy, 2017 #63" w:history="1">
        <w:r w:rsidRPr="00F91674">
          <w:rPr>
            <w:rFonts w:ascii="Book Antiqua" w:eastAsia="Book Antiqua" w:hAnsi="Book Antiqua" w:cs="Book Antiqua"/>
            <w:color w:val="000000"/>
            <w:vertAlign w:val="superscript"/>
          </w:rPr>
          <w:t>70</w:t>
        </w:r>
      </w:hyperlink>
      <w:r w:rsidRPr="00F91674">
        <w:rPr>
          <w:rFonts w:ascii="Book Antiqua" w:eastAsia="Book Antiqua" w:hAnsi="Book Antiqua" w:cs="Book Antiqua"/>
          <w:color w:val="000000"/>
          <w:vertAlign w:val="superscript"/>
        </w:rPr>
        <w:t>,</w:t>
      </w:r>
      <w:hyperlink w:anchor="_ENREF_71" w:tooltip="Escamilla-Ramirez, 2020 #89" w:history="1">
        <w:r w:rsidRPr="00F91674">
          <w:rPr>
            <w:rFonts w:ascii="Book Antiqua" w:eastAsia="Book Antiqua" w:hAnsi="Book Antiqua" w:cs="Book Antiqua"/>
            <w:color w:val="000000"/>
            <w:vertAlign w:val="superscript"/>
          </w:rPr>
          <w:t>71</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consists of heterogeneous cell populations in different phases of differentiation</w:t>
      </w:r>
      <w:r w:rsidRPr="00F91674">
        <w:rPr>
          <w:rFonts w:ascii="Book Antiqua" w:eastAsia="Book Antiqua" w:hAnsi="Book Antiqua" w:cs="Book Antiqua"/>
          <w:color w:val="000000"/>
          <w:vertAlign w:val="superscript"/>
        </w:rPr>
        <w:t>[</w:t>
      </w:r>
      <w:hyperlink w:anchor="_ENREF_72" w:tooltip="Ryskalin, 2019 #64" w:history="1">
        <w:r w:rsidRPr="00F91674">
          <w:rPr>
            <w:rFonts w:ascii="Book Antiqua" w:eastAsia="Book Antiqua" w:hAnsi="Book Antiqua" w:cs="Book Antiqua"/>
            <w:color w:val="000000"/>
            <w:vertAlign w:val="superscript"/>
          </w:rPr>
          <w:t>72</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and recapitulates most of the hallmarks of cancer, including uncontrolled proliferation, resistance to apoptosis, dysregulation of the cell cycle and angiogenesis (reviewed in</w:t>
      </w:r>
      <w:r w:rsidRPr="00F91674">
        <w:rPr>
          <w:rFonts w:ascii="Book Antiqua" w:eastAsia="Book Antiqua" w:hAnsi="Book Antiqua" w:cs="Book Antiqua"/>
          <w:color w:val="000000"/>
          <w:vertAlign w:val="superscript"/>
        </w:rPr>
        <w:t>[</w:t>
      </w:r>
      <w:hyperlink w:anchor="_ENREF_73" w:tooltip="Thomas, 2020 #65" w:history="1">
        <w:r w:rsidRPr="00F91674">
          <w:rPr>
            <w:rFonts w:ascii="Book Antiqua" w:eastAsia="Book Antiqua" w:hAnsi="Book Antiqua" w:cs="Book Antiqua"/>
            <w:color w:val="000000"/>
            <w:vertAlign w:val="superscript"/>
          </w:rPr>
          <w:t>73</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1BC5F085" w14:textId="102EB2D3"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GBMs are defined as primary, arising </w:t>
      </w:r>
      <w:r w:rsidRPr="00F91674">
        <w:rPr>
          <w:rFonts w:ascii="Book Antiqua" w:eastAsia="Book Antiqua" w:hAnsi="Book Antiqua" w:cs="Book Antiqua"/>
          <w:i/>
          <w:color w:val="000000"/>
        </w:rPr>
        <w:t>de novo</w:t>
      </w:r>
      <w:r w:rsidRPr="00F91674">
        <w:rPr>
          <w:rFonts w:ascii="Book Antiqua" w:eastAsia="Book Antiqua" w:hAnsi="Book Antiqua" w:cs="Book Antiqua"/>
          <w:color w:val="000000"/>
        </w:rPr>
        <w:t xml:space="preserve">, or secondary, developing from lower-grade glioma tumors (grade II or III astrocytoma) through malignant </w:t>
      </w:r>
      <w:proofErr w:type="gramStart"/>
      <w:r w:rsidRPr="00F91674">
        <w:rPr>
          <w:rFonts w:ascii="Book Antiqua" w:eastAsia="Book Antiqua" w:hAnsi="Book Antiqua" w:cs="Book Antiqua"/>
          <w:color w:val="000000"/>
        </w:rPr>
        <w:t>transformation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"_ENREF_74" \o "Ohgaki, 2007 #66" </w:instrText>
      </w:r>
      <w:r w:rsidR="00BC0B14" w:rsidRPr="00F91674">
        <w:fldChar w:fldCharType="separate"/>
      </w:r>
      <w:r w:rsidRPr="00F91674">
        <w:rPr>
          <w:rFonts w:ascii="Book Antiqua" w:eastAsia="Book Antiqua" w:hAnsi="Book Antiqua" w:cs="Book Antiqua"/>
          <w:color w:val="000000"/>
          <w:vertAlign w:val="superscript"/>
        </w:rPr>
        <w:t>74</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Four clinically relevant subtypes of GBM have been identified based on molecular expression patterns: proneural, neural, classical and </w:t>
      </w:r>
      <w:proofErr w:type="gramStart"/>
      <w:r w:rsidRPr="00F91674">
        <w:rPr>
          <w:rFonts w:ascii="Book Antiqua" w:eastAsia="Book Antiqua" w:hAnsi="Book Antiqua" w:cs="Book Antiqua"/>
          <w:color w:val="000000"/>
        </w:rPr>
        <w:t>mesenchymal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"_ENREF_75" \o "Verhaak, 2010 #67" </w:instrText>
      </w:r>
      <w:r w:rsidR="00BC0B14" w:rsidRPr="00F91674">
        <w:fldChar w:fldCharType="separate"/>
      </w:r>
      <w:r w:rsidRPr="00F91674">
        <w:rPr>
          <w:rFonts w:ascii="Book Antiqua" w:eastAsia="Book Antiqua" w:hAnsi="Book Antiqua" w:cs="Book Antiqua"/>
          <w:color w:val="000000"/>
          <w:vertAlign w:val="superscript"/>
        </w:rPr>
        <w:t>75</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It has been demonstrated that various molecular subclasses can be detected within the same </w:t>
      </w:r>
      <w:proofErr w:type="gramStart"/>
      <w:r w:rsidRPr="00F91674">
        <w:rPr>
          <w:rFonts w:ascii="Book Antiqua" w:eastAsia="Book Antiqua" w:hAnsi="Book Antiqua" w:cs="Book Antiqua"/>
          <w:color w:val="000000"/>
        </w:rPr>
        <w:t>tumor</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"_ENREF_76" \o "Sottoriva, 2013 #68" </w:instrText>
      </w:r>
      <w:r w:rsidR="00BC0B14" w:rsidRPr="00F91674">
        <w:fldChar w:fldCharType="separate"/>
      </w:r>
      <w:r w:rsidRPr="00F91674">
        <w:rPr>
          <w:rFonts w:ascii="Book Antiqua" w:eastAsia="Book Antiqua" w:hAnsi="Book Antiqua" w:cs="Book Antiqua"/>
          <w:color w:val="000000"/>
          <w:vertAlign w:val="superscript"/>
        </w:rPr>
        <w:t>76</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It is reported in the literature that the proneural and neural GBM subtypes arise in or near the subventricular zone, while the mesenchymal and classical subtypes occur distal to the subventricular zone (reviewed </w:t>
      </w:r>
      <w:proofErr w:type="gramStart"/>
      <w:r w:rsidRPr="00F91674">
        <w:rPr>
          <w:rFonts w:ascii="Book Antiqua" w:eastAsia="Book Antiqua" w:hAnsi="Book Antiqua" w:cs="Book Antiqua"/>
          <w:color w:val="000000"/>
        </w:rPr>
        <w:t>in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"_ENREF_77" \o "Jovčevska, 2019 #69" </w:instrText>
      </w:r>
      <w:r w:rsidR="00BC0B14" w:rsidRPr="00F91674">
        <w:fldChar w:fldCharType="separate"/>
      </w:r>
      <w:r w:rsidRPr="00F91674">
        <w:rPr>
          <w:rFonts w:ascii="Book Antiqua" w:eastAsia="Book Antiqua" w:hAnsi="Book Antiqua" w:cs="Book Antiqua"/>
          <w:color w:val="000000"/>
          <w:vertAlign w:val="superscript"/>
        </w:rPr>
        <w:t>77</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Furthermore, based on the gene expression proﬁle, Park </w:t>
      </w:r>
      <w:r w:rsidRPr="00F91674">
        <w:rPr>
          <w:rFonts w:ascii="Book Antiqua" w:eastAsia="Book Antiqua" w:hAnsi="Book Antiqua" w:cs="Book Antiqua"/>
          <w:i/>
          <w:color w:val="000000"/>
        </w:rPr>
        <w:t xml:space="preserve">et </w:t>
      </w:r>
      <w:proofErr w:type="gramStart"/>
      <w:r w:rsidRPr="00F91674">
        <w:rPr>
          <w:rFonts w:ascii="Book Antiqua" w:eastAsia="Book Antiqua" w:hAnsi="Book Antiqua" w:cs="Book Antiqua"/>
          <w:i/>
          <w:color w:val="000000"/>
        </w:rPr>
        <w:t>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"_ENREF_78" \o "Park, 2019 #70" </w:instrText>
      </w:r>
      <w:r w:rsidR="00BC0B14" w:rsidRPr="00F91674">
        <w:fldChar w:fldCharType="separate"/>
      </w:r>
      <w:r w:rsidRPr="00F91674">
        <w:rPr>
          <w:rFonts w:ascii="Book Antiqua" w:eastAsia="Book Antiqua" w:hAnsi="Book Antiqua" w:cs="Book Antiqua"/>
          <w:color w:val="000000"/>
          <w:vertAlign w:val="superscript"/>
        </w:rPr>
        <w:t>78</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identiﬁed three prognostic subtypes of GBM: mitotic (favorable), intermediate and invasive.</w:t>
      </w:r>
    </w:p>
    <w:p w14:paraId="13A8E1FB"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GBM persistently communicates with its TME, and the TME contributes to the tumorigenesis and progression of GBM (reviewed </w:t>
      </w:r>
      <w:proofErr w:type="gramStart"/>
      <w:r w:rsidRPr="00F91674">
        <w:rPr>
          <w:rFonts w:ascii="Book Antiqua" w:eastAsia="Book Antiqua" w:hAnsi="Book Antiqua" w:cs="Book Antiqua"/>
          <w:color w:val="000000"/>
        </w:rPr>
        <w:t>in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"_ENREF_79" \o "Schiffer, 2018 #72" </w:instrText>
      </w:r>
      <w:r w:rsidR="00BC0B14" w:rsidRPr="00F91674">
        <w:fldChar w:fldCharType="separate"/>
      </w:r>
      <w:r w:rsidRPr="00F91674">
        <w:rPr>
          <w:rFonts w:ascii="Book Antiqua" w:eastAsia="Book Antiqua" w:hAnsi="Book Antiqua" w:cs="Book Antiqua"/>
          <w:color w:val="000000"/>
          <w:vertAlign w:val="superscript"/>
        </w:rPr>
        <w:t>79</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hyperlink w:anchor="_ENREF_80" w:tooltip="Schiffer, 2015 #71" w:history="1">
        <w:r w:rsidRPr="00F91674">
          <w:rPr>
            <w:rFonts w:ascii="Book Antiqua" w:eastAsia="Book Antiqua" w:hAnsi="Book Antiqua" w:cs="Book Antiqua"/>
            <w:color w:val="000000"/>
            <w:vertAlign w:val="superscript"/>
          </w:rPr>
          <w:t>80</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The GBM TME is extremely heterogeneous, consisting of the extracellular matrix, tumor cells such as glioma stem </w:t>
      </w:r>
      <w:r w:rsidRPr="00F91674">
        <w:rPr>
          <w:rFonts w:ascii="Book Antiqua" w:eastAsia="Book Antiqua" w:hAnsi="Book Antiqua" w:cs="Book Antiqua"/>
          <w:color w:val="000000"/>
        </w:rPr>
        <w:lastRenderedPageBreak/>
        <w:t>cells (GSCs), and non-tumor cells, including endothelial cells, pericytes, microglia, immune cells, oligodendrocytes, neurons, astrocytes and myeloid-derived suppressor cells (reviewed in</w:t>
      </w:r>
      <w:r w:rsidRPr="00F91674">
        <w:rPr>
          <w:rFonts w:ascii="Book Antiqua" w:eastAsia="Book Antiqua" w:hAnsi="Book Antiqua" w:cs="Book Antiqua"/>
          <w:color w:val="000000"/>
          <w:vertAlign w:val="superscript"/>
        </w:rPr>
        <w:t>[</w:t>
      </w:r>
      <w:hyperlink w:anchor="_ENREF_81" w:tooltip="Roberts, 2020 #73" w:history="1">
        <w:r w:rsidRPr="00F91674">
          <w:rPr>
            <w:rFonts w:ascii="Book Antiqua" w:eastAsia="Book Antiqua" w:hAnsi="Book Antiqua" w:cs="Book Antiqua"/>
            <w:color w:val="000000"/>
            <w:vertAlign w:val="superscript"/>
          </w:rPr>
          <w:t>81</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Extracellular vesicles containing soluble proteins, DNA, mRNA and noncoding RNAs enable communication between the GBM and the TME, and these vesicles contribute to angiogenesis, invasion, evasion of apoptosis and resistance to drugs (reviewed in</w:t>
      </w:r>
      <w:r w:rsidRPr="00F91674">
        <w:rPr>
          <w:rFonts w:ascii="Book Antiqua" w:eastAsia="Book Antiqua" w:hAnsi="Book Antiqua" w:cs="Book Antiqua"/>
          <w:color w:val="000000"/>
          <w:vertAlign w:val="superscript"/>
        </w:rPr>
        <w:t>[</w:t>
      </w:r>
      <w:hyperlink w:anchor="_ENREF_82" w:tooltip="Matarredona, 2019 #75" w:history="1">
        <w:r w:rsidRPr="00F91674">
          <w:rPr>
            <w:rFonts w:ascii="Book Antiqua" w:eastAsia="Book Antiqua" w:hAnsi="Book Antiqua" w:cs="Book Antiqua"/>
            <w:color w:val="000000"/>
            <w:vertAlign w:val="superscript"/>
          </w:rPr>
          <w:t>82</w:t>
        </w:r>
      </w:hyperlink>
      <w:r w:rsidRPr="00F91674">
        <w:rPr>
          <w:rFonts w:ascii="Book Antiqua" w:eastAsia="Book Antiqua" w:hAnsi="Book Antiqua" w:cs="Book Antiqua"/>
          <w:color w:val="000000"/>
          <w:vertAlign w:val="superscript"/>
        </w:rPr>
        <w:t>,</w:t>
      </w:r>
      <w:hyperlink w:anchor="_ENREF_83" w:tooltip="Simon, 2020 #74" w:history="1">
        <w:r w:rsidRPr="00F91674">
          <w:rPr>
            <w:rFonts w:ascii="Book Antiqua" w:eastAsia="Book Antiqua" w:hAnsi="Book Antiqua" w:cs="Book Antiqua"/>
            <w:color w:val="000000"/>
            <w:vertAlign w:val="superscript"/>
          </w:rPr>
          <w:t>83</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Furthermore, it has been shown that GBM cells communicate by thin membrane channels (tunneling nanotubes), and the results obtained by Valdebenito </w:t>
      </w:r>
      <w:r w:rsidRPr="00F91674">
        <w:rPr>
          <w:rFonts w:ascii="Book Antiqua" w:eastAsia="Book Antiqua" w:hAnsi="Book Antiqua" w:cs="Book Antiqua"/>
          <w:i/>
          <w:color w:val="000000"/>
        </w:rPr>
        <w:t>et al</w:t>
      </w:r>
      <w:r w:rsidRPr="00F91674">
        <w:rPr>
          <w:rFonts w:ascii="Book Antiqua" w:eastAsia="Book Antiqua" w:hAnsi="Book Antiqua" w:cs="Book Antiqua"/>
          <w:color w:val="000000"/>
          <w:vertAlign w:val="superscript"/>
        </w:rPr>
        <w:t>[</w:t>
      </w:r>
      <w:hyperlink w:anchor="_ENREF_84" w:tooltip="Valdebenito, 2020 #76" w:history="1">
        <w:r w:rsidRPr="00F91674">
          <w:rPr>
            <w:rFonts w:ascii="Book Antiqua" w:eastAsia="Book Antiqua" w:hAnsi="Book Antiqua" w:cs="Book Antiqua"/>
            <w:color w:val="000000"/>
            <w:vertAlign w:val="superscript"/>
          </w:rPr>
          <w:t>84</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revealed that these nanotubes mediate the protection of GBM cells from temozolomide (TMZ) and ionizing radiation treatment.</w:t>
      </w:r>
    </w:p>
    <w:p w14:paraId="50F20E7C"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The precise cell of origin of GBM is still a controversial issue. It has been reported in the literature that neural stem cells (NSCs) of the subventricular zone and oligodendrocyte precursor cells represent two major candidates for the GBM cell of origin (Figure 3) (reviewed in</w:t>
      </w:r>
      <w:r w:rsidRPr="00F91674">
        <w:rPr>
          <w:rFonts w:ascii="Book Antiqua" w:eastAsia="Book Antiqua" w:hAnsi="Book Antiqua" w:cs="Book Antiqua"/>
          <w:color w:val="000000"/>
          <w:vertAlign w:val="superscript"/>
        </w:rPr>
        <w:t>[</w:t>
      </w:r>
      <w:hyperlink w:anchor="_ENREF_85" w:tooltip="Fan, 2019 #77" w:history="1">
        <w:r w:rsidRPr="00F91674">
          <w:rPr>
            <w:rFonts w:ascii="Book Antiqua" w:eastAsia="Book Antiqua" w:hAnsi="Book Antiqua" w:cs="Book Antiqua"/>
            <w:color w:val="000000"/>
            <w:vertAlign w:val="superscript"/>
          </w:rPr>
          <w:t>85</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Furthermore, several studies proposed that GBM might arise from the malignant transformation of glial and astrocyte precursor cells as well as from the dedifferentiation of astrocytes and neurons (reviewed </w:t>
      </w:r>
      <w:proofErr w:type="gramStart"/>
      <w:r w:rsidRPr="00F91674">
        <w:rPr>
          <w:rFonts w:ascii="Book Antiqua" w:eastAsia="Book Antiqua" w:hAnsi="Book Antiqua" w:cs="Book Antiqua"/>
          <w:color w:val="000000"/>
        </w:rPr>
        <w:t>in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"_ENREF_85" \o "Fan, 2019 #77" </w:instrText>
      </w:r>
      <w:r w:rsidR="00BC0B14" w:rsidRPr="00F91674">
        <w:fldChar w:fldCharType="separate"/>
      </w:r>
      <w:r w:rsidRPr="00F91674">
        <w:rPr>
          <w:rFonts w:ascii="Book Antiqua" w:eastAsia="Book Antiqua" w:hAnsi="Book Antiqua" w:cs="Book Antiqua"/>
          <w:color w:val="000000"/>
          <w:vertAlign w:val="superscript"/>
        </w:rPr>
        <w:t>85-87</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71227CA4"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The current standard therapeutic treatment of GBM includes tumor resection by surgery, followed by radiotherapy and concomitant chemotherapy with </w:t>
      </w:r>
      <w:proofErr w:type="gramStart"/>
      <w:r w:rsidRPr="00F91674">
        <w:rPr>
          <w:rFonts w:ascii="Book Antiqua" w:eastAsia="Book Antiqua" w:hAnsi="Book Antiqua" w:cs="Book Antiqua"/>
          <w:color w:val="000000"/>
        </w:rPr>
        <w:t>TMZ</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"_ENREF_67" \o "Stupp, 2005 #80" </w:instrText>
      </w:r>
      <w:r w:rsidR="00BC0B14" w:rsidRPr="00F91674">
        <w:fldChar w:fldCharType="separate"/>
      </w:r>
      <w:r w:rsidRPr="00F91674">
        <w:rPr>
          <w:rFonts w:ascii="Book Antiqua" w:eastAsia="Book Antiqua" w:hAnsi="Book Antiqua" w:cs="Book Antiqua"/>
          <w:color w:val="000000"/>
          <w:vertAlign w:val="superscript"/>
        </w:rPr>
        <w:t>67</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However, GBM still remains incurable and usually recurs due to a high level of intertumoral and intratumoral heterogeneity demonstrated at the histological, cellular and molecular levels (reviewed in</w:t>
      </w:r>
      <w:r w:rsidRPr="00F91674">
        <w:rPr>
          <w:rFonts w:ascii="Book Antiqua" w:eastAsia="Book Antiqua" w:hAnsi="Book Antiqua" w:cs="Book Antiqua"/>
          <w:color w:val="000000"/>
          <w:vertAlign w:val="superscript"/>
        </w:rPr>
        <w:t>[</w:t>
      </w:r>
      <w:hyperlink w:anchor="_ENREF_88" w:tooltip="Aum, 2014 #84" w:history="1">
        <w:r w:rsidRPr="00F91674">
          <w:rPr>
            <w:rFonts w:ascii="Book Antiqua" w:eastAsia="Book Antiqua" w:hAnsi="Book Antiqua" w:cs="Book Antiqua"/>
            <w:color w:val="000000"/>
            <w:vertAlign w:val="superscript"/>
          </w:rPr>
          <w:t>88-90</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the presence of GSCs, infiltration into the healthy brain parenchyma, the high rate of migration from the tumor core and the ability to generate secondary tumors (reviewed in</w:t>
      </w:r>
      <w:r w:rsidRPr="00F91674">
        <w:rPr>
          <w:rFonts w:ascii="Book Antiqua" w:eastAsia="Book Antiqua" w:hAnsi="Book Antiqua" w:cs="Book Antiqua"/>
          <w:color w:val="000000"/>
          <w:vertAlign w:val="superscript"/>
        </w:rPr>
        <w:t>[</w:t>
      </w:r>
      <w:hyperlink w:anchor="_ENREF_91" w:tooltip="Abadi, 2021 #85" w:history="1">
        <w:r w:rsidRPr="00F91674">
          <w:rPr>
            <w:rFonts w:ascii="Book Antiqua" w:eastAsia="Book Antiqua" w:hAnsi="Book Antiqua" w:cs="Book Antiqua"/>
            <w:color w:val="000000"/>
            <w:vertAlign w:val="superscript"/>
          </w:rPr>
          <w:t>91</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5314985D"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GBM tumor initiation, progression, relapse, and resistance to treatments are associated with GSCs (reviewed in</w:t>
      </w:r>
      <w:r w:rsidRPr="00F91674">
        <w:rPr>
          <w:rFonts w:ascii="Book Antiqua" w:eastAsia="Book Antiqua" w:hAnsi="Book Antiqua" w:cs="Book Antiqua"/>
          <w:color w:val="000000"/>
          <w:vertAlign w:val="superscript"/>
        </w:rPr>
        <w:t>[</w:t>
      </w:r>
      <w:hyperlink w:anchor="_ENREF_92" w:tooltip="Bryukhovetskiy, 2020 #92" w:history="1">
        <w:r w:rsidRPr="00F91674">
          <w:rPr>
            <w:rFonts w:ascii="Book Antiqua" w:eastAsia="Book Antiqua" w:hAnsi="Book Antiqua" w:cs="Book Antiqua"/>
            <w:color w:val="000000"/>
            <w:vertAlign w:val="superscript"/>
          </w:rPr>
          <w:t>92</w:t>
        </w:r>
      </w:hyperlink>
      <w:r w:rsidRPr="00F91674">
        <w:rPr>
          <w:rFonts w:ascii="Book Antiqua" w:eastAsia="Book Antiqua" w:hAnsi="Book Antiqua" w:cs="Book Antiqua"/>
          <w:color w:val="000000"/>
          <w:vertAlign w:val="superscript"/>
        </w:rPr>
        <w:t>,</w:t>
      </w:r>
      <w:hyperlink w:anchor="_ENREF_93" w:tooltip="Vieira de Castro, 2020 #87" w:history="1">
        <w:r w:rsidRPr="00F91674">
          <w:rPr>
            <w:rFonts w:ascii="Book Antiqua" w:eastAsia="Book Antiqua" w:hAnsi="Book Antiqua" w:cs="Book Antiqua"/>
            <w:color w:val="000000"/>
            <w:vertAlign w:val="superscript"/>
          </w:rPr>
          <w:t>93</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and these cells represent one of the main therapeutic targets.</w:t>
      </w:r>
    </w:p>
    <w:p w14:paraId="5825FA21" w14:textId="77777777" w:rsidR="00D51910" w:rsidRPr="00F91674" w:rsidRDefault="00D51910" w:rsidP="00D51910">
      <w:pPr>
        <w:adjustRightInd w:val="0"/>
        <w:snapToGrid w:val="0"/>
        <w:spacing w:line="360" w:lineRule="auto"/>
        <w:jc w:val="both"/>
        <w:rPr>
          <w:rFonts w:ascii="Book Antiqua" w:eastAsia="Book Antiqua" w:hAnsi="Book Antiqua" w:cs="Book Antiqua"/>
          <w:color w:val="000000"/>
        </w:rPr>
      </w:pPr>
    </w:p>
    <w:p w14:paraId="43F9B5BB" w14:textId="6A8F1082" w:rsidR="00D51910" w:rsidRPr="00F91674" w:rsidRDefault="00D51910" w:rsidP="00D51910">
      <w:pPr>
        <w:adjustRightInd w:val="0"/>
        <w:snapToGrid w:val="0"/>
        <w:spacing w:line="360" w:lineRule="auto"/>
        <w:jc w:val="both"/>
        <w:rPr>
          <w:rFonts w:ascii="Book Antiqua" w:eastAsia="Book Antiqua" w:hAnsi="Book Antiqua" w:cs="Book Antiqua"/>
          <w:b/>
          <w:bCs/>
          <w:color w:val="000000"/>
          <w:u w:val="single"/>
        </w:rPr>
      </w:pPr>
      <w:r w:rsidRPr="00F91674">
        <w:rPr>
          <w:rFonts w:ascii="Book Antiqua" w:eastAsia="Book Antiqua" w:hAnsi="Book Antiqua" w:cs="Book Antiqua"/>
          <w:b/>
          <w:bCs/>
          <w:color w:val="000000"/>
          <w:u w:val="single"/>
        </w:rPr>
        <w:t xml:space="preserve">ROLE OF </w:t>
      </w:r>
      <w:r w:rsidRPr="00F91674">
        <w:rPr>
          <w:rFonts w:ascii="Book Antiqua" w:eastAsia="Book Antiqua" w:hAnsi="Book Antiqua" w:cs="Book Antiqua"/>
          <w:b/>
          <w:bCs/>
          <w:i/>
          <w:color w:val="000000"/>
          <w:u w:val="single"/>
        </w:rPr>
        <w:t>SOX</w:t>
      </w:r>
      <w:r w:rsidRPr="00F91674">
        <w:rPr>
          <w:rFonts w:ascii="Book Antiqua" w:eastAsia="Book Antiqua" w:hAnsi="Book Antiqua" w:cs="Book Antiqua"/>
          <w:b/>
          <w:bCs/>
          <w:color w:val="000000"/>
          <w:u w:val="single"/>
        </w:rPr>
        <w:t xml:space="preserve"> GENES IN GBM AND CORRELATIONS WITH PROGNOSIS AND SURVIVAL OF PATIENTS</w:t>
      </w:r>
    </w:p>
    <w:p w14:paraId="5DBD966E" w14:textId="7CAC620A" w:rsidR="00D51910" w:rsidRPr="00F91674" w:rsidRDefault="00D51910" w:rsidP="00D51910">
      <w:pPr>
        <w:adjustRightInd w:val="0"/>
        <w:snapToGrid w:val="0"/>
        <w:spacing w:line="360" w:lineRule="auto"/>
        <w:jc w:val="both"/>
        <w:rPr>
          <w:rFonts w:ascii="Book Antiqua" w:eastAsia="Book Antiqua" w:hAnsi="Book Antiqua" w:cs="Book Antiqua"/>
          <w:color w:val="000000"/>
        </w:rPr>
      </w:pPr>
      <w:r w:rsidRPr="00F91674">
        <w:rPr>
          <w:rFonts w:ascii="Book Antiqua" w:eastAsia="Book Antiqua" w:hAnsi="Book Antiqua" w:cs="Book Antiqua"/>
          <w:color w:val="000000"/>
        </w:rPr>
        <w:lastRenderedPageBreak/>
        <w:t xml:space="preserve">Almost all members of the </w:t>
      </w:r>
      <w:proofErr w:type="gramStart"/>
      <w:r w:rsidRPr="00F91674">
        <w:rPr>
          <w:rFonts w:ascii="Book Antiqua" w:eastAsia="Book Antiqua" w:hAnsi="Book Antiqua" w:cs="Book Antiqua"/>
          <w:i/>
          <w:iCs/>
          <w:color w:val="000000"/>
        </w:rPr>
        <w:t>SOX</w:t>
      </w:r>
      <w:r w:rsidRPr="00F91674">
        <w:rPr>
          <w:rFonts w:ascii="Book Antiqua" w:eastAsia="Book Antiqua" w:hAnsi="Book Antiqua" w:cs="Book Antiqua"/>
          <w:color w:val="000000"/>
        </w:rPr>
        <w:t xml:space="preserve">  gene</w:t>
      </w:r>
      <w:proofErr w:type="gramEnd"/>
      <w:r w:rsidRPr="00F91674">
        <w:rPr>
          <w:rFonts w:ascii="Book Antiqua" w:eastAsia="Book Antiqua" w:hAnsi="Book Antiqua" w:cs="Book Antiqua"/>
          <w:color w:val="000000"/>
        </w:rPr>
        <w:t xml:space="preserve"> family contribute to the malignant phenotype of GBM by regulating cell proliferation, migration, invasion, apoptosis, stemness, tumorigenicity or angiogenesis. The correlation of </w:t>
      </w:r>
      <w:proofErr w:type="gramStart"/>
      <w:r w:rsidRPr="00F91674">
        <w:rPr>
          <w:rFonts w:ascii="Book Antiqua" w:eastAsia="Book Antiqua" w:hAnsi="Book Antiqua" w:cs="Book Antiqua"/>
          <w:i/>
          <w:iCs/>
          <w:color w:val="000000"/>
        </w:rPr>
        <w:t>SOX</w:t>
      </w:r>
      <w:r w:rsidRPr="00F91674">
        <w:rPr>
          <w:rFonts w:ascii="Book Antiqua" w:eastAsia="Book Antiqua" w:hAnsi="Book Antiqua" w:cs="Book Antiqua"/>
          <w:color w:val="000000"/>
        </w:rPr>
        <w:t xml:space="preserve">  gene</w:t>
      </w:r>
      <w:proofErr w:type="gramEnd"/>
      <w:r w:rsidRPr="00F91674">
        <w:rPr>
          <w:rFonts w:ascii="Book Antiqua" w:eastAsia="Book Antiqua" w:hAnsi="Book Antiqua" w:cs="Book Antiqua"/>
          <w:color w:val="000000"/>
        </w:rPr>
        <w:t xml:space="preserve"> expression levels with patient clinical outcomes has been documented (Table 2).</w:t>
      </w:r>
    </w:p>
    <w:p w14:paraId="4D40EF73" w14:textId="07976C8A"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Various </w:t>
      </w:r>
      <w:proofErr w:type="gramStart"/>
      <w:r w:rsidRPr="00F91674">
        <w:rPr>
          <w:rFonts w:ascii="Book Antiqua" w:eastAsia="Book Antiqua" w:hAnsi="Book Antiqua" w:cs="Book Antiqua"/>
          <w:i/>
          <w:color w:val="000000"/>
        </w:rPr>
        <w:t>SOX</w:t>
      </w:r>
      <w:r w:rsidRPr="00F91674">
        <w:rPr>
          <w:rFonts w:ascii="Book Antiqua" w:eastAsia="Book Antiqua" w:hAnsi="Book Antiqua" w:cs="Book Antiqua"/>
          <w:color w:val="000000"/>
        </w:rPr>
        <w:t xml:space="preserve">  genes</w:t>
      </w:r>
      <w:proofErr w:type="gramEnd"/>
      <w:r w:rsidRPr="00F91674">
        <w:rPr>
          <w:rFonts w:ascii="Book Antiqua" w:eastAsia="Book Antiqua" w:hAnsi="Book Antiqua" w:cs="Book Antiqua"/>
          <w:color w:val="000000"/>
        </w:rPr>
        <w:t xml:space="preserve"> exert oncogenic properties in GBM. </w:t>
      </w:r>
      <w:r w:rsidRPr="00F91674">
        <w:rPr>
          <w:rFonts w:ascii="Book Antiqua" w:eastAsia="Book Antiqua" w:hAnsi="Book Antiqua" w:cs="Book Antiqua"/>
          <w:i/>
          <w:color w:val="000000"/>
        </w:rPr>
        <w:t>SOX1</w:t>
      </w:r>
      <w:r w:rsidRPr="00F91674">
        <w:rPr>
          <w:rFonts w:ascii="Book Antiqua" w:eastAsia="Book Antiqua" w:hAnsi="Book Antiqua" w:cs="Book Antiqua"/>
          <w:color w:val="000000"/>
        </w:rPr>
        <w:t xml:space="preserve"> regulates the self-renewal and proliferation of patient-derived cells, tumor initiation and </w:t>
      </w:r>
      <w:proofErr w:type="gramStart"/>
      <w:r w:rsidRPr="00F91674">
        <w:rPr>
          <w:rFonts w:ascii="Book Antiqua" w:eastAsia="Book Antiqua" w:hAnsi="Book Antiqua" w:cs="Book Antiqua"/>
          <w:color w:val="000000"/>
        </w:rPr>
        <w:t>progression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"_ENREF_94" \o "Garcia, 2017 #11" </w:instrText>
      </w:r>
      <w:r w:rsidR="00BC0B14" w:rsidRPr="00F91674">
        <w:fldChar w:fldCharType="separate"/>
      </w:r>
      <w:r w:rsidRPr="00F91674">
        <w:rPr>
          <w:rFonts w:ascii="Book Antiqua" w:eastAsia="Book Antiqua" w:hAnsi="Book Antiqua" w:cs="Book Antiqua"/>
          <w:color w:val="000000"/>
          <w:vertAlign w:val="superscript"/>
        </w:rPr>
        <w:t>94</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The expression of </w:t>
      </w:r>
      <w:r w:rsidRPr="00F91674">
        <w:rPr>
          <w:rFonts w:ascii="Book Antiqua" w:eastAsia="Book Antiqua" w:hAnsi="Book Antiqua" w:cs="Book Antiqua"/>
          <w:i/>
          <w:color w:val="000000"/>
        </w:rPr>
        <w:t>SOX1</w:t>
      </w:r>
      <w:r w:rsidRPr="00F91674">
        <w:rPr>
          <w:rFonts w:ascii="Book Antiqua" w:eastAsia="Book Antiqua" w:hAnsi="Book Antiqua" w:cs="Book Antiqua"/>
          <w:color w:val="000000"/>
        </w:rPr>
        <w:t xml:space="preserve"> in GBM is higher than that in the normal brain and low-grade glioma and correlates with shorter overall </w:t>
      </w:r>
      <w:proofErr w:type="gramStart"/>
      <w:r w:rsidRPr="00F91674">
        <w:rPr>
          <w:rFonts w:ascii="Book Antiqua" w:eastAsia="Book Antiqua" w:hAnsi="Book Antiqua" w:cs="Book Antiqua"/>
          <w:color w:val="000000"/>
        </w:rPr>
        <w:t>survival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"_ENREF_94" \o "Garcia, 2017 #11" </w:instrText>
      </w:r>
      <w:r w:rsidR="00BC0B14" w:rsidRPr="00F91674">
        <w:fldChar w:fldCharType="separate"/>
      </w:r>
      <w:r w:rsidRPr="00F91674">
        <w:rPr>
          <w:rFonts w:ascii="Book Antiqua" w:eastAsia="Book Antiqua" w:hAnsi="Book Antiqua" w:cs="Book Antiqua"/>
          <w:color w:val="000000"/>
          <w:vertAlign w:val="superscript"/>
        </w:rPr>
        <w:t>94</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w:t>
      </w:r>
      <w:r w:rsidRPr="00F91674">
        <w:rPr>
          <w:rFonts w:ascii="Book Antiqua" w:eastAsia="Book Antiqua" w:hAnsi="Book Antiqua" w:cs="Book Antiqua"/>
          <w:i/>
          <w:color w:val="000000"/>
        </w:rPr>
        <w:t>SOX2</w:t>
      </w:r>
      <w:r w:rsidRPr="00F91674">
        <w:rPr>
          <w:rFonts w:ascii="Book Antiqua" w:eastAsia="Book Antiqua" w:hAnsi="Book Antiqua" w:cs="Book Antiqua"/>
          <w:color w:val="000000"/>
        </w:rPr>
        <w:t xml:space="preserve"> is one of the most studied </w:t>
      </w:r>
      <w:proofErr w:type="gramStart"/>
      <w:r w:rsidRPr="00F91674">
        <w:rPr>
          <w:rFonts w:ascii="Book Antiqua" w:eastAsia="Book Antiqua" w:hAnsi="Book Antiqua" w:cs="Book Antiqua"/>
          <w:i/>
          <w:color w:val="000000"/>
        </w:rPr>
        <w:t>SOX</w:t>
      </w:r>
      <w:r w:rsidRPr="00F91674">
        <w:rPr>
          <w:rFonts w:ascii="Book Antiqua" w:eastAsia="Book Antiqua" w:hAnsi="Book Antiqua" w:cs="Book Antiqua"/>
          <w:color w:val="000000"/>
        </w:rPr>
        <w:t xml:space="preserve">  genes</w:t>
      </w:r>
      <w:proofErr w:type="gramEnd"/>
      <w:r w:rsidRPr="00F91674">
        <w:rPr>
          <w:rFonts w:ascii="Book Antiqua" w:eastAsia="Book Antiqua" w:hAnsi="Book Antiqua" w:cs="Book Antiqua"/>
          <w:color w:val="000000"/>
        </w:rPr>
        <w:t xml:space="preserve"> and is overexpressed in tumor samples from patients with GBM and in GBM cell lines</w:t>
      </w:r>
      <w:r w:rsidRPr="00F91674">
        <w:rPr>
          <w:rFonts w:ascii="Book Antiqua" w:eastAsia="Book Antiqua" w:hAnsi="Book Antiqua" w:cs="Book Antiqua"/>
          <w:color w:val="000000"/>
          <w:vertAlign w:val="superscript"/>
        </w:rPr>
        <w:t>[</w:t>
      </w:r>
      <w:hyperlink w:anchor="_ENREF_95" w:tooltip="Annovazzi, 2011 #3" w:history="1">
        <w:r w:rsidRPr="00F91674">
          <w:rPr>
            <w:rFonts w:ascii="Book Antiqua" w:eastAsia="Book Antiqua" w:hAnsi="Book Antiqua" w:cs="Book Antiqua"/>
            <w:color w:val="000000"/>
            <w:vertAlign w:val="superscript"/>
          </w:rPr>
          <w:t>95-97</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w:t>
      </w:r>
      <w:r w:rsidRPr="00F91674">
        <w:rPr>
          <w:rFonts w:ascii="Book Antiqua" w:eastAsia="Book Antiqua" w:hAnsi="Book Antiqua" w:cs="Book Antiqua"/>
          <w:i/>
          <w:color w:val="000000"/>
        </w:rPr>
        <w:t>SOX2</w:t>
      </w:r>
      <w:r w:rsidRPr="00F91674">
        <w:rPr>
          <w:rFonts w:ascii="Book Antiqua" w:eastAsia="Book Antiqua" w:hAnsi="Book Antiqua" w:cs="Book Antiqua"/>
          <w:color w:val="000000"/>
        </w:rPr>
        <w:t xml:space="preserve"> gene exerts oncogenic activity in glioma </w:t>
      </w:r>
      <w:proofErr w:type="gramStart"/>
      <w:r w:rsidRPr="00F91674">
        <w:rPr>
          <w:rFonts w:ascii="Book Antiqua" w:eastAsia="Book Antiqua" w:hAnsi="Book Antiqua" w:cs="Book Antiqua"/>
          <w:color w:val="000000"/>
        </w:rPr>
        <w:t>cells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"_ENREF_98" \o "Alonso, 2011 #125" </w:instrText>
      </w:r>
      <w:r w:rsidR="00BC0B14" w:rsidRPr="00F91674">
        <w:fldChar w:fldCharType="separate"/>
      </w:r>
      <w:r w:rsidRPr="00F91674">
        <w:rPr>
          <w:rFonts w:ascii="Book Antiqua" w:eastAsia="Book Antiqua" w:hAnsi="Book Antiqua" w:cs="Book Antiqua"/>
          <w:color w:val="000000"/>
          <w:vertAlign w:val="superscript"/>
        </w:rPr>
        <w:t>98</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High expression levels of SOX2, together with other stem cell markers, are observed in poorly differentiated GBM and are associated with its aggressiveness and poor </w:t>
      </w:r>
      <w:proofErr w:type="gramStart"/>
      <w:r w:rsidRPr="00F91674">
        <w:rPr>
          <w:rFonts w:ascii="Book Antiqua" w:eastAsia="Book Antiqua" w:hAnsi="Book Antiqua" w:cs="Book Antiqua"/>
          <w:color w:val="000000"/>
        </w:rPr>
        <w:t>prognosis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"_ENREF_99" \o "Ben-Porath, 2008 #5" </w:instrText>
      </w:r>
      <w:r w:rsidR="00BC0B14" w:rsidRPr="00F91674">
        <w:fldChar w:fldCharType="separate"/>
      </w:r>
      <w:r w:rsidRPr="00F91674">
        <w:rPr>
          <w:rFonts w:ascii="Book Antiqua" w:eastAsia="Book Antiqua" w:hAnsi="Book Antiqua" w:cs="Book Antiqua"/>
          <w:color w:val="000000"/>
          <w:vertAlign w:val="superscript"/>
        </w:rPr>
        <w:t>99-101</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It has been shown that recurrence of the tumor arises at the original site with a more invasive, aggressive phenotype and that is less sensitive to radiochemotherapy, and exhibits increased </w:t>
      </w:r>
      <w:r w:rsidRPr="00F91674">
        <w:rPr>
          <w:rFonts w:ascii="Book Antiqua" w:eastAsia="Book Antiqua" w:hAnsi="Book Antiqua" w:cs="Book Antiqua"/>
          <w:i/>
          <w:color w:val="000000"/>
        </w:rPr>
        <w:t>SOX2</w:t>
      </w:r>
      <w:r w:rsidRPr="00F91674">
        <w:rPr>
          <w:rFonts w:ascii="Book Antiqua" w:eastAsia="Book Antiqua" w:hAnsi="Book Antiqua" w:cs="Book Antiqua"/>
          <w:color w:val="000000"/>
        </w:rPr>
        <w:t xml:space="preserve"> expression levels compared to corresponding observations in the primary </w:t>
      </w:r>
      <w:proofErr w:type="gramStart"/>
      <w:r w:rsidRPr="00F91674">
        <w:rPr>
          <w:rFonts w:ascii="Book Antiqua" w:eastAsia="Book Antiqua" w:hAnsi="Book Antiqua" w:cs="Book Antiqua"/>
          <w:color w:val="000000"/>
        </w:rPr>
        <w:t>tumors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"_ENREF_102" \o "Nandeesh, 2018 #20" </w:instrText>
      </w:r>
      <w:r w:rsidR="00BC0B14" w:rsidRPr="00F91674">
        <w:fldChar w:fldCharType="separate"/>
      </w:r>
      <w:r w:rsidRPr="00F91674">
        <w:rPr>
          <w:rFonts w:ascii="Book Antiqua" w:eastAsia="Book Antiqua" w:hAnsi="Book Antiqua" w:cs="Book Antiqua"/>
          <w:color w:val="000000"/>
          <w:vertAlign w:val="superscript"/>
        </w:rPr>
        <w:t>102</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In contrast, there are data showing that </w:t>
      </w:r>
      <w:r w:rsidRPr="00F91674">
        <w:rPr>
          <w:rFonts w:ascii="Book Antiqua" w:eastAsia="Book Antiqua" w:hAnsi="Book Antiqua" w:cs="Book Antiqua"/>
          <w:i/>
          <w:color w:val="000000"/>
        </w:rPr>
        <w:t>SOX2</w:t>
      </w:r>
      <w:r w:rsidRPr="00F91674">
        <w:rPr>
          <w:rFonts w:ascii="Book Antiqua" w:eastAsia="Book Antiqua" w:hAnsi="Book Antiqua" w:cs="Book Antiqua"/>
          <w:color w:val="000000"/>
        </w:rPr>
        <w:t xml:space="preserve"> expression is decreased in recurrent gliomas in comparison with its expression in primary gliomas and that patients with lower </w:t>
      </w:r>
      <w:r w:rsidRPr="00F91674">
        <w:rPr>
          <w:rFonts w:ascii="Book Antiqua" w:eastAsia="Book Antiqua" w:hAnsi="Book Antiqua" w:cs="Book Antiqua"/>
          <w:i/>
          <w:color w:val="000000"/>
        </w:rPr>
        <w:t>SOX2</w:t>
      </w:r>
      <w:r w:rsidRPr="00F91674">
        <w:rPr>
          <w:rFonts w:ascii="Book Antiqua" w:eastAsia="Book Antiqua" w:hAnsi="Book Antiqua" w:cs="Book Antiqua"/>
          <w:color w:val="000000"/>
        </w:rPr>
        <w:t xml:space="preserve"> expression have a poor prognosis after receiving </w:t>
      </w:r>
      <w:proofErr w:type="gramStart"/>
      <w:r w:rsidRPr="00F91674">
        <w:rPr>
          <w:rFonts w:ascii="Book Antiqua" w:eastAsia="Book Antiqua" w:hAnsi="Book Antiqua" w:cs="Book Antiqua"/>
          <w:color w:val="000000"/>
        </w:rPr>
        <w:t>chemoradiotherapy</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"_ENREF_103" \o "Yu, 2019 #29" </w:instrText>
      </w:r>
      <w:r w:rsidR="00BC0B14" w:rsidRPr="00F91674">
        <w:fldChar w:fldCharType="separate"/>
      </w:r>
      <w:r w:rsidRPr="00F91674">
        <w:rPr>
          <w:rFonts w:ascii="Book Antiqua" w:eastAsia="Book Antiqua" w:hAnsi="Book Antiqua" w:cs="Book Antiqua"/>
          <w:color w:val="000000"/>
          <w:vertAlign w:val="superscript"/>
        </w:rPr>
        <w:t>103</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Furthermore, we have shown that </w:t>
      </w:r>
      <w:r w:rsidRPr="00F91674">
        <w:rPr>
          <w:rFonts w:ascii="Book Antiqua" w:eastAsia="Book Antiqua" w:hAnsi="Book Antiqua" w:cs="Book Antiqua"/>
          <w:i/>
          <w:color w:val="000000"/>
        </w:rPr>
        <w:t>SOX3</w:t>
      </w:r>
      <w:r w:rsidRPr="00F91674">
        <w:rPr>
          <w:rFonts w:ascii="Book Antiqua" w:eastAsia="Book Antiqua" w:hAnsi="Book Antiqua" w:cs="Book Antiqua"/>
          <w:color w:val="000000"/>
        </w:rPr>
        <w:t xml:space="preserve"> promotes the malignant behavior of GBM cells. </w:t>
      </w:r>
      <w:r w:rsidRPr="00F91674">
        <w:rPr>
          <w:rFonts w:ascii="Book Antiqua" w:eastAsia="Book Antiqua" w:hAnsi="Book Antiqua" w:cs="Book Antiqua"/>
          <w:i/>
          <w:color w:val="000000"/>
        </w:rPr>
        <w:t>SOX3</w:t>
      </w:r>
      <w:r w:rsidRPr="00F91674">
        <w:rPr>
          <w:rFonts w:ascii="Book Antiqua" w:eastAsia="Book Antiqua" w:hAnsi="Book Antiqua" w:cs="Book Antiqua"/>
          <w:color w:val="000000"/>
        </w:rPr>
        <w:t xml:space="preserve"> affects GBM cell viability, proliferation, migration, invasion, and autophagy, and its high expression does not correlate with the overall survival of patients with </w:t>
      </w:r>
      <w:proofErr w:type="gramStart"/>
      <w:r w:rsidRPr="00F91674">
        <w:rPr>
          <w:rFonts w:ascii="Book Antiqua" w:eastAsia="Book Antiqua" w:hAnsi="Book Antiqua" w:cs="Book Antiqua"/>
          <w:color w:val="000000"/>
        </w:rPr>
        <w:t>GBM</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"_ENREF_104" \o "Marjanovic Vicentic, 2019 #134" </w:instrText>
      </w:r>
      <w:r w:rsidR="00BC0B14" w:rsidRPr="00F91674">
        <w:fldChar w:fldCharType="separate"/>
      </w:r>
      <w:r w:rsidRPr="00F91674">
        <w:rPr>
          <w:rFonts w:ascii="Book Antiqua" w:eastAsia="Book Antiqua" w:hAnsi="Book Antiqua" w:cs="Book Antiqua"/>
          <w:color w:val="000000"/>
          <w:vertAlign w:val="superscript"/>
        </w:rPr>
        <w:t>104</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However, another study revealed that higher </w:t>
      </w:r>
      <w:r w:rsidRPr="00F91674">
        <w:rPr>
          <w:rFonts w:ascii="Book Antiqua" w:eastAsia="Book Antiqua" w:hAnsi="Book Antiqua" w:cs="Book Antiqua"/>
          <w:i/>
          <w:color w:val="000000"/>
        </w:rPr>
        <w:t>SOX3</w:t>
      </w:r>
      <w:r w:rsidRPr="00F91674">
        <w:rPr>
          <w:rFonts w:ascii="Book Antiqua" w:eastAsia="Book Antiqua" w:hAnsi="Book Antiqua" w:cs="Book Antiqua"/>
          <w:color w:val="000000"/>
        </w:rPr>
        <w:t xml:space="preserve"> expression levels in glioma and glioma cell lines correlate with poor </w:t>
      </w:r>
      <w:proofErr w:type="gramStart"/>
      <w:r w:rsidRPr="00F91674">
        <w:rPr>
          <w:rFonts w:ascii="Book Antiqua" w:eastAsia="Book Antiqua" w:hAnsi="Book Antiqua" w:cs="Book Antiqua"/>
          <w:color w:val="000000"/>
        </w:rPr>
        <w:t>outcome</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"_ENREF_105" \o "Lu, 2020 #18" </w:instrText>
      </w:r>
      <w:r w:rsidR="00BC0B14" w:rsidRPr="00F91674">
        <w:fldChar w:fldCharType="separate"/>
      </w:r>
      <w:r w:rsidRPr="00F91674">
        <w:rPr>
          <w:rFonts w:ascii="Book Antiqua" w:eastAsia="Book Antiqua" w:hAnsi="Book Antiqua" w:cs="Book Antiqua"/>
          <w:color w:val="000000"/>
          <w:vertAlign w:val="superscript"/>
        </w:rPr>
        <w:t>105</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w:t>
      </w:r>
      <w:r w:rsidRPr="00F91674">
        <w:rPr>
          <w:rFonts w:ascii="Book Antiqua" w:eastAsia="Book Antiqua" w:hAnsi="Book Antiqua" w:cs="Book Antiqua"/>
          <w:i/>
          <w:color w:val="000000"/>
        </w:rPr>
        <w:t>SOX9</w:t>
      </w:r>
      <w:r w:rsidRPr="00F91674">
        <w:rPr>
          <w:rFonts w:ascii="Book Antiqua" w:eastAsia="Book Antiqua" w:hAnsi="Book Antiqua" w:cs="Book Antiqua"/>
          <w:color w:val="000000"/>
        </w:rPr>
        <w:t xml:space="preserve"> exhibits oncogenic functions; its silencing reduces proliferative capacity, arrests the cell cycle in the G2/M phase and increases glioma cell </w:t>
      </w:r>
      <w:proofErr w:type="gramStart"/>
      <w:r w:rsidRPr="00F91674">
        <w:rPr>
          <w:rFonts w:ascii="Book Antiqua" w:eastAsia="Book Antiqua" w:hAnsi="Book Antiqua" w:cs="Book Antiqua"/>
          <w:color w:val="000000"/>
        </w:rPr>
        <w:t>apoptosis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"_ENREF_106" \o "Wang, 2012 #27" </w:instrText>
      </w:r>
      <w:r w:rsidR="00BC0B14" w:rsidRPr="00F91674">
        <w:fldChar w:fldCharType="separate"/>
      </w:r>
      <w:r w:rsidRPr="00F91674">
        <w:rPr>
          <w:rFonts w:ascii="Book Antiqua" w:eastAsia="Book Antiqua" w:hAnsi="Book Antiqua" w:cs="Book Antiqua"/>
          <w:color w:val="000000"/>
          <w:vertAlign w:val="superscript"/>
        </w:rPr>
        <w:t>106</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The </w:t>
      </w:r>
      <w:r w:rsidRPr="00F91674">
        <w:rPr>
          <w:rFonts w:ascii="Book Antiqua" w:eastAsia="Book Antiqua" w:hAnsi="Book Antiqua" w:cs="Book Antiqua"/>
          <w:i/>
          <w:color w:val="000000"/>
        </w:rPr>
        <w:t>SOX</w:t>
      </w:r>
      <w:r w:rsidRPr="00F91674">
        <w:rPr>
          <w:rFonts w:ascii="Book Antiqua" w:eastAsia="Book Antiqua" w:hAnsi="Book Antiqua" w:cs="Book Antiqua"/>
          <w:color w:val="000000"/>
        </w:rPr>
        <w:t xml:space="preserve">9 gene is also involved in the survival, proliferation and senescence of glioma </w:t>
      </w:r>
      <w:proofErr w:type="gramStart"/>
      <w:r w:rsidRPr="00F91674">
        <w:rPr>
          <w:rFonts w:ascii="Book Antiqua" w:eastAsia="Book Antiqua" w:hAnsi="Book Antiqua" w:cs="Book Antiqua"/>
          <w:color w:val="000000"/>
        </w:rPr>
        <w:t>cells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"_ENREF_107" \o "Aldaz, 2020 #1" </w:instrText>
      </w:r>
      <w:r w:rsidR="00BC0B14" w:rsidRPr="00F91674">
        <w:fldChar w:fldCharType="separate"/>
      </w:r>
      <w:r w:rsidRPr="00F91674">
        <w:rPr>
          <w:rFonts w:ascii="Book Antiqua" w:eastAsia="Book Antiqua" w:hAnsi="Book Antiqua" w:cs="Book Antiqua"/>
          <w:color w:val="000000"/>
          <w:vertAlign w:val="superscript"/>
        </w:rPr>
        <w:t>107</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Compared to the survival time of patients with lower </w:t>
      </w:r>
      <w:r w:rsidRPr="00F91674">
        <w:rPr>
          <w:rFonts w:ascii="Book Antiqua" w:eastAsia="Book Antiqua" w:hAnsi="Book Antiqua" w:cs="Book Antiqua"/>
          <w:i/>
          <w:color w:val="000000"/>
        </w:rPr>
        <w:t>SOX9</w:t>
      </w:r>
      <w:r w:rsidRPr="00F91674">
        <w:rPr>
          <w:rFonts w:ascii="Book Antiqua" w:eastAsia="Book Antiqua" w:hAnsi="Book Antiqua" w:cs="Book Antiqua"/>
          <w:color w:val="000000"/>
        </w:rPr>
        <w:t xml:space="preserve"> expression, the survival of glioma patients with increased </w:t>
      </w:r>
      <w:r w:rsidRPr="00F91674">
        <w:rPr>
          <w:rFonts w:ascii="Book Antiqua" w:eastAsia="Book Antiqua" w:hAnsi="Book Antiqua" w:cs="Book Antiqua"/>
          <w:i/>
          <w:color w:val="000000"/>
        </w:rPr>
        <w:t>SOX</w:t>
      </w:r>
      <w:r w:rsidRPr="00F91674">
        <w:rPr>
          <w:rFonts w:ascii="Book Antiqua" w:eastAsia="Book Antiqua" w:hAnsi="Book Antiqua" w:cs="Book Antiqua"/>
          <w:color w:val="000000"/>
        </w:rPr>
        <w:t xml:space="preserve">9 gene expression is </w:t>
      </w:r>
      <w:proofErr w:type="gramStart"/>
      <w:r w:rsidRPr="00F91674">
        <w:rPr>
          <w:rFonts w:ascii="Book Antiqua" w:eastAsia="Book Antiqua" w:hAnsi="Book Antiqua" w:cs="Book Antiqua"/>
          <w:color w:val="000000"/>
        </w:rPr>
        <w:t>shorter</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"_ENREF_106" \o "Wang, 2012 #27" </w:instrText>
      </w:r>
      <w:r w:rsidR="00BC0B14" w:rsidRPr="00F91674">
        <w:fldChar w:fldCharType="separate"/>
      </w:r>
      <w:r w:rsidRPr="00F91674">
        <w:rPr>
          <w:rFonts w:ascii="Book Antiqua" w:eastAsia="Book Antiqua" w:hAnsi="Book Antiqua" w:cs="Book Antiqua"/>
          <w:color w:val="000000"/>
          <w:vertAlign w:val="superscript"/>
        </w:rPr>
        <w:t>106</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hyperlink w:anchor="_ENREF_108" w:tooltip="Gao, 2015 #10" w:history="1">
        <w:r w:rsidRPr="00F91674">
          <w:rPr>
            <w:rFonts w:ascii="Book Antiqua" w:eastAsia="Book Antiqua" w:hAnsi="Book Antiqua" w:cs="Book Antiqua"/>
            <w:color w:val="000000"/>
            <w:vertAlign w:val="superscript"/>
          </w:rPr>
          <w:t>108</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In addition, </w:t>
      </w:r>
      <w:r w:rsidRPr="00F91674">
        <w:rPr>
          <w:rFonts w:ascii="Book Antiqua" w:eastAsia="Book Antiqua" w:hAnsi="Book Antiqua" w:cs="Book Antiqua"/>
          <w:i/>
          <w:color w:val="000000"/>
        </w:rPr>
        <w:t>SOX10</w:t>
      </w:r>
      <w:r w:rsidRPr="00F91674">
        <w:rPr>
          <w:rFonts w:ascii="Book Antiqua" w:eastAsia="Book Antiqua" w:hAnsi="Book Antiqua" w:cs="Book Antiqua"/>
          <w:color w:val="000000"/>
        </w:rPr>
        <w:t xml:space="preserve"> is expressed in </w:t>
      </w:r>
      <w:proofErr w:type="gramStart"/>
      <w:r w:rsidRPr="00F91674">
        <w:rPr>
          <w:rFonts w:ascii="Book Antiqua" w:eastAsia="Book Antiqua" w:hAnsi="Book Antiqua" w:cs="Book Antiqua"/>
          <w:color w:val="000000"/>
        </w:rPr>
        <w:t>gliomas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"_ENREF_109" \o "Bannykh, 2006 #4" </w:instrText>
      </w:r>
      <w:r w:rsidR="00BC0B14" w:rsidRPr="00F91674">
        <w:fldChar w:fldCharType="separate"/>
      </w:r>
      <w:r w:rsidRPr="00F91674">
        <w:rPr>
          <w:rFonts w:ascii="Book Antiqua" w:eastAsia="Book Antiqua" w:hAnsi="Book Antiqua" w:cs="Book Antiqua"/>
          <w:color w:val="000000"/>
          <w:vertAlign w:val="superscript"/>
        </w:rPr>
        <w:t>109</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and, together with platelet-derived growth factor B, </w:t>
      </w:r>
      <w:r w:rsidRPr="00F91674">
        <w:rPr>
          <w:rFonts w:ascii="Book Antiqua" w:eastAsia="Book Antiqua" w:hAnsi="Book Antiqua" w:cs="Book Antiqua"/>
          <w:color w:val="000000"/>
        </w:rPr>
        <w:lastRenderedPageBreak/>
        <w:t>induces glioma development</w:t>
      </w:r>
      <w:r w:rsidRPr="00F91674">
        <w:rPr>
          <w:rFonts w:ascii="Book Antiqua" w:eastAsia="Book Antiqua" w:hAnsi="Book Antiqua" w:cs="Book Antiqua"/>
          <w:color w:val="000000"/>
          <w:vertAlign w:val="superscript"/>
        </w:rPr>
        <w:t>[</w:t>
      </w:r>
      <w:hyperlink w:anchor="_ENREF_110" w:tooltip="Ferletta, 2007 #9" w:history="1">
        <w:r w:rsidRPr="00F91674">
          <w:rPr>
            <w:rFonts w:ascii="Book Antiqua" w:eastAsia="Book Antiqua" w:hAnsi="Book Antiqua" w:cs="Book Antiqua"/>
            <w:color w:val="000000"/>
            <w:vertAlign w:val="superscript"/>
          </w:rPr>
          <w:t>110</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Moreover, high expression of </w:t>
      </w:r>
      <w:r w:rsidRPr="00F91674">
        <w:rPr>
          <w:rFonts w:ascii="Book Antiqua" w:eastAsia="Book Antiqua" w:hAnsi="Book Antiqua" w:cs="Book Antiqua"/>
          <w:i/>
          <w:color w:val="000000"/>
        </w:rPr>
        <w:t>SOX10</w:t>
      </w:r>
      <w:r w:rsidRPr="00F91674">
        <w:rPr>
          <w:rFonts w:ascii="Book Antiqua" w:eastAsia="Book Antiqua" w:hAnsi="Book Antiqua" w:cs="Book Antiqua"/>
          <w:color w:val="000000"/>
        </w:rPr>
        <w:t xml:space="preserve"> correlates with reduced overall </w:t>
      </w:r>
      <w:proofErr w:type="gramStart"/>
      <w:r w:rsidRPr="00F91674">
        <w:rPr>
          <w:rFonts w:ascii="Book Antiqua" w:eastAsia="Book Antiqua" w:hAnsi="Book Antiqua" w:cs="Book Antiqua"/>
          <w:color w:val="000000"/>
        </w:rPr>
        <w:t>survival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"_ENREF_111" \o "Jin, 2021 #135" </w:instrText>
      </w:r>
      <w:r w:rsidR="00BC0B14" w:rsidRPr="00F91674">
        <w:fldChar w:fldCharType="separate"/>
      </w:r>
      <w:r w:rsidRPr="00F91674">
        <w:rPr>
          <w:rFonts w:ascii="Book Antiqua" w:eastAsia="Book Antiqua" w:hAnsi="Book Antiqua" w:cs="Book Antiqua"/>
          <w:color w:val="000000"/>
          <w:vertAlign w:val="superscript"/>
        </w:rPr>
        <w:t>111</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4F2EE16C" w14:textId="438DE738"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Despite the well-established oncogenic activities of some </w:t>
      </w:r>
      <w:proofErr w:type="gramStart"/>
      <w:r w:rsidRPr="00F91674">
        <w:rPr>
          <w:rFonts w:ascii="Book Antiqua" w:eastAsia="Book Antiqua" w:hAnsi="Book Antiqua" w:cs="Book Antiqua"/>
          <w:i/>
          <w:color w:val="000000"/>
        </w:rPr>
        <w:t>SOX</w:t>
      </w:r>
      <w:r w:rsidRPr="00F91674">
        <w:rPr>
          <w:rFonts w:ascii="Book Antiqua" w:eastAsia="Book Antiqua" w:hAnsi="Book Antiqua" w:cs="Book Antiqua"/>
          <w:color w:val="000000"/>
        </w:rPr>
        <w:t xml:space="preserve">  genes</w:t>
      </w:r>
      <w:proofErr w:type="gramEnd"/>
      <w:r w:rsidRPr="00F91674">
        <w:rPr>
          <w:rFonts w:ascii="Book Antiqua" w:eastAsia="Book Antiqua" w:hAnsi="Book Antiqua" w:cs="Book Antiqua"/>
          <w:color w:val="000000"/>
        </w:rPr>
        <w:t xml:space="preserve">, others show tumor suppressive properties and are associated with good clinical outcomes. It was shown that </w:t>
      </w:r>
      <w:r w:rsidRPr="00F91674">
        <w:rPr>
          <w:rFonts w:ascii="Book Antiqua" w:eastAsia="Book Antiqua" w:hAnsi="Book Antiqua" w:cs="Book Antiqua"/>
          <w:i/>
          <w:color w:val="000000"/>
        </w:rPr>
        <w:t>SOX5</w:t>
      </w:r>
      <w:r w:rsidRPr="00F91674">
        <w:rPr>
          <w:rFonts w:ascii="Book Antiqua" w:eastAsia="Book Antiqua" w:hAnsi="Book Antiqua" w:cs="Book Antiqua"/>
          <w:color w:val="000000"/>
        </w:rPr>
        <w:t xml:space="preserve"> expression was high in glioma samples and glioma cell lines compared to the </w:t>
      </w:r>
      <w:r w:rsidRPr="00F91674">
        <w:rPr>
          <w:rFonts w:ascii="Book Antiqua" w:eastAsia="Book Antiqua" w:hAnsi="Book Antiqua" w:cs="Book Antiqua"/>
          <w:i/>
          <w:color w:val="000000"/>
        </w:rPr>
        <w:t>SOX5</w:t>
      </w:r>
      <w:r w:rsidRPr="00F91674">
        <w:rPr>
          <w:rFonts w:ascii="Book Antiqua" w:eastAsia="Book Antiqua" w:hAnsi="Book Antiqua" w:cs="Book Antiqua"/>
          <w:color w:val="000000"/>
        </w:rPr>
        <w:t xml:space="preserve"> expression in the normal adult brain and that the survival of patients with GBM with IgG antibodies against SOX5 in the sera was significantly prolonged compared to the survival of patients with no IgG </w:t>
      </w:r>
      <w:proofErr w:type="gramStart"/>
      <w:r w:rsidRPr="00F91674">
        <w:rPr>
          <w:rFonts w:ascii="Book Antiqua" w:eastAsia="Book Antiqua" w:hAnsi="Book Antiqua" w:cs="Book Antiqua"/>
          <w:color w:val="000000"/>
        </w:rPr>
        <w:t>antibodies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"_ENREF_112" \o "Ueda, 2007 #26" </w:instrText>
      </w:r>
      <w:r w:rsidR="00BC0B14" w:rsidRPr="00F91674">
        <w:fldChar w:fldCharType="separate"/>
      </w:r>
      <w:r w:rsidRPr="00F91674">
        <w:rPr>
          <w:rFonts w:ascii="Book Antiqua" w:eastAsia="Book Antiqua" w:hAnsi="Book Antiqua" w:cs="Book Antiqua"/>
          <w:color w:val="000000"/>
          <w:vertAlign w:val="superscript"/>
        </w:rPr>
        <w:t>112</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Furthermore, </w:t>
      </w:r>
      <w:r w:rsidRPr="00F91674">
        <w:rPr>
          <w:rFonts w:ascii="Book Antiqua" w:eastAsia="Book Antiqua" w:hAnsi="Book Antiqua" w:cs="Book Antiqua"/>
          <w:i/>
          <w:color w:val="000000"/>
        </w:rPr>
        <w:t>SOX5</w:t>
      </w:r>
      <w:r w:rsidRPr="00F91674">
        <w:rPr>
          <w:rFonts w:ascii="Book Antiqua" w:eastAsia="Book Antiqua" w:hAnsi="Book Antiqua" w:cs="Book Antiqua"/>
          <w:color w:val="000000"/>
        </w:rPr>
        <w:t xml:space="preserve"> overexpression inhibits clone formation of human glioma </w:t>
      </w:r>
      <w:proofErr w:type="gramStart"/>
      <w:r w:rsidRPr="00F91674">
        <w:rPr>
          <w:rFonts w:ascii="Book Antiqua" w:eastAsia="Book Antiqua" w:hAnsi="Book Antiqua" w:cs="Book Antiqua"/>
          <w:color w:val="000000"/>
        </w:rPr>
        <w:t>cells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"_ENREF_113" \o "Tchougounova, 2009 #24" </w:instrText>
      </w:r>
      <w:r w:rsidR="00BC0B14" w:rsidRPr="00F91674">
        <w:fldChar w:fldCharType="separate"/>
      </w:r>
      <w:r w:rsidRPr="00F91674">
        <w:rPr>
          <w:rFonts w:ascii="Book Antiqua" w:eastAsia="Book Antiqua" w:hAnsi="Book Antiqua" w:cs="Book Antiqua"/>
          <w:color w:val="000000"/>
          <w:vertAlign w:val="superscript"/>
        </w:rPr>
        <w:t>113</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Schlierf </w:t>
      </w:r>
      <w:r w:rsidRPr="00F91674">
        <w:rPr>
          <w:rFonts w:ascii="Book Antiqua" w:eastAsia="Book Antiqua" w:hAnsi="Book Antiqua" w:cs="Book Antiqua"/>
          <w:i/>
          <w:color w:val="000000"/>
        </w:rPr>
        <w:t xml:space="preserve">et </w:t>
      </w:r>
      <w:proofErr w:type="gramStart"/>
      <w:r w:rsidRPr="00F91674">
        <w:rPr>
          <w:rFonts w:ascii="Book Antiqua" w:eastAsia="Book Antiqua" w:hAnsi="Book Antiqua" w:cs="Book Antiqua"/>
          <w:i/>
          <w:color w:val="000000"/>
        </w:rPr>
        <w:t>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"_ENREF_114" \o "Schlierf, 2007 #21" </w:instrText>
      </w:r>
      <w:r w:rsidR="00BC0B14" w:rsidRPr="00F91674">
        <w:fldChar w:fldCharType="separate"/>
      </w:r>
      <w:r w:rsidRPr="00F91674">
        <w:rPr>
          <w:rFonts w:ascii="Book Antiqua" w:eastAsia="Book Antiqua" w:hAnsi="Book Antiqua" w:cs="Book Antiqua"/>
          <w:color w:val="000000"/>
          <w:vertAlign w:val="superscript"/>
        </w:rPr>
        <w:t>114</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showed that the expression level of </w:t>
      </w:r>
      <w:r w:rsidRPr="00F91674">
        <w:rPr>
          <w:rFonts w:ascii="Book Antiqua" w:eastAsia="Book Antiqua" w:hAnsi="Book Antiqua" w:cs="Book Antiqua"/>
          <w:i/>
          <w:color w:val="000000"/>
        </w:rPr>
        <w:t>SOX5</w:t>
      </w:r>
      <w:r w:rsidRPr="00F91674">
        <w:rPr>
          <w:rFonts w:ascii="Book Antiqua" w:eastAsia="Book Antiqua" w:hAnsi="Book Antiqua" w:cs="Book Antiqua"/>
          <w:color w:val="000000"/>
        </w:rPr>
        <w:t xml:space="preserve"> in gliomas was the same or lower than that in adult brain tissue. In contrast, Tian </w:t>
      </w:r>
      <w:r w:rsidRPr="00F91674">
        <w:rPr>
          <w:rFonts w:ascii="Book Antiqua" w:eastAsia="Book Antiqua" w:hAnsi="Book Antiqua" w:cs="Book Antiqua"/>
          <w:i/>
          <w:color w:val="000000"/>
        </w:rPr>
        <w:t xml:space="preserve">et </w:t>
      </w:r>
      <w:proofErr w:type="gramStart"/>
      <w:r w:rsidRPr="00F91674">
        <w:rPr>
          <w:rFonts w:ascii="Book Antiqua" w:eastAsia="Book Antiqua" w:hAnsi="Book Antiqua" w:cs="Book Antiqua"/>
          <w:i/>
          <w:color w:val="000000"/>
        </w:rPr>
        <w:t>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"_ENREF_115" \o "Tian, 2017 #163" </w:instrText>
      </w:r>
      <w:r w:rsidR="00BC0B14" w:rsidRPr="00F91674">
        <w:fldChar w:fldCharType="separate"/>
      </w:r>
      <w:r w:rsidRPr="00F91674">
        <w:rPr>
          <w:rFonts w:ascii="Book Antiqua" w:eastAsia="Book Antiqua" w:hAnsi="Book Antiqua" w:cs="Book Antiqua"/>
          <w:color w:val="000000"/>
          <w:vertAlign w:val="superscript"/>
        </w:rPr>
        <w:t>115</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revealed that high expression of </w:t>
      </w:r>
      <w:r w:rsidRPr="00F91674">
        <w:rPr>
          <w:rFonts w:ascii="Book Antiqua" w:eastAsia="Book Antiqua" w:hAnsi="Book Antiqua" w:cs="Book Antiqua"/>
          <w:i/>
          <w:color w:val="000000"/>
        </w:rPr>
        <w:t>SOX5</w:t>
      </w:r>
      <w:r w:rsidRPr="00F91674">
        <w:rPr>
          <w:rFonts w:ascii="Book Antiqua" w:eastAsia="Book Antiqua" w:hAnsi="Book Antiqua" w:cs="Book Antiqua"/>
          <w:color w:val="000000"/>
        </w:rPr>
        <w:t xml:space="preserve"> correlates with poor prognosis in patients with GBM. These contradictory data probably arose as a consequence of GBM heterogeneity. Furthermore, it was shown that low </w:t>
      </w:r>
      <w:r w:rsidRPr="00F91674">
        <w:rPr>
          <w:rFonts w:ascii="Book Antiqua" w:eastAsia="Book Antiqua" w:hAnsi="Book Antiqua" w:cs="Book Antiqua"/>
          <w:i/>
          <w:color w:val="000000"/>
        </w:rPr>
        <w:t>SOX6</w:t>
      </w:r>
      <w:r w:rsidRPr="00F91674">
        <w:rPr>
          <w:rFonts w:ascii="Book Antiqua" w:eastAsia="Book Antiqua" w:hAnsi="Book Antiqua" w:cs="Book Antiqua"/>
          <w:color w:val="000000"/>
        </w:rPr>
        <w:t xml:space="preserve"> expression in patients with GBM contributes to a better survival rate than that in patients who display high </w:t>
      </w:r>
      <w:r w:rsidRPr="00F91674">
        <w:rPr>
          <w:rFonts w:ascii="Book Antiqua" w:eastAsia="Book Antiqua" w:hAnsi="Book Antiqua" w:cs="Book Antiqua"/>
          <w:i/>
          <w:color w:val="000000"/>
        </w:rPr>
        <w:t>SOX6</w:t>
      </w:r>
      <w:r w:rsidRPr="00F91674">
        <w:rPr>
          <w:rFonts w:ascii="Book Antiqua" w:eastAsia="Book Antiqua" w:hAnsi="Book Antiqua" w:cs="Book Antiqua"/>
          <w:color w:val="000000"/>
        </w:rPr>
        <w:t xml:space="preserve"> </w:t>
      </w:r>
      <w:proofErr w:type="gramStart"/>
      <w:r w:rsidRPr="00F91674">
        <w:rPr>
          <w:rFonts w:ascii="Book Antiqua" w:eastAsia="Book Antiqua" w:hAnsi="Book Antiqua" w:cs="Book Antiqua"/>
          <w:color w:val="000000"/>
        </w:rPr>
        <w:t>expression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"_ENREF_116" \o "Jiang, 2020 #14" </w:instrText>
      </w:r>
      <w:r w:rsidR="00BC0B14" w:rsidRPr="00F91674">
        <w:fldChar w:fldCharType="separate"/>
      </w:r>
      <w:r w:rsidRPr="00F91674">
        <w:rPr>
          <w:rFonts w:ascii="Book Antiqua" w:eastAsia="Book Antiqua" w:hAnsi="Book Antiqua" w:cs="Book Antiqua"/>
          <w:color w:val="000000"/>
          <w:vertAlign w:val="superscript"/>
        </w:rPr>
        <w:t>116</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Functional analyses have shown that </w:t>
      </w:r>
      <w:r w:rsidRPr="00F91674">
        <w:rPr>
          <w:rFonts w:ascii="Book Antiqua" w:eastAsia="Book Antiqua" w:hAnsi="Book Antiqua" w:cs="Book Antiqua"/>
          <w:i/>
          <w:color w:val="000000"/>
        </w:rPr>
        <w:t>SOX7</w:t>
      </w:r>
      <w:r w:rsidRPr="00F91674">
        <w:rPr>
          <w:rFonts w:ascii="Book Antiqua" w:eastAsia="Book Antiqua" w:hAnsi="Book Antiqua" w:cs="Book Antiqua"/>
          <w:color w:val="000000"/>
        </w:rPr>
        <w:t xml:space="preserve"> acts as a tumor suppressor. It has been demonstrated that </w:t>
      </w:r>
      <w:r w:rsidRPr="00F91674">
        <w:rPr>
          <w:rFonts w:ascii="Book Antiqua" w:eastAsia="Book Antiqua" w:hAnsi="Book Antiqua" w:cs="Book Antiqua"/>
          <w:i/>
          <w:color w:val="000000"/>
        </w:rPr>
        <w:t>SOX7</w:t>
      </w:r>
      <w:r w:rsidRPr="00F91674">
        <w:rPr>
          <w:rFonts w:ascii="Book Antiqua" w:eastAsia="Book Antiqua" w:hAnsi="Book Antiqua" w:cs="Book Antiqua"/>
          <w:color w:val="000000"/>
        </w:rPr>
        <w:t xml:space="preserve"> represses glioma cell proliferation and migration </w:t>
      </w:r>
      <w:r w:rsidRPr="00F91674">
        <w:rPr>
          <w:rFonts w:ascii="Book Antiqua" w:eastAsia="Book Antiqua" w:hAnsi="Book Antiqua" w:cs="Book Antiqua"/>
          <w:i/>
          <w:color w:val="000000"/>
        </w:rPr>
        <w:t>in vitro</w:t>
      </w:r>
      <w:r w:rsidRPr="00F91674">
        <w:rPr>
          <w:rFonts w:ascii="Book Antiqua" w:eastAsia="Book Antiqua" w:hAnsi="Book Antiqua" w:cs="Book Antiqua"/>
          <w:color w:val="000000"/>
        </w:rPr>
        <w:t xml:space="preserve"> and suppresses tumor formation </w:t>
      </w:r>
      <w:r w:rsidRPr="00F91674">
        <w:rPr>
          <w:rFonts w:ascii="Book Antiqua" w:eastAsia="Book Antiqua" w:hAnsi="Book Antiqua" w:cs="Book Antiqua"/>
          <w:i/>
          <w:color w:val="000000"/>
        </w:rPr>
        <w:t xml:space="preserve">in </w:t>
      </w:r>
      <w:proofErr w:type="gramStart"/>
      <w:r w:rsidRPr="00F91674">
        <w:rPr>
          <w:rFonts w:ascii="Book Antiqua" w:eastAsia="Book Antiqua" w:hAnsi="Book Antiqua" w:cs="Book Antiqua"/>
          <w:i/>
          <w:color w:val="000000"/>
        </w:rPr>
        <w:t>vivo</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"_ENREF_117" \o "Zhao, 2016 #31" </w:instrText>
      </w:r>
      <w:r w:rsidR="00BC0B14" w:rsidRPr="00F91674">
        <w:fldChar w:fldCharType="separate"/>
      </w:r>
      <w:r w:rsidRPr="00F91674">
        <w:rPr>
          <w:rFonts w:ascii="Book Antiqua" w:eastAsia="Book Antiqua" w:hAnsi="Book Antiqua" w:cs="Book Antiqua"/>
          <w:color w:val="000000"/>
          <w:vertAlign w:val="superscript"/>
        </w:rPr>
        <w:t>117</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It has been reported that </w:t>
      </w:r>
      <w:r w:rsidRPr="00F91674">
        <w:rPr>
          <w:rFonts w:ascii="Book Antiqua" w:eastAsia="Book Antiqua" w:hAnsi="Book Antiqua" w:cs="Book Antiqua"/>
          <w:i/>
          <w:color w:val="000000"/>
        </w:rPr>
        <w:t>SOX11</w:t>
      </w:r>
      <w:r w:rsidRPr="00F91674">
        <w:rPr>
          <w:rFonts w:ascii="Book Antiqua" w:eastAsia="Book Antiqua" w:hAnsi="Book Antiqua" w:cs="Book Antiqua"/>
          <w:color w:val="000000"/>
        </w:rPr>
        <w:t xml:space="preserve"> is overexpressed in glioma </w:t>
      </w:r>
      <w:proofErr w:type="gramStart"/>
      <w:r w:rsidRPr="00F91674">
        <w:rPr>
          <w:rFonts w:ascii="Book Antiqua" w:eastAsia="Book Antiqua" w:hAnsi="Book Antiqua" w:cs="Book Antiqua"/>
          <w:color w:val="000000"/>
        </w:rPr>
        <w:t>samples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"_ENREF_118" \o "Weigle, 2005 #28" </w:instrText>
      </w:r>
      <w:r w:rsidR="00BC0B14" w:rsidRPr="00F91674">
        <w:fldChar w:fldCharType="separate"/>
      </w:r>
      <w:r w:rsidRPr="00F91674">
        <w:rPr>
          <w:rFonts w:ascii="Book Antiqua" w:eastAsia="Book Antiqua" w:hAnsi="Book Antiqua" w:cs="Book Antiqua"/>
          <w:color w:val="000000"/>
          <w:vertAlign w:val="superscript"/>
        </w:rPr>
        <w:t>118</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Hide </w:t>
      </w:r>
      <w:r w:rsidRPr="00F91674">
        <w:rPr>
          <w:rFonts w:ascii="Book Antiqua" w:eastAsia="Book Antiqua" w:hAnsi="Book Antiqua" w:cs="Book Antiqua"/>
          <w:i/>
          <w:color w:val="000000"/>
        </w:rPr>
        <w:t xml:space="preserve">et </w:t>
      </w:r>
      <w:proofErr w:type="gramStart"/>
      <w:r w:rsidRPr="00F91674">
        <w:rPr>
          <w:rFonts w:ascii="Book Antiqua" w:eastAsia="Book Antiqua" w:hAnsi="Book Antiqua" w:cs="Book Antiqua"/>
          <w:i/>
          <w:color w:val="000000"/>
        </w:rPr>
        <w:t>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"_ENREF_119" \o "Hide, 2009 #136" </w:instrText>
      </w:r>
      <w:r w:rsidR="00BC0B14" w:rsidRPr="00F91674">
        <w:fldChar w:fldCharType="separate"/>
      </w:r>
      <w:r w:rsidRPr="00F91674">
        <w:rPr>
          <w:rFonts w:ascii="Book Antiqua" w:eastAsia="Book Antiqua" w:hAnsi="Book Antiqua" w:cs="Book Antiqua"/>
          <w:color w:val="000000"/>
          <w:vertAlign w:val="superscript"/>
        </w:rPr>
        <w:t>119</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showed that downregulation of </w:t>
      </w:r>
      <w:r w:rsidRPr="00F91674">
        <w:rPr>
          <w:rFonts w:ascii="Book Antiqua" w:eastAsia="Book Antiqua" w:hAnsi="Book Antiqua" w:cs="Book Antiqua"/>
          <w:i/>
          <w:color w:val="000000"/>
        </w:rPr>
        <w:t>SOX11</w:t>
      </w:r>
      <w:r w:rsidRPr="00F91674">
        <w:rPr>
          <w:rFonts w:ascii="Book Antiqua" w:eastAsia="Book Antiqua" w:hAnsi="Book Antiqua" w:cs="Book Antiqua"/>
          <w:color w:val="000000"/>
        </w:rPr>
        <w:t xml:space="preserve"> expression is associated with a decrease in the survival of patients with GBM. Another study showed that SOX11, together with neurogenin 2, can reprogram glioma cells into neuron-like cells, inhibiting tumor growth and improving </w:t>
      </w:r>
      <w:proofErr w:type="gramStart"/>
      <w:r w:rsidRPr="00F91674">
        <w:rPr>
          <w:rFonts w:ascii="Book Antiqua" w:eastAsia="Book Antiqua" w:hAnsi="Book Antiqua" w:cs="Book Antiqua"/>
          <w:color w:val="000000"/>
        </w:rPr>
        <w:t>survival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"_ENREF_120" \o "Su, 2014 #23" </w:instrText>
      </w:r>
      <w:r w:rsidR="00BC0B14" w:rsidRPr="00F91674">
        <w:fldChar w:fldCharType="separate"/>
      </w:r>
      <w:r w:rsidRPr="00F91674">
        <w:rPr>
          <w:rFonts w:ascii="Book Antiqua" w:eastAsia="Book Antiqua" w:hAnsi="Book Antiqua" w:cs="Book Antiqua"/>
          <w:color w:val="000000"/>
          <w:vertAlign w:val="superscript"/>
        </w:rPr>
        <w:t>120</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Recent data confirmed the tumor suppressor activity of the </w:t>
      </w:r>
      <w:r w:rsidRPr="00F91674">
        <w:rPr>
          <w:rFonts w:ascii="Book Antiqua" w:eastAsia="Book Antiqua" w:hAnsi="Book Antiqua" w:cs="Book Antiqua"/>
          <w:i/>
          <w:color w:val="000000"/>
        </w:rPr>
        <w:t>SOX15</w:t>
      </w:r>
      <w:r w:rsidRPr="00F91674">
        <w:rPr>
          <w:rFonts w:ascii="Book Antiqua" w:eastAsia="Book Antiqua" w:hAnsi="Book Antiqua" w:cs="Book Antiqua"/>
          <w:color w:val="000000"/>
        </w:rPr>
        <w:t xml:space="preserve"> gene in glioma tumors. Specifically, </w:t>
      </w:r>
      <w:r w:rsidRPr="00F91674">
        <w:rPr>
          <w:rFonts w:ascii="Book Antiqua" w:eastAsia="Book Antiqua" w:hAnsi="Book Antiqua" w:cs="Book Antiqua"/>
          <w:i/>
          <w:color w:val="000000"/>
        </w:rPr>
        <w:t>SOX15</w:t>
      </w:r>
      <w:r w:rsidRPr="00F91674">
        <w:rPr>
          <w:rFonts w:ascii="Book Antiqua" w:eastAsia="Book Antiqua" w:hAnsi="Book Antiqua" w:cs="Book Antiqua"/>
          <w:color w:val="000000"/>
        </w:rPr>
        <w:t xml:space="preserve"> overexpression inhibits proliferation and invasion, while its upregulation delays tumor formation </w:t>
      </w:r>
      <w:r w:rsidRPr="00F91674">
        <w:rPr>
          <w:rFonts w:ascii="Book Antiqua" w:eastAsia="Book Antiqua" w:hAnsi="Book Antiqua" w:cs="Book Antiqua"/>
          <w:i/>
          <w:color w:val="000000"/>
        </w:rPr>
        <w:t xml:space="preserve">in </w:t>
      </w:r>
      <w:proofErr w:type="gramStart"/>
      <w:r w:rsidRPr="00F91674">
        <w:rPr>
          <w:rFonts w:ascii="Book Antiqua" w:eastAsia="Book Antiqua" w:hAnsi="Book Antiqua" w:cs="Book Antiqua"/>
          <w:i/>
          <w:color w:val="000000"/>
        </w:rPr>
        <w:t>vivo</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"_ENREF_121" \o "Zhang, 2020 #30" </w:instrText>
      </w:r>
      <w:r w:rsidR="00BC0B14" w:rsidRPr="00F91674">
        <w:fldChar w:fldCharType="separate"/>
      </w:r>
      <w:r w:rsidRPr="00F91674">
        <w:rPr>
          <w:rFonts w:ascii="Book Antiqua" w:eastAsia="Book Antiqua" w:hAnsi="Book Antiqua" w:cs="Book Antiqua"/>
          <w:color w:val="000000"/>
          <w:vertAlign w:val="superscript"/>
        </w:rPr>
        <w:t>121</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Furthermore, it has been demonstrated that </w:t>
      </w:r>
      <w:r w:rsidRPr="00F91674">
        <w:rPr>
          <w:rFonts w:ascii="Book Antiqua" w:eastAsia="Book Antiqua" w:hAnsi="Book Antiqua" w:cs="Book Antiqua"/>
          <w:i/>
          <w:color w:val="000000"/>
        </w:rPr>
        <w:t>SOX21</w:t>
      </w:r>
      <w:r w:rsidRPr="00F91674">
        <w:rPr>
          <w:rFonts w:ascii="Book Antiqua" w:eastAsia="Book Antiqua" w:hAnsi="Book Antiqua" w:cs="Book Antiqua"/>
          <w:color w:val="000000"/>
        </w:rPr>
        <w:t xml:space="preserve"> acts as a tumor suppressor</w:t>
      </w:r>
      <w:r w:rsidRPr="00F91674">
        <w:rPr>
          <w:rFonts w:ascii="Book Antiqua" w:eastAsia="Book Antiqua" w:hAnsi="Book Antiqua" w:cs="Book Antiqua"/>
          <w:color w:val="000000"/>
          <w:vertAlign w:val="superscript"/>
        </w:rPr>
        <w:t>[</w:t>
      </w:r>
      <w:hyperlink w:anchor="_ENREF_122" w:tooltip="de la Rocha, 2014 #7" w:history="1">
        <w:r w:rsidRPr="00F91674">
          <w:rPr>
            <w:rFonts w:ascii="Book Antiqua" w:eastAsia="Book Antiqua" w:hAnsi="Book Antiqua" w:cs="Book Antiqua"/>
            <w:color w:val="000000"/>
            <w:vertAlign w:val="superscript"/>
          </w:rPr>
          <w:t>122</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that inhibits </w:t>
      </w:r>
      <w:r w:rsidRPr="00F91674">
        <w:rPr>
          <w:rFonts w:ascii="Book Antiqua" w:eastAsia="Book Antiqua" w:hAnsi="Book Antiqua" w:cs="Book Antiqua"/>
          <w:i/>
          <w:color w:val="000000"/>
        </w:rPr>
        <w:t>SOX2</w:t>
      </w:r>
      <w:r w:rsidRPr="00F91674">
        <w:rPr>
          <w:rFonts w:ascii="Book Antiqua" w:eastAsia="Book Antiqua" w:hAnsi="Book Antiqua" w:cs="Book Antiqua"/>
          <w:color w:val="000000"/>
        </w:rPr>
        <w:t xml:space="preserve"> expression, induces apoptosis in human glioma cells</w:t>
      </w:r>
      <w:r w:rsidRPr="00F91674">
        <w:rPr>
          <w:rFonts w:ascii="Book Antiqua" w:eastAsia="Book Antiqua" w:hAnsi="Book Antiqua" w:cs="Book Antiqua"/>
          <w:color w:val="000000"/>
          <w:vertAlign w:val="superscript"/>
        </w:rPr>
        <w:t>[</w:t>
      </w:r>
      <w:hyperlink w:anchor="_ENREF_123" w:tooltip="Ferletta, 2011 #8" w:history="1">
        <w:r w:rsidRPr="00F91674">
          <w:rPr>
            <w:rFonts w:ascii="Book Antiqua" w:eastAsia="Book Antiqua" w:hAnsi="Book Antiqua" w:cs="Book Antiqua"/>
            <w:color w:val="000000"/>
            <w:vertAlign w:val="superscript"/>
          </w:rPr>
          <w:t>123</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and leads to the differentiation of glioma cells, thus inhibiting glioma progression </w:t>
      </w:r>
      <w:r w:rsidRPr="00F91674">
        <w:rPr>
          <w:rFonts w:ascii="Book Antiqua" w:eastAsia="Book Antiqua" w:hAnsi="Book Antiqua" w:cs="Book Antiqua"/>
          <w:i/>
          <w:color w:val="000000"/>
        </w:rPr>
        <w:t>in vivo</w:t>
      </w:r>
      <w:r w:rsidRPr="00F91674">
        <w:rPr>
          <w:rFonts w:ascii="Book Antiqua" w:eastAsia="Book Antiqua" w:hAnsi="Book Antiqua" w:cs="Book Antiqua"/>
          <w:color w:val="000000"/>
          <w:vertAlign w:val="superscript"/>
        </w:rPr>
        <w:t>[</w:t>
      </w:r>
      <w:hyperlink w:anchor="_ENREF_124" w:tooltip="Caglayan, 2013 #138" w:history="1">
        <w:r w:rsidRPr="00F91674">
          <w:rPr>
            <w:rFonts w:ascii="Book Antiqua" w:eastAsia="Book Antiqua" w:hAnsi="Book Antiqua" w:cs="Book Antiqua"/>
            <w:color w:val="000000"/>
            <w:vertAlign w:val="superscript"/>
          </w:rPr>
          <w:t>124</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Moreover, it has been shown that simultaneous ectopic expression of the </w:t>
      </w:r>
      <w:r w:rsidRPr="00F91674">
        <w:rPr>
          <w:rFonts w:ascii="Book Antiqua" w:eastAsia="Book Antiqua" w:hAnsi="Book Antiqua" w:cs="Book Antiqua"/>
          <w:i/>
          <w:color w:val="000000"/>
        </w:rPr>
        <w:t>SOX5</w:t>
      </w:r>
      <w:r w:rsidRPr="00F91674">
        <w:rPr>
          <w:rFonts w:ascii="Book Antiqua" w:eastAsia="Book Antiqua" w:hAnsi="Book Antiqua" w:cs="Book Antiqua"/>
          <w:color w:val="000000"/>
        </w:rPr>
        <w:t xml:space="preserve">, </w:t>
      </w:r>
      <w:r w:rsidRPr="00F91674">
        <w:rPr>
          <w:rFonts w:ascii="Book Antiqua" w:eastAsia="Book Antiqua" w:hAnsi="Book Antiqua" w:cs="Book Antiqua"/>
          <w:i/>
          <w:color w:val="000000"/>
        </w:rPr>
        <w:t>SOX6</w:t>
      </w:r>
      <w:r w:rsidRPr="00F91674">
        <w:rPr>
          <w:rFonts w:ascii="Book Antiqua" w:eastAsia="Book Antiqua" w:hAnsi="Book Antiqua" w:cs="Book Antiqua"/>
          <w:color w:val="000000"/>
        </w:rPr>
        <w:t xml:space="preserve"> and </w:t>
      </w:r>
      <w:r w:rsidRPr="00F91674">
        <w:rPr>
          <w:rFonts w:ascii="Book Antiqua" w:eastAsia="Book Antiqua" w:hAnsi="Book Antiqua" w:cs="Book Antiqua"/>
          <w:i/>
          <w:color w:val="000000"/>
        </w:rPr>
        <w:t>SOX21</w:t>
      </w:r>
      <w:r w:rsidRPr="00F91674">
        <w:rPr>
          <w:rFonts w:ascii="Book Antiqua" w:eastAsia="Book Antiqua" w:hAnsi="Book Antiqua" w:cs="Book Antiqua"/>
          <w:color w:val="000000"/>
        </w:rPr>
        <w:t xml:space="preserve"> genes in human primary GBM cells induces </w:t>
      </w:r>
      <w:r w:rsidRPr="00F91674">
        <w:rPr>
          <w:rFonts w:ascii="Book Antiqua" w:eastAsia="Book Antiqua" w:hAnsi="Book Antiqua" w:cs="Book Antiqua"/>
          <w:color w:val="000000"/>
        </w:rPr>
        <w:lastRenderedPageBreak/>
        <w:t xml:space="preserve">senescence and apoptosis, thus reducing their malignant </w:t>
      </w:r>
      <w:proofErr w:type="gramStart"/>
      <w:r w:rsidRPr="00F91674">
        <w:rPr>
          <w:rFonts w:ascii="Book Antiqua" w:eastAsia="Book Antiqua" w:hAnsi="Book Antiqua" w:cs="Book Antiqua"/>
          <w:color w:val="000000"/>
        </w:rPr>
        <w:t>potential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"_ENREF_125" \o "Kurtsdotter, 2017 #131" </w:instrText>
      </w:r>
      <w:r w:rsidR="00BC0B14" w:rsidRPr="00F91674">
        <w:fldChar w:fldCharType="separate"/>
      </w:r>
      <w:r w:rsidRPr="00F91674">
        <w:rPr>
          <w:rFonts w:ascii="Book Antiqua" w:eastAsia="Book Antiqua" w:hAnsi="Book Antiqua" w:cs="Book Antiqua"/>
          <w:color w:val="000000"/>
          <w:vertAlign w:val="superscript"/>
        </w:rPr>
        <w:t>125</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Their downregulation increases the capacity of stem cells from the subventricular zone of the mouse brain to form glioma tumors upon encountering oncogenic </w:t>
      </w:r>
      <w:proofErr w:type="gramStart"/>
      <w:r w:rsidRPr="00F91674">
        <w:rPr>
          <w:rFonts w:ascii="Book Antiqua" w:eastAsia="Book Antiqua" w:hAnsi="Book Antiqua" w:cs="Book Antiqua"/>
          <w:color w:val="000000"/>
        </w:rPr>
        <w:t>stimuli</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"_ENREF_125" \o "Kurtsdotter, 2017 #131" </w:instrText>
      </w:r>
      <w:r w:rsidR="00BC0B14" w:rsidRPr="00F91674">
        <w:fldChar w:fldCharType="separate"/>
      </w:r>
      <w:r w:rsidRPr="00F91674">
        <w:rPr>
          <w:rFonts w:ascii="Book Antiqua" w:eastAsia="Book Antiqua" w:hAnsi="Book Antiqua" w:cs="Book Antiqua"/>
          <w:color w:val="000000"/>
          <w:vertAlign w:val="superscript"/>
        </w:rPr>
        <w:t>125</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548AD37C" w14:textId="408D1AE4"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Angiogenesis represents one of the hallmarks of </w:t>
      </w:r>
      <w:proofErr w:type="gramStart"/>
      <w:r w:rsidRPr="00F91674">
        <w:rPr>
          <w:rFonts w:ascii="Book Antiqua" w:eastAsia="Book Antiqua" w:hAnsi="Book Antiqua" w:cs="Book Antiqua"/>
          <w:color w:val="000000"/>
        </w:rPr>
        <w:t>GBM</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"_ENREF_126" \o "Xu, 2018 #33" </w:instrText>
      </w:r>
      <w:r w:rsidR="00BC0B14" w:rsidRPr="00F91674">
        <w:fldChar w:fldCharType="separate"/>
      </w:r>
      <w:r w:rsidRPr="00F91674">
        <w:rPr>
          <w:rFonts w:ascii="Book Antiqua" w:eastAsia="Book Antiqua" w:hAnsi="Book Antiqua" w:cs="Book Antiqua"/>
          <w:color w:val="000000"/>
          <w:vertAlign w:val="superscript"/>
        </w:rPr>
        <w:t>126</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Upregulation of </w:t>
      </w:r>
      <w:r w:rsidRPr="00F91674">
        <w:rPr>
          <w:rFonts w:ascii="Book Antiqua" w:eastAsia="Book Antiqua" w:hAnsi="Book Antiqua" w:cs="Book Antiqua"/>
          <w:i/>
          <w:color w:val="000000"/>
        </w:rPr>
        <w:t>SOX7</w:t>
      </w:r>
      <w:r w:rsidRPr="00F91674">
        <w:rPr>
          <w:rFonts w:ascii="Book Antiqua" w:eastAsia="Book Antiqua" w:hAnsi="Book Antiqua" w:cs="Book Antiqua"/>
          <w:color w:val="000000"/>
        </w:rPr>
        <w:t xml:space="preserve"> expression promotes tumor angiogenesis in a mouse model of high-grade glioma, and its high expression in GBM patients is associated with poor survival and early </w:t>
      </w:r>
      <w:proofErr w:type="gramStart"/>
      <w:r w:rsidRPr="00F91674">
        <w:rPr>
          <w:rFonts w:ascii="Book Antiqua" w:eastAsia="Book Antiqua" w:hAnsi="Book Antiqua" w:cs="Book Antiqua"/>
          <w:color w:val="000000"/>
        </w:rPr>
        <w:t>recurrence</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"_ENREF_127" \o "Kim, 2018 #16" </w:instrText>
      </w:r>
      <w:r w:rsidR="00BC0B14" w:rsidRPr="00F91674">
        <w:fldChar w:fldCharType="separate"/>
      </w:r>
      <w:r w:rsidRPr="00F91674">
        <w:rPr>
          <w:rFonts w:ascii="Book Antiqua" w:eastAsia="Book Antiqua" w:hAnsi="Book Antiqua" w:cs="Book Antiqua"/>
          <w:color w:val="000000"/>
          <w:vertAlign w:val="superscript"/>
        </w:rPr>
        <w:t>127</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w:t>
      </w:r>
      <w:r w:rsidRPr="00F91674">
        <w:rPr>
          <w:rFonts w:ascii="Book Antiqua" w:eastAsia="Book Antiqua" w:hAnsi="Book Antiqua" w:cs="Book Antiqua"/>
          <w:i/>
          <w:color w:val="000000"/>
        </w:rPr>
        <w:t>SOX13</w:t>
      </w:r>
      <w:r w:rsidRPr="00F91674">
        <w:rPr>
          <w:rFonts w:ascii="Book Antiqua" w:eastAsia="Book Antiqua" w:hAnsi="Book Antiqua" w:cs="Book Antiqua"/>
          <w:color w:val="000000"/>
        </w:rPr>
        <w:t xml:space="preserve"> silencing reduced the tube formation abilities of U87 glioma-exposed endothelial </w:t>
      </w:r>
      <w:proofErr w:type="gramStart"/>
      <w:r w:rsidRPr="00F91674">
        <w:rPr>
          <w:rFonts w:ascii="Book Antiqua" w:eastAsia="Book Antiqua" w:hAnsi="Book Antiqua" w:cs="Book Antiqua"/>
          <w:color w:val="000000"/>
        </w:rPr>
        <w:t>cells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"_ENREF_128" \o "He, 2019 #37" </w:instrText>
      </w:r>
      <w:r w:rsidR="00BC0B14" w:rsidRPr="00F91674">
        <w:fldChar w:fldCharType="separate"/>
      </w:r>
      <w:r w:rsidRPr="00F91674">
        <w:rPr>
          <w:rFonts w:ascii="Book Antiqua" w:eastAsia="Book Antiqua" w:hAnsi="Book Antiqua" w:cs="Book Antiqua"/>
          <w:color w:val="000000"/>
          <w:vertAlign w:val="superscript"/>
        </w:rPr>
        <w:t>128</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Downregulation of SOX17 expression inhibited tumor angiogenesis in a mouse model of high-grade glioma, while no correlation between its expression level and the clinical outcome of patients with GBM was </w:t>
      </w:r>
      <w:proofErr w:type="gramStart"/>
      <w:r w:rsidRPr="00F91674">
        <w:rPr>
          <w:rFonts w:ascii="Book Antiqua" w:eastAsia="Book Antiqua" w:hAnsi="Book Antiqua" w:cs="Book Antiqua"/>
          <w:color w:val="000000"/>
        </w:rPr>
        <w:t>documented</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"_ENREF_127" \o "Kim, 2018 #16" </w:instrText>
      </w:r>
      <w:r w:rsidR="00BC0B14" w:rsidRPr="00F91674">
        <w:fldChar w:fldCharType="separate"/>
      </w:r>
      <w:r w:rsidRPr="00F91674">
        <w:rPr>
          <w:rFonts w:ascii="Book Antiqua" w:eastAsia="Book Antiqua" w:hAnsi="Book Antiqua" w:cs="Book Antiqua"/>
          <w:color w:val="000000"/>
          <w:vertAlign w:val="superscript"/>
        </w:rPr>
        <w:t>127</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6CE0216C" w14:textId="211F0D33"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Some </w:t>
      </w:r>
      <w:proofErr w:type="gramStart"/>
      <w:r w:rsidRPr="00F91674">
        <w:rPr>
          <w:rFonts w:ascii="Book Antiqua" w:eastAsia="Book Antiqua" w:hAnsi="Book Antiqua" w:cs="Book Antiqua"/>
          <w:i/>
          <w:color w:val="000000"/>
        </w:rPr>
        <w:t>SOX</w:t>
      </w:r>
      <w:r w:rsidRPr="00F91674">
        <w:rPr>
          <w:rFonts w:ascii="Book Antiqua" w:eastAsia="Book Antiqua" w:hAnsi="Book Antiqua" w:cs="Book Antiqua"/>
          <w:color w:val="000000"/>
        </w:rPr>
        <w:t xml:space="preserve">  genes</w:t>
      </w:r>
      <w:proofErr w:type="gramEnd"/>
      <w:r w:rsidRPr="00F91674">
        <w:rPr>
          <w:rFonts w:ascii="Book Antiqua" w:eastAsia="Book Antiqua" w:hAnsi="Book Antiqua" w:cs="Book Antiqua"/>
          <w:color w:val="000000"/>
        </w:rPr>
        <w:t xml:space="preserve"> display both oncogenic and tumor suppressive functions depending on the cellular context. For instance, </w:t>
      </w:r>
      <w:r w:rsidRPr="00F91674">
        <w:rPr>
          <w:rFonts w:ascii="Book Antiqua" w:eastAsia="Book Antiqua" w:hAnsi="Book Antiqua" w:cs="Book Antiqua"/>
          <w:i/>
          <w:color w:val="000000"/>
        </w:rPr>
        <w:t>SOX4</w:t>
      </w:r>
      <w:r w:rsidRPr="00F91674">
        <w:rPr>
          <w:rFonts w:ascii="Book Antiqua" w:eastAsia="Book Antiqua" w:hAnsi="Book Antiqua" w:cs="Book Antiqua"/>
          <w:color w:val="000000"/>
        </w:rPr>
        <w:t xml:space="preserve"> exerts tumor suppressor activity in glioma cells by inducing GO/G1 cell cycle arrest and inhibiting </w:t>
      </w:r>
      <w:proofErr w:type="gramStart"/>
      <w:r w:rsidRPr="00F91674">
        <w:rPr>
          <w:rFonts w:ascii="Book Antiqua" w:eastAsia="Book Antiqua" w:hAnsi="Book Antiqua" w:cs="Book Antiqua"/>
          <w:color w:val="000000"/>
        </w:rPr>
        <w:t>growth</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"_ENREF_129" \o "Zhang, 2014 #34" </w:instrText>
      </w:r>
      <w:r w:rsidR="00BC0B14" w:rsidRPr="00F91674">
        <w:fldChar w:fldCharType="separate"/>
      </w:r>
      <w:r w:rsidRPr="00F91674">
        <w:rPr>
          <w:rFonts w:ascii="Book Antiqua" w:eastAsia="Book Antiqua" w:hAnsi="Book Antiqua" w:cs="Book Antiqua"/>
          <w:color w:val="000000"/>
          <w:vertAlign w:val="superscript"/>
        </w:rPr>
        <w:t>129</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In contrast, this gene is involved in maintaining the stemness of glioma-initiating </w:t>
      </w:r>
      <w:proofErr w:type="gramStart"/>
      <w:r w:rsidRPr="00F91674">
        <w:rPr>
          <w:rFonts w:ascii="Book Antiqua" w:eastAsia="Book Antiqua" w:hAnsi="Book Antiqua" w:cs="Book Antiqua"/>
          <w:color w:val="000000"/>
        </w:rPr>
        <w:t>cells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"_ENREF_130" \o "Ikushima, 2009 #35" </w:instrText>
      </w:r>
      <w:r w:rsidR="00BC0B14" w:rsidRPr="00F91674">
        <w:fldChar w:fldCharType="separate"/>
      </w:r>
      <w:r w:rsidRPr="00F91674">
        <w:rPr>
          <w:rFonts w:ascii="Book Antiqua" w:eastAsia="Book Antiqua" w:hAnsi="Book Antiqua" w:cs="Book Antiqua"/>
          <w:color w:val="000000"/>
          <w:vertAlign w:val="superscript"/>
        </w:rPr>
        <w:t>130</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There are also contradictory data regarding the correlation between </w:t>
      </w:r>
      <w:r w:rsidRPr="00F91674">
        <w:rPr>
          <w:rFonts w:ascii="Book Antiqua" w:eastAsia="Book Antiqua" w:hAnsi="Book Antiqua" w:cs="Book Antiqua"/>
          <w:i/>
          <w:color w:val="000000"/>
        </w:rPr>
        <w:t>SOX4</w:t>
      </w:r>
      <w:r w:rsidRPr="00F91674">
        <w:rPr>
          <w:rFonts w:ascii="Book Antiqua" w:eastAsia="Book Antiqua" w:hAnsi="Book Antiqua" w:cs="Book Antiqua"/>
          <w:color w:val="000000"/>
        </w:rPr>
        <w:t xml:space="preserve"> expression and the clinical outcome in patients with GBM. Galatro </w:t>
      </w:r>
      <w:r w:rsidRPr="00F91674">
        <w:rPr>
          <w:rFonts w:ascii="Book Antiqua" w:eastAsia="Book Antiqua" w:hAnsi="Book Antiqua" w:cs="Book Antiqua"/>
          <w:i/>
          <w:color w:val="000000"/>
        </w:rPr>
        <w:t xml:space="preserve">et </w:t>
      </w:r>
      <w:proofErr w:type="gramStart"/>
      <w:r w:rsidRPr="00F91674">
        <w:rPr>
          <w:rFonts w:ascii="Book Antiqua" w:eastAsia="Book Antiqua" w:hAnsi="Book Antiqua" w:cs="Book Antiqua"/>
          <w:i/>
          <w:color w:val="000000"/>
        </w:rPr>
        <w:t>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"_ENREF_131" \o "Galatro, 2013 #36" </w:instrText>
      </w:r>
      <w:r w:rsidR="00BC0B14" w:rsidRPr="00F91674">
        <w:fldChar w:fldCharType="separate"/>
      </w:r>
      <w:r w:rsidRPr="00F91674">
        <w:rPr>
          <w:rFonts w:ascii="Book Antiqua" w:eastAsia="Book Antiqua" w:hAnsi="Book Antiqua" w:cs="Book Antiqua"/>
          <w:color w:val="000000"/>
          <w:vertAlign w:val="superscript"/>
        </w:rPr>
        <w:t>131</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reported that patients with GBM with combined high expression of </w:t>
      </w:r>
      <w:r w:rsidRPr="00F91674">
        <w:rPr>
          <w:rFonts w:ascii="Book Antiqua" w:eastAsia="Book Antiqua" w:hAnsi="Book Antiqua" w:cs="Book Antiqua"/>
          <w:i/>
          <w:color w:val="000000"/>
        </w:rPr>
        <w:t>ID4</w:t>
      </w:r>
      <w:r w:rsidRPr="00F91674">
        <w:rPr>
          <w:rFonts w:ascii="Book Antiqua" w:eastAsia="Book Antiqua" w:hAnsi="Book Antiqua" w:cs="Book Antiqua"/>
          <w:color w:val="000000"/>
        </w:rPr>
        <w:t xml:space="preserve">, </w:t>
      </w:r>
      <w:r w:rsidRPr="00F91674">
        <w:rPr>
          <w:rFonts w:ascii="Book Antiqua" w:eastAsia="Book Antiqua" w:hAnsi="Book Antiqua" w:cs="Book Antiqua"/>
          <w:i/>
          <w:color w:val="000000"/>
        </w:rPr>
        <w:t>SOX4</w:t>
      </w:r>
      <w:r w:rsidRPr="00F91674">
        <w:rPr>
          <w:rFonts w:ascii="Book Antiqua" w:eastAsia="Book Antiqua" w:hAnsi="Book Antiqua" w:cs="Book Antiqua"/>
          <w:color w:val="000000"/>
        </w:rPr>
        <w:t xml:space="preserve"> and </w:t>
      </w:r>
      <w:r w:rsidRPr="00F91674">
        <w:rPr>
          <w:rFonts w:ascii="Book Antiqua" w:eastAsia="Book Antiqua" w:hAnsi="Book Antiqua" w:cs="Book Antiqua"/>
          <w:i/>
          <w:color w:val="000000"/>
        </w:rPr>
        <w:t>OCT4</w:t>
      </w:r>
      <w:r w:rsidRPr="00F91674">
        <w:rPr>
          <w:rFonts w:ascii="Book Antiqua" w:eastAsia="Book Antiqua" w:hAnsi="Book Antiqua" w:cs="Book Antiqua"/>
          <w:color w:val="000000"/>
        </w:rPr>
        <w:t xml:space="preserve"> exhibited lower survival. On the other hand, Zhang </w:t>
      </w:r>
      <w:r w:rsidRPr="00F91674">
        <w:rPr>
          <w:rFonts w:ascii="Book Antiqua" w:eastAsia="Book Antiqua" w:hAnsi="Book Antiqua" w:cs="Book Antiqua"/>
          <w:i/>
          <w:color w:val="000000"/>
        </w:rPr>
        <w:t xml:space="preserve">et </w:t>
      </w:r>
      <w:proofErr w:type="gramStart"/>
      <w:r w:rsidRPr="00F91674">
        <w:rPr>
          <w:rFonts w:ascii="Book Antiqua" w:eastAsia="Book Antiqua" w:hAnsi="Book Antiqua" w:cs="Book Antiqua"/>
          <w:i/>
          <w:color w:val="000000"/>
        </w:rPr>
        <w:t>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"_ENREF_129" \o "Zhang, 2014 #34" </w:instrText>
      </w:r>
      <w:r w:rsidR="00BC0B14" w:rsidRPr="00F91674">
        <w:fldChar w:fldCharType="separate"/>
      </w:r>
      <w:r w:rsidRPr="00F91674">
        <w:rPr>
          <w:rFonts w:ascii="Book Antiqua" w:eastAsia="Book Antiqua" w:hAnsi="Book Antiqua" w:cs="Book Antiqua"/>
          <w:color w:val="000000"/>
          <w:vertAlign w:val="superscript"/>
        </w:rPr>
        <w:t>129</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demonstrated that </w:t>
      </w:r>
      <w:r w:rsidRPr="00F91674">
        <w:rPr>
          <w:rFonts w:ascii="Book Antiqua" w:eastAsia="Book Antiqua" w:hAnsi="Book Antiqua" w:cs="Book Antiqua"/>
          <w:i/>
          <w:color w:val="000000"/>
        </w:rPr>
        <w:t>SOX4</w:t>
      </w:r>
      <w:r w:rsidRPr="00F91674">
        <w:rPr>
          <w:rFonts w:ascii="Book Antiqua" w:eastAsia="Book Antiqua" w:hAnsi="Book Antiqua" w:cs="Book Antiqua"/>
          <w:color w:val="000000"/>
        </w:rPr>
        <w:t xml:space="preserve"> expression is positively correlated with a good prognosis for patients with primary GBM.</w:t>
      </w:r>
    </w:p>
    <w:p w14:paraId="6D6F2338" w14:textId="21A07923"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Taken together, these reported findings demonstrate that almost all </w:t>
      </w:r>
      <w:proofErr w:type="gramStart"/>
      <w:r w:rsidRPr="00F91674">
        <w:rPr>
          <w:rFonts w:ascii="Book Antiqua" w:eastAsia="Book Antiqua" w:hAnsi="Book Antiqua" w:cs="Book Antiqua"/>
          <w:i/>
          <w:color w:val="000000"/>
        </w:rPr>
        <w:t>SOX</w:t>
      </w:r>
      <w:r w:rsidRPr="00F91674">
        <w:rPr>
          <w:rFonts w:ascii="Book Antiqua" w:eastAsia="Book Antiqua" w:hAnsi="Book Antiqua" w:cs="Book Antiqua"/>
          <w:color w:val="000000"/>
        </w:rPr>
        <w:t xml:space="preserve">  genes</w:t>
      </w:r>
      <w:proofErr w:type="gramEnd"/>
      <w:r w:rsidRPr="00F91674">
        <w:rPr>
          <w:rFonts w:ascii="Book Antiqua" w:eastAsia="Book Antiqua" w:hAnsi="Book Antiqua" w:cs="Book Antiqua"/>
          <w:color w:val="000000"/>
        </w:rPr>
        <w:t xml:space="preserve"> are expressed in GBM and the expression levels of the majority of these genes are associated with the prognosis and survival of patients with GBM.</w:t>
      </w:r>
      <w:r w:rsidRPr="00F91674">
        <w:rPr>
          <w:rFonts w:ascii="Book Antiqua" w:eastAsia="Book Antiqua" w:hAnsi="Book Antiqua" w:cs="Book Antiqua"/>
          <w:i/>
          <w:color w:val="000000"/>
        </w:rPr>
        <w:t xml:space="preserve"> SOX</w:t>
      </w:r>
      <w:r w:rsidRPr="00F91674">
        <w:rPr>
          <w:rFonts w:ascii="Book Antiqua" w:eastAsia="Book Antiqua" w:hAnsi="Book Antiqua" w:cs="Book Antiqua"/>
          <w:color w:val="000000"/>
        </w:rPr>
        <w:t>genes that exert oncogenic roles are usually associated with a poor prognosis and shorter survival, making them potential candidates as prognostic biomarkers and future therapeutic targets.</w:t>
      </w:r>
    </w:p>
    <w:p w14:paraId="5BA70644" w14:textId="77777777" w:rsidR="00D51910" w:rsidRPr="00F91674" w:rsidRDefault="00D51910" w:rsidP="00D51910">
      <w:pPr>
        <w:adjustRightInd w:val="0"/>
        <w:snapToGrid w:val="0"/>
        <w:spacing w:line="360" w:lineRule="auto"/>
        <w:jc w:val="both"/>
        <w:rPr>
          <w:rFonts w:ascii="Book Antiqua" w:eastAsia="Book Antiqua" w:hAnsi="Book Antiqua" w:cs="Book Antiqua"/>
          <w:color w:val="000000"/>
        </w:rPr>
      </w:pPr>
    </w:p>
    <w:p w14:paraId="31A84056" w14:textId="77777777" w:rsidR="00D51910" w:rsidRPr="00F91674" w:rsidRDefault="00D51910" w:rsidP="00D51910">
      <w:pPr>
        <w:adjustRightInd w:val="0"/>
        <w:snapToGrid w:val="0"/>
        <w:spacing w:line="360" w:lineRule="auto"/>
        <w:jc w:val="both"/>
        <w:rPr>
          <w:rFonts w:ascii="Book Antiqua" w:eastAsia="Book Antiqua" w:hAnsi="Book Antiqua" w:cs="Book Antiqua"/>
          <w:b/>
          <w:bCs/>
          <w:color w:val="000000"/>
          <w:u w:val="single"/>
        </w:rPr>
      </w:pPr>
      <w:r w:rsidRPr="00F91674">
        <w:rPr>
          <w:rFonts w:ascii="Book Antiqua" w:eastAsia="Book Antiqua" w:hAnsi="Book Antiqua" w:cs="Book Antiqua"/>
          <w:b/>
          <w:bCs/>
          <w:color w:val="000000"/>
          <w:u w:val="single"/>
        </w:rPr>
        <w:t>GSCs</w:t>
      </w:r>
    </w:p>
    <w:p w14:paraId="1EB8F0B8" w14:textId="473CD665" w:rsidR="00D51910" w:rsidRPr="00F91674" w:rsidRDefault="00D51910" w:rsidP="00D51910">
      <w:pPr>
        <w:adjustRightInd w:val="0"/>
        <w:snapToGrid w:val="0"/>
        <w:spacing w:line="360" w:lineRule="auto"/>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GSCs were among the first CSCs identified in solid </w:t>
      </w:r>
      <w:proofErr w:type="gramStart"/>
      <w:r w:rsidRPr="00F91674">
        <w:rPr>
          <w:rFonts w:ascii="Book Antiqua" w:eastAsia="Book Antiqua" w:hAnsi="Book Antiqua" w:cs="Book Antiqua"/>
          <w:color w:val="000000"/>
        </w:rPr>
        <w:t>tumors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"_ENREF_132" \o "Singh, 2004 #88" </w:instrText>
      </w:r>
      <w:r w:rsidR="00BC0B14" w:rsidRPr="00F91674">
        <w:fldChar w:fldCharType="separate"/>
      </w:r>
      <w:r w:rsidRPr="00F91674">
        <w:rPr>
          <w:rFonts w:ascii="Book Antiqua" w:eastAsia="Book Antiqua" w:hAnsi="Book Antiqua" w:cs="Book Antiqua"/>
          <w:color w:val="000000"/>
          <w:vertAlign w:val="superscript"/>
        </w:rPr>
        <w:t>132</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GSCs are one of the major contributors to GBM heterogeneity; these cells exhibit a high proliferation rate </w:t>
      </w:r>
      <w:r w:rsidRPr="00F91674">
        <w:rPr>
          <w:rFonts w:ascii="Book Antiqua" w:eastAsia="Book Antiqua" w:hAnsi="Book Antiqua" w:cs="Book Antiqua"/>
          <w:color w:val="000000"/>
        </w:rPr>
        <w:lastRenderedPageBreak/>
        <w:t>and self-renewal capacity (reviewed in</w:t>
      </w:r>
      <w:r w:rsidRPr="00F91674">
        <w:rPr>
          <w:rFonts w:ascii="Book Antiqua" w:eastAsia="Book Antiqua" w:hAnsi="Book Antiqua" w:cs="Book Antiqua"/>
          <w:color w:val="000000"/>
          <w:vertAlign w:val="superscript"/>
        </w:rPr>
        <w:t>[</w:t>
      </w:r>
      <w:hyperlink w:anchor="_ENREF_71" w:tooltip="Escamilla-Ramirez, 2020 #89" w:history="1">
        <w:r w:rsidRPr="00F91674">
          <w:rPr>
            <w:rFonts w:ascii="Book Antiqua" w:eastAsia="Book Antiqua" w:hAnsi="Book Antiqua" w:cs="Book Antiqua"/>
            <w:color w:val="000000"/>
            <w:vertAlign w:val="superscript"/>
          </w:rPr>
          <w:t>71</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an ability to differentiate into diverse cell types, the ability to recapitulate a whole tumor (reviewed in</w:t>
      </w:r>
      <w:r w:rsidRPr="00F91674">
        <w:rPr>
          <w:rFonts w:ascii="Book Antiqua" w:eastAsia="Book Antiqua" w:hAnsi="Book Antiqua" w:cs="Book Antiqua"/>
          <w:color w:val="000000"/>
          <w:vertAlign w:val="superscript"/>
        </w:rPr>
        <w:t>[</w:t>
      </w:r>
      <w:hyperlink w:anchor="_ENREF_133" w:tooltip="Auffinger, 2015 #90" w:history="1">
        <w:r w:rsidRPr="00F91674">
          <w:rPr>
            <w:rFonts w:ascii="Book Antiqua" w:eastAsia="Book Antiqua" w:hAnsi="Book Antiqua" w:cs="Book Antiqua"/>
            <w:color w:val="000000"/>
            <w:vertAlign w:val="superscript"/>
          </w:rPr>
          <w:t>133</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enhanced invasive capacity, increased angiogenic potential</w:t>
      </w:r>
      <w:r w:rsidRPr="00F91674">
        <w:rPr>
          <w:rFonts w:ascii="Book Antiqua" w:eastAsia="Book Antiqua" w:hAnsi="Book Antiqua" w:cs="Book Antiqua"/>
          <w:color w:val="000000"/>
          <w:vertAlign w:val="superscript"/>
        </w:rPr>
        <w:t>[</w:t>
      </w:r>
      <w:hyperlink w:anchor="_ENREF_134" w:tooltip="Boyd, 2021 #91" w:history="1">
        <w:r w:rsidRPr="00F91674">
          <w:rPr>
            <w:rFonts w:ascii="Book Antiqua" w:eastAsia="Book Antiqua" w:hAnsi="Book Antiqua" w:cs="Book Antiqua"/>
            <w:color w:val="000000"/>
            <w:vertAlign w:val="superscript"/>
          </w:rPr>
          <w:t>134</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and an ability to initiate tumor growth and progression shortly after the surgical removal of the primary GBM tumor (reviewed in</w:t>
      </w:r>
      <w:r w:rsidRPr="00F91674">
        <w:rPr>
          <w:rFonts w:ascii="Book Antiqua" w:eastAsia="Book Antiqua" w:hAnsi="Book Antiqua" w:cs="Book Antiqua"/>
          <w:color w:val="000000"/>
          <w:vertAlign w:val="superscript"/>
        </w:rPr>
        <w:t>[</w:t>
      </w:r>
      <w:hyperlink w:anchor="_ENREF_92" w:tooltip="Bryukhovetskiy, 2020 #92" w:history="1">
        <w:r w:rsidRPr="00F91674">
          <w:rPr>
            <w:rFonts w:ascii="Book Antiqua" w:eastAsia="Book Antiqua" w:hAnsi="Book Antiqua" w:cs="Book Antiqua"/>
            <w:color w:val="000000"/>
            <w:vertAlign w:val="superscript"/>
          </w:rPr>
          <w:t>92</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GSCs usually express specific markers, such as CD133 (Prominin 1), CD44, NANOG, SOX2, OCT4, POU class 3 homeobox 2 (POU3F2), MYC proto-oncogene (c-Myc), Spalt Like TF 2 (SALL2) and KAT8 regulatory NSL complex subunit 2</w:t>
      </w:r>
      <w:r w:rsidRPr="00F91674">
        <w:rPr>
          <w:rFonts w:ascii="Book Antiqua" w:eastAsia="Book Antiqua" w:hAnsi="Book Antiqua" w:cs="Book Antiqua"/>
          <w:color w:val="000000"/>
          <w:vertAlign w:val="superscript"/>
        </w:rPr>
        <w:t>[</w:t>
      </w:r>
      <w:hyperlink w:anchor="_ENREF_135" w:tooltip="Ferreyra Solari, 2016 #94" w:history="1">
        <w:r w:rsidRPr="00F91674">
          <w:rPr>
            <w:rFonts w:ascii="Book Antiqua" w:eastAsia="Book Antiqua" w:hAnsi="Book Antiqua" w:cs="Book Antiqua"/>
            <w:color w:val="000000"/>
            <w:vertAlign w:val="superscript"/>
          </w:rPr>
          <w:t>135</w:t>
        </w:r>
      </w:hyperlink>
      <w:r w:rsidRPr="00F91674">
        <w:rPr>
          <w:rFonts w:ascii="Book Antiqua" w:eastAsia="Book Antiqua" w:hAnsi="Book Antiqua" w:cs="Book Antiqua"/>
          <w:color w:val="000000"/>
          <w:vertAlign w:val="superscript"/>
        </w:rPr>
        <w:t>,</w:t>
      </w:r>
      <w:hyperlink w:anchor="_ENREF_136" w:tooltip="Suva, 2014 #93" w:history="1">
        <w:r w:rsidRPr="00F91674">
          <w:rPr>
            <w:rFonts w:ascii="Book Antiqua" w:eastAsia="Book Antiqua" w:hAnsi="Book Antiqua" w:cs="Book Antiqua"/>
            <w:color w:val="000000"/>
            <w:vertAlign w:val="superscript"/>
          </w:rPr>
          <w:t>136</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It has been reported that GBM cells are able to interconvert between GSC and non-GSC </w:t>
      </w:r>
      <w:proofErr w:type="gramStart"/>
      <w:r w:rsidRPr="00F91674">
        <w:rPr>
          <w:rFonts w:ascii="Book Antiqua" w:eastAsia="Book Antiqua" w:hAnsi="Book Antiqua" w:cs="Book Antiqua"/>
          <w:color w:val="000000"/>
        </w:rPr>
        <w:t>states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"_ENREF_137" \o "Gimple, 2019 #151" </w:instrText>
      </w:r>
      <w:r w:rsidR="00BC0B14" w:rsidRPr="00F91674">
        <w:fldChar w:fldCharType="separate"/>
      </w:r>
      <w:r w:rsidRPr="00F91674">
        <w:rPr>
          <w:rFonts w:ascii="Book Antiqua" w:eastAsia="Book Antiqua" w:hAnsi="Book Antiqua" w:cs="Book Antiqua"/>
          <w:color w:val="000000"/>
          <w:vertAlign w:val="superscript"/>
        </w:rPr>
        <w:t>137</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Additionally, it has been found that a single GBM tumor contains different subsets of GSCs: proneural and </w:t>
      </w:r>
      <w:proofErr w:type="gramStart"/>
      <w:r w:rsidRPr="00F91674">
        <w:rPr>
          <w:rFonts w:ascii="Book Antiqua" w:eastAsia="Book Antiqua" w:hAnsi="Book Antiqua" w:cs="Book Antiqua"/>
          <w:color w:val="000000"/>
        </w:rPr>
        <w:t>mesenchymal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"_ENREF_138" \o "Jin, 2017 #96" </w:instrText>
      </w:r>
      <w:r w:rsidR="00BC0B14" w:rsidRPr="00F91674">
        <w:fldChar w:fldCharType="separate"/>
      </w:r>
      <w:r w:rsidRPr="00F91674">
        <w:rPr>
          <w:rFonts w:ascii="Book Antiqua" w:eastAsia="Book Antiqua" w:hAnsi="Book Antiqua" w:cs="Book Antiqua"/>
          <w:color w:val="000000"/>
          <w:vertAlign w:val="superscript"/>
        </w:rPr>
        <w:t>138</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37F795A4" w14:textId="426732DE"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Numerous studies have demonstrated the importance of signaling pathways in the maintenance of GSC properties, including the Hedgehog (HH)</w:t>
      </w:r>
      <w:r w:rsidRPr="00F91674">
        <w:rPr>
          <w:rFonts w:ascii="Book Antiqua" w:eastAsia="Book Antiqua" w:hAnsi="Book Antiqua" w:cs="Book Antiqua"/>
          <w:color w:val="000000"/>
          <w:vertAlign w:val="superscript"/>
        </w:rPr>
        <w:t>[</w:t>
      </w:r>
      <w:hyperlink w:anchor="_ENREF_139" w:tooltip="Clement, 2007 #97" w:history="1">
        <w:r w:rsidRPr="00F91674">
          <w:rPr>
            <w:rFonts w:ascii="Book Antiqua" w:eastAsia="Book Antiqua" w:hAnsi="Book Antiqua" w:cs="Book Antiqua"/>
            <w:color w:val="000000"/>
            <w:vertAlign w:val="superscript"/>
          </w:rPr>
          <w:t>139</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Wnt/</w:t>
      </w:r>
      <w:r w:rsidRPr="00F91674">
        <w:rPr>
          <w:rFonts w:ascii="Cambria Math" w:eastAsia="Book Antiqua" w:hAnsi="Cambria Math" w:cs="Cambria Math"/>
          <w:color w:val="000000"/>
        </w:rPr>
        <w:t>𝛽</w:t>
      </w:r>
      <w:r w:rsidRPr="00F91674">
        <w:rPr>
          <w:rFonts w:ascii="Book Antiqua" w:eastAsia="Book Antiqua" w:hAnsi="Book Antiqua" w:cs="Book Antiqua"/>
          <w:color w:val="000000"/>
        </w:rPr>
        <w:t>-catenin</w:t>
      </w:r>
      <w:r w:rsidRPr="00F91674">
        <w:rPr>
          <w:rFonts w:ascii="Book Antiqua" w:eastAsia="Book Antiqua" w:hAnsi="Book Antiqua" w:cs="Book Antiqua"/>
          <w:color w:val="000000"/>
          <w:vertAlign w:val="superscript"/>
        </w:rPr>
        <w:t>[</w:t>
      </w:r>
      <w:hyperlink w:anchor="_ENREF_140" w:tooltip="Kim, 2013 #98" w:history="1">
        <w:r w:rsidRPr="00F91674">
          <w:rPr>
            <w:rFonts w:ascii="Book Antiqua" w:eastAsia="Book Antiqua" w:hAnsi="Book Antiqua" w:cs="Book Antiqua"/>
            <w:color w:val="000000"/>
            <w:vertAlign w:val="superscript"/>
          </w:rPr>
          <w:t>140</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NOTCH</w:t>
      </w:r>
      <w:r w:rsidRPr="00F91674">
        <w:rPr>
          <w:rFonts w:ascii="Book Antiqua" w:eastAsia="Book Antiqua" w:hAnsi="Book Antiqua" w:cs="Book Antiqua"/>
          <w:color w:val="000000"/>
          <w:vertAlign w:val="superscript"/>
        </w:rPr>
        <w:t>[</w:t>
      </w:r>
      <w:hyperlink w:anchor="_ENREF_141" w:tooltip="Fan, 2010 #99" w:history="1">
        <w:r w:rsidRPr="00F91674">
          <w:rPr>
            <w:rFonts w:ascii="Book Antiqua" w:eastAsia="Book Antiqua" w:hAnsi="Book Antiqua" w:cs="Book Antiqua"/>
            <w:color w:val="000000"/>
            <w:vertAlign w:val="superscript"/>
          </w:rPr>
          <w:t>141</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Epidermal growth factor receptor</w:t>
      </w:r>
      <w:r w:rsidRPr="00F91674">
        <w:rPr>
          <w:rFonts w:ascii="Book Antiqua" w:eastAsia="Book Antiqua" w:hAnsi="Book Antiqua" w:cs="Book Antiqua"/>
          <w:color w:val="000000"/>
          <w:vertAlign w:val="superscript"/>
        </w:rPr>
        <w:t>[</w:t>
      </w:r>
      <w:hyperlink w:anchor="_ENREF_142" w:tooltip="Soeda, 2008 #103" w:history="1">
        <w:r w:rsidRPr="00F91674">
          <w:rPr>
            <w:rFonts w:ascii="Book Antiqua" w:eastAsia="Book Antiqua" w:hAnsi="Book Antiqua" w:cs="Book Antiqua"/>
            <w:color w:val="000000"/>
            <w:vertAlign w:val="superscript"/>
          </w:rPr>
          <w:t>142</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Phosphatidylinositol-3-phosphate kinase/AKT/Mammalian target of rapamycin</w:t>
      </w:r>
      <w:r w:rsidRPr="00F91674">
        <w:rPr>
          <w:rFonts w:ascii="Book Antiqua" w:eastAsia="Book Antiqua" w:hAnsi="Book Antiqua" w:cs="Book Antiqua"/>
          <w:color w:val="000000"/>
          <w:vertAlign w:val="superscript"/>
        </w:rPr>
        <w:t>[</w:t>
      </w:r>
      <w:hyperlink w:anchor="_ENREF_143" w:tooltip="Nanta, 2019 #28" w:history="1">
        <w:r w:rsidRPr="00F91674">
          <w:rPr>
            <w:rFonts w:ascii="Book Antiqua" w:eastAsia="Book Antiqua" w:hAnsi="Book Antiqua" w:cs="Book Antiqua"/>
            <w:color w:val="000000"/>
            <w:vertAlign w:val="superscript"/>
          </w:rPr>
          <w:t>143</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Mitogen-activated protein kinase (</w:t>
      </w:r>
      <w:r w:rsidR="00AD03C8" w:rsidRPr="00F91674">
        <w:rPr>
          <w:rFonts w:ascii="Book Antiqua" w:eastAsia="Book Antiqua" w:hAnsi="Book Antiqua" w:cs="Book Antiqua"/>
          <w:color w:val="000000"/>
        </w:rPr>
        <w:t>MAPK</w:t>
      </w:r>
      <w:r w:rsidRPr="00F91674">
        <w:rPr>
          <w:rFonts w:ascii="Book Antiqua" w:eastAsia="Book Antiqua" w:hAnsi="Book Antiqua" w:cs="Book Antiqua"/>
          <w:color w:val="000000"/>
        </w:rPr>
        <w:t>)</w:t>
      </w:r>
      <w:r w:rsidRPr="00F91674">
        <w:rPr>
          <w:rFonts w:ascii="Book Antiqua" w:eastAsia="Book Antiqua" w:hAnsi="Book Antiqua" w:cs="Book Antiqua"/>
          <w:color w:val="000000"/>
          <w:vertAlign w:val="superscript"/>
        </w:rPr>
        <w:t>[</w:t>
      </w:r>
      <w:hyperlink w:anchor="_ENREF_144" w:tooltip="Riddick, 2017 #105" w:history="1">
        <w:r w:rsidRPr="00F91674">
          <w:rPr>
            <w:rFonts w:ascii="Book Antiqua" w:eastAsia="Book Antiqua" w:hAnsi="Book Antiqua" w:cs="Book Antiqua"/>
            <w:color w:val="000000"/>
            <w:vertAlign w:val="superscript"/>
          </w:rPr>
          <w:t>144</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Inhibitory kappa B kinase/Nuclear factor-kappa B (NF-</w:t>
      </w:r>
      <w:r w:rsidRPr="00F91674">
        <w:rPr>
          <w:rFonts w:ascii="Cambria Math" w:eastAsia="Book Antiqua" w:hAnsi="Cambria Math" w:cs="Cambria Math"/>
          <w:color w:val="000000"/>
        </w:rPr>
        <w:t>𝜅</w:t>
      </w:r>
      <w:r w:rsidRPr="00F91674">
        <w:rPr>
          <w:rFonts w:ascii="Book Antiqua" w:eastAsia="Book Antiqua" w:hAnsi="Book Antiqua" w:cs="Book Antiqua"/>
          <w:color w:val="000000"/>
        </w:rPr>
        <w:t>B)</w:t>
      </w:r>
      <w:r w:rsidRPr="00F91674">
        <w:rPr>
          <w:rFonts w:ascii="Book Antiqua" w:eastAsia="Book Antiqua" w:hAnsi="Book Antiqua" w:cs="Book Antiqua"/>
          <w:color w:val="000000"/>
          <w:vertAlign w:val="superscript"/>
        </w:rPr>
        <w:t>[</w:t>
      </w:r>
      <w:hyperlink w:anchor="_ENREF_145" w:tooltip="Rinkenbaugh, 2016 #104" w:history="1">
        <w:r w:rsidRPr="00F91674">
          <w:rPr>
            <w:rFonts w:ascii="Book Antiqua" w:eastAsia="Book Antiqua" w:hAnsi="Book Antiqua" w:cs="Book Antiqua"/>
            <w:color w:val="000000"/>
            <w:vertAlign w:val="superscript"/>
          </w:rPr>
          <w:t>145</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Transforming growth factor-beta (TGF-β)/Small mothers against decapentaplegic</w:t>
      </w:r>
      <w:r w:rsidRPr="00F91674">
        <w:rPr>
          <w:rFonts w:ascii="Book Antiqua" w:eastAsia="Book Antiqua" w:hAnsi="Book Antiqua" w:cs="Book Antiqua"/>
          <w:color w:val="000000"/>
          <w:vertAlign w:val="superscript"/>
        </w:rPr>
        <w:t>[</w:t>
      </w:r>
      <w:hyperlink w:anchor="_ENREF_130" w:tooltip="Ikushima, 2009 #35" w:history="1">
        <w:r w:rsidRPr="00F91674">
          <w:rPr>
            <w:rFonts w:ascii="Book Antiqua" w:eastAsia="Book Antiqua" w:hAnsi="Book Antiqua" w:cs="Book Antiqua"/>
            <w:color w:val="000000"/>
            <w:vertAlign w:val="superscript"/>
          </w:rPr>
          <w:t>130</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and Janus kinase/Signal transducers and activators of transcription (STAT)</w:t>
      </w:r>
      <w:r w:rsidRPr="00F91674">
        <w:rPr>
          <w:rFonts w:ascii="Book Antiqua" w:eastAsia="Book Antiqua" w:hAnsi="Book Antiqua" w:cs="Book Antiqua"/>
          <w:color w:val="000000"/>
          <w:vertAlign w:val="superscript"/>
        </w:rPr>
        <w:t>[</w:t>
      </w:r>
      <w:hyperlink w:anchor="_ENREF_146" w:tooltip="Almiron Bonnin, 2018 #102" w:history="1">
        <w:r w:rsidRPr="00F91674">
          <w:rPr>
            <w:rFonts w:ascii="Book Antiqua" w:eastAsia="Book Antiqua" w:hAnsi="Book Antiqua" w:cs="Book Antiqua"/>
            <w:color w:val="000000"/>
            <w:vertAlign w:val="superscript"/>
          </w:rPr>
          <w:t>146</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pathways (Figure 4). It has been proposed that the regulation of the GSC phenotype results from a complex interplay between multiple signaling </w:t>
      </w:r>
      <w:proofErr w:type="gramStart"/>
      <w:r w:rsidRPr="00F91674">
        <w:rPr>
          <w:rFonts w:ascii="Book Antiqua" w:eastAsia="Book Antiqua" w:hAnsi="Book Antiqua" w:cs="Book Antiqua"/>
          <w:color w:val="000000"/>
        </w:rPr>
        <w:t>cascades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"_ENREF_143" \o "Nanta, 2019 #28" </w:instrText>
      </w:r>
      <w:r w:rsidR="00BC0B14" w:rsidRPr="00F91674">
        <w:fldChar w:fldCharType="separate"/>
      </w:r>
      <w:r w:rsidRPr="00F91674">
        <w:rPr>
          <w:rFonts w:ascii="Book Antiqua" w:eastAsia="Book Antiqua" w:hAnsi="Book Antiqua" w:cs="Book Antiqua"/>
          <w:color w:val="000000"/>
          <w:vertAlign w:val="superscript"/>
        </w:rPr>
        <w:t>143</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hyperlink w:anchor="_ENREF_147" w:tooltip="Jin, 2011 #106" w:history="1">
        <w:r w:rsidRPr="00F91674">
          <w:rPr>
            <w:rFonts w:ascii="Book Antiqua" w:eastAsia="Book Antiqua" w:hAnsi="Book Antiqua" w:cs="Book Antiqua"/>
            <w:color w:val="000000"/>
            <w:vertAlign w:val="superscript"/>
          </w:rPr>
          <w:t>147-149</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Accordingly, targeting several GSC-related signaling pathways at the same time seems to be necessary for the increased efficiency of anticancer treatments. A variety of small-molecule inhibitors of the HH, NOTCH and WNT/β-catenin signaling pathways have been identified/developed, along with inhibitors that target different pathways simultaneously, and the efficacy of some of these inhibitors have been demonstrated in preclinical and clinical studies</w:t>
      </w:r>
      <w:r w:rsidRPr="00F91674">
        <w:rPr>
          <w:rFonts w:ascii="Book Antiqua" w:eastAsia="Book Antiqua" w:hAnsi="Book Antiqua" w:cs="Book Antiqua"/>
          <w:color w:val="000000"/>
          <w:vertAlign w:val="superscript"/>
        </w:rPr>
        <w:t>[</w:t>
      </w:r>
      <w:hyperlink w:anchor="_ENREF_150" w:tooltip="Yang, 2020 #111" w:history="1">
        <w:r w:rsidRPr="00F91674">
          <w:rPr>
            <w:rFonts w:ascii="Book Antiqua" w:eastAsia="Book Antiqua" w:hAnsi="Book Antiqua" w:cs="Book Antiqua"/>
            <w:color w:val="000000"/>
            <w:vertAlign w:val="superscript"/>
          </w:rPr>
          <w:t>150</w:t>
        </w:r>
      </w:hyperlink>
      <w:r w:rsidRPr="00F91674">
        <w:rPr>
          <w:rFonts w:ascii="Book Antiqua" w:eastAsia="Book Antiqua" w:hAnsi="Book Antiqua" w:cs="Book Antiqua"/>
          <w:color w:val="000000"/>
          <w:vertAlign w:val="superscript"/>
        </w:rPr>
        <w:t>,</w:t>
      </w:r>
      <w:hyperlink w:anchor="_ENREF_151" w:tooltip="Yang, 2020 #112" w:history="1">
        <w:r w:rsidRPr="00F91674">
          <w:rPr>
            <w:rFonts w:ascii="Book Antiqua" w:eastAsia="Book Antiqua" w:hAnsi="Book Antiqua" w:cs="Book Antiqua"/>
            <w:color w:val="000000"/>
            <w:vertAlign w:val="superscript"/>
          </w:rPr>
          <w:t>151</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30348367" w14:textId="20E868E3"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GSCs are enriched in recurrent gliomas (reviewed </w:t>
      </w:r>
      <w:proofErr w:type="gramStart"/>
      <w:r w:rsidRPr="00F91674">
        <w:rPr>
          <w:rFonts w:ascii="Book Antiqua" w:eastAsia="Book Antiqua" w:hAnsi="Book Antiqua" w:cs="Book Antiqua"/>
          <w:color w:val="000000"/>
        </w:rPr>
        <w:t>in</w:t>
      </w:r>
      <w:r w:rsidRPr="00F91674">
        <w:rPr>
          <w:rFonts w:ascii="Book Antiqua" w:eastAsia="Book Antiqua" w:hAnsi="Book Antiqua" w:cs="Book Antiqua"/>
          <w:color w:val="000000"/>
          <w:vertAlign w:val="superscript"/>
        </w:rPr>
        <w:t>[</w:t>
      </w:r>
      <w:proofErr w:type="gramEnd"/>
      <w:r w:rsidR="00DB1EE1" w:rsidRPr="00F91674">
        <w:fldChar w:fldCharType="begin"/>
      </w:r>
      <w:r w:rsidR="00DB1EE1" w:rsidRPr="00F91674">
        <w:instrText xml:space="preserve"> HYPERLINK \l "_ENR</w:instrText>
      </w:r>
      <w:r w:rsidR="00DB1EE1" w:rsidRPr="00F91674">
        <w:instrText xml:space="preserve">EF_152" \o "Codrici, 2016 #113" </w:instrText>
      </w:r>
      <w:r w:rsidR="00DB1EE1" w:rsidRPr="00F91674">
        <w:fldChar w:fldCharType="separate"/>
      </w:r>
      <w:r w:rsidRPr="00F91674">
        <w:rPr>
          <w:rFonts w:ascii="Book Antiqua" w:eastAsia="Book Antiqua" w:hAnsi="Book Antiqua" w:cs="Book Antiqua"/>
          <w:color w:val="000000"/>
          <w:vertAlign w:val="superscript"/>
        </w:rPr>
        <w:t>152</w:t>
      </w:r>
      <w:r w:rsidR="00DB1EE1"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and they form more aggressive and diffuse tumors after intracranial transplantation in athymic nude mice than GSCs originating from the primary tumor of the same patient</w:t>
      </w:r>
      <w:r w:rsidRPr="00F91674">
        <w:rPr>
          <w:rFonts w:ascii="Book Antiqua" w:eastAsia="Book Antiqua" w:hAnsi="Book Antiqua" w:cs="Book Antiqua"/>
          <w:color w:val="000000"/>
          <w:vertAlign w:val="superscript"/>
        </w:rPr>
        <w:t>[</w:t>
      </w:r>
      <w:hyperlink w:anchor="_ENREF_153" w:tooltip="Huang, 2008 #114" w:history="1">
        <w:r w:rsidRPr="00F91674">
          <w:rPr>
            <w:rFonts w:ascii="Book Antiqua" w:eastAsia="Book Antiqua" w:hAnsi="Book Antiqua" w:cs="Book Antiqua"/>
            <w:color w:val="000000"/>
            <w:vertAlign w:val="superscript"/>
          </w:rPr>
          <w:t>153</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These factors make GSCs a primary therapeutic target. Cho </w:t>
      </w:r>
      <w:r w:rsidRPr="00F91674">
        <w:rPr>
          <w:rFonts w:ascii="Book Antiqua" w:eastAsia="Book Antiqua" w:hAnsi="Book Antiqua" w:cs="Book Antiqua"/>
          <w:i/>
          <w:color w:val="000000"/>
        </w:rPr>
        <w:t xml:space="preserve">et </w:t>
      </w:r>
      <w:proofErr w:type="gramStart"/>
      <w:r w:rsidRPr="00F91674">
        <w:rPr>
          <w:rFonts w:ascii="Book Antiqua" w:eastAsia="Book Antiqua" w:hAnsi="Book Antiqua" w:cs="Book Antiqua"/>
          <w:i/>
          <w:color w:val="000000"/>
        </w:rPr>
        <w:t>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"_ENREF_154" \o "Cho, 2013 #150" </w:instrText>
      </w:r>
      <w:r w:rsidR="00BC0B14" w:rsidRPr="00F91674">
        <w:fldChar w:fldCharType="separate"/>
      </w:r>
      <w:r w:rsidRPr="00F91674">
        <w:rPr>
          <w:rFonts w:ascii="Book Antiqua" w:eastAsia="Book Antiqua" w:hAnsi="Book Antiqua" w:cs="Book Antiqua"/>
          <w:color w:val="000000"/>
          <w:vertAlign w:val="superscript"/>
        </w:rPr>
        <w:t>154</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described five methods for </w:t>
      </w:r>
      <w:r w:rsidRPr="00F91674">
        <w:rPr>
          <w:rFonts w:ascii="Book Antiqua" w:eastAsia="Book Antiqua" w:hAnsi="Book Antiqua" w:cs="Book Antiqua"/>
          <w:color w:val="000000"/>
        </w:rPr>
        <w:lastRenderedPageBreak/>
        <w:t>targeting GSCs: development of GSC-specific chemotherapeutic agents, application of radiosensitizers, usage of immune cells capable of attacking GSCs, induction of GSC differentiation and gene therapy.</w:t>
      </w:r>
    </w:p>
    <w:p w14:paraId="69A1E38D"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GSCs reside in the perivascular and perinecrotic GBM niches (reviewed </w:t>
      </w:r>
      <w:proofErr w:type="gramStart"/>
      <w:r w:rsidRPr="00F91674">
        <w:rPr>
          <w:rFonts w:ascii="Book Antiqua" w:eastAsia="Book Antiqua" w:hAnsi="Book Antiqua" w:cs="Book Antiqua"/>
          <w:color w:val="000000"/>
        </w:rPr>
        <w:t>in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"_ENREF_79" \o "Schiffer, 2018 #72" </w:instrText>
      </w:r>
      <w:r w:rsidR="00BC0B14" w:rsidRPr="00F91674">
        <w:fldChar w:fldCharType="separate"/>
      </w:r>
      <w:r w:rsidRPr="00F91674">
        <w:rPr>
          <w:rFonts w:ascii="Book Antiqua" w:eastAsia="Book Antiqua" w:hAnsi="Book Antiqua" w:cs="Book Antiqua"/>
          <w:color w:val="000000"/>
          <w:vertAlign w:val="superscript"/>
        </w:rPr>
        <w:t>79</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Perivascular niches contain normal and reactive astrocytes, pericytes, glioma-associated microglia/macrophages, myeloid cells, fibroblasts and normal NSCs in addition to GSCs and tumor cells (reviewed </w:t>
      </w:r>
      <w:proofErr w:type="gramStart"/>
      <w:r w:rsidRPr="00F91674">
        <w:rPr>
          <w:rFonts w:ascii="Book Antiqua" w:eastAsia="Book Antiqua" w:hAnsi="Book Antiqua" w:cs="Book Antiqua"/>
          <w:color w:val="000000"/>
        </w:rPr>
        <w:t>in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"_ENREF_79" \o "Schiffer, 2018 #72" </w:instrText>
      </w:r>
      <w:r w:rsidR="00BC0B14" w:rsidRPr="00F91674">
        <w:fldChar w:fldCharType="separate"/>
      </w:r>
      <w:r w:rsidRPr="00F91674">
        <w:rPr>
          <w:rFonts w:ascii="Book Antiqua" w:eastAsia="Book Antiqua" w:hAnsi="Book Antiqua" w:cs="Book Antiqua"/>
          <w:color w:val="000000"/>
          <w:vertAlign w:val="superscript"/>
        </w:rPr>
        <w:t>79</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GSCs residing in the perivascular niches divide slowly, are resistant to therapy and produce high levels of proangiogenic factors (reviewed in</w:t>
      </w:r>
      <w:r w:rsidRPr="00F91674">
        <w:rPr>
          <w:rFonts w:ascii="Book Antiqua" w:eastAsia="Book Antiqua" w:hAnsi="Book Antiqua" w:cs="Book Antiqua"/>
          <w:color w:val="000000"/>
          <w:vertAlign w:val="superscript"/>
        </w:rPr>
        <w:t>[</w:t>
      </w:r>
      <w:hyperlink w:anchor="_ENREF_155" w:tooltip="Brooks, 2013 #117" w:history="1">
        <w:r w:rsidRPr="00F91674">
          <w:rPr>
            <w:rFonts w:ascii="Book Antiqua" w:eastAsia="Book Antiqua" w:hAnsi="Book Antiqua" w:cs="Book Antiqua"/>
            <w:color w:val="000000"/>
            <w:vertAlign w:val="superscript"/>
          </w:rPr>
          <w:t>155</w:t>
        </w:r>
      </w:hyperlink>
      <w:r w:rsidRPr="00F91674">
        <w:rPr>
          <w:rFonts w:ascii="Book Antiqua" w:eastAsia="Book Antiqua" w:hAnsi="Book Antiqua" w:cs="Book Antiqua"/>
          <w:color w:val="000000"/>
          <w:vertAlign w:val="superscript"/>
        </w:rPr>
        <w:t>,</w:t>
      </w:r>
      <w:hyperlink w:anchor="_ENREF_156" w:tooltip="Prager, 2020 #116" w:history="1">
        <w:r w:rsidRPr="00F91674">
          <w:rPr>
            <w:rFonts w:ascii="Book Antiqua" w:eastAsia="Book Antiqua" w:hAnsi="Book Antiqua" w:cs="Book Antiqua"/>
            <w:color w:val="000000"/>
            <w:vertAlign w:val="superscript"/>
          </w:rPr>
          <w:t>156</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It has been reported that endothelial cells stimulate GSC self-renewal and tumorigenicity; on the other hand, GSCs may regulate and contribute to the tumor vasculature by producing cytokines and chemokines and by transdifferentiating into endothelial cells or pericytes (reviewed </w:t>
      </w:r>
      <w:proofErr w:type="gramStart"/>
      <w:r w:rsidRPr="00F91674">
        <w:rPr>
          <w:rFonts w:ascii="Book Antiqua" w:eastAsia="Book Antiqua" w:hAnsi="Book Antiqua" w:cs="Book Antiqua"/>
          <w:color w:val="000000"/>
        </w:rPr>
        <w:t>in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"_ENREF_157" \o "Jhaveri, 2016 #118" </w:instrText>
      </w:r>
      <w:r w:rsidR="00BC0B14" w:rsidRPr="00F91674">
        <w:fldChar w:fldCharType="separate"/>
      </w:r>
      <w:r w:rsidRPr="00F91674">
        <w:rPr>
          <w:rFonts w:ascii="Book Antiqua" w:eastAsia="Book Antiqua" w:hAnsi="Book Antiqua" w:cs="Book Antiqua"/>
          <w:color w:val="000000"/>
          <w:vertAlign w:val="superscript"/>
        </w:rPr>
        <w:t>157</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Perinecrotic niches contain GSCs around necrotic foci induced by hypoxia (reviewed </w:t>
      </w:r>
      <w:proofErr w:type="gramStart"/>
      <w:r w:rsidRPr="00F91674">
        <w:rPr>
          <w:rFonts w:ascii="Book Antiqua" w:eastAsia="Book Antiqua" w:hAnsi="Book Antiqua" w:cs="Book Antiqua"/>
          <w:color w:val="000000"/>
        </w:rPr>
        <w:t>in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"_ENREF_158" \o "Schiffer, 2018 #119" </w:instrText>
      </w:r>
      <w:r w:rsidR="00BC0B14" w:rsidRPr="00F91674">
        <w:fldChar w:fldCharType="separate"/>
      </w:r>
      <w:r w:rsidRPr="00F91674">
        <w:rPr>
          <w:rFonts w:ascii="Book Antiqua" w:eastAsia="Book Antiqua" w:hAnsi="Book Antiqua" w:cs="Book Antiqua"/>
          <w:color w:val="000000"/>
          <w:vertAlign w:val="superscript"/>
        </w:rPr>
        <w:t>158</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Hypoxia induces signaling pathways that can impact GSC self-renewal, proliferation and invasion (reviewed </w:t>
      </w:r>
      <w:proofErr w:type="gramStart"/>
      <w:r w:rsidRPr="00F91674">
        <w:rPr>
          <w:rFonts w:ascii="Book Antiqua" w:eastAsia="Book Antiqua" w:hAnsi="Book Antiqua" w:cs="Book Antiqua"/>
          <w:color w:val="000000"/>
        </w:rPr>
        <w:t>in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"_ENREF_158" \o "Schiffer, 2018 #119" </w:instrText>
      </w:r>
      <w:r w:rsidR="00BC0B14" w:rsidRPr="00F91674">
        <w:fldChar w:fldCharType="separate"/>
      </w:r>
      <w:r w:rsidRPr="00F91674">
        <w:rPr>
          <w:rFonts w:ascii="Book Antiqua" w:eastAsia="Book Antiqua" w:hAnsi="Book Antiqua" w:cs="Book Antiqua"/>
          <w:color w:val="000000"/>
          <w:vertAlign w:val="superscript"/>
        </w:rPr>
        <w:t>158</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Cells expressing molecular markers of both hypoxia and GSCs (</w:t>
      </w:r>
      <w:r w:rsidRPr="00F91674">
        <w:rPr>
          <w:rFonts w:ascii="Book Antiqua" w:eastAsia="Book Antiqua" w:hAnsi="Book Antiqua" w:cs="Book Antiqua"/>
          <w:i/>
          <w:iCs/>
          <w:color w:val="000000"/>
        </w:rPr>
        <w:t>e.g.</w:t>
      </w:r>
      <w:r w:rsidRPr="00F91674">
        <w:rPr>
          <w:rFonts w:ascii="Book Antiqua" w:eastAsia="Book Antiqua" w:hAnsi="Book Antiqua" w:cs="Book Antiqua"/>
          <w:color w:val="000000"/>
        </w:rPr>
        <w:t xml:space="preserve">, SOX2, NANOG, CD133) are largely found in perinecrotic niches (reviewed </w:t>
      </w:r>
      <w:proofErr w:type="gramStart"/>
      <w:r w:rsidRPr="00F91674">
        <w:rPr>
          <w:rFonts w:ascii="Book Antiqua" w:eastAsia="Book Antiqua" w:hAnsi="Book Antiqua" w:cs="Book Antiqua"/>
          <w:color w:val="000000"/>
        </w:rPr>
        <w:t>in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"_ENREF_134" \o "Boyd, 2021 #91" </w:instrText>
      </w:r>
      <w:r w:rsidR="00BC0B14" w:rsidRPr="00F91674">
        <w:fldChar w:fldCharType="separate"/>
      </w:r>
      <w:r w:rsidRPr="00F91674">
        <w:rPr>
          <w:rFonts w:ascii="Book Antiqua" w:eastAsia="Book Antiqua" w:hAnsi="Book Antiqua" w:cs="Book Antiqua"/>
          <w:color w:val="000000"/>
          <w:vertAlign w:val="superscript"/>
        </w:rPr>
        <w:t>134</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02A38FF6" w14:textId="77777777" w:rsidR="00D51910" w:rsidRPr="00F91674" w:rsidRDefault="00D51910" w:rsidP="00D51910">
      <w:pPr>
        <w:adjustRightInd w:val="0"/>
        <w:snapToGrid w:val="0"/>
        <w:spacing w:line="360" w:lineRule="auto"/>
        <w:jc w:val="both"/>
        <w:rPr>
          <w:rFonts w:ascii="Book Antiqua" w:eastAsia="Book Antiqua" w:hAnsi="Book Antiqua" w:cs="Book Antiqua"/>
          <w:color w:val="000000"/>
        </w:rPr>
      </w:pPr>
    </w:p>
    <w:p w14:paraId="57D68DE2" w14:textId="0F0C95D3" w:rsidR="00D51910" w:rsidRPr="00F91674" w:rsidRDefault="00D51910" w:rsidP="00D51910">
      <w:pPr>
        <w:adjustRightInd w:val="0"/>
        <w:snapToGrid w:val="0"/>
        <w:spacing w:line="360" w:lineRule="auto"/>
        <w:jc w:val="both"/>
        <w:rPr>
          <w:rFonts w:ascii="Book Antiqua" w:eastAsia="Book Antiqua" w:hAnsi="Book Antiqua" w:cs="Book Antiqua"/>
          <w:b/>
          <w:bCs/>
          <w:color w:val="000000"/>
          <w:u w:val="single"/>
        </w:rPr>
      </w:pPr>
      <w:r w:rsidRPr="00F91674">
        <w:rPr>
          <w:rFonts w:ascii="Book Antiqua" w:eastAsia="Book Antiqua" w:hAnsi="Book Antiqua" w:cs="Book Antiqua"/>
          <w:b/>
          <w:i/>
          <w:color w:val="000000"/>
        </w:rPr>
        <w:t>SOX</w:t>
      </w:r>
      <w:r w:rsidRPr="00F91674">
        <w:rPr>
          <w:rFonts w:ascii="Book Antiqua" w:eastAsia="Book Antiqua" w:hAnsi="Book Antiqua" w:cs="Book Antiqua"/>
          <w:b/>
          <w:bCs/>
          <w:color w:val="000000"/>
          <w:u w:val="single"/>
        </w:rPr>
        <w:t xml:space="preserve"> GENES AND MAINTENANCE OF GSCs PROPERTIES</w:t>
      </w:r>
    </w:p>
    <w:p w14:paraId="5D0DF5D0" w14:textId="2CFFF2DD" w:rsidR="00D51910" w:rsidRPr="00F91674" w:rsidRDefault="00D51910" w:rsidP="00D51910">
      <w:pPr>
        <w:adjustRightInd w:val="0"/>
        <w:snapToGrid w:val="0"/>
        <w:spacing w:line="360" w:lineRule="auto"/>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It has been reported that </w:t>
      </w:r>
      <w:r w:rsidRPr="00F91674">
        <w:rPr>
          <w:rFonts w:ascii="Book Antiqua" w:eastAsia="Book Antiqua" w:hAnsi="Book Antiqua" w:cs="Book Antiqua"/>
          <w:i/>
          <w:color w:val="000000"/>
        </w:rPr>
        <w:t>SOX</w:t>
      </w:r>
      <w:r w:rsidRPr="00F91674">
        <w:rPr>
          <w:rFonts w:ascii="Book Antiqua" w:eastAsia="Book Antiqua" w:hAnsi="Book Antiqua" w:cs="Book Antiqua"/>
          <w:color w:val="000000"/>
        </w:rPr>
        <w:t xml:space="preserve"> genes play important roles in the maintenance of GSC properties (Figure 5). Knockdown of </w:t>
      </w:r>
      <w:r w:rsidRPr="00F91674">
        <w:rPr>
          <w:rFonts w:ascii="Book Antiqua" w:eastAsia="Book Antiqua" w:hAnsi="Book Antiqua" w:cs="Book Antiqua"/>
          <w:i/>
          <w:color w:val="000000"/>
        </w:rPr>
        <w:t>SOX1</w:t>
      </w:r>
      <w:r w:rsidRPr="00F91674">
        <w:rPr>
          <w:rFonts w:ascii="Book Antiqua" w:eastAsia="Book Antiqua" w:hAnsi="Book Antiqua" w:cs="Book Antiqua"/>
          <w:color w:val="000000"/>
        </w:rPr>
        <w:t xml:space="preserve"> expression in GSCs impairs their self-renewal, proliferation, viability and tumor-forming capacity, while </w:t>
      </w:r>
      <w:r w:rsidRPr="00F91674">
        <w:rPr>
          <w:rFonts w:ascii="Book Antiqua" w:eastAsia="Book Antiqua" w:hAnsi="Book Antiqua" w:cs="Book Antiqua"/>
          <w:i/>
          <w:color w:val="000000"/>
        </w:rPr>
        <w:t>SOX</w:t>
      </w:r>
      <w:r w:rsidRPr="00F91674">
        <w:rPr>
          <w:rFonts w:ascii="Book Antiqua" w:eastAsia="Book Antiqua" w:hAnsi="Book Antiqua" w:cs="Book Antiqua"/>
          <w:color w:val="000000"/>
        </w:rPr>
        <w:t xml:space="preserve">1 overexpression promotes their malignant </w:t>
      </w:r>
      <w:proofErr w:type="gramStart"/>
      <w:r w:rsidRPr="00F91674">
        <w:rPr>
          <w:rFonts w:ascii="Book Antiqua" w:eastAsia="Book Antiqua" w:hAnsi="Book Antiqua" w:cs="Book Antiqua"/>
          <w:color w:val="000000"/>
        </w:rPr>
        <w:t>phenotype</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"_ENREF_94" \o "Garcia, 2017 #11" </w:instrText>
      </w:r>
      <w:r w:rsidR="00BC0B14" w:rsidRPr="00F91674">
        <w:fldChar w:fldCharType="separate"/>
      </w:r>
      <w:r w:rsidRPr="00F91674">
        <w:rPr>
          <w:rFonts w:ascii="Book Antiqua" w:eastAsia="Book Antiqua" w:hAnsi="Book Antiqua" w:cs="Book Antiqua"/>
          <w:color w:val="000000"/>
          <w:vertAlign w:val="superscript"/>
        </w:rPr>
        <w:t>94</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Among the SOX TF family, SOX2 is considered to be the most important player in the maintenance of GSC properties, including their tumorigenicity. Gangemi </w:t>
      </w:r>
      <w:r w:rsidRPr="00F91674">
        <w:rPr>
          <w:rFonts w:ascii="Book Antiqua" w:eastAsia="Book Antiqua" w:hAnsi="Book Antiqua" w:cs="Book Antiqua"/>
          <w:i/>
          <w:color w:val="000000"/>
        </w:rPr>
        <w:t xml:space="preserve">et </w:t>
      </w:r>
      <w:proofErr w:type="gramStart"/>
      <w:r w:rsidRPr="00F91674">
        <w:rPr>
          <w:rFonts w:ascii="Book Antiqua" w:eastAsia="Book Antiqua" w:hAnsi="Book Antiqua" w:cs="Book Antiqua"/>
          <w:i/>
          <w:color w:val="000000"/>
        </w:rPr>
        <w:t>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"_ENREF_159" \o "Gangemi, 2009 #121" </w:instrText>
      </w:r>
      <w:r w:rsidR="00BC0B14" w:rsidRPr="00F91674">
        <w:fldChar w:fldCharType="separate"/>
      </w:r>
      <w:r w:rsidRPr="00F91674">
        <w:rPr>
          <w:rFonts w:ascii="Book Antiqua" w:eastAsia="Book Antiqua" w:hAnsi="Book Antiqua" w:cs="Book Antiqua"/>
          <w:color w:val="000000"/>
          <w:vertAlign w:val="superscript"/>
        </w:rPr>
        <w:t>159</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demonstrated that silencing the </w:t>
      </w:r>
      <w:r w:rsidRPr="00F91674">
        <w:rPr>
          <w:rFonts w:ascii="Book Antiqua" w:eastAsia="Book Antiqua" w:hAnsi="Book Antiqua" w:cs="Book Antiqua"/>
          <w:i/>
          <w:color w:val="000000"/>
        </w:rPr>
        <w:t>SOX2</w:t>
      </w:r>
      <w:r w:rsidRPr="00F91674">
        <w:rPr>
          <w:rFonts w:ascii="Book Antiqua" w:eastAsia="Book Antiqua" w:hAnsi="Book Antiqua" w:cs="Book Antiqua"/>
          <w:color w:val="000000"/>
        </w:rPr>
        <w:t xml:space="preserve"> gene in GSCs terminated cell proliferation, consequentially leading to the loss of tumorigenicity. The results obtained by Song </w:t>
      </w:r>
      <w:r w:rsidRPr="00F91674">
        <w:rPr>
          <w:rFonts w:ascii="Book Antiqua" w:eastAsia="Book Antiqua" w:hAnsi="Book Antiqua" w:cs="Book Antiqua"/>
          <w:i/>
          <w:color w:val="000000"/>
        </w:rPr>
        <w:t xml:space="preserve">et </w:t>
      </w:r>
      <w:proofErr w:type="gramStart"/>
      <w:r w:rsidRPr="00F91674">
        <w:rPr>
          <w:rFonts w:ascii="Book Antiqua" w:eastAsia="Book Antiqua" w:hAnsi="Book Antiqua" w:cs="Book Antiqua"/>
          <w:i/>
          <w:color w:val="000000"/>
        </w:rPr>
        <w:t>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"_ENREF_160" \o "Song, 2016 #122" </w:instrText>
      </w:r>
      <w:r w:rsidR="00BC0B14" w:rsidRPr="00F91674">
        <w:fldChar w:fldCharType="separate"/>
      </w:r>
      <w:r w:rsidRPr="00F91674">
        <w:rPr>
          <w:rFonts w:ascii="Book Antiqua" w:eastAsia="Book Antiqua" w:hAnsi="Book Antiqua" w:cs="Book Antiqua"/>
          <w:color w:val="000000"/>
          <w:vertAlign w:val="superscript"/>
        </w:rPr>
        <w:t>160</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indicate that SOX2 plays a primary role in the regulation of CD133-positive GBM cell tumorigenicity. On the other hand, Cox </w:t>
      </w:r>
      <w:r w:rsidRPr="00F91674">
        <w:rPr>
          <w:rFonts w:ascii="Book Antiqua" w:eastAsia="Book Antiqua" w:hAnsi="Book Antiqua" w:cs="Book Antiqua"/>
          <w:i/>
          <w:color w:val="000000"/>
        </w:rPr>
        <w:t xml:space="preserve">et </w:t>
      </w:r>
      <w:proofErr w:type="gramStart"/>
      <w:r w:rsidRPr="00F91674">
        <w:rPr>
          <w:rFonts w:ascii="Book Antiqua" w:eastAsia="Book Antiqua" w:hAnsi="Book Antiqua" w:cs="Book Antiqua"/>
          <w:i/>
          <w:color w:val="000000"/>
        </w:rPr>
        <w:t>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"_ENREF_161" \o "Cox, 2012 #123" </w:instrText>
      </w:r>
      <w:r w:rsidR="00BC0B14" w:rsidRPr="00F91674">
        <w:fldChar w:fldCharType="separate"/>
      </w:r>
      <w:r w:rsidRPr="00F91674">
        <w:rPr>
          <w:rFonts w:ascii="Book Antiqua" w:eastAsia="Book Antiqua" w:hAnsi="Book Antiqua" w:cs="Book Antiqua"/>
          <w:color w:val="000000"/>
          <w:vertAlign w:val="superscript"/>
        </w:rPr>
        <w:t>161</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demonstrated that a 3-fold increase in </w:t>
      </w:r>
      <w:r w:rsidRPr="00F91674">
        <w:rPr>
          <w:rFonts w:ascii="Book Antiqua" w:eastAsia="Book Antiqua" w:hAnsi="Book Antiqua" w:cs="Book Antiqua"/>
          <w:i/>
          <w:color w:val="000000"/>
        </w:rPr>
        <w:t>SOX</w:t>
      </w:r>
      <w:r w:rsidRPr="00F91674">
        <w:rPr>
          <w:rFonts w:ascii="Book Antiqua" w:eastAsia="Book Antiqua" w:hAnsi="Book Antiqua" w:cs="Book Antiqua"/>
          <w:color w:val="000000"/>
        </w:rPr>
        <w:t xml:space="preserve">2 expression in GBM cells </w:t>
      </w:r>
      <w:r w:rsidRPr="00F91674">
        <w:rPr>
          <w:rFonts w:ascii="Book Antiqua" w:eastAsia="Book Antiqua" w:hAnsi="Book Antiqua" w:cs="Book Antiqua"/>
          <w:color w:val="000000"/>
        </w:rPr>
        <w:lastRenderedPageBreak/>
        <w:t xml:space="preserve">decreases their capacity to proliferate and generate spheres. These results suggest that the level of </w:t>
      </w:r>
      <w:r w:rsidRPr="00F91674">
        <w:rPr>
          <w:rFonts w:ascii="Book Antiqua" w:eastAsia="Book Antiqua" w:hAnsi="Book Antiqua" w:cs="Book Antiqua"/>
          <w:i/>
          <w:color w:val="000000"/>
        </w:rPr>
        <w:t>SOX</w:t>
      </w:r>
      <w:r w:rsidRPr="00F91674">
        <w:rPr>
          <w:rFonts w:ascii="Book Antiqua" w:eastAsia="Book Antiqua" w:hAnsi="Book Antiqua" w:cs="Book Antiqua"/>
          <w:color w:val="000000"/>
        </w:rPr>
        <w:t xml:space="preserve">2 expression must be precisely regulated by tumor cells during gliomagenesis. Furthermore, it has been found that co-expression of SOX2, oligodendrocyte TF 2 (OLIG2) and zinc finger E-box binding homeobox 2 is involved in the maintenance of </w:t>
      </w:r>
      <w:proofErr w:type="gramStart"/>
      <w:r w:rsidRPr="00F91674">
        <w:rPr>
          <w:rFonts w:ascii="Book Antiqua" w:eastAsia="Book Antiqua" w:hAnsi="Book Antiqua" w:cs="Book Antiqua"/>
          <w:color w:val="000000"/>
        </w:rPr>
        <w:t>GSCs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"_ENREF_162" \o "Singh, 2017 #124" </w:instrText>
      </w:r>
      <w:r w:rsidR="00BC0B14" w:rsidRPr="00F91674">
        <w:fldChar w:fldCharType="separate"/>
      </w:r>
      <w:r w:rsidRPr="00F91674">
        <w:rPr>
          <w:rFonts w:ascii="Book Antiqua" w:eastAsia="Book Antiqua" w:hAnsi="Book Antiqua" w:cs="Book Antiqua"/>
          <w:color w:val="000000"/>
          <w:vertAlign w:val="superscript"/>
        </w:rPr>
        <w:t>162</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Downregulation of SOX2 expression impairs sphere-forming capacity, self-renewal, viability, proliferation, migratory and invasive capabilities of brain tumor stem cells derived from </w:t>
      </w:r>
      <w:proofErr w:type="gramStart"/>
      <w:r w:rsidRPr="00F91674">
        <w:rPr>
          <w:rFonts w:ascii="Book Antiqua" w:eastAsia="Book Antiqua" w:hAnsi="Book Antiqua" w:cs="Book Antiqua"/>
          <w:color w:val="000000"/>
        </w:rPr>
        <w:t>GBM</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"_ENREF_98" \o "Alonso, 2011 #125" </w:instrText>
      </w:r>
      <w:r w:rsidR="00BC0B14" w:rsidRPr="00F91674">
        <w:fldChar w:fldCharType="separate"/>
      </w:r>
      <w:r w:rsidRPr="00F91674">
        <w:rPr>
          <w:rFonts w:ascii="Book Antiqua" w:eastAsia="Book Antiqua" w:hAnsi="Book Antiqua" w:cs="Book Antiqua"/>
          <w:color w:val="000000"/>
          <w:vertAlign w:val="superscript"/>
        </w:rPr>
        <w:t>98</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Furthermore, knockdown of SOX3 expression in GSCs decreases the proliferation, migration and invasion capabilities of these cells and enhances their apoptosis</w:t>
      </w:r>
      <w:r w:rsidRPr="00F91674">
        <w:rPr>
          <w:rFonts w:ascii="Book Antiqua" w:eastAsia="Book Antiqua" w:hAnsi="Book Antiqua" w:cs="Book Antiqua"/>
          <w:color w:val="000000"/>
          <w:vertAlign w:val="superscript"/>
        </w:rPr>
        <w:t>[</w:t>
      </w:r>
      <w:hyperlink w:anchor="_ENREF_163" w:tooltip="Su, 2017 #126" w:history="1">
        <w:r w:rsidRPr="00F91674">
          <w:rPr>
            <w:rFonts w:ascii="Book Antiqua" w:eastAsia="Book Antiqua" w:hAnsi="Book Antiqua" w:cs="Book Antiqua"/>
            <w:color w:val="000000"/>
            <w:vertAlign w:val="superscript"/>
          </w:rPr>
          <w:t>163</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while knockdown of SOX4 expression in glioma-initiating cells results in reduced sphere-forming and self-renewal capacities</w:t>
      </w:r>
      <w:r w:rsidRPr="00F91674">
        <w:rPr>
          <w:rFonts w:ascii="Book Antiqua" w:eastAsia="Book Antiqua" w:hAnsi="Book Antiqua" w:cs="Book Antiqua"/>
          <w:color w:val="000000"/>
          <w:vertAlign w:val="superscript"/>
        </w:rPr>
        <w:t>[</w:t>
      </w:r>
      <w:hyperlink w:anchor="_ENREF_130" w:tooltip="Ikushima, 2009 #35" w:history="1">
        <w:r w:rsidRPr="00F91674">
          <w:rPr>
            <w:rFonts w:ascii="Book Antiqua" w:eastAsia="Book Antiqua" w:hAnsi="Book Antiqua" w:cs="Book Antiqua"/>
            <w:color w:val="000000"/>
            <w:vertAlign w:val="superscript"/>
          </w:rPr>
          <w:t>130</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Silencing of </w:t>
      </w:r>
      <w:r w:rsidRPr="00F91674">
        <w:rPr>
          <w:rFonts w:ascii="Book Antiqua" w:eastAsia="Book Antiqua" w:hAnsi="Book Antiqua" w:cs="Book Antiqua"/>
          <w:i/>
          <w:color w:val="000000"/>
        </w:rPr>
        <w:t>SOX9</w:t>
      </w:r>
      <w:r w:rsidRPr="00F91674">
        <w:rPr>
          <w:rFonts w:ascii="Book Antiqua" w:eastAsia="Book Antiqua" w:hAnsi="Book Antiqua" w:cs="Book Antiqua"/>
          <w:color w:val="000000"/>
        </w:rPr>
        <w:t xml:space="preserve"> leads to inhibition of sphere-forming </w:t>
      </w:r>
      <w:proofErr w:type="gramStart"/>
      <w:r w:rsidRPr="00F91674">
        <w:rPr>
          <w:rFonts w:ascii="Book Antiqua" w:eastAsia="Book Antiqua" w:hAnsi="Book Antiqua" w:cs="Book Antiqua"/>
          <w:color w:val="000000"/>
        </w:rPr>
        <w:t>capacity</w:t>
      </w:r>
      <w:r w:rsidRPr="00F91674">
        <w:rPr>
          <w:rFonts w:ascii="Book Antiqua" w:eastAsia="Book Antiqua" w:hAnsi="Book Antiqua" w:cs="Book Antiqua"/>
          <w:color w:val="000000"/>
          <w:vertAlign w:val="superscript"/>
        </w:rPr>
        <w:t>[</w:t>
      </w:r>
      <w:proofErr w:type="gramEnd"/>
      <w:r w:rsidR="00DB1EE1" w:rsidRPr="00F91674">
        <w:fldChar w:fldCharType="begin"/>
      </w:r>
      <w:r w:rsidR="00DB1EE1" w:rsidRPr="00F91674">
        <w:instrText xml:space="preserve"> HYPERLINK \l "_ENREF_164" \o "Wang, 2018 #128" </w:instrText>
      </w:r>
      <w:r w:rsidR="00DB1EE1" w:rsidRPr="00F91674">
        <w:fldChar w:fldCharType="separate"/>
      </w:r>
      <w:r w:rsidRPr="00F91674">
        <w:rPr>
          <w:rFonts w:ascii="Book Antiqua" w:eastAsia="Book Antiqua" w:hAnsi="Book Antiqua" w:cs="Book Antiqua"/>
          <w:color w:val="000000"/>
          <w:vertAlign w:val="superscript"/>
        </w:rPr>
        <w:t>164</w:t>
      </w:r>
      <w:r w:rsidR="00DB1EE1"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while </w:t>
      </w:r>
      <w:r w:rsidRPr="00F91674">
        <w:rPr>
          <w:rFonts w:ascii="Book Antiqua" w:eastAsia="Book Antiqua" w:hAnsi="Book Antiqua" w:cs="Book Antiqua"/>
          <w:i/>
          <w:color w:val="000000"/>
        </w:rPr>
        <w:t>SOX</w:t>
      </w:r>
      <w:r w:rsidRPr="00F91674">
        <w:rPr>
          <w:rFonts w:ascii="Book Antiqua" w:eastAsia="Book Antiqua" w:hAnsi="Book Antiqua" w:cs="Book Antiqua"/>
          <w:color w:val="000000"/>
        </w:rPr>
        <w:t>9 overexpression increases the sphere-forming capacity of GBM cells and induces the formation of larger tumors[</w:t>
      </w:r>
      <w:commentRangeStart w:id="1"/>
      <w:r w:rsidRPr="00F91674">
        <w:fldChar w:fldCharType="begin"/>
      </w:r>
      <w:r w:rsidRPr="00F91674">
        <w:instrText xml:space="preserve"> HYPERLINK \l "_ENREF_165" \o "Garros-Regulez, 2016 #129" </w:instrText>
      </w:r>
      <w:r w:rsidRPr="00F91674">
        <w:fldChar w:fldCharType="separate"/>
      </w:r>
      <w:r w:rsidRPr="00F91674">
        <w:rPr>
          <w:rFonts w:ascii="Book Antiqua" w:eastAsia="Book Antiqua" w:hAnsi="Book Antiqua" w:cs="Book Antiqua"/>
          <w:color w:val="000000"/>
        </w:rPr>
        <w:t>165</w:t>
      </w:r>
      <w:r w:rsidRPr="00F91674">
        <w:rPr>
          <w:rFonts w:ascii="Book Antiqua" w:eastAsia="Book Antiqua" w:hAnsi="Book Antiqua" w:cs="Book Antiqua"/>
          <w:color w:val="000000"/>
        </w:rPr>
        <w:fldChar w:fldCharType="end"/>
      </w:r>
      <w:commentRangeEnd w:id="1"/>
      <w:r w:rsidRPr="00F91674">
        <w:rPr>
          <w:rStyle w:val="a3"/>
        </w:rPr>
        <w:commentReference w:id="1"/>
      </w:r>
      <w:r w:rsidRPr="00F91674">
        <w:rPr>
          <w:rFonts w:ascii="Book Antiqua" w:eastAsia="Book Antiqua" w:hAnsi="Book Antiqua" w:cs="Book Antiqua"/>
          <w:color w:val="000000"/>
        </w:rPr>
        <w:t xml:space="preserve">]. In glioma-initiating cells, inhibition of the midkine/anaplastic lymphoma kinase axis promotes SOX9 degradation, resulting in a decrease in the self-renewal and tumorigenic capacities of glioma-initiating </w:t>
      </w:r>
      <w:proofErr w:type="gramStart"/>
      <w:r w:rsidRPr="00F91674">
        <w:rPr>
          <w:rFonts w:ascii="Book Antiqua" w:eastAsia="Book Antiqua" w:hAnsi="Book Antiqua" w:cs="Book Antiqua"/>
          <w:color w:val="000000"/>
        </w:rPr>
        <w:t>cells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"_ENREF_166" \o "Lopez-Valero, 2020 #130" </w:instrText>
      </w:r>
      <w:r w:rsidR="00BC0B14" w:rsidRPr="00F91674">
        <w:fldChar w:fldCharType="separate"/>
      </w:r>
      <w:r w:rsidRPr="00F91674">
        <w:rPr>
          <w:rFonts w:ascii="Book Antiqua" w:eastAsia="Book Antiqua" w:hAnsi="Book Antiqua" w:cs="Book Antiqua"/>
          <w:color w:val="000000"/>
          <w:vertAlign w:val="superscript"/>
        </w:rPr>
        <w:t>166</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Kurtsdotter </w:t>
      </w:r>
      <w:r w:rsidRPr="00F91674">
        <w:rPr>
          <w:rFonts w:ascii="Book Antiqua" w:eastAsia="Book Antiqua" w:hAnsi="Book Antiqua" w:cs="Book Antiqua"/>
          <w:i/>
          <w:color w:val="000000"/>
        </w:rPr>
        <w:t xml:space="preserve">et </w:t>
      </w:r>
      <w:proofErr w:type="gramStart"/>
      <w:r w:rsidRPr="00F91674">
        <w:rPr>
          <w:rFonts w:ascii="Book Antiqua" w:eastAsia="Book Antiqua" w:hAnsi="Book Antiqua" w:cs="Book Antiqua"/>
          <w:i/>
          <w:color w:val="000000"/>
        </w:rPr>
        <w:t>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"_ENREF_125" \o "Kurtsdotter, 2017 #131" </w:instrText>
      </w:r>
      <w:r w:rsidR="00BC0B14" w:rsidRPr="00F91674">
        <w:fldChar w:fldCharType="separate"/>
      </w:r>
      <w:r w:rsidRPr="00F91674">
        <w:rPr>
          <w:rFonts w:ascii="Book Antiqua" w:eastAsia="Book Antiqua" w:hAnsi="Book Antiqua" w:cs="Book Antiqua"/>
          <w:color w:val="000000"/>
          <w:vertAlign w:val="superscript"/>
        </w:rPr>
        <w:t>125</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demonstrated that simultaneous forced expression of SOX5, SOX6 and SOX21 factors blocks the tumor-inducing capacity of human primary GBM cells.</w:t>
      </w:r>
    </w:p>
    <w:p w14:paraId="7B9C0DD1" w14:textId="77777777" w:rsidR="00D51910" w:rsidRPr="00F91674" w:rsidRDefault="00D51910" w:rsidP="00D51910">
      <w:pPr>
        <w:adjustRightInd w:val="0"/>
        <w:snapToGrid w:val="0"/>
        <w:spacing w:line="360" w:lineRule="auto"/>
        <w:jc w:val="both"/>
        <w:rPr>
          <w:rFonts w:ascii="Book Antiqua" w:eastAsia="Book Antiqua" w:hAnsi="Book Antiqua" w:cs="Book Antiqua"/>
          <w:color w:val="000000"/>
        </w:rPr>
      </w:pPr>
    </w:p>
    <w:p w14:paraId="2CCB024A" w14:textId="25EEBA67" w:rsidR="00D51910" w:rsidRPr="00F91674" w:rsidRDefault="00D51910" w:rsidP="00D51910">
      <w:pPr>
        <w:adjustRightInd w:val="0"/>
        <w:snapToGrid w:val="0"/>
        <w:spacing w:line="360" w:lineRule="auto"/>
        <w:jc w:val="both"/>
        <w:rPr>
          <w:rFonts w:ascii="Book Antiqua" w:eastAsia="Book Antiqua" w:hAnsi="Book Antiqua" w:cs="Book Antiqua"/>
          <w:b/>
          <w:bCs/>
          <w:color w:val="000000"/>
          <w:u w:val="single"/>
        </w:rPr>
      </w:pPr>
      <w:r w:rsidRPr="00F91674">
        <w:rPr>
          <w:rFonts w:ascii="Book Antiqua" w:eastAsia="Book Antiqua" w:hAnsi="Book Antiqua" w:cs="Book Antiqua"/>
          <w:b/>
          <w:bCs/>
          <w:color w:val="000000"/>
          <w:u w:val="single"/>
        </w:rPr>
        <w:t xml:space="preserve">THE ROLES OF </w:t>
      </w:r>
      <w:r w:rsidRPr="00F91674">
        <w:rPr>
          <w:rFonts w:ascii="Book Antiqua" w:eastAsia="Book Antiqua" w:hAnsi="Book Antiqua" w:cs="Book Antiqua"/>
          <w:b/>
          <w:bCs/>
          <w:i/>
          <w:color w:val="000000"/>
          <w:u w:val="single"/>
        </w:rPr>
        <w:t>SOX</w:t>
      </w:r>
      <w:r w:rsidRPr="00F91674">
        <w:rPr>
          <w:rFonts w:ascii="Book Antiqua" w:eastAsia="Book Antiqua" w:hAnsi="Book Antiqua" w:cs="Book Antiqua"/>
          <w:b/>
          <w:bCs/>
          <w:color w:val="000000"/>
          <w:u w:val="single"/>
        </w:rPr>
        <w:t xml:space="preserve"> GENES IN STEMNESS AND DIFFERENTIATION OF GSCs</w:t>
      </w:r>
    </w:p>
    <w:p w14:paraId="03239200" w14:textId="3BD46DC0" w:rsidR="00D51910" w:rsidRPr="00F91674" w:rsidRDefault="00D51910" w:rsidP="00D51910">
      <w:pPr>
        <w:adjustRightInd w:val="0"/>
        <w:snapToGrid w:val="0"/>
        <w:spacing w:line="360" w:lineRule="auto"/>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It has been reported that SOX TFs have important functions in both the maintenance of the stemness of GSCs and the dedifferentiation of glioma cells (Figure 6). The results obtained by Berezovsky </w:t>
      </w:r>
      <w:r w:rsidRPr="00F91674">
        <w:rPr>
          <w:rFonts w:ascii="Book Antiqua" w:eastAsia="Book Antiqua" w:hAnsi="Book Antiqua" w:cs="Book Antiqua"/>
          <w:i/>
          <w:color w:val="000000"/>
        </w:rPr>
        <w:t xml:space="preserve">et </w:t>
      </w:r>
      <w:proofErr w:type="gramStart"/>
      <w:r w:rsidRPr="00F91674">
        <w:rPr>
          <w:rFonts w:ascii="Book Antiqua" w:eastAsia="Book Antiqua" w:hAnsi="Book Antiqua" w:cs="Book Antiqua"/>
          <w:i/>
          <w:color w:val="000000"/>
        </w:rPr>
        <w:t>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"_ENREF_100" \o "Berezovsky, 2014 #132" </w:instrText>
      </w:r>
      <w:r w:rsidR="00BC0B14" w:rsidRPr="00F91674">
        <w:fldChar w:fldCharType="separate"/>
      </w:r>
      <w:r w:rsidRPr="00F91674">
        <w:rPr>
          <w:rFonts w:ascii="Book Antiqua" w:eastAsia="Book Antiqua" w:hAnsi="Book Antiqua" w:cs="Book Antiqua"/>
          <w:color w:val="000000"/>
          <w:vertAlign w:val="superscript"/>
        </w:rPr>
        <w:t>100</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indicate that </w:t>
      </w:r>
      <w:r w:rsidRPr="00F91674">
        <w:rPr>
          <w:rFonts w:ascii="Book Antiqua" w:eastAsia="Book Antiqua" w:hAnsi="Book Antiqua" w:cs="Book Antiqua"/>
          <w:i/>
          <w:color w:val="000000"/>
        </w:rPr>
        <w:t>SOX2</w:t>
      </w:r>
      <w:r w:rsidRPr="00F91674">
        <w:rPr>
          <w:rFonts w:ascii="Book Antiqua" w:eastAsia="Book Antiqua" w:hAnsi="Book Antiqua" w:cs="Book Antiqua"/>
          <w:color w:val="000000"/>
        </w:rPr>
        <w:t xml:space="preserve"> may play a central role in the regulation of dedifferentiation and acquisition of GSC properties. They found that knockdown of </w:t>
      </w:r>
      <w:r w:rsidRPr="00F91674">
        <w:rPr>
          <w:rFonts w:ascii="Book Antiqua" w:eastAsia="Book Antiqua" w:hAnsi="Book Antiqua" w:cs="Book Antiqua"/>
          <w:i/>
          <w:color w:val="000000"/>
        </w:rPr>
        <w:t>SOX2</w:t>
      </w:r>
      <w:r w:rsidRPr="00F91674">
        <w:rPr>
          <w:rFonts w:ascii="Book Antiqua" w:eastAsia="Book Antiqua" w:hAnsi="Book Antiqua" w:cs="Book Antiqua"/>
          <w:color w:val="000000"/>
        </w:rPr>
        <w:t xml:space="preserve"> expression blocks the dedifferentiation of HF2303 GBM cells and reduces their tumorigenicity. Additionally, downregulation of </w:t>
      </w:r>
      <w:r w:rsidRPr="00F91674">
        <w:rPr>
          <w:rFonts w:ascii="Book Antiqua" w:eastAsia="Book Antiqua" w:hAnsi="Book Antiqua" w:cs="Book Antiqua"/>
          <w:i/>
          <w:color w:val="000000"/>
        </w:rPr>
        <w:t>SOX2</w:t>
      </w:r>
      <w:r w:rsidRPr="00F91674">
        <w:rPr>
          <w:rFonts w:ascii="Book Antiqua" w:eastAsia="Book Antiqua" w:hAnsi="Book Antiqua" w:cs="Book Antiqua"/>
          <w:color w:val="000000"/>
        </w:rPr>
        <w:t xml:space="preserve"> expression in brain tumor stem cells derived from GBM led to an increase in the expression of differentiation </w:t>
      </w:r>
      <w:proofErr w:type="gramStart"/>
      <w:r w:rsidRPr="00F91674">
        <w:rPr>
          <w:rFonts w:ascii="Book Antiqua" w:eastAsia="Book Antiqua" w:hAnsi="Book Antiqua" w:cs="Book Antiqua"/>
          <w:color w:val="000000"/>
        </w:rPr>
        <w:t>markers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"_ENREF_98" \o "Alonso, 2011 #125" </w:instrText>
      </w:r>
      <w:r w:rsidR="00BC0B14" w:rsidRPr="00F91674">
        <w:fldChar w:fldCharType="separate"/>
      </w:r>
      <w:r w:rsidRPr="00F91674">
        <w:rPr>
          <w:rFonts w:ascii="Book Antiqua" w:eastAsia="Book Antiqua" w:hAnsi="Book Antiqua" w:cs="Book Antiqua"/>
          <w:color w:val="000000"/>
          <w:vertAlign w:val="superscript"/>
        </w:rPr>
        <w:t>98</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Furthermore, it was shown that the TGF-β/SOX4/SOX2 pathway plays a crucial role in the maintenance of stemness and tumorigenicity in glioma-initiating </w:t>
      </w:r>
      <w:proofErr w:type="gramStart"/>
      <w:r w:rsidRPr="00F91674">
        <w:rPr>
          <w:rFonts w:ascii="Book Antiqua" w:eastAsia="Book Antiqua" w:hAnsi="Book Antiqua" w:cs="Book Antiqua"/>
          <w:color w:val="000000"/>
        </w:rPr>
        <w:t>cells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"_ENREF_130" \o "Ikushima, 2009 #35" </w:instrText>
      </w:r>
      <w:r w:rsidR="00BC0B14" w:rsidRPr="00F91674">
        <w:fldChar w:fldCharType="separate"/>
      </w:r>
      <w:r w:rsidRPr="00F91674">
        <w:rPr>
          <w:rFonts w:ascii="Book Antiqua" w:eastAsia="Book Antiqua" w:hAnsi="Book Antiqua" w:cs="Book Antiqua"/>
          <w:color w:val="000000"/>
          <w:vertAlign w:val="superscript"/>
        </w:rPr>
        <w:t>130</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It has been shown that the combination of SOX2, POU3F2, </w:t>
      </w:r>
      <w:r w:rsidRPr="00F91674">
        <w:rPr>
          <w:rFonts w:ascii="Book Antiqua" w:eastAsia="Book Antiqua" w:hAnsi="Book Antiqua" w:cs="Book Antiqua"/>
          <w:color w:val="000000"/>
        </w:rPr>
        <w:lastRenderedPageBreak/>
        <w:t xml:space="preserve">SALL2 and OLIG2, detected in the proneural subtype of GBMs, is able to reprogram differentiated tumor cells into </w:t>
      </w:r>
      <w:proofErr w:type="gramStart"/>
      <w:r w:rsidRPr="00F91674">
        <w:rPr>
          <w:rFonts w:ascii="Book Antiqua" w:eastAsia="Book Antiqua" w:hAnsi="Book Antiqua" w:cs="Book Antiqua"/>
          <w:color w:val="000000"/>
        </w:rPr>
        <w:t>GSCs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"_ENREF_136" \o "Suva, 2014 #93" </w:instrText>
      </w:r>
      <w:r w:rsidR="00BC0B14" w:rsidRPr="00F91674">
        <w:fldChar w:fldCharType="separate"/>
      </w:r>
      <w:r w:rsidRPr="00F91674">
        <w:rPr>
          <w:rFonts w:ascii="Book Antiqua" w:eastAsia="Book Antiqua" w:hAnsi="Book Antiqua" w:cs="Book Antiqua"/>
          <w:color w:val="000000"/>
          <w:vertAlign w:val="superscript"/>
        </w:rPr>
        <w:t>136</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06A4B78F" w14:textId="69282064"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In addition to the overwhelming evidence of the importance of the </w:t>
      </w:r>
      <w:r w:rsidRPr="00F91674">
        <w:rPr>
          <w:rFonts w:ascii="Book Antiqua" w:eastAsia="Book Antiqua" w:hAnsi="Book Antiqua" w:cs="Book Antiqua"/>
          <w:i/>
          <w:color w:val="000000"/>
        </w:rPr>
        <w:t>SOX2</w:t>
      </w:r>
      <w:r w:rsidRPr="00F91674">
        <w:rPr>
          <w:rFonts w:ascii="Book Antiqua" w:eastAsia="Book Antiqua" w:hAnsi="Book Antiqua" w:cs="Book Antiqua"/>
          <w:color w:val="000000"/>
        </w:rPr>
        <w:t xml:space="preserve"> gene in the maintenance of the stem cell properties of GSCs, it was shown that the other two members of the SOXB1 subgroup also play important roles. Dedifferentiation of GBM cell lines is accompanied by an increase in </w:t>
      </w:r>
      <w:r w:rsidRPr="00F91674">
        <w:rPr>
          <w:rFonts w:ascii="Book Antiqua" w:eastAsia="Book Antiqua" w:hAnsi="Book Antiqua" w:cs="Book Antiqua"/>
          <w:i/>
          <w:color w:val="000000"/>
        </w:rPr>
        <w:t>SOX1</w:t>
      </w:r>
      <w:r w:rsidRPr="00F91674">
        <w:rPr>
          <w:rFonts w:ascii="Book Antiqua" w:eastAsia="Book Antiqua" w:hAnsi="Book Antiqua" w:cs="Book Antiqua"/>
          <w:color w:val="000000"/>
        </w:rPr>
        <w:t xml:space="preserve"> expression. Additionally, </w:t>
      </w:r>
      <w:r w:rsidRPr="00F91674">
        <w:rPr>
          <w:rFonts w:ascii="Book Antiqua" w:eastAsia="Book Antiqua" w:hAnsi="Book Antiqua" w:cs="Book Antiqua"/>
          <w:i/>
          <w:color w:val="000000"/>
        </w:rPr>
        <w:t>SOX1</w:t>
      </w:r>
      <w:r w:rsidRPr="00F91674">
        <w:rPr>
          <w:rFonts w:ascii="Book Antiqua" w:eastAsia="Book Antiqua" w:hAnsi="Book Antiqua" w:cs="Book Antiqua"/>
          <w:color w:val="000000"/>
        </w:rPr>
        <w:t xml:space="preserve"> expression was higher in patient-derived GSCs than in conventional glioma cell lines, and after the differentiation of these cells, the levels of SOX1 decreased </w:t>
      </w:r>
      <w:proofErr w:type="gramStart"/>
      <w:r w:rsidRPr="00F91674">
        <w:rPr>
          <w:rFonts w:ascii="Book Antiqua" w:eastAsia="Book Antiqua" w:hAnsi="Book Antiqua" w:cs="Book Antiqua"/>
          <w:color w:val="000000"/>
        </w:rPr>
        <w:t>dramatically</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"_ENREF_94" \o "Garcia, 2017 #11" </w:instrText>
      </w:r>
      <w:r w:rsidR="00BC0B14" w:rsidRPr="00F91674">
        <w:fldChar w:fldCharType="separate"/>
      </w:r>
      <w:r w:rsidRPr="00F91674">
        <w:rPr>
          <w:rFonts w:ascii="Book Antiqua" w:eastAsia="Book Antiqua" w:hAnsi="Book Antiqua" w:cs="Book Antiqua"/>
          <w:color w:val="000000"/>
          <w:vertAlign w:val="superscript"/>
        </w:rPr>
        <w:t>94</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Recently, we revealed that </w:t>
      </w:r>
      <w:r w:rsidRPr="00F91674">
        <w:rPr>
          <w:rFonts w:ascii="Book Antiqua" w:eastAsia="Book Antiqua" w:hAnsi="Book Antiqua" w:cs="Book Antiqua"/>
          <w:i/>
          <w:color w:val="000000"/>
        </w:rPr>
        <w:t>SOX3</w:t>
      </w:r>
      <w:r w:rsidRPr="00F91674">
        <w:rPr>
          <w:rFonts w:ascii="Book Antiqua" w:eastAsia="Book Antiqua" w:hAnsi="Book Antiqua" w:cs="Book Antiqua"/>
          <w:color w:val="000000"/>
        </w:rPr>
        <w:t xml:space="preserve"> expression was higher in patient-derived GSCs, as well as in oncospheres derived from GBM cell lines, compared to </w:t>
      </w:r>
      <w:r w:rsidRPr="00F91674">
        <w:rPr>
          <w:rFonts w:ascii="Book Antiqua" w:eastAsia="Book Antiqua" w:hAnsi="Book Antiqua" w:cs="Book Antiqua"/>
          <w:i/>
          <w:color w:val="000000"/>
        </w:rPr>
        <w:t>SOX3</w:t>
      </w:r>
      <w:r w:rsidRPr="00F91674">
        <w:rPr>
          <w:rFonts w:ascii="Book Antiqua" w:eastAsia="Book Antiqua" w:hAnsi="Book Antiqua" w:cs="Book Antiqua"/>
          <w:color w:val="000000"/>
        </w:rPr>
        <w:t xml:space="preserve"> expression in their differentiated counterparts, suggesting that </w:t>
      </w:r>
      <w:r w:rsidRPr="00F91674">
        <w:rPr>
          <w:rFonts w:ascii="Book Antiqua" w:eastAsia="Book Antiqua" w:hAnsi="Book Antiqua" w:cs="Book Antiqua"/>
          <w:i/>
          <w:color w:val="000000"/>
        </w:rPr>
        <w:t>SOX3</w:t>
      </w:r>
      <w:r w:rsidRPr="00F91674">
        <w:rPr>
          <w:rFonts w:ascii="Book Antiqua" w:eastAsia="Book Antiqua" w:hAnsi="Book Antiqua" w:cs="Book Antiqua"/>
          <w:color w:val="000000"/>
        </w:rPr>
        <w:t xml:space="preserve"> expression is associated with the undifferentiated state of GBM </w:t>
      </w:r>
      <w:proofErr w:type="gramStart"/>
      <w:r w:rsidRPr="00F91674">
        <w:rPr>
          <w:rFonts w:ascii="Book Antiqua" w:eastAsia="Book Antiqua" w:hAnsi="Book Antiqua" w:cs="Book Antiqua"/>
          <w:color w:val="000000"/>
        </w:rPr>
        <w:t>cells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"_ENREF_104" \o "Marjanovic Vicentic, 2019 #134" </w:instrText>
      </w:r>
      <w:r w:rsidR="00BC0B14" w:rsidRPr="00F91674">
        <w:fldChar w:fldCharType="separate"/>
      </w:r>
      <w:r w:rsidRPr="00F91674">
        <w:rPr>
          <w:rFonts w:ascii="Book Antiqua" w:eastAsia="Book Antiqua" w:hAnsi="Book Antiqua" w:cs="Book Antiqua"/>
          <w:color w:val="000000"/>
          <w:vertAlign w:val="superscript"/>
        </w:rPr>
        <w:t>104</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7822AD35" w14:textId="46556C8D"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Additionally, the roles of other </w:t>
      </w:r>
      <w:r w:rsidRPr="00F91674">
        <w:rPr>
          <w:rFonts w:ascii="Book Antiqua" w:eastAsia="Book Antiqua" w:hAnsi="Book Antiqua" w:cs="Book Antiqua"/>
          <w:i/>
          <w:color w:val="000000"/>
        </w:rPr>
        <w:t>SOX</w:t>
      </w:r>
      <w:r w:rsidRPr="00F91674">
        <w:rPr>
          <w:rFonts w:ascii="Book Antiqua" w:eastAsia="Book Antiqua" w:hAnsi="Book Antiqua" w:cs="Book Antiqua"/>
          <w:color w:val="000000"/>
        </w:rPr>
        <w:t xml:space="preserve"> genes in the regulation of stemness and differentiation of GSCs have been described. It was found that the number of differentiated cells is increased after SOX4 knockdown in glioma-initiating </w:t>
      </w:r>
      <w:proofErr w:type="gramStart"/>
      <w:r w:rsidRPr="00F91674">
        <w:rPr>
          <w:rFonts w:ascii="Book Antiqua" w:eastAsia="Book Antiqua" w:hAnsi="Book Antiqua" w:cs="Book Antiqua"/>
          <w:color w:val="000000"/>
        </w:rPr>
        <w:t>cells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"_ENREF_130" \o "Ikushima, 2009 #35" </w:instrText>
      </w:r>
      <w:r w:rsidR="00BC0B14" w:rsidRPr="00F91674">
        <w:fldChar w:fldCharType="separate"/>
      </w:r>
      <w:r w:rsidRPr="00F91674">
        <w:rPr>
          <w:rFonts w:ascii="Book Antiqua" w:eastAsia="Book Antiqua" w:hAnsi="Book Antiqua" w:cs="Book Antiqua"/>
          <w:color w:val="000000"/>
          <w:vertAlign w:val="superscript"/>
        </w:rPr>
        <w:t>130</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On the other hand, the expression of </w:t>
      </w:r>
      <w:r w:rsidRPr="00F91674">
        <w:rPr>
          <w:rFonts w:ascii="Book Antiqua" w:eastAsia="Book Antiqua" w:hAnsi="Book Antiqua" w:cs="Book Antiqua"/>
          <w:i/>
          <w:color w:val="000000"/>
        </w:rPr>
        <w:t>SOX9</w:t>
      </w:r>
      <w:r w:rsidRPr="00F91674">
        <w:rPr>
          <w:rFonts w:ascii="Book Antiqua" w:eastAsia="Book Antiqua" w:hAnsi="Book Antiqua" w:cs="Book Antiqua"/>
          <w:color w:val="000000"/>
        </w:rPr>
        <w:t xml:space="preserve"> is increased in oncospheres derived from GBM cell lines compared to its expression in their differentiated counterparts, and silencing of </w:t>
      </w:r>
      <w:r w:rsidRPr="00F91674">
        <w:rPr>
          <w:rFonts w:ascii="Book Antiqua" w:eastAsia="Book Antiqua" w:hAnsi="Book Antiqua" w:cs="Book Antiqua"/>
          <w:i/>
          <w:color w:val="000000"/>
        </w:rPr>
        <w:t>SOX9</w:t>
      </w:r>
      <w:r w:rsidRPr="00F91674">
        <w:rPr>
          <w:rFonts w:ascii="Book Antiqua" w:eastAsia="Book Antiqua" w:hAnsi="Book Antiqua" w:cs="Book Antiqua"/>
          <w:color w:val="000000"/>
        </w:rPr>
        <w:t xml:space="preserve"> downregulated the expression of the stem cell markers CD133, NESTIN and SOX2</w:t>
      </w:r>
      <w:r w:rsidRPr="00F91674">
        <w:rPr>
          <w:rFonts w:ascii="Book Antiqua" w:eastAsia="Book Antiqua" w:hAnsi="Book Antiqua" w:cs="Book Antiqua"/>
          <w:color w:val="000000"/>
          <w:vertAlign w:val="superscript"/>
        </w:rPr>
        <w:t>[</w:t>
      </w:r>
      <w:hyperlink w:anchor="_ENREF_164" w:tooltip="Wang, 2018 #128" w:history="1">
        <w:r w:rsidRPr="00F91674">
          <w:rPr>
            <w:rFonts w:ascii="Book Antiqua" w:eastAsia="Book Antiqua" w:hAnsi="Book Antiqua" w:cs="Book Antiqua"/>
            <w:color w:val="000000"/>
            <w:vertAlign w:val="superscript"/>
          </w:rPr>
          <w:t>164</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Overexpression of </w:t>
      </w:r>
      <w:r w:rsidRPr="00F91674">
        <w:rPr>
          <w:rFonts w:ascii="Book Antiqua" w:eastAsia="Book Antiqua" w:hAnsi="Book Antiqua" w:cs="Book Antiqua"/>
          <w:i/>
          <w:color w:val="000000"/>
        </w:rPr>
        <w:t>SOX10</w:t>
      </w:r>
      <w:r w:rsidRPr="00F91674">
        <w:rPr>
          <w:rFonts w:ascii="Book Antiqua" w:eastAsia="Book Antiqua" w:hAnsi="Book Antiqua" w:cs="Book Antiqua"/>
          <w:color w:val="000000"/>
        </w:rPr>
        <w:t xml:space="preserve"> in LN229 GBM cells increased the expression levels of the stemness markers CD133, NESTIN, OCT4, NANOG and CD44</w:t>
      </w:r>
      <w:r w:rsidRPr="00F91674">
        <w:rPr>
          <w:rFonts w:ascii="Book Antiqua" w:eastAsia="Book Antiqua" w:hAnsi="Book Antiqua" w:cs="Book Antiqua"/>
          <w:color w:val="000000"/>
          <w:vertAlign w:val="superscript"/>
        </w:rPr>
        <w:t>[</w:t>
      </w:r>
      <w:hyperlink w:anchor="_ENREF_111" w:tooltip="Jin, 2021 #135" w:history="1">
        <w:r w:rsidRPr="00F91674">
          <w:rPr>
            <w:rFonts w:ascii="Book Antiqua" w:eastAsia="Book Antiqua" w:hAnsi="Book Antiqua" w:cs="Book Antiqua"/>
            <w:color w:val="000000"/>
            <w:vertAlign w:val="superscript"/>
          </w:rPr>
          <w:t>111</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On the other hand, </w:t>
      </w:r>
      <w:r w:rsidRPr="00F91674">
        <w:rPr>
          <w:rFonts w:ascii="Book Antiqua" w:eastAsia="Book Antiqua" w:hAnsi="Book Antiqua" w:cs="Book Antiqua"/>
          <w:i/>
          <w:color w:val="000000"/>
        </w:rPr>
        <w:t>SOX11</w:t>
      </w:r>
      <w:r w:rsidRPr="00F91674">
        <w:rPr>
          <w:rFonts w:ascii="Book Antiqua" w:eastAsia="Book Antiqua" w:hAnsi="Book Antiqua" w:cs="Book Antiqua"/>
          <w:color w:val="000000"/>
        </w:rPr>
        <w:t xml:space="preserve"> overexpression in glioma-initiating cell-like cells and human glioma-initiating cells from malignant glioma blocked their tumorigenic ability by inducing neuronal </w:t>
      </w:r>
      <w:proofErr w:type="gramStart"/>
      <w:r w:rsidRPr="00F91674">
        <w:rPr>
          <w:rFonts w:ascii="Book Antiqua" w:eastAsia="Book Antiqua" w:hAnsi="Book Antiqua" w:cs="Book Antiqua"/>
          <w:color w:val="000000"/>
        </w:rPr>
        <w:t>differentiation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"_ENREF_119" \o "Hide, 2009 #136" </w:instrText>
      </w:r>
      <w:r w:rsidR="00BC0B14" w:rsidRPr="00F91674">
        <w:fldChar w:fldCharType="separate"/>
      </w:r>
      <w:r w:rsidRPr="00F91674">
        <w:rPr>
          <w:rFonts w:ascii="Book Antiqua" w:eastAsia="Book Antiqua" w:hAnsi="Book Antiqua" w:cs="Book Antiqua"/>
          <w:color w:val="000000"/>
          <w:vertAlign w:val="superscript"/>
        </w:rPr>
        <w:t>119</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The results obtained by Wu </w:t>
      </w:r>
      <w:r w:rsidRPr="00F91674">
        <w:rPr>
          <w:rFonts w:ascii="Book Antiqua" w:eastAsia="Book Antiqua" w:hAnsi="Book Antiqua" w:cs="Book Antiqua"/>
          <w:i/>
          <w:color w:val="000000"/>
        </w:rPr>
        <w:t xml:space="preserve">et </w:t>
      </w:r>
      <w:proofErr w:type="gramStart"/>
      <w:r w:rsidRPr="00F91674">
        <w:rPr>
          <w:rFonts w:ascii="Book Antiqua" w:eastAsia="Book Antiqua" w:hAnsi="Book Antiqua" w:cs="Book Antiqua"/>
          <w:i/>
          <w:color w:val="000000"/>
        </w:rPr>
        <w:t>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"_ENREF_167" \o "Wu, 2020 #137" </w:instrText>
      </w:r>
      <w:r w:rsidR="00BC0B14" w:rsidRPr="00F91674">
        <w:fldChar w:fldCharType="separate"/>
      </w:r>
      <w:r w:rsidRPr="00F91674">
        <w:rPr>
          <w:rFonts w:ascii="Book Antiqua" w:eastAsia="Book Antiqua" w:hAnsi="Book Antiqua" w:cs="Book Antiqua"/>
          <w:color w:val="000000"/>
          <w:vertAlign w:val="superscript"/>
        </w:rPr>
        <w:t>167</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indicate that SOX12 regulates the stemness of GBM cells and that SOX2, CD133, and OCT4 act as downstream effectors of SOX12 in these cells. Additionally, the results obtained by Caglayan </w:t>
      </w:r>
      <w:r w:rsidRPr="00F91674">
        <w:rPr>
          <w:rFonts w:ascii="Book Antiqua" w:eastAsia="Book Antiqua" w:hAnsi="Book Antiqua" w:cs="Book Antiqua"/>
          <w:i/>
          <w:color w:val="000000"/>
        </w:rPr>
        <w:t xml:space="preserve">et </w:t>
      </w:r>
      <w:proofErr w:type="gramStart"/>
      <w:r w:rsidRPr="00F91674">
        <w:rPr>
          <w:rFonts w:ascii="Book Antiqua" w:eastAsia="Book Antiqua" w:hAnsi="Book Antiqua" w:cs="Book Antiqua"/>
          <w:i/>
          <w:color w:val="000000"/>
        </w:rPr>
        <w:t>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"_ENREF_124" \o "Caglayan, 2013 #138" </w:instrText>
      </w:r>
      <w:r w:rsidR="00BC0B14" w:rsidRPr="00F91674">
        <w:fldChar w:fldCharType="separate"/>
      </w:r>
      <w:r w:rsidRPr="00F91674">
        <w:rPr>
          <w:rFonts w:ascii="Book Antiqua" w:eastAsia="Book Antiqua" w:hAnsi="Book Antiqua" w:cs="Book Antiqua"/>
          <w:color w:val="000000"/>
          <w:vertAlign w:val="superscript"/>
        </w:rPr>
        <w:t>124</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suggest that </w:t>
      </w:r>
      <w:r w:rsidRPr="00F91674">
        <w:rPr>
          <w:rFonts w:ascii="Book Antiqua" w:eastAsia="Book Antiqua" w:hAnsi="Book Antiqua" w:cs="Book Antiqua"/>
          <w:i/>
          <w:color w:val="000000"/>
        </w:rPr>
        <w:t>SOX21</w:t>
      </w:r>
      <w:r w:rsidRPr="00F91674">
        <w:rPr>
          <w:rFonts w:ascii="Book Antiqua" w:eastAsia="Book Antiqua" w:hAnsi="Book Antiqua" w:cs="Book Antiqua"/>
          <w:color w:val="000000"/>
        </w:rPr>
        <w:t xml:space="preserve"> overexpression decreases the stem-like cell properties of glioma cells and initiates their differentiation </w:t>
      </w:r>
      <w:r w:rsidRPr="00F91674">
        <w:rPr>
          <w:rFonts w:ascii="Book Antiqua" w:eastAsia="Book Antiqua" w:hAnsi="Book Antiqua" w:cs="Book Antiqua"/>
          <w:i/>
          <w:color w:val="000000"/>
        </w:rPr>
        <w:t>in vivo</w:t>
      </w:r>
      <w:r w:rsidRPr="00F91674">
        <w:rPr>
          <w:rFonts w:ascii="Book Antiqua" w:eastAsia="Book Antiqua" w:hAnsi="Book Antiqua" w:cs="Book Antiqua"/>
          <w:color w:val="000000"/>
        </w:rPr>
        <w:t>.</w:t>
      </w:r>
    </w:p>
    <w:p w14:paraId="655BCD4B"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Together, these reported findings indicate that SOX TFs play important roles in GBM and GSCs. Since GSCs are the main drivers of GBM progression and therapy </w:t>
      </w:r>
      <w:r w:rsidRPr="00F91674">
        <w:rPr>
          <w:rFonts w:ascii="Book Antiqua" w:eastAsia="Book Antiqua" w:hAnsi="Book Antiqua" w:cs="Book Antiqua"/>
          <w:color w:val="000000"/>
        </w:rPr>
        <w:lastRenderedPageBreak/>
        <w:t>resistance, further studies are needed to comprehensively delineate the roles of SOX TFs in these cells.</w:t>
      </w:r>
    </w:p>
    <w:p w14:paraId="0DDF9B54"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p>
    <w:p w14:paraId="56569A44" w14:textId="5EE778F3" w:rsidR="00D51910" w:rsidRPr="00F91674" w:rsidRDefault="00D51910" w:rsidP="00D51910">
      <w:pPr>
        <w:adjustRightInd w:val="0"/>
        <w:snapToGrid w:val="0"/>
        <w:spacing w:line="360" w:lineRule="auto"/>
        <w:jc w:val="both"/>
        <w:rPr>
          <w:rFonts w:ascii="Book Antiqua" w:eastAsia="Book Antiqua" w:hAnsi="Book Antiqua" w:cs="Book Antiqua"/>
          <w:b/>
          <w:bCs/>
          <w:color w:val="000000"/>
          <w:u w:val="single"/>
        </w:rPr>
      </w:pPr>
      <w:r w:rsidRPr="00F91674">
        <w:rPr>
          <w:rFonts w:ascii="Book Antiqua" w:eastAsia="Book Antiqua" w:hAnsi="Book Antiqua" w:cs="Book Antiqua"/>
          <w:b/>
          <w:bCs/>
          <w:i/>
          <w:color w:val="000000"/>
          <w:u w:val="single"/>
        </w:rPr>
        <w:t xml:space="preserve">SOX </w:t>
      </w:r>
      <w:r w:rsidRPr="00F91674">
        <w:rPr>
          <w:rFonts w:ascii="Book Antiqua" w:eastAsia="Book Antiqua" w:hAnsi="Book Antiqua" w:cs="Book Antiqua"/>
          <w:b/>
          <w:bCs/>
          <w:color w:val="000000"/>
          <w:u w:val="single"/>
        </w:rPr>
        <w:t>GENES AND CHEMO-AND RADIORESISTANCE OF GSCs</w:t>
      </w:r>
    </w:p>
    <w:p w14:paraId="5368F7BF" w14:textId="5210A276" w:rsidR="00D51910" w:rsidRPr="00F91674" w:rsidRDefault="00D51910" w:rsidP="00D51910">
      <w:pPr>
        <w:adjustRightInd w:val="0"/>
        <w:snapToGrid w:val="0"/>
        <w:spacing w:line="360" w:lineRule="auto"/>
        <w:jc w:val="both"/>
        <w:rPr>
          <w:rFonts w:ascii="Book Antiqua" w:eastAsia="Book Antiqua" w:hAnsi="Book Antiqua" w:cs="Book Antiqua"/>
          <w:color w:val="000000"/>
        </w:rPr>
      </w:pPr>
      <w:r w:rsidRPr="00F91674">
        <w:rPr>
          <w:rFonts w:ascii="Book Antiqua" w:eastAsia="Book Antiqua" w:hAnsi="Book Antiqua" w:cs="Book Antiqua"/>
          <w:color w:val="000000"/>
        </w:rPr>
        <w:t>GBM inevitably recurs following the initial therapy as a result of intratumoral heterogeneity and resistance to chemo- and radiotherapy, which are considered to be promoted by GSCs (reviewed in</w:t>
      </w:r>
      <w:r w:rsidRPr="00F91674">
        <w:rPr>
          <w:rFonts w:ascii="Book Antiqua" w:eastAsia="Book Antiqua" w:hAnsi="Book Antiqua" w:cs="Book Antiqua"/>
          <w:color w:val="000000"/>
          <w:vertAlign w:val="superscript"/>
        </w:rPr>
        <w:t>[</w:t>
      </w:r>
      <w:hyperlink w:anchor="_ENREF_133" w:tooltip="Auffinger, 2015 #90" w:history="1">
        <w:r w:rsidRPr="00F91674">
          <w:rPr>
            <w:rFonts w:ascii="Book Antiqua" w:eastAsia="Book Antiqua" w:hAnsi="Book Antiqua" w:cs="Book Antiqua"/>
            <w:color w:val="000000"/>
            <w:vertAlign w:val="superscript"/>
          </w:rPr>
          <w:t>133</w:t>
        </w:r>
      </w:hyperlink>
      <w:r w:rsidRPr="00F91674">
        <w:rPr>
          <w:rFonts w:ascii="Book Antiqua" w:eastAsia="Book Antiqua" w:hAnsi="Book Antiqua" w:cs="Book Antiqua"/>
          <w:color w:val="000000"/>
          <w:vertAlign w:val="superscript"/>
        </w:rPr>
        <w:t>,</w:t>
      </w:r>
      <w:hyperlink w:anchor="_ENREF_156" w:tooltip="Prager, 2020 #116" w:history="1">
        <w:r w:rsidRPr="00F91674">
          <w:rPr>
            <w:rFonts w:ascii="Book Antiqua" w:eastAsia="Book Antiqua" w:hAnsi="Book Antiqua" w:cs="Book Antiqua"/>
            <w:color w:val="000000"/>
            <w:vertAlign w:val="superscript"/>
          </w:rPr>
          <w:t>156</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Conventional chemo- and radiotherapies affect the proliferative cells within the tumor, while GSCs successfully evade their effects through multiple intrinsic GSC features and adaptive mechanisms (Figure 7). These mechanisms include enhanced expression of the DNA mismatch repair gene </w:t>
      </w:r>
      <w:r w:rsidRPr="00F91674">
        <w:rPr>
          <w:rFonts w:ascii="Book Antiqua" w:eastAsia="Book Antiqua" w:hAnsi="Book Antiqua" w:cs="Book Antiqua"/>
          <w:i/>
          <w:color w:val="000000"/>
        </w:rPr>
        <w:t>MGMT</w:t>
      </w:r>
      <w:r w:rsidRPr="00F91674">
        <w:rPr>
          <w:rFonts w:ascii="Book Antiqua" w:eastAsia="Book Antiqua" w:hAnsi="Book Antiqua" w:cs="Book Antiqua"/>
          <w:color w:val="000000"/>
        </w:rPr>
        <w:t xml:space="preserve"> (O</w:t>
      </w:r>
      <w:r w:rsidRPr="00F91674">
        <w:rPr>
          <w:rFonts w:ascii="Book Antiqua" w:eastAsia="Book Antiqua" w:hAnsi="Book Antiqua" w:cs="Book Antiqua"/>
          <w:color w:val="000000"/>
          <w:vertAlign w:val="superscript"/>
        </w:rPr>
        <w:t>6</w:t>
      </w:r>
      <w:r w:rsidRPr="00F91674">
        <w:rPr>
          <w:rFonts w:ascii="Book Antiqua" w:eastAsia="Book Antiqua" w:hAnsi="Book Antiqua" w:cs="Book Antiqua"/>
          <w:color w:val="000000"/>
        </w:rPr>
        <w:t>-methylguanine-DNA methyltransferase)</w:t>
      </w:r>
      <w:r w:rsidRPr="00F91674">
        <w:rPr>
          <w:rFonts w:ascii="Book Antiqua" w:eastAsia="Book Antiqua" w:hAnsi="Book Antiqua" w:cs="Book Antiqua"/>
          <w:color w:val="000000"/>
          <w:vertAlign w:val="superscript"/>
        </w:rPr>
        <w:t>[</w:t>
      </w:r>
      <w:hyperlink w:anchor="_ENREF_168" w:tooltip="Liu, 2006 #6" w:history="1">
        <w:r w:rsidRPr="00F91674">
          <w:rPr>
            <w:rFonts w:ascii="Book Antiqua" w:eastAsia="Book Antiqua" w:hAnsi="Book Antiqua" w:cs="Book Antiqua"/>
            <w:color w:val="000000"/>
            <w:vertAlign w:val="superscript"/>
          </w:rPr>
          <w:t>168</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high expression of drug efflux transporters</w:t>
      </w:r>
      <w:r w:rsidRPr="00F91674">
        <w:rPr>
          <w:rFonts w:ascii="Book Antiqua" w:eastAsia="Book Antiqua" w:hAnsi="Book Antiqua" w:cs="Book Antiqua"/>
          <w:color w:val="000000"/>
          <w:vertAlign w:val="superscript"/>
        </w:rPr>
        <w:t>[</w:t>
      </w:r>
      <w:hyperlink w:anchor="_ENREF_168" w:tooltip="Liu, 2006 #6" w:history="1">
        <w:r w:rsidRPr="00F91674">
          <w:rPr>
            <w:rFonts w:ascii="Book Antiqua" w:eastAsia="Book Antiqua" w:hAnsi="Book Antiqua" w:cs="Book Antiqua"/>
            <w:color w:val="000000"/>
            <w:vertAlign w:val="superscript"/>
          </w:rPr>
          <w:t>168</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activation of the antiapoptotic pathway</w:t>
      </w:r>
      <w:r w:rsidRPr="00F91674">
        <w:rPr>
          <w:rFonts w:ascii="Book Antiqua" w:eastAsia="Book Antiqua" w:hAnsi="Book Antiqua" w:cs="Book Antiqua"/>
          <w:color w:val="000000"/>
          <w:vertAlign w:val="superscript"/>
        </w:rPr>
        <w:t>[</w:t>
      </w:r>
      <w:hyperlink w:anchor="_ENREF_168" w:tooltip="Liu, 2006 #6" w:history="1">
        <w:r w:rsidRPr="00F91674">
          <w:rPr>
            <w:rFonts w:ascii="Book Antiqua" w:eastAsia="Book Antiqua" w:hAnsi="Book Antiqua" w:cs="Book Antiqua"/>
            <w:color w:val="000000"/>
            <w:vertAlign w:val="superscript"/>
          </w:rPr>
          <w:t>168</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increased replication stress leading to a constitutively active DNA damage response</w:t>
      </w:r>
      <w:r w:rsidRPr="00F91674">
        <w:rPr>
          <w:rFonts w:ascii="Book Antiqua" w:eastAsia="Book Antiqua" w:hAnsi="Book Antiqua" w:cs="Book Antiqua"/>
          <w:color w:val="000000"/>
          <w:vertAlign w:val="superscript"/>
        </w:rPr>
        <w:t>[</w:t>
      </w:r>
      <w:hyperlink w:anchor="_ENREF_169" w:tooltip="Bao, 2006 #7" w:history="1">
        <w:r w:rsidRPr="00F91674">
          <w:rPr>
            <w:rFonts w:ascii="Book Antiqua" w:eastAsia="Book Antiqua" w:hAnsi="Book Antiqua" w:cs="Book Antiqua"/>
            <w:color w:val="000000"/>
            <w:vertAlign w:val="superscript"/>
          </w:rPr>
          <w:t>169</w:t>
        </w:r>
      </w:hyperlink>
      <w:r w:rsidRPr="00F91674">
        <w:rPr>
          <w:rFonts w:ascii="Book Antiqua" w:eastAsia="Book Antiqua" w:hAnsi="Book Antiqua" w:cs="Book Antiqua"/>
          <w:color w:val="000000"/>
          <w:vertAlign w:val="superscript"/>
        </w:rPr>
        <w:t>,</w:t>
      </w:r>
      <w:hyperlink w:anchor="_ENREF_170" w:tooltip="Carruthers, 2018 #8" w:history="1">
        <w:r w:rsidRPr="00F91674">
          <w:rPr>
            <w:rFonts w:ascii="Book Antiqua" w:eastAsia="Book Antiqua" w:hAnsi="Book Antiqua" w:cs="Book Antiqua"/>
            <w:color w:val="000000"/>
            <w:vertAlign w:val="superscript"/>
          </w:rPr>
          <w:t>170</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and aberrant activation of multiple signaling pathways, such as Notch, HH, Wnt/</w:t>
      </w:r>
      <w:r w:rsidRPr="00F91674">
        <w:rPr>
          <w:rFonts w:ascii="Cambria Math" w:eastAsia="Book Antiqua" w:hAnsi="Cambria Math" w:cs="Cambria Math"/>
          <w:color w:val="000000"/>
        </w:rPr>
        <w:t>𝛽</w:t>
      </w:r>
      <w:r w:rsidRPr="00F91674">
        <w:rPr>
          <w:rFonts w:ascii="Book Antiqua" w:eastAsia="Book Antiqua" w:hAnsi="Book Antiqua" w:cs="Book Antiqua"/>
          <w:color w:val="000000"/>
        </w:rPr>
        <w:t>-catenin and NF-κB</w:t>
      </w:r>
      <w:r w:rsidRPr="00F91674">
        <w:rPr>
          <w:rFonts w:ascii="Book Antiqua" w:eastAsia="Book Antiqua" w:hAnsi="Book Antiqua" w:cs="Book Antiqua"/>
          <w:color w:val="000000"/>
          <w:vertAlign w:val="superscript"/>
        </w:rPr>
        <w:t>[</w:t>
      </w:r>
      <w:hyperlink w:anchor="_ENREF_171" w:tooltip="Bhat, 2013 #12" w:history="1">
        <w:r w:rsidRPr="00F91674">
          <w:rPr>
            <w:rFonts w:ascii="Book Antiqua" w:eastAsia="Book Antiqua" w:hAnsi="Book Antiqua" w:cs="Book Antiqua"/>
            <w:color w:val="000000"/>
            <w:vertAlign w:val="superscript"/>
          </w:rPr>
          <w:t>171-174</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7CF53A71"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One of the essential features of cancer cells that confers resistance to therapy is their plasticity, </w:t>
      </w:r>
      <w:r w:rsidRPr="00F91674">
        <w:rPr>
          <w:rFonts w:ascii="Book Antiqua" w:eastAsia="Book Antiqua" w:hAnsi="Book Antiqua" w:cs="Book Antiqua"/>
          <w:i/>
          <w:iCs/>
          <w:color w:val="000000"/>
        </w:rPr>
        <w:t>i.e.</w:t>
      </w:r>
      <w:r w:rsidRPr="00F91674">
        <w:rPr>
          <w:rFonts w:ascii="Book Antiqua" w:eastAsia="Book Antiqua" w:hAnsi="Book Antiqua" w:cs="Book Antiqua"/>
          <w:color w:val="000000"/>
        </w:rPr>
        <w:t>, the capability of going through phenotypic changes in response to different environmental signals without genomic alteration. It has been shown that extrinsic factors such as radiation</w:t>
      </w:r>
      <w:r w:rsidRPr="00F91674">
        <w:rPr>
          <w:rFonts w:ascii="Book Antiqua" w:eastAsia="Book Antiqua" w:hAnsi="Book Antiqua" w:cs="Book Antiqua"/>
          <w:color w:val="000000"/>
          <w:vertAlign w:val="superscript"/>
        </w:rPr>
        <w:t>[</w:t>
      </w:r>
      <w:hyperlink w:anchor="_ENREF_175" w:tooltip="Halliday, 2014 #13" w:history="1">
        <w:r w:rsidRPr="00F91674">
          <w:rPr>
            <w:rFonts w:ascii="Book Antiqua" w:eastAsia="Book Antiqua" w:hAnsi="Book Antiqua" w:cs="Book Antiqua"/>
            <w:color w:val="000000"/>
            <w:vertAlign w:val="superscript"/>
          </w:rPr>
          <w:t>175</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or TNF- (tumor necrosis factor ) through activation of the NF-</w:t>
      </w:r>
      <w:r w:rsidRPr="00F91674">
        <w:rPr>
          <w:rFonts w:ascii="Cambria Math" w:eastAsia="Book Antiqua" w:hAnsi="Cambria Math" w:cs="Cambria Math"/>
          <w:color w:val="000000"/>
        </w:rPr>
        <w:t>𝜅</w:t>
      </w:r>
      <w:r w:rsidRPr="00F91674">
        <w:rPr>
          <w:rFonts w:ascii="Book Antiqua" w:eastAsia="Book Antiqua" w:hAnsi="Book Antiqua" w:cs="Book Antiqua"/>
          <w:color w:val="000000"/>
        </w:rPr>
        <w:t>B pathway</w:t>
      </w:r>
      <w:r w:rsidRPr="00F91674">
        <w:rPr>
          <w:rFonts w:ascii="Book Antiqua" w:eastAsia="Book Antiqua" w:hAnsi="Book Antiqua" w:cs="Book Antiqua"/>
          <w:color w:val="000000"/>
          <w:vertAlign w:val="superscript"/>
        </w:rPr>
        <w:t>[</w:t>
      </w:r>
      <w:hyperlink w:anchor="_ENREF_171" w:tooltip="Bhat, 2013 #12" w:history="1">
        <w:r w:rsidRPr="00F91674">
          <w:rPr>
            <w:rFonts w:ascii="Book Antiqua" w:eastAsia="Book Antiqua" w:hAnsi="Book Antiqua" w:cs="Book Antiqua"/>
            <w:color w:val="000000"/>
            <w:vertAlign w:val="superscript"/>
          </w:rPr>
          <w:t>171</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promote proneural to mesenchymal shift of GSCs leading to a radioresistant phenotype</w:t>
      </w:r>
      <w:r w:rsidRPr="00F91674">
        <w:rPr>
          <w:rFonts w:ascii="Book Antiqua" w:eastAsia="Book Antiqua" w:hAnsi="Book Antiqua" w:cs="Book Antiqua"/>
          <w:color w:val="000000"/>
          <w:vertAlign w:val="superscript"/>
        </w:rPr>
        <w:t>[</w:t>
      </w:r>
      <w:hyperlink w:anchor="_ENREF_171" w:tooltip="Bhat, 2013 #12" w:history="1">
        <w:r w:rsidRPr="00F91674">
          <w:rPr>
            <w:rFonts w:ascii="Book Antiqua" w:eastAsia="Book Antiqua" w:hAnsi="Book Antiqua" w:cs="Book Antiqua"/>
            <w:color w:val="000000"/>
            <w:vertAlign w:val="superscript"/>
          </w:rPr>
          <w:t>171</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Segerman </w:t>
      </w:r>
      <w:r w:rsidRPr="00F91674">
        <w:rPr>
          <w:rFonts w:ascii="Book Antiqua" w:eastAsia="Book Antiqua" w:hAnsi="Book Antiqua" w:cs="Book Antiqua"/>
          <w:i/>
          <w:color w:val="000000"/>
        </w:rPr>
        <w:t xml:space="preserve">et </w:t>
      </w:r>
      <w:proofErr w:type="gramStart"/>
      <w:r w:rsidRPr="00F91674">
        <w:rPr>
          <w:rFonts w:ascii="Book Antiqua" w:eastAsia="Book Antiqua" w:hAnsi="Book Antiqua" w:cs="Book Antiqua"/>
          <w:i/>
          <w:color w:val="000000"/>
        </w:rPr>
        <w:t>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"_ENREF_176" \o "Segerman, 2016 #14" </w:instrText>
      </w:r>
      <w:r w:rsidR="00BC0B14" w:rsidRPr="00F91674">
        <w:fldChar w:fldCharType="separate"/>
      </w:r>
      <w:r w:rsidRPr="00F91674">
        <w:rPr>
          <w:rFonts w:ascii="Book Antiqua" w:eastAsia="Book Antiqua" w:hAnsi="Book Antiqua" w:cs="Book Antiqua"/>
          <w:color w:val="000000"/>
          <w:vertAlign w:val="superscript"/>
        </w:rPr>
        <w:t>176</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demonstrated that GBMs contain a heterogeneous population of glioma-initiating cells that exhibit variable levels of resistance to radiation and drugs</w:t>
      </w:r>
      <w:r w:rsidRPr="00F91674">
        <w:rPr>
          <w:rFonts w:ascii="Book Antiqua" w:eastAsia="Book Antiqua" w:hAnsi="Book Antiqua" w:cs="Book Antiqua"/>
          <w:color w:val="000000"/>
          <w:vertAlign w:val="superscript"/>
        </w:rPr>
        <w:t>[</w:t>
      </w:r>
      <w:hyperlink w:anchor="_ENREF_176" w:tooltip="Segerman, 2016 #14" w:history="1">
        <w:r w:rsidRPr="00F91674">
          <w:rPr>
            <w:rFonts w:ascii="Book Antiqua" w:eastAsia="Book Antiqua" w:hAnsi="Book Antiqua" w:cs="Book Antiqua"/>
            <w:color w:val="000000"/>
            <w:vertAlign w:val="superscript"/>
          </w:rPr>
          <w:t>176</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The observed variations in therapy responses are the result of the slow shifts between the proneural- and mesenchymal-like cell states regulated by the changes in DNA methylation of the cis-regulatory regions of mesenchymal master regulator genes.</w:t>
      </w:r>
    </w:p>
    <w:p w14:paraId="66CFFC02" w14:textId="275AF0A6"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Another important mechanism underlying GBM resistance to therapy is the ability of differentiated cancer cells to undergo dedifferentiation into cancer stem-like cells. Auffinger </w:t>
      </w:r>
      <w:r w:rsidRPr="00F91674">
        <w:rPr>
          <w:rFonts w:ascii="Book Antiqua" w:eastAsia="Book Antiqua" w:hAnsi="Book Antiqua" w:cs="Book Antiqua"/>
          <w:i/>
          <w:color w:val="000000"/>
        </w:rPr>
        <w:t xml:space="preserve">et </w:t>
      </w:r>
      <w:proofErr w:type="gramStart"/>
      <w:r w:rsidRPr="00F91674">
        <w:rPr>
          <w:rFonts w:ascii="Book Antiqua" w:eastAsia="Book Antiqua" w:hAnsi="Book Antiqua" w:cs="Book Antiqua"/>
          <w:i/>
          <w:color w:val="000000"/>
        </w:rPr>
        <w:t>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"_ENREF_177" \o "Auffinger, 2014 #15" </w:instrText>
      </w:r>
      <w:r w:rsidR="00BC0B14" w:rsidRPr="00F91674">
        <w:fldChar w:fldCharType="separate"/>
      </w:r>
      <w:r w:rsidRPr="00F91674">
        <w:rPr>
          <w:rFonts w:ascii="Book Antiqua" w:eastAsia="Book Antiqua" w:hAnsi="Book Antiqua" w:cs="Book Antiqua"/>
          <w:color w:val="000000"/>
          <w:vertAlign w:val="superscript"/>
        </w:rPr>
        <w:t>177</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showed that long-term exposure of glioma cells to clinically relevant doses of TMZ caused the phenotypic switch of non-GSCs towards GSCs that exhibited </w:t>
      </w:r>
      <w:r w:rsidRPr="00F91674">
        <w:rPr>
          <w:rFonts w:ascii="Book Antiqua" w:eastAsia="Book Antiqua" w:hAnsi="Book Antiqua" w:cs="Book Antiqua"/>
          <w:color w:val="000000"/>
        </w:rPr>
        <w:lastRenderedPageBreak/>
        <w:t xml:space="preserve">expression of pluripotency- and stemness-related markers CD133, SOX2, OCT4, and Nestin, a highly infiltrative phenotype and increased chemoresistance. Analyses of the long-term effects of sub-toxic doses of radiation on patient-derived differentiated GBM cells and the phenotypic and molecular changes in GBM towards stemness </w:t>
      </w:r>
      <w:r w:rsidRPr="00F91674">
        <w:rPr>
          <w:rFonts w:ascii="Book Antiqua" w:eastAsia="Book Antiqua" w:hAnsi="Book Antiqua" w:cs="Book Antiqua"/>
          <w:i/>
          <w:color w:val="000000"/>
        </w:rPr>
        <w:t>in vitro</w:t>
      </w:r>
      <w:r w:rsidRPr="00F91674">
        <w:rPr>
          <w:rFonts w:ascii="Book Antiqua" w:eastAsia="Book Antiqua" w:hAnsi="Book Antiqua" w:cs="Book Antiqua"/>
          <w:color w:val="000000"/>
        </w:rPr>
        <w:t xml:space="preserve"> were demonstrated, including the expression of stem cell markers SOX2, Nestin and OLIG2, as well as increased tumorigenicity </w:t>
      </w:r>
      <w:r w:rsidRPr="00F91674">
        <w:rPr>
          <w:rFonts w:ascii="Book Antiqua" w:eastAsia="Book Antiqua" w:hAnsi="Book Antiqua" w:cs="Book Antiqua"/>
          <w:i/>
          <w:color w:val="000000"/>
        </w:rPr>
        <w:t xml:space="preserve">in </w:t>
      </w:r>
      <w:proofErr w:type="gramStart"/>
      <w:r w:rsidRPr="00F91674">
        <w:rPr>
          <w:rFonts w:ascii="Book Antiqua" w:eastAsia="Book Antiqua" w:hAnsi="Book Antiqua" w:cs="Book Antiqua"/>
          <w:i/>
          <w:color w:val="000000"/>
        </w:rPr>
        <w:t>vivo</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"_ENREF_178" \o "Dahan, 2014 #16" </w:instrText>
      </w:r>
      <w:r w:rsidR="00BC0B14" w:rsidRPr="00F91674">
        <w:fldChar w:fldCharType="separate"/>
      </w:r>
      <w:r w:rsidRPr="00F91674">
        <w:rPr>
          <w:rFonts w:ascii="Book Antiqua" w:eastAsia="Book Antiqua" w:hAnsi="Book Antiqua" w:cs="Book Antiqua"/>
          <w:color w:val="000000"/>
          <w:vertAlign w:val="superscript"/>
        </w:rPr>
        <w:t>178</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5403B569"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Quiescent, slow-cycling CSCs play a critical role in tumor recurrence, as they escape the effects of chemo- and radiotherapy that mostly eradicate proliferative cells in the tumor bulk. TMZ treatment in a transgenic mouse model of glioma demonstrated that recurrent tumors derived from dormant glioma cells exhibited stem cell </w:t>
      </w:r>
      <w:proofErr w:type="gramStart"/>
      <w:r w:rsidRPr="00F91674">
        <w:rPr>
          <w:rFonts w:ascii="Book Antiqua" w:eastAsia="Book Antiqua" w:hAnsi="Book Antiqua" w:cs="Book Antiqua"/>
          <w:color w:val="000000"/>
        </w:rPr>
        <w:t>properties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"_ENREF_179" \o "Chen, 2012 #18" </w:instrText>
      </w:r>
      <w:r w:rsidR="00BC0B14" w:rsidRPr="00F91674">
        <w:fldChar w:fldCharType="separate"/>
      </w:r>
      <w:r w:rsidRPr="00F91674">
        <w:rPr>
          <w:rFonts w:ascii="Book Antiqua" w:eastAsia="Book Antiqua" w:hAnsi="Book Antiqua" w:cs="Book Antiqua"/>
          <w:color w:val="000000"/>
          <w:vertAlign w:val="superscript"/>
        </w:rPr>
        <w:t>179</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Qazi </w:t>
      </w:r>
      <w:r w:rsidRPr="00F91674">
        <w:rPr>
          <w:rFonts w:ascii="Book Antiqua" w:eastAsia="Book Antiqua" w:hAnsi="Book Antiqua" w:cs="Book Antiqua"/>
          <w:i/>
          <w:color w:val="000000"/>
        </w:rPr>
        <w:t xml:space="preserve">et </w:t>
      </w:r>
      <w:proofErr w:type="gramStart"/>
      <w:r w:rsidRPr="00F91674">
        <w:rPr>
          <w:rFonts w:ascii="Book Antiqua" w:eastAsia="Book Antiqua" w:hAnsi="Book Antiqua" w:cs="Book Antiqua"/>
          <w:i/>
          <w:color w:val="000000"/>
        </w:rPr>
        <w:t>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"_ENREF_180" \o "Qazi, 2016 #19" </w:instrText>
      </w:r>
      <w:r w:rsidR="00BC0B14" w:rsidRPr="00F91674">
        <w:fldChar w:fldCharType="separate"/>
      </w:r>
      <w:r w:rsidRPr="00F91674">
        <w:rPr>
          <w:rFonts w:ascii="Book Antiqua" w:eastAsia="Book Antiqua" w:hAnsi="Book Antiqua" w:cs="Book Antiqua"/>
          <w:color w:val="000000"/>
          <w:vertAlign w:val="superscript"/>
        </w:rPr>
        <w:t>180</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revealed that the combined chemoradiotherapy of primary human GBMs resulted in acquired resistance of brain tumor stem cells, which was accompanied by increased expression of stemness-associated factors SOX2 and BMI1 and an enhanced self-renewal capacity of primary GBM cells.</w:t>
      </w:r>
    </w:p>
    <w:p w14:paraId="2D53716F" w14:textId="29DA2B90"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The roles of the </w:t>
      </w:r>
      <w:r w:rsidRPr="00F91674">
        <w:rPr>
          <w:rFonts w:ascii="Book Antiqua" w:eastAsia="Book Antiqua" w:hAnsi="Book Antiqua" w:cs="Book Antiqua"/>
          <w:i/>
          <w:color w:val="000000"/>
        </w:rPr>
        <w:t>SOX2</w:t>
      </w:r>
      <w:r w:rsidRPr="00F91674">
        <w:rPr>
          <w:rFonts w:ascii="Book Antiqua" w:eastAsia="Book Antiqua" w:hAnsi="Book Antiqua" w:cs="Book Antiqua"/>
          <w:color w:val="000000"/>
        </w:rPr>
        <w:t xml:space="preserve"> and </w:t>
      </w:r>
      <w:r w:rsidRPr="00F91674">
        <w:rPr>
          <w:rFonts w:ascii="Book Antiqua" w:eastAsia="Book Antiqua" w:hAnsi="Book Antiqua" w:cs="Book Antiqua"/>
          <w:i/>
          <w:color w:val="000000"/>
        </w:rPr>
        <w:t>SOX9</w:t>
      </w:r>
      <w:r w:rsidRPr="00F91674">
        <w:rPr>
          <w:rFonts w:ascii="Book Antiqua" w:eastAsia="Book Antiqua" w:hAnsi="Book Antiqua" w:cs="Book Antiqua"/>
          <w:color w:val="000000"/>
        </w:rPr>
        <w:t xml:space="preserve"> genes in the chemo- and radioresistance of GSCs have been well documented among the members of the SOX TF family (Figure 8). High expression of </w:t>
      </w:r>
      <w:r w:rsidRPr="00F91674">
        <w:rPr>
          <w:rFonts w:ascii="Book Antiqua" w:eastAsia="Book Antiqua" w:hAnsi="Book Antiqua" w:cs="Book Antiqua"/>
          <w:i/>
          <w:color w:val="000000"/>
        </w:rPr>
        <w:t>SOX2</w:t>
      </w:r>
      <w:r w:rsidRPr="00F91674">
        <w:rPr>
          <w:rFonts w:ascii="Book Antiqua" w:eastAsia="Book Antiqua" w:hAnsi="Book Antiqua" w:cs="Book Antiqua"/>
          <w:color w:val="000000"/>
        </w:rPr>
        <w:t xml:space="preserve"> in GBM patient-derived CD133-positive GSCs was shown to play a key role in promoting the self-renewal of GSCs, thereby contributing to their drug </w:t>
      </w:r>
      <w:proofErr w:type="gramStart"/>
      <w:r w:rsidRPr="00F91674">
        <w:rPr>
          <w:rFonts w:ascii="Book Antiqua" w:eastAsia="Book Antiqua" w:hAnsi="Book Antiqua" w:cs="Book Antiqua"/>
          <w:color w:val="000000"/>
        </w:rPr>
        <w:t>resistance</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"_ENREF_160" \o "Song, 2016 #122" </w:instrText>
      </w:r>
      <w:r w:rsidR="00BC0B14" w:rsidRPr="00F91674">
        <w:fldChar w:fldCharType="separate"/>
      </w:r>
      <w:r w:rsidRPr="00F91674">
        <w:rPr>
          <w:rFonts w:ascii="Book Antiqua" w:eastAsia="Book Antiqua" w:hAnsi="Book Antiqua" w:cs="Book Antiqua"/>
          <w:color w:val="000000"/>
          <w:vertAlign w:val="superscript"/>
        </w:rPr>
        <w:t>160</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Yang </w:t>
      </w:r>
      <w:r w:rsidRPr="00F91674">
        <w:rPr>
          <w:rFonts w:ascii="Book Antiqua" w:eastAsia="Book Antiqua" w:hAnsi="Book Antiqua" w:cs="Book Antiqua"/>
          <w:i/>
          <w:color w:val="000000"/>
        </w:rPr>
        <w:t>et al</w:t>
      </w:r>
      <w:r w:rsidRPr="00F91674">
        <w:rPr>
          <w:rFonts w:ascii="Book Antiqua" w:eastAsia="Book Antiqua" w:hAnsi="Book Antiqua" w:cs="Book Antiqua"/>
          <w:color w:val="000000"/>
          <w:vertAlign w:val="superscript"/>
        </w:rPr>
        <w:t>[</w:t>
      </w:r>
      <w:hyperlink w:anchor="_ENREF_181" w:tooltip="Yang, 2012 #177" w:history="1">
        <w:r w:rsidRPr="00F91674">
          <w:rPr>
            <w:rFonts w:ascii="Book Antiqua" w:eastAsia="Book Antiqua" w:hAnsi="Book Antiqua" w:cs="Book Antiqua"/>
            <w:color w:val="000000"/>
            <w:vertAlign w:val="superscript"/>
          </w:rPr>
          <w:t>181</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showed that the miR-145/OCT4/SOX2 axis plays an important role in the chemoradioresistance of CD133-positive GSCs. Inhibition of stemness factors SOX2 and OCT4 by miR-145 was followed by an increased sensitivity of patient-derived CD133-positive GSCs to TMZ and radiation. The reduced chemoradioresistance of GSCs was also accompanied by a decrease in the expression of a few drug resistance (</w:t>
      </w:r>
      <w:r w:rsidRPr="00F91674">
        <w:rPr>
          <w:rFonts w:ascii="Book Antiqua" w:eastAsia="Book Antiqua" w:hAnsi="Book Antiqua" w:cs="Book Antiqua"/>
          <w:i/>
          <w:color w:val="000000"/>
        </w:rPr>
        <w:t>MDR1</w:t>
      </w:r>
      <w:r w:rsidRPr="00F91674">
        <w:rPr>
          <w:rFonts w:ascii="Book Antiqua" w:eastAsia="Book Antiqua" w:hAnsi="Book Antiqua" w:cs="Book Antiqua"/>
          <w:color w:val="000000"/>
        </w:rPr>
        <w:t xml:space="preserve"> - multidrug resistance protein 1 and </w:t>
      </w:r>
      <w:r w:rsidRPr="00F91674">
        <w:rPr>
          <w:rFonts w:ascii="Book Antiqua" w:eastAsia="Book Antiqua" w:hAnsi="Book Antiqua" w:cs="Book Antiqua"/>
          <w:i/>
          <w:color w:val="000000"/>
        </w:rPr>
        <w:t>ABCG2</w:t>
      </w:r>
      <w:r w:rsidRPr="00F91674">
        <w:rPr>
          <w:rFonts w:ascii="Book Antiqua" w:eastAsia="Book Antiqua" w:hAnsi="Book Antiqua" w:cs="Book Antiqua"/>
          <w:color w:val="000000"/>
        </w:rPr>
        <w:t>-ABC subfamily G member 2) and antiapoptotic genes (</w:t>
      </w:r>
      <w:r w:rsidRPr="00F91674">
        <w:rPr>
          <w:rFonts w:ascii="Book Antiqua" w:eastAsia="Book Antiqua" w:hAnsi="Book Antiqua" w:cs="Book Antiqua"/>
          <w:i/>
          <w:color w:val="000000"/>
        </w:rPr>
        <w:t>Bcl-2</w:t>
      </w:r>
      <w:r w:rsidRPr="00F91674">
        <w:rPr>
          <w:rFonts w:ascii="Book Antiqua" w:eastAsia="Book Antiqua" w:hAnsi="Book Antiqua" w:cs="Book Antiqua"/>
          <w:color w:val="000000"/>
        </w:rPr>
        <w:t xml:space="preserve"> - B-cell lymphoma 2 and </w:t>
      </w:r>
      <w:r w:rsidRPr="00F91674">
        <w:rPr>
          <w:rFonts w:ascii="Book Antiqua" w:eastAsia="Book Antiqua" w:hAnsi="Book Antiqua" w:cs="Book Antiqua"/>
          <w:i/>
          <w:color w:val="000000"/>
        </w:rPr>
        <w:t>Bcl-xL</w:t>
      </w:r>
      <w:r w:rsidRPr="00F91674">
        <w:rPr>
          <w:rFonts w:ascii="Book Antiqua" w:eastAsia="Book Antiqua" w:hAnsi="Book Antiqua" w:cs="Book Antiqua"/>
          <w:color w:val="000000"/>
        </w:rPr>
        <w:t xml:space="preserve"> - B-cell lymphoma-extra large)</w:t>
      </w:r>
      <w:r w:rsidRPr="00F91674">
        <w:rPr>
          <w:rFonts w:ascii="Book Antiqua" w:eastAsia="Book Antiqua" w:hAnsi="Book Antiqua" w:cs="Book Antiqua"/>
          <w:color w:val="000000"/>
          <w:vertAlign w:val="superscript"/>
        </w:rPr>
        <w:t>[</w:t>
      </w:r>
      <w:hyperlink w:anchor="_ENREF_181" w:tooltip="Yang, 2012 #177" w:history="1">
        <w:r w:rsidRPr="00F91674">
          <w:rPr>
            <w:rFonts w:ascii="Book Antiqua" w:eastAsia="Book Antiqua" w:hAnsi="Book Antiqua" w:cs="Book Antiqua"/>
            <w:color w:val="000000"/>
            <w:vertAlign w:val="superscript"/>
          </w:rPr>
          <w:t>181</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Overexpression of </w:t>
      </w:r>
      <w:r w:rsidRPr="00F91674">
        <w:rPr>
          <w:rFonts w:ascii="Book Antiqua" w:eastAsia="Book Antiqua" w:hAnsi="Book Antiqua" w:cs="Book Antiqua"/>
          <w:i/>
          <w:color w:val="000000"/>
        </w:rPr>
        <w:t>ID-4</w:t>
      </w:r>
      <w:r w:rsidRPr="00F91674">
        <w:rPr>
          <w:rFonts w:ascii="Book Antiqua" w:eastAsia="Book Antiqua" w:hAnsi="Book Antiqua" w:cs="Book Antiqua"/>
          <w:color w:val="000000"/>
        </w:rPr>
        <w:t xml:space="preserve"> (inhibitor of differentiation 4) induced the dedifferentiation of human glioma cells into glioma stem-like cells and downregulated the expression of </w:t>
      </w:r>
      <w:r w:rsidRPr="00F91674">
        <w:rPr>
          <w:rFonts w:ascii="Book Antiqua" w:eastAsia="Book Antiqua" w:hAnsi="Book Antiqua" w:cs="Book Antiqua"/>
          <w:i/>
          <w:color w:val="000000"/>
        </w:rPr>
        <w:t>SOX2</w:t>
      </w:r>
      <w:r w:rsidRPr="00F91674">
        <w:rPr>
          <w:rFonts w:ascii="Book Antiqua" w:eastAsia="Book Antiqua" w:hAnsi="Book Antiqua" w:cs="Book Antiqua"/>
          <w:color w:val="000000"/>
        </w:rPr>
        <w:t xml:space="preserve">-repressing miR-9*, leading to enhanced </w:t>
      </w:r>
      <w:r w:rsidRPr="00F91674">
        <w:rPr>
          <w:rFonts w:ascii="Book Antiqua" w:eastAsia="Book Antiqua" w:hAnsi="Book Antiqua" w:cs="Book Antiqua"/>
          <w:i/>
          <w:color w:val="000000"/>
        </w:rPr>
        <w:t>SOX2</w:t>
      </w:r>
      <w:r w:rsidRPr="00F91674">
        <w:rPr>
          <w:rFonts w:ascii="Book Antiqua" w:eastAsia="Book Antiqua" w:hAnsi="Book Antiqua" w:cs="Book Antiqua"/>
          <w:color w:val="000000"/>
        </w:rPr>
        <w:t xml:space="preserve"> expression</w:t>
      </w:r>
      <w:r w:rsidRPr="00F91674">
        <w:rPr>
          <w:rFonts w:ascii="Book Antiqua" w:eastAsia="Book Antiqua" w:hAnsi="Book Antiqua" w:cs="Book Antiqua"/>
          <w:color w:val="000000"/>
          <w:vertAlign w:val="superscript"/>
        </w:rPr>
        <w:t>[</w:t>
      </w:r>
      <w:hyperlink w:anchor="_ENREF_182" w:tooltip="Jeon, 2011 #22" w:history="1">
        <w:r w:rsidRPr="00F91674">
          <w:rPr>
            <w:rFonts w:ascii="Book Antiqua" w:eastAsia="Book Antiqua" w:hAnsi="Book Antiqua" w:cs="Book Antiqua"/>
            <w:color w:val="000000"/>
            <w:vertAlign w:val="superscript"/>
          </w:rPr>
          <w:t>182</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SOX2, as a direct transcriptional regulator, upregulates the expression of </w:t>
      </w:r>
      <w:r w:rsidRPr="00F91674">
        <w:rPr>
          <w:rFonts w:ascii="Book Antiqua" w:eastAsia="Book Antiqua" w:hAnsi="Book Antiqua" w:cs="Book Antiqua"/>
          <w:color w:val="000000"/>
        </w:rPr>
        <w:lastRenderedPageBreak/>
        <w:t xml:space="preserve">ABCC3 and ABCC6 transporters, conferring chemoresistance on ID4-induced glioma stem-like cells and patient-derived </w:t>
      </w:r>
      <w:proofErr w:type="gramStart"/>
      <w:r w:rsidRPr="00F91674">
        <w:rPr>
          <w:rFonts w:ascii="Book Antiqua" w:eastAsia="Book Antiqua" w:hAnsi="Book Antiqua" w:cs="Book Antiqua"/>
          <w:color w:val="000000"/>
        </w:rPr>
        <w:t>GSCs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"_ENREF_182" \o "Jeon, 2011 #22" </w:instrText>
      </w:r>
      <w:r w:rsidR="00BC0B14" w:rsidRPr="00F91674">
        <w:fldChar w:fldCharType="separate"/>
      </w:r>
      <w:r w:rsidRPr="00F91674">
        <w:rPr>
          <w:rFonts w:ascii="Book Antiqua" w:eastAsia="Book Antiqua" w:hAnsi="Book Antiqua" w:cs="Book Antiqua"/>
          <w:color w:val="000000"/>
          <w:vertAlign w:val="superscript"/>
        </w:rPr>
        <w:t>182</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Furthermore, it was revealed that </w:t>
      </w:r>
      <w:r w:rsidRPr="00F91674">
        <w:rPr>
          <w:rFonts w:ascii="Book Antiqua" w:eastAsia="Book Antiqua" w:hAnsi="Book Antiqua" w:cs="Book Antiqua"/>
          <w:i/>
          <w:color w:val="000000"/>
        </w:rPr>
        <w:t>SOX2</w:t>
      </w:r>
      <w:r w:rsidRPr="00F91674">
        <w:rPr>
          <w:rFonts w:ascii="Book Antiqua" w:eastAsia="Book Antiqua" w:hAnsi="Book Antiqua" w:cs="Book Antiqua"/>
          <w:color w:val="000000"/>
        </w:rPr>
        <w:t xml:space="preserve"> is a direct transcriptional target of Forkhead box M1 (FOXM1) and that the FOXM1/SOX2 axis promotes the stemness and radioresistance of </w:t>
      </w:r>
      <w:proofErr w:type="gramStart"/>
      <w:r w:rsidRPr="00F91674">
        <w:rPr>
          <w:rFonts w:ascii="Book Antiqua" w:eastAsia="Book Antiqua" w:hAnsi="Book Antiqua" w:cs="Book Antiqua"/>
          <w:color w:val="000000"/>
        </w:rPr>
        <w:t>GBM</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"_ENREF_183" \o "Lee, 2015 #23" </w:instrText>
      </w:r>
      <w:r w:rsidR="00BC0B14" w:rsidRPr="00F91674">
        <w:fldChar w:fldCharType="separate"/>
      </w:r>
      <w:r w:rsidRPr="00F91674">
        <w:rPr>
          <w:rFonts w:ascii="Book Antiqua" w:eastAsia="Book Antiqua" w:hAnsi="Book Antiqua" w:cs="Book Antiqua"/>
          <w:color w:val="000000"/>
          <w:vertAlign w:val="superscript"/>
        </w:rPr>
        <w:t>183</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75338590" w14:textId="16E43533"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A study by Garros-Regulez </w:t>
      </w:r>
      <w:r w:rsidRPr="00F91674">
        <w:rPr>
          <w:rFonts w:ascii="Book Antiqua" w:eastAsia="Book Antiqua" w:hAnsi="Book Antiqua" w:cs="Book Antiqua"/>
          <w:i/>
          <w:color w:val="000000"/>
        </w:rPr>
        <w:t xml:space="preserve">et </w:t>
      </w:r>
      <w:proofErr w:type="gramStart"/>
      <w:r w:rsidRPr="00F91674">
        <w:rPr>
          <w:rFonts w:ascii="Book Antiqua" w:eastAsia="Book Antiqua" w:hAnsi="Book Antiqua" w:cs="Book Antiqua"/>
          <w:i/>
          <w:color w:val="000000"/>
        </w:rPr>
        <w:t>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"_ENREF_165" \o "Garros-Regulez, 2016 #129" </w:instrText>
      </w:r>
      <w:r w:rsidR="00BC0B14" w:rsidRPr="00F91674">
        <w:fldChar w:fldCharType="separate"/>
      </w:r>
      <w:r w:rsidRPr="00F91674">
        <w:rPr>
          <w:rFonts w:ascii="Book Antiqua" w:eastAsia="Book Antiqua" w:hAnsi="Book Antiqua" w:cs="Book Antiqua"/>
          <w:color w:val="000000"/>
          <w:vertAlign w:val="superscript"/>
        </w:rPr>
        <w:t>165</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demonstrated the correlation between high levels of SOX2 and SOX9 expression and resistance of GSCs to TMZ. The SOX2/SOX9 axis acts downstream of the mTOR signaling pathway and contributes to the observed chemoresistance. The authors proposed pharmacological inhibition of SOX2 by using specific inhibitors of the Sonic Hedgehog (SHH) and mTOR signaling pathways as a promising therapeutic approach to overcome TMZ resistance in a group of GBMs that display high expression levels of SOX2 and SOX9</w:t>
      </w:r>
      <w:r w:rsidRPr="00F91674">
        <w:rPr>
          <w:rFonts w:ascii="Book Antiqua" w:eastAsia="Book Antiqua" w:hAnsi="Book Antiqua" w:cs="Book Antiqua"/>
          <w:color w:val="000000"/>
          <w:vertAlign w:val="superscript"/>
        </w:rPr>
        <w:t>[</w:t>
      </w:r>
      <w:hyperlink w:anchor="_ENREF_165" w:tooltip="Garros-Regulez, 2016 #129" w:history="1">
        <w:r w:rsidRPr="00F91674">
          <w:rPr>
            <w:rFonts w:ascii="Book Antiqua" w:eastAsia="Book Antiqua" w:hAnsi="Book Antiqua" w:cs="Book Antiqua"/>
            <w:color w:val="000000"/>
            <w:vertAlign w:val="superscript"/>
          </w:rPr>
          <w:t>165</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Wang </w:t>
      </w:r>
      <w:r w:rsidRPr="00F91674">
        <w:rPr>
          <w:rFonts w:ascii="Book Antiqua" w:eastAsia="Book Antiqua" w:hAnsi="Book Antiqua" w:cs="Book Antiqua"/>
          <w:i/>
          <w:color w:val="000000"/>
        </w:rPr>
        <w:t xml:space="preserve">et </w:t>
      </w:r>
      <w:proofErr w:type="gramStart"/>
      <w:r w:rsidRPr="00F91674">
        <w:rPr>
          <w:rFonts w:ascii="Book Antiqua" w:eastAsia="Book Antiqua" w:hAnsi="Book Antiqua" w:cs="Book Antiqua"/>
          <w:i/>
          <w:color w:val="000000"/>
        </w:rPr>
        <w:t>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"_ENREF_164" \o "Wang, 2018 #128" </w:instrText>
      </w:r>
      <w:r w:rsidR="00BC0B14" w:rsidRPr="00F91674">
        <w:fldChar w:fldCharType="separate"/>
      </w:r>
      <w:r w:rsidRPr="00F91674">
        <w:rPr>
          <w:rFonts w:ascii="Book Antiqua" w:eastAsia="Book Antiqua" w:hAnsi="Book Antiqua" w:cs="Book Antiqua"/>
          <w:color w:val="000000"/>
          <w:vertAlign w:val="superscript"/>
        </w:rPr>
        <w:t>164</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uncovered the </w:t>
      </w:r>
      <w:r w:rsidRPr="00F91674">
        <w:rPr>
          <w:rFonts w:ascii="Book Antiqua" w:eastAsia="Book Antiqua" w:hAnsi="Book Antiqua" w:cs="Book Antiqua"/>
          <w:i/>
          <w:color w:val="000000"/>
        </w:rPr>
        <w:t>PDK1</w:t>
      </w:r>
      <w:r w:rsidRPr="00F91674">
        <w:rPr>
          <w:rFonts w:ascii="Book Antiqua" w:eastAsia="Book Antiqua" w:hAnsi="Book Antiqua" w:cs="Book Antiqua"/>
          <w:color w:val="000000"/>
        </w:rPr>
        <w:t xml:space="preserve"> (pyruvate dehydrogenase kinase 1) gene as a direct target of SOX9 that was shown to play a role in the regulation of GSC self-renewal and resistance to TMZ. The silencing of </w:t>
      </w:r>
      <w:r w:rsidRPr="00F91674">
        <w:rPr>
          <w:rFonts w:ascii="Book Antiqua" w:eastAsia="Book Antiqua" w:hAnsi="Book Antiqua" w:cs="Book Antiqua"/>
          <w:i/>
          <w:color w:val="000000"/>
        </w:rPr>
        <w:t>SOX9</w:t>
      </w:r>
      <w:r w:rsidRPr="00F91674">
        <w:rPr>
          <w:rFonts w:ascii="Book Antiqua" w:eastAsia="Book Antiqua" w:hAnsi="Book Antiqua" w:cs="Book Antiqua"/>
          <w:color w:val="000000"/>
        </w:rPr>
        <w:t xml:space="preserve"> and inhibition of </w:t>
      </w:r>
      <w:r w:rsidRPr="00F91674">
        <w:rPr>
          <w:rFonts w:ascii="Book Antiqua" w:eastAsia="Book Antiqua" w:hAnsi="Book Antiqua" w:cs="Book Antiqua"/>
          <w:i/>
          <w:color w:val="000000"/>
        </w:rPr>
        <w:t>PDK1</w:t>
      </w:r>
      <w:r w:rsidRPr="00F91674">
        <w:rPr>
          <w:rFonts w:ascii="Book Antiqua" w:eastAsia="Book Antiqua" w:hAnsi="Book Antiqua" w:cs="Book Antiqua"/>
          <w:color w:val="000000"/>
        </w:rPr>
        <w:t xml:space="preserve"> both reduced the activity of the AKT pathway and sensitized GSCs to TMZ treatment </w:t>
      </w:r>
      <w:r w:rsidRPr="00F91674">
        <w:rPr>
          <w:rFonts w:ascii="Book Antiqua" w:eastAsia="Book Antiqua" w:hAnsi="Book Antiqua" w:cs="Book Antiqua"/>
          <w:i/>
          <w:color w:val="000000"/>
        </w:rPr>
        <w:t>in vivo</w:t>
      </w:r>
      <w:r w:rsidRPr="00F91674">
        <w:rPr>
          <w:rFonts w:ascii="Book Antiqua" w:eastAsia="Book Antiqua" w:hAnsi="Book Antiqua" w:cs="Book Antiqua"/>
          <w:color w:val="000000"/>
        </w:rPr>
        <w:t xml:space="preserve">, highlighting the SOX9/PDK1 axis as a new promising target for more efficient GBM therapy. Most recently, Sabelström </w:t>
      </w:r>
      <w:r w:rsidRPr="00F91674">
        <w:rPr>
          <w:rFonts w:ascii="Book Antiqua" w:eastAsia="Book Antiqua" w:hAnsi="Book Antiqua" w:cs="Book Antiqua"/>
          <w:i/>
          <w:color w:val="000000"/>
        </w:rPr>
        <w:t xml:space="preserve">et </w:t>
      </w:r>
      <w:proofErr w:type="gramStart"/>
      <w:r w:rsidRPr="00F91674">
        <w:rPr>
          <w:rFonts w:ascii="Book Antiqua" w:eastAsia="Book Antiqua" w:hAnsi="Book Antiqua" w:cs="Book Antiqua"/>
          <w:i/>
          <w:color w:val="000000"/>
        </w:rPr>
        <w:t>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"_ENREF_184" \o "Sabelstrom, 2019 #182" </w:instrText>
      </w:r>
      <w:r w:rsidR="00BC0B14" w:rsidRPr="00F91674">
        <w:fldChar w:fldCharType="separate"/>
      </w:r>
      <w:r w:rsidRPr="00F91674">
        <w:rPr>
          <w:rFonts w:ascii="Book Antiqua" w:eastAsia="Book Antiqua" w:hAnsi="Book Antiqua" w:cs="Book Antiqua"/>
          <w:color w:val="000000"/>
          <w:vertAlign w:val="superscript"/>
        </w:rPr>
        <w:t>184</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demonstrated the critical role of the ERK1/2/miR-124/SOX9 axis in triggering the differentiation of stem-like GBM cells towards a neuronal phenotype. Inhibition of ERK1/2 activation by using a MEK inhibitor caused the enhanced expression of miR-124 and a reduction in the expression of its target gene, </w:t>
      </w:r>
      <w:r w:rsidRPr="00F91674">
        <w:rPr>
          <w:rFonts w:ascii="Book Antiqua" w:eastAsia="Book Antiqua" w:hAnsi="Book Antiqua" w:cs="Book Antiqua"/>
          <w:i/>
          <w:color w:val="000000"/>
        </w:rPr>
        <w:t>SOX9</w:t>
      </w:r>
      <w:r w:rsidRPr="00F91674">
        <w:rPr>
          <w:rFonts w:ascii="Book Antiqua" w:eastAsia="Book Antiqua" w:hAnsi="Book Antiqua" w:cs="Book Antiqua"/>
          <w:color w:val="000000"/>
        </w:rPr>
        <w:t>, consequently leading to decreased tumorigenicity and radioresistance in patient-derived GBM xenografts. These results imply that the induction of neuronal differentiation of GSCs represents a promising therapeutic approach in anti-GBM therapy.</w:t>
      </w:r>
    </w:p>
    <w:p w14:paraId="5497E823" w14:textId="77777777" w:rsidR="00D51910" w:rsidRPr="00F91674" w:rsidRDefault="00D51910" w:rsidP="00D51910">
      <w:pPr>
        <w:adjustRightInd w:val="0"/>
        <w:snapToGrid w:val="0"/>
        <w:spacing w:line="360" w:lineRule="auto"/>
        <w:jc w:val="both"/>
        <w:rPr>
          <w:rFonts w:ascii="Book Antiqua" w:eastAsia="Book Antiqua" w:hAnsi="Book Antiqua" w:cs="Book Antiqua"/>
          <w:color w:val="000000"/>
        </w:rPr>
      </w:pPr>
    </w:p>
    <w:p w14:paraId="62B1663F" w14:textId="77777777" w:rsidR="00D51910" w:rsidRPr="00F91674" w:rsidRDefault="00D51910" w:rsidP="00D51910">
      <w:pPr>
        <w:adjustRightInd w:val="0"/>
        <w:snapToGrid w:val="0"/>
        <w:spacing w:line="360" w:lineRule="auto"/>
        <w:jc w:val="both"/>
        <w:rPr>
          <w:rFonts w:ascii="Book Antiqua" w:eastAsia="Book Antiqua" w:hAnsi="Book Antiqua" w:cs="Book Antiqua"/>
          <w:b/>
          <w:bCs/>
          <w:color w:val="000000"/>
          <w:u w:val="single"/>
        </w:rPr>
      </w:pPr>
      <w:r w:rsidRPr="00F91674">
        <w:rPr>
          <w:rFonts w:ascii="Book Antiqua" w:eastAsia="Book Antiqua" w:hAnsi="Book Antiqua" w:cs="Book Antiqua"/>
          <w:b/>
          <w:bCs/>
          <w:color w:val="000000"/>
          <w:u w:val="single"/>
        </w:rPr>
        <w:t>CONCLUSION</w:t>
      </w:r>
    </w:p>
    <w:p w14:paraId="4AAC6F6E" w14:textId="77777777" w:rsidR="00D51910" w:rsidRPr="00F91674" w:rsidRDefault="00D51910" w:rsidP="00D51910">
      <w:pPr>
        <w:adjustRightInd w:val="0"/>
        <w:snapToGrid w:val="0"/>
        <w:spacing w:line="360" w:lineRule="auto"/>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Combatting GBM has been a demanding and challenging goal for decades. Heterogeneity of cell types within the tumor, the contribution of patient-to-patient variability to the growth, the response to treatment driven by the genomics of each tumor and the transition between proliferative and non-proliferative phases make GBM </w:t>
      </w:r>
      <w:r w:rsidRPr="00F91674">
        <w:rPr>
          <w:rFonts w:ascii="Book Antiqua" w:eastAsia="Book Antiqua" w:hAnsi="Book Antiqua" w:cs="Book Antiqua"/>
          <w:color w:val="000000"/>
        </w:rPr>
        <w:lastRenderedPageBreak/>
        <w:t xml:space="preserve">extremely difficult to treat (reviewed </w:t>
      </w:r>
      <w:proofErr w:type="gramStart"/>
      <w:r w:rsidRPr="00F91674">
        <w:rPr>
          <w:rFonts w:ascii="Book Antiqua" w:eastAsia="Book Antiqua" w:hAnsi="Book Antiqua" w:cs="Book Antiqua"/>
          <w:color w:val="000000"/>
        </w:rPr>
        <w:t>in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"_ENREF_185" \o "Yool, 2020 #139" </w:instrText>
      </w:r>
      <w:r w:rsidR="00BC0B14" w:rsidRPr="00F91674">
        <w:fldChar w:fldCharType="separate"/>
      </w:r>
      <w:r w:rsidRPr="00F91674">
        <w:rPr>
          <w:rFonts w:ascii="Book Antiqua" w:eastAsia="Book Antiqua" w:hAnsi="Book Antiqua" w:cs="Book Antiqua"/>
          <w:color w:val="000000"/>
          <w:vertAlign w:val="superscript"/>
        </w:rPr>
        <w:t>185</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GBM is one of the deadliest cancers, and GBM studies face many challenges, some of which are unique to brain tumors (blood-brain barrier and immunosuppressive environment) and others that are shared with other tumors (tumor heterogeneity at the cellular and molecular levels, plasticity, and the presence of CSCs). One of the most essential hallmarks of GBM is tumor heterogeneity, which has been documented at the histological, cellular and molecular levels. Both intertumor heterogeneity (comprising distinct genetic alterations between different individual tumors) and intratumor heterogeneity (comprising diversity within individual tumors) have been identified in GBM (reviewed </w:t>
      </w:r>
      <w:proofErr w:type="gramStart"/>
      <w:r w:rsidRPr="00F91674">
        <w:rPr>
          <w:rFonts w:ascii="Book Antiqua" w:eastAsia="Book Antiqua" w:hAnsi="Book Antiqua" w:cs="Book Antiqua"/>
          <w:color w:val="000000"/>
        </w:rPr>
        <w:t>in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"_ENREF_90" \o "Friedmann-Morvinski, 2014 #2" </w:instrText>
      </w:r>
      <w:r w:rsidR="00BC0B14" w:rsidRPr="00F91674">
        <w:fldChar w:fldCharType="separate"/>
      </w:r>
      <w:r w:rsidRPr="00F91674">
        <w:rPr>
          <w:rFonts w:ascii="Book Antiqua" w:eastAsia="Book Antiqua" w:hAnsi="Book Antiqua" w:cs="Book Antiqua"/>
          <w:color w:val="000000"/>
          <w:vertAlign w:val="superscript"/>
        </w:rPr>
        <w:t>90</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The heterogeneity of GBM has been defined at multiple molecular levels using-omics technologies. Heterogeneity documented at the genomic and transcriptomic levels enables the molecular classification of histopathologically indistinguishable tumors into different subtypes. An advanced understanding of intratumor heterogeneity has been achieved by single-cell sequencing. Patel </w:t>
      </w:r>
      <w:r w:rsidRPr="00F91674">
        <w:rPr>
          <w:rFonts w:ascii="Book Antiqua" w:eastAsia="Book Antiqua" w:hAnsi="Book Antiqua" w:cs="Book Antiqua"/>
          <w:i/>
          <w:color w:val="000000"/>
        </w:rPr>
        <w:t>et al</w:t>
      </w:r>
      <w:r w:rsidRPr="00F91674">
        <w:rPr>
          <w:rFonts w:ascii="Book Antiqua" w:eastAsia="Book Antiqua" w:hAnsi="Book Antiqua" w:cs="Book Antiqua"/>
          <w:color w:val="000000"/>
          <w:vertAlign w:val="superscript"/>
        </w:rPr>
        <w:t>[</w:t>
      </w:r>
      <w:hyperlink w:anchor="_ENREF_186" w:tooltip="Patel, 2014 #141" w:history="1">
        <w:r w:rsidRPr="00F91674">
          <w:rPr>
            <w:rFonts w:ascii="Book Antiqua" w:eastAsia="Book Antiqua" w:hAnsi="Book Antiqua" w:cs="Book Antiqua"/>
            <w:color w:val="000000"/>
            <w:vertAlign w:val="superscript"/>
          </w:rPr>
          <w:t>186</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performed the first single-cell RNA-seq and confirmed that GBM subtype classifiers are variably expressed across individual cells within a single tumor, while a recent study revealed that malignant cells in GBM exist in four main cellular states that are reminiscent of the canonical neurodevelopmental cell types</w:t>
      </w:r>
      <w:r w:rsidRPr="00F91674">
        <w:rPr>
          <w:rFonts w:ascii="Book Antiqua" w:eastAsia="Book Antiqua" w:hAnsi="Book Antiqua" w:cs="Book Antiqua"/>
          <w:color w:val="000000"/>
          <w:vertAlign w:val="superscript"/>
        </w:rPr>
        <w:t>[</w:t>
      </w:r>
      <w:hyperlink w:anchor="_ENREF_187" w:tooltip="Neftel, 2019 #142" w:history="1">
        <w:r w:rsidRPr="00F91674">
          <w:rPr>
            <w:rFonts w:ascii="Book Antiqua" w:eastAsia="Book Antiqua" w:hAnsi="Book Antiqua" w:cs="Book Antiqua"/>
            <w:color w:val="000000"/>
            <w:vertAlign w:val="superscript"/>
          </w:rPr>
          <w:t>187</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Another level of heterogeneity is linked to treatment-induced plasticity and temporal heterogeneity. By sequencing exomes of initial low-grade gliomas and recurrent tumors from the same patients, Johnson </w:t>
      </w:r>
      <w:r w:rsidRPr="00F91674">
        <w:rPr>
          <w:rFonts w:ascii="Book Antiqua" w:eastAsia="Book Antiqua" w:hAnsi="Book Antiqua" w:cs="Book Antiqua"/>
          <w:i/>
          <w:color w:val="000000"/>
        </w:rPr>
        <w:t xml:space="preserve">et </w:t>
      </w:r>
      <w:proofErr w:type="gramStart"/>
      <w:r w:rsidRPr="00F91674">
        <w:rPr>
          <w:rFonts w:ascii="Book Antiqua" w:eastAsia="Book Antiqua" w:hAnsi="Book Antiqua" w:cs="Book Antiqua"/>
          <w:i/>
          <w:color w:val="000000"/>
        </w:rPr>
        <w:t>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"_ENREF_188" \o "Johnson, 2014 #143" </w:instrText>
      </w:r>
      <w:r w:rsidR="00BC0B14" w:rsidRPr="00F91674">
        <w:fldChar w:fldCharType="separate"/>
      </w:r>
      <w:r w:rsidRPr="00F91674">
        <w:rPr>
          <w:rFonts w:ascii="Book Antiqua" w:eastAsia="Book Antiqua" w:hAnsi="Book Antiqua" w:cs="Book Antiqua"/>
          <w:color w:val="000000"/>
          <w:vertAlign w:val="superscript"/>
        </w:rPr>
        <w:t>188</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revealed that at least half of the mutations in the initial tumor were undetected at recurrence in 43% of cases. Recently, a database of initial tumor and tumor recurrence samples from patients assembled by the Glass consortium revealed that 35 out of 222 patients exhibited treatment-related hypermutation at recurrence, while 70% of the cohort had an increased mutational burden after recurrence compared with the mutational burden of their initial </w:t>
      </w:r>
      <w:proofErr w:type="gramStart"/>
      <w:r w:rsidRPr="00F91674">
        <w:rPr>
          <w:rFonts w:ascii="Book Antiqua" w:eastAsia="Book Antiqua" w:hAnsi="Book Antiqua" w:cs="Book Antiqua"/>
          <w:color w:val="000000"/>
        </w:rPr>
        <w:t>tumor</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"_ENREF_189" \o "Barthel, 2019 #144" </w:instrText>
      </w:r>
      <w:r w:rsidR="00BC0B14" w:rsidRPr="00F91674">
        <w:fldChar w:fldCharType="separate"/>
      </w:r>
      <w:r w:rsidRPr="00F91674">
        <w:rPr>
          <w:rFonts w:ascii="Book Antiqua" w:eastAsia="Book Antiqua" w:hAnsi="Book Antiqua" w:cs="Book Antiqua"/>
          <w:color w:val="000000"/>
          <w:vertAlign w:val="superscript"/>
        </w:rPr>
        <w:t>189</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Taken together, these findings indicate that GBM heterogeneity provides additional layers of complexity that must be taken into consideration in the development of more effective therapies aimed at improving survival in GBM patients.</w:t>
      </w:r>
    </w:p>
    <w:p w14:paraId="543BA20E"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lastRenderedPageBreak/>
        <w:t>Remarkable progress has been made towards understanding the cellular and molecular biology of gliomas in the last decade. Advanced technologies have provided novel insights into multiple events that allow GSCs to acquire functional capabilities, enabling them to survive, proliferate and disseminate.</w:t>
      </w:r>
    </w:p>
    <w:p w14:paraId="0EC4DDCA"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CSCs are considered to be, at least in part, responsible for drug resistance and cancer relapse due to their ability to self-renew and differentiate into heterogeneous lineages of cancer cells. Accordingly, the eradication of CSCs has become one of the major goals in cancer therapies. However, CSCs are very often therapy-resistant, representing the main obstacle to their eradication. Therapy resistance of CSCs is mediated by many different mechanisms, including the acquisition of dormancy, decreased apoptosis, increased DNA repair and drug efflux capacity, interaction with their supporting microenvironment within the CSC niche and hypoxic stability (reviewed </w:t>
      </w:r>
      <w:proofErr w:type="gramStart"/>
      <w:r w:rsidRPr="00F91674">
        <w:rPr>
          <w:rFonts w:ascii="Book Antiqua" w:eastAsia="Book Antiqua" w:hAnsi="Book Antiqua" w:cs="Book Antiqua"/>
          <w:color w:val="000000"/>
        </w:rPr>
        <w:t>in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"_ENREF_190" \o "Steinbichler, 2018 #145" </w:instrText>
      </w:r>
      <w:r w:rsidR="00BC0B14" w:rsidRPr="00F91674">
        <w:fldChar w:fldCharType="separate"/>
      </w:r>
      <w:r w:rsidRPr="00F91674">
        <w:rPr>
          <w:rFonts w:ascii="Book Antiqua" w:eastAsia="Book Antiqua" w:hAnsi="Book Antiqua" w:cs="Book Antiqua"/>
          <w:color w:val="000000"/>
          <w:vertAlign w:val="superscript"/>
        </w:rPr>
        <w:t>190</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GBM tumors may contain different subsets of </w:t>
      </w:r>
      <w:proofErr w:type="gramStart"/>
      <w:r w:rsidRPr="00F91674">
        <w:rPr>
          <w:rFonts w:ascii="Book Antiqua" w:eastAsia="Book Antiqua" w:hAnsi="Book Antiqua" w:cs="Book Antiqua"/>
          <w:color w:val="000000"/>
        </w:rPr>
        <w:t>GSCs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"_ENREF_138" \o "Jin, 2017 #96" </w:instrText>
      </w:r>
      <w:r w:rsidR="00BC0B14" w:rsidRPr="00F91674">
        <w:fldChar w:fldCharType="separate"/>
      </w:r>
      <w:r w:rsidRPr="00F91674">
        <w:rPr>
          <w:rFonts w:ascii="Book Antiqua" w:eastAsia="Book Antiqua" w:hAnsi="Book Antiqua" w:cs="Book Antiqua"/>
          <w:color w:val="000000"/>
          <w:vertAlign w:val="superscript"/>
        </w:rPr>
        <w:t>138</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GSCs may adopt a quiescent state that protects them from chemotherapy and radiotherapy (reviewed in</w:t>
      </w:r>
      <w:r w:rsidRPr="00F91674">
        <w:rPr>
          <w:rFonts w:ascii="Book Antiqua" w:eastAsia="Book Antiqua" w:hAnsi="Book Antiqua" w:cs="Book Antiqua"/>
          <w:color w:val="000000"/>
          <w:vertAlign w:val="superscript"/>
        </w:rPr>
        <w:t>[</w:t>
      </w:r>
      <w:hyperlink w:anchor="_ENREF_191" w:tooltip="Fidoamore, 2016 #146" w:history="1">
        <w:r w:rsidRPr="00F91674">
          <w:rPr>
            <w:rFonts w:ascii="Book Antiqua" w:eastAsia="Book Antiqua" w:hAnsi="Book Antiqua" w:cs="Book Antiqua"/>
            <w:color w:val="000000"/>
            <w:vertAlign w:val="superscript"/>
          </w:rPr>
          <w:t>191</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and these treatments might increase the population of GSCs over time (reviewed in</w:t>
      </w:r>
      <w:r w:rsidRPr="00F91674">
        <w:rPr>
          <w:rFonts w:ascii="Book Antiqua" w:eastAsia="Book Antiqua" w:hAnsi="Book Antiqua" w:cs="Book Antiqua"/>
          <w:color w:val="000000"/>
          <w:vertAlign w:val="superscript"/>
        </w:rPr>
        <w:t>[</w:t>
      </w:r>
      <w:hyperlink w:anchor="_ENREF_192" w:tooltip="Garnier, 2019 #147" w:history="1">
        <w:r w:rsidRPr="00F91674">
          <w:rPr>
            <w:rFonts w:ascii="Book Antiqua" w:eastAsia="Book Antiqua" w:hAnsi="Book Antiqua" w:cs="Book Antiqua"/>
            <w:color w:val="000000"/>
            <w:vertAlign w:val="superscript"/>
          </w:rPr>
          <w:t>192</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GSCs successfully evade the effects of conventional chemo- and radiotherapies through multiple intrinsic GSC features and adaptive mechanisms (Figure 7). GSCs enriched in recurrent gliomas acquire more aggressive and therapy-resistant properties than GSCs originating from primary tumors that become more malignant and rapidly spread, leading to therapeutic failures</w:t>
      </w:r>
      <w:r w:rsidRPr="00F91674">
        <w:rPr>
          <w:rFonts w:ascii="Book Antiqua" w:eastAsia="Book Antiqua" w:hAnsi="Book Antiqua" w:cs="Book Antiqua"/>
          <w:color w:val="000000"/>
          <w:vertAlign w:val="superscript"/>
        </w:rPr>
        <w:t>[</w:t>
      </w:r>
      <w:hyperlink w:anchor="_ENREF_152" w:tooltip="Codrici, 2016 #113" w:history="1">
        <w:r w:rsidRPr="00F91674">
          <w:rPr>
            <w:rFonts w:ascii="Book Antiqua" w:eastAsia="Book Antiqua" w:hAnsi="Book Antiqua" w:cs="Book Antiqua"/>
            <w:color w:val="000000"/>
            <w:vertAlign w:val="superscript"/>
          </w:rPr>
          <w:t>152</w:t>
        </w:r>
      </w:hyperlink>
      <w:r w:rsidRPr="00F91674">
        <w:rPr>
          <w:rFonts w:ascii="Book Antiqua" w:eastAsia="Book Antiqua" w:hAnsi="Book Antiqua" w:cs="Book Antiqua"/>
          <w:color w:val="000000"/>
          <w:vertAlign w:val="superscript"/>
        </w:rPr>
        <w:t>,</w:t>
      </w:r>
      <w:hyperlink w:anchor="_ENREF_153" w:tooltip="Huang, 2008 #114" w:history="1">
        <w:r w:rsidRPr="00F91674">
          <w:rPr>
            <w:rFonts w:ascii="Book Antiqua" w:eastAsia="Book Antiqua" w:hAnsi="Book Antiqua" w:cs="Book Antiqua"/>
            <w:color w:val="000000"/>
            <w:vertAlign w:val="superscript"/>
          </w:rPr>
          <w:t>153</w:t>
        </w:r>
      </w:hyperlink>
      <w:r w:rsidRPr="00F91674">
        <w:rPr>
          <w:rFonts w:ascii="Book Antiqua" w:eastAsia="Book Antiqua" w:hAnsi="Book Antiqua" w:cs="Book Antiqua"/>
          <w:color w:val="000000"/>
          <w:vertAlign w:val="superscript"/>
        </w:rPr>
        <w:t>,</w:t>
      </w:r>
      <w:hyperlink w:anchor="_ENREF_185" w:tooltip="Yool, 2020 #139" w:history="1">
        <w:r w:rsidRPr="00F91674">
          <w:rPr>
            <w:rFonts w:ascii="Book Antiqua" w:eastAsia="Book Antiqua" w:hAnsi="Book Antiqua" w:cs="Book Antiqua"/>
            <w:color w:val="000000"/>
            <w:vertAlign w:val="superscript"/>
          </w:rPr>
          <w:t>185</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317D34AC"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All these properties make GSCs a promising but very complex and challenging therapeutic target for GBM treatment. A number of approaches for targeting CSCs have been developed, including inhibition of drug efflux ABC transporters, targeting signaling pathways, the microenvironment and cell surface markers of CSCs, differentiation therapy, immunotherapy and application of radiosensitizers (reviewed in</w:t>
      </w:r>
      <w:r w:rsidRPr="00F91674">
        <w:rPr>
          <w:rFonts w:ascii="Book Antiqua" w:eastAsia="Book Antiqua" w:hAnsi="Book Antiqua" w:cs="Book Antiqua"/>
          <w:color w:val="000000"/>
          <w:vertAlign w:val="superscript"/>
        </w:rPr>
        <w:t>[</w:t>
      </w:r>
      <w:hyperlink w:anchor="_ENREF_133" w:tooltip="Auffinger, 2015 #90" w:history="1">
        <w:r w:rsidRPr="00F91674">
          <w:rPr>
            <w:rFonts w:ascii="Book Antiqua" w:eastAsia="Book Antiqua" w:hAnsi="Book Antiqua" w:cs="Book Antiqua"/>
            <w:color w:val="000000"/>
            <w:vertAlign w:val="superscript"/>
          </w:rPr>
          <w:t>133</w:t>
        </w:r>
      </w:hyperlink>
      <w:r w:rsidRPr="00F91674">
        <w:rPr>
          <w:rFonts w:ascii="Book Antiqua" w:eastAsia="Book Antiqua" w:hAnsi="Book Antiqua" w:cs="Book Antiqua"/>
          <w:color w:val="000000"/>
          <w:vertAlign w:val="superscript"/>
        </w:rPr>
        <w:t>,</w:t>
      </w:r>
      <w:hyperlink w:anchor="_ENREF_193" w:tooltip="Bindra, 2017 #22" w:history="1">
        <w:r w:rsidRPr="00F91674">
          <w:rPr>
            <w:rFonts w:ascii="Book Antiqua" w:eastAsia="Book Antiqua" w:hAnsi="Book Antiqua" w:cs="Book Antiqua"/>
            <w:color w:val="000000"/>
            <w:vertAlign w:val="superscript"/>
          </w:rPr>
          <w:t>193-196</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w:t>
      </w:r>
    </w:p>
    <w:p w14:paraId="2B5A7D5B"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Dedifferentiation of tumor cells into a stem cell-like state is considered an additional source of cellular heterogeneity, pointing to tumor cell plasticity as an important driver of GBM </w:t>
      </w:r>
      <w:proofErr w:type="gramStart"/>
      <w:r w:rsidRPr="00F91674">
        <w:rPr>
          <w:rFonts w:ascii="Book Antiqua" w:eastAsia="Book Antiqua" w:hAnsi="Book Antiqua" w:cs="Book Antiqua"/>
          <w:color w:val="000000"/>
        </w:rPr>
        <w:t>heterogeneity</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"_ENREF_90" \o "Friedmann-Morvinski, 2014 #2" </w:instrText>
      </w:r>
      <w:r w:rsidR="00BC0B14" w:rsidRPr="00F91674">
        <w:fldChar w:fldCharType="separate"/>
      </w:r>
      <w:r w:rsidRPr="00F91674">
        <w:rPr>
          <w:rFonts w:ascii="Book Antiqua" w:eastAsia="Book Antiqua" w:hAnsi="Book Antiqua" w:cs="Book Antiqua"/>
          <w:color w:val="000000"/>
          <w:vertAlign w:val="superscript"/>
        </w:rPr>
        <w:t>90</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Gimple </w:t>
      </w:r>
      <w:r w:rsidRPr="00F91674">
        <w:rPr>
          <w:rFonts w:ascii="Book Antiqua" w:eastAsia="Book Antiqua" w:hAnsi="Book Antiqua" w:cs="Book Antiqua"/>
          <w:i/>
          <w:color w:val="000000"/>
        </w:rPr>
        <w:t xml:space="preserve">et </w:t>
      </w:r>
      <w:proofErr w:type="gramStart"/>
      <w:r w:rsidRPr="00F91674">
        <w:rPr>
          <w:rFonts w:ascii="Book Antiqua" w:eastAsia="Book Antiqua" w:hAnsi="Book Antiqua" w:cs="Book Antiqua"/>
          <w:i/>
          <w:color w:val="000000"/>
        </w:rPr>
        <w:t>al</w:t>
      </w:r>
      <w:r w:rsidRPr="00F91674">
        <w:rPr>
          <w:rFonts w:ascii="Book Antiqua" w:eastAsia="Book Antiqua" w:hAnsi="Book Antiqua" w:cs="Book Antiqua"/>
          <w:color w:val="000000"/>
          <w:vertAlign w:val="superscript"/>
        </w:rPr>
        <w:t>[</w:t>
      </w:r>
      <w:proofErr w:type="gramEnd"/>
      <w:r w:rsidRPr="00F91674">
        <w:rPr>
          <w:rFonts w:ascii="Book Antiqua" w:eastAsia="Book Antiqua" w:hAnsi="Book Antiqua" w:cs="Book Antiqua"/>
          <w:color w:val="000000"/>
          <w:vertAlign w:val="superscript"/>
        </w:rPr>
        <w:t>137]</w:t>
      </w:r>
      <w:r w:rsidRPr="00F91674">
        <w:rPr>
          <w:rFonts w:ascii="Book Antiqua" w:eastAsia="Book Antiqua" w:hAnsi="Book Antiqua" w:cs="Book Antiqua"/>
          <w:color w:val="000000"/>
        </w:rPr>
        <w:t xml:space="preserve"> proposed novel advanced </w:t>
      </w:r>
      <w:r w:rsidRPr="00F91674">
        <w:rPr>
          <w:rFonts w:ascii="Book Antiqua" w:eastAsia="Book Antiqua" w:hAnsi="Book Antiqua" w:cs="Book Antiqua"/>
          <w:color w:val="000000"/>
        </w:rPr>
        <w:lastRenderedPageBreak/>
        <w:t>therapies that are aimed at targeting tumor cell plasticity conferred by dedifferentiation (reviewed in</w:t>
      </w:r>
      <w:r w:rsidRPr="00F91674">
        <w:rPr>
          <w:rFonts w:ascii="Book Antiqua" w:eastAsia="Book Antiqua" w:hAnsi="Book Antiqua" w:cs="Book Antiqua"/>
          <w:color w:val="000000"/>
          <w:vertAlign w:val="superscript"/>
        </w:rPr>
        <w:t>[</w:t>
      </w:r>
      <w:hyperlink w:anchor="_ENREF_7" w:tooltip="Senga, 2021 #3" w:history="1">
        <w:r w:rsidRPr="00F91674">
          <w:rPr>
            <w:rFonts w:ascii="Book Antiqua" w:eastAsia="Book Antiqua" w:hAnsi="Book Antiqua" w:cs="Book Antiqua"/>
            <w:color w:val="000000"/>
            <w:vertAlign w:val="superscript"/>
          </w:rPr>
          <w:t>7</w:t>
        </w:r>
      </w:hyperlink>
      <w:r w:rsidRPr="00F91674">
        <w:rPr>
          <w:rFonts w:ascii="Book Antiqua" w:eastAsia="Book Antiqua" w:hAnsi="Book Antiqua" w:cs="Book Antiqua"/>
          <w:color w:val="000000"/>
          <w:vertAlign w:val="superscript"/>
        </w:rPr>
        <w:t>,</w:t>
      </w:r>
      <w:hyperlink w:anchor="_ENREF_137" w:tooltip="Gimple, 2019 #151" w:history="1">
        <w:r w:rsidRPr="00F91674">
          <w:rPr>
            <w:rFonts w:ascii="Book Antiqua" w:eastAsia="Book Antiqua" w:hAnsi="Book Antiqua" w:cs="Book Antiqua"/>
            <w:color w:val="000000"/>
            <w:vertAlign w:val="superscript"/>
          </w:rPr>
          <w:t>137</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One of the proposed approaches focuses on blocking dedifferentiation by applying a combination of therapies to prevent early resistance to therapeutics endowed by dedifferentiation and acquired lineage plasticity. Differentiation therapy is a novel approach that aims to target dedifferentiation by enhancing the conversion of dedifferentiated tumor cells towards permanently differentiated cells that are more sensitive to chemotherapy. The final proposed approach is focused on the differentiation of CSCs into harmless cell lineages that lack tumorigenic potency and metastatic potential by applying TFs or small molecules.</w:t>
      </w:r>
    </w:p>
    <w:p w14:paraId="4987E1DA"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Significant conceptual and mechanistic similarities between cellular transformation in cancers and cellular reprogramming and dedifferentiation driven by various stem cell-associated pathways have been </w:t>
      </w:r>
      <w:proofErr w:type="gramStart"/>
      <w:r w:rsidRPr="00F91674">
        <w:rPr>
          <w:rFonts w:ascii="Book Antiqua" w:eastAsia="Book Antiqua" w:hAnsi="Book Antiqua" w:cs="Book Antiqua"/>
          <w:color w:val="000000"/>
        </w:rPr>
        <w:t>revealed</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"_ENREF_197" \o "Suva, 2013 #153" </w:instrText>
      </w:r>
      <w:r w:rsidR="00BC0B14" w:rsidRPr="00F91674">
        <w:fldChar w:fldCharType="separate"/>
      </w:r>
      <w:r w:rsidRPr="00F91674">
        <w:rPr>
          <w:rFonts w:ascii="Book Antiqua" w:eastAsia="Book Antiqua" w:hAnsi="Book Antiqua" w:cs="Book Antiqua"/>
          <w:color w:val="000000"/>
          <w:vertAlign w:val="superscript"/>
        </w:rPr>
        <w:t>197</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The master regulators of stemness operate through transcriptional control of various stem cell-associated pathways during cellular reprogramming.</w:t>
      </w:r>
    </w:p>
    <w:p w14:paraId="7CF04135" w14:textId="78564FEF"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Since cell renewal is an ability that cancer cells must acquire to survive therapeutic treatment and reconstitute the tumor, master regulators of stemness have attracted significant attention in the treatment of GBM. SOX TFs are master regulators of stemness with known essential roles in GBM. Accordingly, SOX proteins and SOX2, in particular, have emerged as one of the major therapeutic targets for GBM. Overwhelming evidence of the importance of the </w:t>
      </w:r>
      <w:r w:rsidRPr="00F91674">
        <w:rPr>
          <w:rFonts w:ascii="Book Antiqua" w:eastAsia="Book Antiqua" w:hAnsi="Book Antiqua" w:cs="Book Antiqua"/>
          <w:i/>
          <w:color w:val="000000"/>
        </w:rPr>
        <w:t>SOX2</w:t>
      </w:r>
      <w:r w:rsidRPr="00F91674">
        <w:rPr>
          <w:rFonts w:ascii="Book Antiqua" w:eastAsia="Book Antiqua" w:hAnsi="Book Antiqua" w:cs="Book Antiqua"/>
          <w:color w:val="000000"/>
        </w:rPr>
        <w:t xml:space="preserve"> gene in the maintenance of the stem cell properties of GSCs has been revealed. Numerous studies have demonstrated that glioma cells rely on SOX2 to maintain their tumorigenic activity, with GSCs displaying high levels of SOX2 (reviewed </w:t>
      </w:r>
      <w:proofErr w:type="gramStart"/>
      <w:r w:rsidRPr="00F91674">
        <w:rPr>
          <w:rFonts w:ascii="Book Antiqua" w:eastAsia="Book Antiqua" w:hAnsi="Book Antiqua" w:cs="Book Antiqua"/>
          <w:color w:val="000000"/>
        </w:rPr>
        <w:t>in</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"_ENREF_198" \o "Garros-Regulez, 2016 #154" </w:instrText>
      </w:r>
      <w:r w:rsidR="00BC0B14" w:rsidRPr="00F91674">
        <w:fldChar w:fldCharType="separate"/>
      </w:r>
      <w:r w:rsidRPr="00F91674">
        <w:rPr>
          <w:rFonts w:ascii="Book Antiqua" w:eastAsia="Book Antiqua" w:hAnsi="Book Antiqua" w:cs="Book Antiqua"/>
          <w:color w:val="000000"/>
          <w:vertAlign w:val="superscript"/>
        </w:rPr>
        <w:t>198</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SOX2 overexpression has been found in approximately 90% of human biopsies in GBM patient samples with enrichment in undifferentiated GSC populations. Downregulation of SOX2 in GSCs impairs cell proliferation and the ability of the cells to form tumors </w:t>
      </w:r>
      <w:r w:rsidRPr="00F91674">
        <w:rPr>
          <w:rFonts w:ascii="Book Antiqua" w:eastAsia="Book Antiqua" w:hAnsi="Book Antiqua" w:cs="Book Antiqua"/>
          <w:i/>
          <w:color w:val="000000"/>
        </w:rPr>
        <w:t>in vivo</w:t>
      </w:r>
      <w:r w:rsidRPr="00F91674">
        <w:rPr>
          <w:rFonts w:ascii="Book Antiqua" w:eastAsia="Book Antiqua" w:hAnsi="Book Antiqua" w:cs="Book Antiqua"/>
          <w:color w:val="000000"/>
        </w:rPr>
        <w:t>.</w:t>
      </w:r>
    </w:p>
    <w:p w14:paraId="2802865E" w14:textId="5EDB7E64"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It has also been shown that numerous SOX TFs are involved in the maintenance of the stemness of GSCs (SOX1, SOX2, SOX3, SOX4, SOX9, SOX10, SOX12) or play a role in the initiation of GSC differentiation (SOX11 and SOX21). Accordingly, the fine-tuning of </w:t>
      </w:r>
      <w:r w:rsidRPr="00F91674">
        <w:rPr>
          <w:rFonts w:ascii="Book Antiqua" w:eastAsia="Book Antiqua" w:hAnsi="Book Antiqua" w:cs="Book Antiqua"/>
          <w:i/>
          <w:color w:val="000000"/>
        </w:rPr>
        <w:lastRenderedPageBreak/>
        <w:t>SOX</w:t>
      </w:r>
      <w:r w:rsidRPr="00F91674">
        <w:rPr>
          <w:rFonts w:ascii="Book Antiqua" w:eastAsia="Book Antiqua" w:hAnsi="Book Antiqua" w:cs="Book Antiqua"/>
          <w:color w:val="000000"/>
        </w:rPr>
        <w:t xml:space="preserve"> gene expression levels is associated with the control of the balance between stemness and differentiation.</w:t>
      </w:r>
    </w:p>
    <w:p w14:paraId="03E97E39" w14:textId="6889B3EC"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As outlined in this review, SOX TFs play multiple roles in GSCs. They influence GSC stemness, self-renewal, proliferation, differentiation, viability, migration, invasion, apoptosis, therapy resistance, sphere-forming capacity, and tumorigenicity (Figure 5). Therefore, innovative therapies aimed at targeting SOX TFs, and SOX2 in particular, are emerging as promising tools to combat GBM. These therapeutic approaches include the pharmacological inhibition of signaling pathways involving </w:t>
      </w:r>
      <w:r w:rsidRPr="00F91674">
        <w:rPr>
          <w:rFonts w:ascii="Book Antiqua" w:eastAsia="Book Antiqua" w:hAnsi="Book Antiqua" w:cs="Book Antiqua"/>
          <w:i/>
          <w:color w:val="000000"/>
        </w:rPr>
        <w:t>SOX</w:t>
      </w:r>
      <w:r w:rsidRPr="00F91674">
        <w:rPr>
          <w:rFonts w:ascii="Book Antiqua" w:eastAsia="Book Antiqua" w:hAnsi="Book Antiqua" w:cs="Book Antiqua"/>
          <w:color w:val="000000"/>
        </w:rPr>
        <w:t xml:space="preserve"> genes</w:t>
      </w:r>
      <w:r w:rsidRPr="00F91674">
        <w:rPr>
          <w:rFonts w:ascii="Book Antiqua" w:eastAsia="Book Antiqua" w:hAnsi="Book Antiqua" w:cs="Book Antiqua"/>
          <w:color w:val="000000"/>
          <w:vertAlign w:val="superscript"/>
        </w:rPr>
        <w:t>[</w:t>
      </w:r>
      <w:hyperlink w:anchor="_ENREF_165" w:tooltip="Garros-Regulez, 2016 #129" w:history="1">
        <w:r w:rsidRPr="00F91674">
          <w:rPr>
            <w:rFonts w:ascii="Book Antiqua" w:eastAsia="Book Antiqua" w:hAnsi="Book Antiqua" w:cs="Book Antiqua"/>
            <w:color w:val="000000"/>
            <w:vertAlign w:val="superscript"/>
          </w:rPr>
          <w:t>165</w:t>
        </w:r>
      </w:hyperlink>
      <w:r w:rsidRPr="00F91674">
        <w:rPr>
          <w:rFonts w:ascii="Book Antiqua" w:eastAsia="Book Antiqua" w:hAnsi="Book Antiqua" w:cs="Book Antiqua"/>
          <w:color w:val="000000"/>
          <w:vertAlign w:val="superscript"/>
        </w:rPr>
        <w:t>,</w:t>
      </w:r>
      <w:hyperlink w:anchor="_ENREF_199" w:tooltip="Hagerstrand, 2011 #3" w:history="1">
        <w:r w:rsidRPr="00F91674">
          <w:rPr>
            <w:rFonts w:ascii="Book Antiqua" w:eastAsia="Book Antiqua" w:hAnsi="Book Antiqua" w:cs="Book Antiqua"/>
            <w:color w:val="000000"/>
            <w:vertAlign w:val="superscript"/>
          </w:rPr>
          <w:t>199</w:t>
        </w:r>
      </w:hyperlink>
      <w:r w:rsidRPr="00F91674">
        <w:rPr>
          <w:rFonts w:ascii="Book Antiqua" w:eastAsia="Book Antiqua" w:hAnsi="Book Antiqua" w:cs="Book Antiqua"/>
          <w:color w:val="000000"/>
          <w:vertAlign w:val="superscript"/>
        </w:rPr>
        <w:t>,</w:t>
      </w:r>
      <w:hyperlink w:anchor="_ENREF_200" w:tooltip="Singh, 2012 #4" w:history="1">
        <w:r w:rsidRPr="00F91674">
          <w:rPr>
            <w:rFonts w:ascii="Book Antiqua" w:eastAsia="Book Antiqua" w:hAnsi="Book Antiqua" w:cs="Book Antiqua"/>
            <w:color w:val="000000"/>
            <w:vertAlign w:val="superscript"/>
          </w:rPr>
          <w:t>200</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application of natural and synthetic compounds that control the expression of these genes</w:t>
      </w:r>
      <w:r w:rsidRPr="00F91674">
        <w:rPr>
          <w:rFonts w:ascii="Book Antiqua" w:eastAsia="Book Antiqua" w:hAnsi="Book Antiqua" w:cs="Book Antiqua"/>
          <w:color w:val="000000"/>
          <w:vertAlign w:val="superscript"/>
        </w:rPr>
        <w:t>[</w:t>
      </w:r>
      <w:hyperlink w:anchor="_ENREF_201" w:tooltip="Li, 2019 #161" w:history="1">
        <w:r w:rsidRPr="00F91674">
          <w:rPr>
            <w:rFonts w:ascii="Book Antiqua" w:eastAsia="Book Antiqua" w:hAnsi="Book Antiqua" w:cs="Book Antiqua"/>
            <w:color w:val="000000"/>
            <w:vertAlign w:val="superscript"/>
          </w:rPr>
          <w:t>201-204</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inhibition of SOX-DNA binding</w:t>
      </w:r>
      <w:r w:rsidRPr="00F91674">
        <w:rPr>
          <w:rFonts w:ascii="Book Antiqua" w:eastAsia="Book Antiqua" w:hAnsi="Book Antiqua" w:cs="Book Antiqua"/>
          <w:color w:val="000000"/>
          <w:vertAlign w:val="superscript"/>
        </w:rPr>
        <w:t>[</w:t>
      </w:r>
      <w:hyperlink w:anchor="_ENREF_205" w:tooltip="Taniguchi, 2017 #5" w:history="1">
        <w:r w:rsidRPr="00F91674">
          <w:rPr>
            <w:rFonts w:ascii="Book Antiqua" w:eastAsia="Book Antiqua" w:hAnsi="Book Antiqua" w:cs="Book Antiqua"/>
            <w:color w:val="000000"/>
            <w:vertAlign w:val="superscript"/>
          </w:rPr>
          <w:t>205</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inhibition of ubiquitylation and degradation of the SOX2 transcriptional repressor</w:t>
      </w:r>
      <w:r w:rsidRPr="00F91674">
        <w:rPr>
          <w:rFonts w:ascii="Book Antiqua" w:eastAsia="Book Antiqua" w:hAnsi="Book Antiqua" w:cs="Book Antiqua"/>
          <w:color w:val="000000"/>
          <w:vertAlign w:val="superscript"/>
        </w:rPr>
        <w:t>[</w:t>
      </w:r>
      <w:hyperlink w:anchor="_ENREF_206" w:tooltip="Yin, 2019 #6" w:history="1">
        <w:r w:rsidRPr="00F91674">
          <w:rPr>
            <w:rFonts w:ascii="Book Antiqua" w:eastAsia="Book Antiqua" w:hAnsi="Book Antiqua" w:cs="Book Antiqua"/>
            <w:color w:val="000000"/>
            <w:vertAlign w:val="superscript"/>
          </w:rPr>
          <w:t>206</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immunotherapy</w:t>
      </w:r>
      <w:r w:rsidRPr="00F91674">
        <w:rPr>
          <w:rFonts w:ascii="Book Antiqua" w:eastAsia="Book Antiqua" w:hAnsi="Book Antiqua" w:cs="Book Antiqua"/>
          <w:color w:val="000000"/>
          <w:vertAlign w:val="superscript"/>
        </w:rPr>
        <w:t>[</w:t>
      </w:r>
      <w:hyperlink w:anchor="_ENREF_207" w:tooltip="Favaro, 2014 #166" w:history="1">
        <w:r w:rsidRPr="00F91674">
          <w:rPr>
            <w:rFonts w:ascii="Book Antiqua" w:eastAsia="Book Antiqua" w:hAnsi="Book Antiqua" w:cs="Book Antiqua"/>
            <w:color w:val="000000"/>
            <w:vertAlign w:val="superscript"/>
          </w:rPr>
          <w:t>207</w:t>
        </w:r>
      </w:hyperlink>
      <w:r w:rsidRPr="00F91674">
        <w:rPr>
          <w:rFonts w:ascii="Book Antiqua" w:eastAsia="Book Antiqua" w:hAnsi="Book Antiqua" w:cs="Book Antiqua"/>
          <w:color w:val="000000"/>
          <w:vertAlign w:val="superscript"/>
        </w:rPr>
        <w:t>,</w:t>
      </w:r>
      <w:hyperlink w:anchor="_ENREF_208" w:tooltip="Ueda, 2010 #167" w:history="1">
        <w:r w:rsidRPr="00F91674">
          <w:rPr>
            <w:rFonts w:ascii="Book Antiqua" w:eastAsia="Book Antiqua" w:hAnsi="Book Antiqua" w:cs="Book Antiqua"/>
            <w:color w:val="000000"/>
            <w:vertAlign w:val="superscript"/>
          </w:rPr>
          <w:t>208</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epigenetic silencing by miRNAs</w:t>
      </w:r>
      <w:r w:rsidRPr="00F91674">
        <w:rPr>
          <w:rFonts w:ascii="Book Antiqua" w:eastAsia="Book Antiqua" w:hAnsi="Book Antiqua" w:cs="Book Antiqua"/>
          <w:color w:val="000000"/>
          <w:vertAlign w:val="superscript"/>
        </w:rPr>
        <w:t>[</w:t>
      </w:r>
      <w:hyperlink w:anchor="_ENREF_181" w:tooltip="Yang, 2012 #177" w:history="1">
        <w:r w:rsidRPr="00F91674">
          <w:rPr>
            <w:rFonts w:ascii="Book Antiqua" w:eastAsia="Book Antiqua" w:hAnsi="Book Antiqua" w:cs="Book Antiqua"/>
            <w:color w:val="000000"/>
            <w:vertAlign w:val="superscript"/>
          </w:rPr>
          <w:t>181</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blocking SOX function by peptide aptamers</w:t>
      </w:r>
      <w:r w:rsidRPr="00F91674">
        <w:rPr>
          <w:rFonts w:ascii="Book Antiqua" w:eastAsia="Book Antiqua" w:hAnsi="Book Antiqua" w:cs="Book Antiqua"/>
          <w:color w:val="000000"/>
          <w:vertAlign w:val="superscript"/>
        </w:rPr>
        <w:t>[</w:t>
      </w:r>
      <w:hyperlink w:anchor="_ENREF_209" w:tooltip="Liu, 2020 #9" w:history="1">
        <w:r w:rsidRPr="00F91674">
          <w:rPr>
            <w:rFonts w:ascii="Book Antiqua" w:eastAsia="Book Antiqua" w:hAnsi="Book Antiqua" w:cs="Book Antiqua"/>
            <w:color w:val="000000"/>
            <w:vertAlign w:val="superscript"/>
          </w:rPr>
          <w:t>209</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and direct transcriptional repression of</w:t>
      </w:r>
      <w:r w:rsidRPr="00F91674">
        <w:rPr>
          <w:rFonts w:ascii="Book Antiqua" w:eastAsia="Book Antiqua" w:hAnsi="Book Antiqua" w:cs="Book Antiqua"/>
          <w:i/>
          <w:color w:val="000000"/>
        </w:rPr>
        <w:t xml:space="preserve"> SOX</w:t>
      </w:r>
      <w:r w:rsidRPr="00F91674">
        <w:rPr>
          <w:rFonts w:ascii="Book Antiqua" w:eastAsia="Book Antiqua" w:hAnsi="Book Antiqua" w:cs="Book Antiqua"/>
          <w:color w:val="000000"/>
        </w:rPr>
        <w:t xml:space="preserve"> gene expression</w:t>
      </w:r>
      <w:r w:rsidRPr="00F91674">
        <w:rPr>
          <w:rFonts w:ascii="Book Antiqua" w:eastAsia="Book Antiqua" w:hAnsi="Book Antiqua" w:cs="Book Antiqua"/>
          <w:color w:val="000000"/>
          <w:vertAlign w:val="superscript"/>
        </w:rPr>
        <w:t>[</w:t>
      </w:r>
      <w:hyperlink w:anchor="_ENREF_210" w:tooltip="Stolzenburg, 2012 #165" w:history="1">
        <w:r w:rsidRPr="00F91674">
          <w:rPr>
            <w:rFonts w:ascii="Book Antiqua" w:eastAsia="Book Antiqua" w:hAnsi="Book Antiqua" w:cs="Book Antiqua"/>
            <w:color w:val="000000"/>
            <w:vertAlign w:val="superscript"/>
          </w:rPr>
          <w:t>210</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(Figure 9).</w:t>
      </w:r>
    </w:p>
    <w:p w14:paraId="2F9BFB6B" w14:textId="6030C965"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Modulation of </w:t>
      </w:r>
      <w:r w:rsidRPr="00F91674">
        <w:rPr>
          <w:rFonts w:ascii="Book Antiqua" w:eastAsia="Book Antiqua" w:hAnsi="Book Antiqua" w:cs="Book Antiqua"/>
          <w:i/>
          <w:color w:val="000000"/>
        </w:rPr>
        <w:t>SOX</w:t>
      </w:r>
      <w:r w:rsidRPr="00F91674">
        <w:rPr>
          <w:rFonts w:ascii="Book Antiqua" w:eastAsia="Book Antiqua" w:hAnsi="Book Antiqua" w:cs="Book Antiqua"/>
          <w:color w:val="000000"/>
        </w:rPr>
        <w:t xml:space="preserve"> gene expression in GSCs represents an attractive approach to combat GBM. </w:t>
      </w:r>
      <w:r w:rsidRPr="00F91674">
        <w:rPr>
          <w:rFonts w:ascii="Book Antiqua" w:eastAsia="Book Antiqua" w:hAnsi="Book Antiqua" w:cs="Book Antiqua"/>
          <w:i/>
          <w:color w:val="000000"/>
        </w:rPr>
        <w:t>SOX</w:t>
      </w:r>
      <w:r w:rsidRPr="00F91674">
        <w:rPr>
          <w:rFonts w:ascii="Book Antiqua" w:eastAsia="Book Antiqua" w:hAnsi="Book Antiqua" w:cs="Book Antiqua"/>
          <w:color w:val="000000"/>
        </w:rPr>
        <w:t xml:space="preserve"> gene expression in GSCs might be targeted by applying different approaches. One of the approaches to modulate </w:t>
      </w:r>
      <w:r w:rsidRPr="00F91674">
        <w:rPr>
          <w:rFonts w:ascii="Book Antiqua" w:eastAsia="Book Antiqua" w:hAnsi="Book Antiqua" w:cs="Book Antiqua"/>
          <w:i/>
          <w:color w:val="000000"/>
        </w:rPr>
        <w:t>SOX</w:t>
      </w:r>
      <w:r w:rsidRPr="00F91674">
        <w:rPr>
          <w:rFonts w:ascii="Book Antiqua" w:eastAsia="Book Antiqua" w:hAnsi="Book Antiqua" w:cs="Book Antiqua"/>
          <w:color w:val="000000"/>
        </w:rPr>
        <w:t xml:space="preserve"> gene expression is treatment with natural plant products. Studies on natural plant products have revealed that they can act as effective antitumor </w:t>
      </w:r>
      <w:proofErr w:type="gramStart"/>
      <w:r w:rsidRPr="00F91674">
        <w:rPr>
          <w:rFonts w:ascii="Book Antiqua" w:eastAsia="Book Antiqua" w:hAnsi="Book Antiqua" w:cs="Book Antiqua"/>
          <w:color w:val="000000"/>
        </w:rPr>
        <w:t>agents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"_ENREF_211" \o "Abbas, 2020 #155" </w:instrText>
      </w:r>
      <w:r w:rsidR="00BC0B14" w:rsidRPr="00F91674">
        <w:fldChar w:fldCharType="separate"/>
      </w:r>
      <w:r w:rsidRPr="00F91674">
        <w:rPr>
          <w:rFonts w:ascii="Book Antiqua" w:eastAsia="Book Antiqua" w:hAnsi="Book Antiqua" w:cs="Book Antiqua"/>
          <w:color w:val="000000"/>
          <w:vertAlign w:val="superscript"/>
        </w:rPr>
        <w:t>211</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Forty-nine per cent of the small molecules approved for tumor treatment between 1940 and 2014 were natural plant products or their </w:t>
      </w:r>
      <w:proofErr w:type="gramStart"/>
      <w:r w:rsidRPr="00F91674">
        <w:rPr>
          <w:rFonts w:ascii="Book Antiqua" w:eastAsia="Book Antiqua" w:hAnsi="Book Antiqua" w:cs="Book Antiqua"/>
          <w:color w:val="000000"/>
        </w:rPr>
        <w:t>derivatives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"_ENREF_211" \o "Abbas, 2020 #155" </w:instrText>
      </w:r>
      <w:r w:rsidR="00BC0B14" w:rsidRPr="00F91674">
        <w:fldChar w:fldCharType="separate"/>
      </w:r>
      <w:r w:rsidRPr="00F91674">
        <w:rPr>
          <w:rFonts w:ascii="Book Antiqua" w:eastAsia="Book Antiqua" w:hAnsi="Book Antiqua" w:cs="Book Antiqua"/>
          <w:color w:val="000000"/>
          <w:vertAlign w:val="superscript"/>
        </w:rPr>
        <w:t>211</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Some of these products have anti-GBM potential alone or in combination with other </w:t>
      </w:r>
      <w:proofErr w:type="gramStart"/>
      <w:r w:rsidRPr="00F91674">
        <w:rPr>
          <w:rFonts w:ascii="Book Antiqua" w:eastAsia="Book Antiqua" w:hAnsi="Book Antiqua" w:cs="Book Antiqua"/>
          <w:color w:val="000000"/>
        </w:rPr>
        <w:t>chemotherapeutics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"_ENREF_211" \o "Abbas, 2020 #155" </w:instrText>
      </w:r>
      <w:r w:rsidR="00BC0B14" w:rsidRPr="00F91674">
        <w:fldChar w:fldCharType="separate"/>
      </w:r>
      <w:r w:rsidRPr="00F91674">
        <w:rPr>
          <w:rFonts w:ascii="Book Antiqua" w:eastAsia="Book Antiqua" w:hAnsi="Book Antiqua" w:cs="Book Antiqua"/>
          <w:color w:val="000000"/>
          <w:vertAlign w:val="superscript"/>
        </w:rPr>
        <w:t>211-214</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Our results revealed that extracts from </w:t>
      </w:r>
      <w:r w:rsidRPr="00F91674">
        <w:rPr>
          <w:rFonts w:ascii="Book Antiqua" w:eastAsia="Book Antiqua" w:hAnsi="Book Antiqua" w:cs="Book Antiqua"/>
          <w:i/>
          <w:color w:val="000000"/>
        </w:rPr>
        <w:t>Anthrisci cerefolii</w:t>
      </w:r>
      <w:r w:rsidRPr="00F91674">
        <w:rPr>
          <w:rFonts w:ascii="Book Antiqua" w:eastAsia="Book Antiqua" w:hAnsi="Book Antiqua" w:cs="Book Antiqua"/>
          <w:color w:val="000000"/>
        </w:rPr>
        <w:t xml:space="preserve"> and </w:t>
      </w:r>
      <w:r w:rsidRPr="00F91674">
        <w:rPr>
          <w:rFonts w:ascii="Book Antiqua" w:eastAsia="Book Antiqua" w:hAnsi="Book Antiqua" w:cs="Book Antiqua"/>
          <w:i/>
          <w:color w:val="000000"/>
        </w:rPr>
        <w:t xml:space="preserve">Ononis spinosa </w:t>
      </w:r>
      <w:r w:rsidRPr="00F91674">
        <w:rPr>
          <w:rFonts w:ascii="Book Antiqua" w:eastAsia="Book Antiqua" w:hAnsi="Book Antiqua" w:cs="Book Antiqua"/>
          <w:color w:val="000000"/>
        </w:rPr>
        <w:t xml:space="preserve">L.  </w:t>
      </w:r>
      <w:proofErr w:type="gramStart"/>
      <w:r w:rsidRPr="00F91674">
        <w:rPr>
          <w:rFonts w:ascii="Book Antiqua" w:eastAsia="Book Antiqua" w:hAnsi="Book Antiqua" w:cs="Book Antiqua"/>
          <w:color w:val="000000"/>
        </w:rPr>
        <w:t>plants</w:t>
      </w:r>
      <w:proofErr w:type="gramEnd"/>
      <w:r w:rsidRPr="00F91674">
        <w:rPr>
          <w:rFonts w:ascii="Book Antiqua" w:eastAsia="Book Antiqua" w:hAnsi="Book Antiqua" w:cs="Book Antiqua"/>
          <w:color w:val="000000"/>
        </w:rPr>
        <w:t xml:space="preserve"> have anti-GBM activity</w:t>
      </w:r>
      <w:r w:rsidRPr="00F91674">
        <w:rPr>
          <w:rFonts w:ascii="Book Antiqua" w:eastAsia="Book Antiqua" w:hAnsi="Book Antiqua" w:cs="Book Antiqua"/>
          <w:color w:val="000000"/>
          <w:vertAlign w:val="superscript"/>
        </w:rPr>
        <w:t>[</w:t>
      </w:r>
      <w:hyperlink w:anchor="_ENREF_215" w:tooltip="Stojkovic, 2020 #159" w:history="1">
        <w:r w:rsidRPr="00F91674">
          <w:rPr>
            <w:rFonts w:ascii="Book Antiqua" w:eastAsia="Book Antiqua" w:hAnsi="Book Antiqua" w:cs="Book Antiqua"/>
            <w:color w:val="000000"/>
            <w:vertAlign w:val="superscript"/>
          </w:rPr>
          <w:t>215</w:t>
        </w:r>
      </w:hyperlink>
      <w:r w:rsidRPr="00F91674">
        <w:rPr>
          <w:rFonts w:ascii="Book Antiqua" w:eastAsia="Book Antiqua" w:hAnsi="Book Antiqua" w:cs="Book Antiqua"/>
          <w:color w:val="000000"/>
          <w:vertAlign w:val="superscript"/>
        </w:rPr>
        <w:t>,</w:t>
      </w:r>
      <w:hyperlink w:anchor="_ENREF_216" w:tooltip="Stojkovic, 2021 #160" w:history="1">
        <w:r w:rsidRPr="00F91674">
          <w:rPr>
            <w:rFonts w:ascii="Book Antiqua" w:eastAsia="Book Antiqua" w:hAnsi="Book Antiqua" w:cs="Book Antiqua"/>
            <w:color w:val="000000"/>
            <w:vertAlign w:val="superscript"/>
          </w:rPr>
          <w:t>216</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Furthermore, it has been reported that nuciferine obtained from the leaves of</w:t>
      </w:r>
      <w:r w:rsidRPr="00F91674">
        <w:rPr>
          <w:rFonts w:ascii="Book Antiqua" w:eastAsia="Book Antiqua" w:hAnsi="Book Antiqua" w:cs="Book Antiqua"/>
          <w:i/>
          <w:color w:val="000000"/>
        </w:rPr>
        <w:t xml:space="preserve"> N. nucifera </w:t>
      </w:r>
      <w:r w:rsidRPr="00F91674">
        <w:rPr>
          <w:rFonts w:ascii="Book Antiqua" w:eastAsia="Book Antiqua" w:hAnsi="Book Antiqua" w:cs="Book Antiqua"/>
          <w:color w:val="000000"/>
        </w:rPr>
        <w:t xml:space="preserve">Gaertn. </w:t>
      </w:r>
      <w:proofErr w:type="gramStart"/>
      <w:r w:rsidRPr="00F91674">
        <w:rPr>
          <w:rFonts w:ascii="Book Antiqua" w:eastAsia="Book Antiqua" w:hAnsi="Book Antiqua" w:cs="Book Antiqua"/>
          <w:color w:val="000000"/>
        </w:rPr>
        <w:t>inhibited</w:t>
      </w:r>
      <w:proofErr w:type="gramEnd"/>
      <w:r w:rsidRPr="00F91674">
        <w:rPr>
          <w:rFonts w:ascii="Book Antiqua" w:eastAsia="Book Antiqua" w:hAnsi="Book Antiqua" w:cs="Book Antiqua"/>
          <w:color w:val="000000"/>
        </w:rPr>
        <w:t xml:space="preserve"> GBM progression </w:t>
      </w:r>
      <w:r w:rsidRPr="00F91674">
        <w:rPr>
          <w:rFonts w:ascii="Book Antiqua" w:eastAsia="Book Antiqua" w:hAnsi="Book Antiqua" w:cs="Book Antiqua"/>
          <w:i/>
          <w:color w:val="000000"/>
        </w:rPr>
        <w:t>via</w:t>
      </w:r>
      <w:r w:rsidRPr="00F91674">
        <w:rPr>
          <w:rFonts w:ascii="Book Antiqua" w:eastAsia="Book Antiqua" w:hAnsi="Book Antiqua" w:cs="Book Antiqua"/>
          <w:color w:val="000000"/>
        </w:rPr>
        <w:t xml:space="preserve">  the SOX2/AKT/STAT3/Slug pathway</w:t>
      </w:r>
      <w:r w:rsidRPr="00F91674">
        <w:rPr>
          <w:rFonts w:ascii="Book Antiqua" w:eastAsia="Book Antiqua" w:hAnsi="Book Antiqua" w:cs="Book Antiqua"/>
          <w:color w:val="000000"/>
          <w:vertAlign w:val="superscript"/>
        </w:rPr>
        <w:t>[</w:t>
      </w:r>
      <w:hyperlink w:anchor="_ENREF_201" w:tooltip="Li, 2019 #161" w:history="1">
        <w:r w:rsidRPr="00F91674">
          <w:rPr>
            <w:rFonts w:ascii="Book Antiqua" w:eastAsia="Book Antiqua" w:hAnsi="Book Antiqua" w:cs="Book Antiqua"/>
            <w:color w:val="000000"/>
            <w:vertAlign w:val="superscript"/>
          </w:rPr>
          <w:t>201</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On the other hand, it was found that curcumin, which inhibits the proliferation of glioma cells and induces apoptosis and autophagy, simultaneously induces glioma cells to become stem-like and enhances the expression of SOX2, SOX4 and OCT4</w:t>
      </w:r>
      <w:r w:rsidRPr="00F91674">
        <w:rPr>
          <w:rFonts w:ascii="Book Antiqua" w:eastAsia="Book Antiqua" w:hAnsi="Book Antiqua" w:cs="Book Antiqua"/>
          <w:color w:val="000000"/>
          <w:vertAlign w:val="superscript"/>
        </w:rPr>
        <w:t>[</w:t>
      </w:r>
      <w:hyperlink w:anchor="_ENREF_203" w:tooltip="Shi, 2015 #162" w:history="1">
        <w:r w:rsidRPr="00F91674">
          <w:rPr>
            <w:rFonts w:ascii="Book Antiqua" w:eastAsia="Book Antiqua" w:hAnsi="Book Antiqua" w:cs="Book Antiqua"/>
            <w:color w:val="000000"/>
            <w:vertAlign w:val="superscript"/>
          </w:rPr>
          <w:t>203</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In addition to natural plant products, antibiotics such as salinomycin and actinomycin D </w:t>
      </w:r>
      <w:r w:rsidRPr="00F91674">
        <w:rPr>
          <w:rFonts w:ascii="Book Antiqua" w:eastAsia="Book Antiqua" w:hAnsi="Book Antiqua" w:cs="Book Antiqua"/>
          <w:color w:val="000000"/>
        </w:rPr>
        <w:lastRenderedPageBreak/>
        <w:t>reduce SOX2 expression in GSCs, indicating that drug repurposing may provide additional options for GBM treatment</w:t>
      </w:r>
      <w:r w:rsidRPr="00F91674">
        <w:rPr>
          <w:rFonts w:ascii="Book Antiqua" w:eastAsia="Book Antiqua" w:hAnsi="Book Antiqua" w:cs="Book Antiqua"/>
          <w:color w:val="000000"/>
          <w:vertAlign w:val="superscript"/>
        </w:rPr>
        <w:t>[</w:t>
      </w:r>
      <w:hyperlink w:anchor="_ENREF_202" w:tooltip="Magrath, 2020 #163" w:history="1">
        <w:r w:rsidRPr="00F91674">
          <w:rPr>
            <w:rFonts w:ascii="Book Antiqua" w:eastAsia="Book Antiqua" w:hAnsi="Book Antiqua" w:cs="Book Antiqua"/>
            <w:color w:val="000000"/>
            <w:vertAlign w:val="superscript"/>
          </w:rPr>
          <w:t>202</w:t>
        </w:r>
      </w:hyperlink>
      <w:r w:rsidRPr="00F91674">
        <w:rPr>
          <w:rFonts w:ascii="Book Antiqua" w:eastAsia="Book Antiqua" w:hAnsi="Book Antiqua" w:cs="Book Antiqua"/>
          <w:color w:val="000000"/>
          <w:vertAlign w:val="superscript"/>
        </w:rPr>
        <w:t>,</w:t>
      </w:r>
      <w:hyperlink w:anchor="_ENREF_204" w:tooltip="Taylor, 2020 #164" w:history="1">
        <w:r w:rsidRPr="00F91674">
          <w:rPr>
            <w:rFonts w:ascii="Book Antiqua" w:eastAsia="Book Antiqua" w:hAnsi="Book Antiqua" w:cs="Book Antiqua"/>
            <w:color w:val="000000"/>
            <w:vertAlign w:val="superscript"/>
          </w:rPr>
          <w:t>204</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0E08FFE1" w14:textId="43CC5ED0"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The expression of </w:t>
      </w:r>
      <w:r w:rsidRPr="00F91674">
        <w:rPr>
          <w:rFonts w:ascii="Book Antiqua" w:eastAsia="Book Antiqua" w:hAnsi="Book Antiqua" w:cs="Book Antiqua"/>
          <w:i/>
          <w:color w:val="000000"/>
        </w:rPr>
        <w:t>SOX</w:t>
      </w:r>
      <w:r w:rsidRPr="00F91674">
        <w:rPr>
          <w:rFonts w:ascii="Book Antiqua" w:eastAsia="Book Antiqua" w:hAnsi="Book Antiqua" w:cs="Book Antiqua"/>
          <w:color w:val="000000"/>
        </w:rPr>
        <w:t xml:space="preserve"> genes in GSCs could be targeted by pharmacological inhibitors of signaling pathways that regulate GSC properties. Rapamycin, an inhibitor of mTOR complex 1, and cyclopamine, an inhibitor of the SHH pathway, reduced the expression of SOX2 and SOX9 in GBM cell </w:t>
      </w:r>
      <w:proofErr w:type="gramStart"/>
      <w:r w:rsidRPr="00F91674">
        <w:rPr>
          <w:rFonts w:ascii="Book Antiqua" w:eastAsia="Book Antiqua" w:hAnsi="Book Antiqua" w:cs="Book Antiqua"/>
          <w:color w:val="000000"/>
        </w:rPr>
        <w:t>lines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"_ENREF_165" \o "Garros-Regulez, 2016 #129" </w:instrText>
      </w:r>
      <w:r w:rsidR="00BC0B14" w:rsidRPr="00F91674">
        <w:fldChar w:fldCharType="separate"/>
      </w:r>
      <w:r w:rsidRPr="00F91674">
        <w:rPr>
          <w:rFonts w:ascii="Book Antiqua" w:eastAsia="Book Antiqua" w:hAnsi="Book Antiqua" w:cs="Book Antiqua"/>
          <w:color w:val="000000"/>
          <w:vertAlign w:val="superscript"/>
        </w:rPr>
        <w:t>165</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Additionally, </w:t>
      </w:r>
      <w:r w:rsidRPr="00F91674">
        <w:rPr>
          <w:rFonts w:ascii="Book Antiqua" w:eastAsia="Book Antiqua" w:hAnsi="Book Antiqua" w:cs="Book Antiqua"/>
          <w:i/>
          <w:color w:val="000000"/>
        </w:rPr>
        <w:t>SOX</w:t>
      </w:r>
      <w:r w:rsidRPr="00F91674">
        <w:rPr>
          <w:rFonts w:ascii="Book Antiqua" w:eastAsia="Book Antiqua" w:hAnsi="Book Antiqua" w:cs="Book Antiqua"/>
          <w:color w:val="000000"/>
        </w:rPr>
        <w:t xml:space="preserve"> genes could be targeted by engineered artificial TFs that selectively modulate </w:t>
      </w:r>
      <w:r w:rsidRPr="00F91674">
        <w:rPr>
          <w:rFonts w:ascii="Book Antiqua" w:eastAsia="Book Antiqua" w:hAnsi="Book Antiqua" w:cs="Book Antiqua"/>
          <w:i/>
          <w:color w:val="000000"/>
        </w:rPr>
        <w:t>SOX</w:t>
      </w:r>
      <w:r w:rsidRPr="00F91674">
        <w:rPr>
          <w:rFonts w:ascii="Book Antiqua" w:eastAsia="Book Antiqua" w:hAnsi="Book Antiqua" w:cs="Book Antiqua"/>
          <w:color w:val="000000"/>
        </w:rPr>
        <w:t xml:space="preserve"> gene expression. Stolzenburg </w:t>
      </w:r>
      <w:r w:rsidRPr="00F91674">
        <w:rPr>
          <w:rFonts w:ascii="Book Antiqua" w:eastAsia="Book Antiqua" w:hAnsi="Book Antiqua" w:cs="Book Antiqua"/>
          <w:i/>
          <w:color w:val="000000"/>
        </w:rPr>
        <w:t xml:space="preserve">et </w:t>
      </w:r>
      <w:proofErr w:type="gramStart"/>
      <w:r w:rsidRPr="00F91674">
        <w:rPr>
          <w:rFonts w:ascii="Book Antiqua" w:eastAsia="Book Antiqua" w:hAnsi="Book Antiqua" w:cs="Book Antiqua"/>
          <w:i/>
          <w:color w:val="000000"/>
        </w:rPr>
        <w:t>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"_ENREF_210" \o "Stolzenburg, 2012 #165" </w:instrText>
      </w:r>
      <w:r w:rsidR="00BC0B14" w:rsidRPr="00F91674">
        <w:fldChar w:fldCharType="separate"/>
      </w:r>
      <w:r w:rsidRPr="00F91674">
        <w:rPr>
          <w:rFonts w:ascii="Book Antiqua" w:eastAsia="Book Antiqua" w:hAnsi="Book Antiqua" w:cs="Book Antiqua"/>
          <w:color w:val="000000"/>
          <w:vertAlign w:val="superscript"/>
        </w:rPr>
        <w:t>210</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developed zinc finger-based TFs that reduced </w:t>
      </w:r>
      <w:r w:rsidRPr="00F91674">
        <w:rPr>
          <w:rFonts w:ascii="Book Antiqua" w:eastAsia="Book Antiqua" w:hAnsi="Book Antiqua" w:cs="Book Antiqua"/>
          <w:i/>
          <w:color w:val="000000"/>
        </w:rPr>
        <w:t>SOX2</w:t>
      </w:r>
      <w:r w:rsidRPr="00F91674">
        <w:rPr>
          <w:rFonts w:ascii="Book Antiqua" w:eastAsia="Book Antiqua" w:hAnsi="Book Antiqua" w:cs="Book Antiqua"/>
          <w:color w:val="000000"/>
        </w:rPr>
        <w:t xml:space="preserve"> expression, leading to reduced proliferation and colony formation in breast cancer cells.</w:t>
      </w:r>
    </w:p>
    <w:p w14:paraId="0A4D2392" w14:textId="44012594"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Another approach is targeting SOX TFs in GSCs by the delivery of vectors that express miRNAs that were shown to specifically downregulate the expression of SOX proteins in GSCs. For example, the delivery of miRNA-145 to GBM patient-derived CSCs </w:t>
      </w:r>
      <w:r w:rsidRPr="00F91674">
        <w:rPr>
          <w:rFonts w:ascii="Book Antiqua" w:eastAsia="Book Antiqua" w:hAnsi="Book Antiqua" w:cs="Book Antiqua"/>
          <w:i/>
          <w:color w:val="000000"/>
        </w:rPr>
        <w:t>in vitro</w:t>
      </w:r>
      <w:r w:rsidRPr="00F91674">
        <w:rPr>
          <w:rFonts w:ascii="Book Antiqua" w:eastAsia="Book Antiqua" w:hAnsi="Book Antiqua" w:cs="Book Antiqua"/>
          <w:color w:val="000000"/>
        </w:rPr>
        <w:t xml:space="preserve"> and </w:t>
      </w:r>
      <w:r w:rsidRPr="00F91674">
        <w:rPr>
          <w:rFonts w:ascii="Book Antiqua" w:eastAsia="Book Antiqua" w:hAnsi="Book Antiqua" w:cs="Book Antiqua"/>
          <w:i/>
          <w:color w:val="000000"/>
        </w:rPr>
        <w:t>in vivo</w:t>
      </w:r>
      <w:r w:rsidRPr="00F91674">
        <w:rPr>
          <w:rFonts w:ascii="Book Antiqua" w:eastAsia="Book Antiqua" w:hAnsi="Book Antiqua" w:cs="Book Antiqua"/>
          <w:color w:val="000000"/>
        </w:rPr>
        <w:t xml:space="preserve"> resulted in the downregulation of the expression of stemness factors SOX2 and OCT4, suppression of tumorigenicity, increased sensitivity to TMZ and radiation and enhanced survival rate of xenotransplant mice when applied in combination with radiotherapy and TMZ</w:t>
      </w:r>
      <w:r w:rsidRPr="00F91674">
        <w:rPr>
          <w:rFonts w:ascii="Book Antiqua" w:eastAsia="Book Antiqua" w:hAnsi="Book Antiqua" w:cs="Book Antiqua"/>
          <w:color w:val="000000"/>
          <w:vertAlign w:val="superscript"/>
        </w:rPr>
        <w:t>[</w:t>
      </w:r>
      <w:hyperlink w:anchor="_ENREF_181" w:tooltip="Yang, 2012 #177" w:history="1">
        <w:r w:rsidRPr="00F91674">
          <w:rPr>
            <w:rFonts w:ascii="Book Antiqua" w:eastAsia="Book Antiqua" w:hAnsi="Book Antiqua" w:cs="Book Antiqua"/>
            <w:color w:val="000000"/>
            <w:vertAlign w:val="superscript"/>
          </w:rPr>
          <w:t>181</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4C5A60CB"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GSCs could also be combated by vaccine approaches. It was demonstrated that vaccination of immunocompetent mice with Sox2 peptides significantly delayed tumor </w:t>
      </w:r>
      <w:proofErr w:type="gramStart"/>
      <w:r w:rsidRPr="00F91674">
        <w:rPr>
          <w:rFonts w:ascii="Book Antiqua" w:eastAsia="Book Antiqua" w:hAnsi="Book Antiqua" w:cs="Book Antiqua"/>
          <w:color w:val="000000"/>
        </w:rPr>
        <w:t>development</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"_ENREF_207" \o "Favaro, 2014 #166" </w:instrText>
      </w:r>
      <w:r w:rsidR="00BC0B14" w:rsidRPr="00F91674">
        <w:fldChar w:fldCharType="separate"/>
      </w:r>
      <w:r w:rsidRPr="00F91674">
        <w:rPr>
          <w:rFonts w:ascii="Book Antiqua" w:eastAsia="Book Antiqua" w:hAnsi="Book Antiqua" w:cs="Book Antiqua"/>
          <w:color w:val="000000"/>
          <w:vertAlign w:val="superscript"/>
        </w:rPr>
        <w:t>207</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Furthermore, Ueda </w:t>
      </w:r>
      <w:r w:rsidRPr="00F91674">
        <w:rPr>
          <w:rFonts w:ascii="Book Antiqua" w:eastAsia="Book Antiqua" w:hAnsi="Book Antiqua" w:cs="Book Antiqua"/>
          <w:i/>
          <w:color w:val="000000"/>
        </w:rPr>
        <w:t xml:space="preserve">et </w:t>
      </w:r>
      <w:proofErr w:type="gramStart"/>
      <w:r w:rsidRPr="00F91674">
        <w:rPr>
          <w:rFonts w:ascii="Book Antiqua" w:eastAsia="Book Antiqua" w:hAnsi="Book Antiqua" w:cs="Book Antiqua"/>
          <w:i/>
          <w:color w:val="000000"/>
        </w:rPr>
        <w:t>al</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"_ENREF_208" \o "Ueda, 2010 #167" </w:instrText>
      </w:r>
      <w:r w:rsidR="00BC0B14" w:rsidRPr="00F91674">
        <w:fldChar w:fldCharType="separate"/>
      </w:r>
      <w:r w:rsidRPr="00F91674">
        <w:rPr>
          <w:rFonts w:ascii="Book Antiqua" w:eastAsia="Book Antiqua" w:hAnsi="Book Antiqua" w:cs="Book Antiqua"/>
          <w:color w:val="000000"/>
          <w:vertAlign w:val="superscript"/>
        </w:rPr>
        <w:t>208</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found that the SOX6 peptide induces SOX6 peptide-specific cytotoxic T lymphocytes, which are able to lyse GSCs derived from GBM.</w:t>
      </w:r>
    </w:p>
    <w:p w14:paraId="424033E6" w14:textId="77777777"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In the last decade, immunotherapy that engages naturally occurring or genetically engineered oncolytic viruses has provided an additional strategy, especially for the treatment of cancers with poor prognosis, such as GBM. Although oncolytic viruses can infect both normal and cancer cells, they can only replicate in cancer </w:t>
      </w:r>
      <w:proofErr w:type="gramStart"/>
      <w:r w:rsidRPr="00F91674">
        <w:rPr>
          <w:rFonts w:ascii="Book Antiqua" w:eastAsia="Book Antiqua" w:hAnsi="Book Antiqua" w:cs="Book Antiqua"/>
          <w:color w:val="000000"/>
        </w:rPr>
        <w:t>cells</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"_ENREF_217" \o "Sayed-Ahmed MZ, 2018 #169" </w:instrText>
      </w:r>
      <w:r w:rsidR="00BC0B14" w:rsidRPr="00F91674">
        <w:fldChar w:fldCharType="separate"/>
      </w:r>
      <w:r w:rsidRPr="00F91674">
        <w:rPr>
          <w:rFonts w:ascii="Book Antiqua" w:eastAsia="Book Antiqua" w:hAnsi="Book Antiqua" w:cs="Book Antiqua"/>
          <w:color w:val="000000"/>
          <w:vertAlign w:val="superscript"/>
        </w:rPr>
        <w:t>217</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Preclinical and clinical trials have pointed to the capability of oncolytic viruses to stimulate antitumor immune responses by recruiting T cells (reviewed in</w:t>
      </w:r>
      <w:r w:rsidRPr="00F91674">
        <w:rPr>
          <w:rFonts w:ascii="Book Antiqua" w:eastAsia="Book Antiqua" w:hAnsi="Book Antiqua" w:cs="Book Antiqua"/>
          <w:color w:val="000000"/>
          <w:vertAlign w:val="superscript"/>
        </w:rPr>
        <w:t>[</w:t>
      </w:r>
      <w:hyperlink w:anchor="_ENREF_218" w:tooltip="Sostoa, 2020 #171" w:history="1">
        <w:r w:rsidRPr="00F91674">
          <w:rPr>
            <w:rFonts w:ascii="Book Antiqua" w:eastAsia="Book Antiqua" w:hAnsi="Book Antiqua" w:cs="Book Antiqua"/>
            <w:color w:val="000000"/>
            <w:vertAlign w:val="superscript"/>
          </w:rPr>
          <w:t>218</w:t>
        </w:r>
      </w:hyperlink>
      <w:r w:rsidRPr="00F91674">
        <w:rPr>
          <w:rFonts w:ascii="Book Antiqua" w:eastAsia="Book Antiqua" w:hAnsi="Book Antiqua" w:cs="Book Antiqua"/>
          <w:color w:val="000000"/>
          <w:vertAlign w:val="superscript"/>
        </w:rPr>
        <w:t>,</w:t>
      </w:r>
      <w:hyperlink w:anchor="_ENREF_219" w:tooltip="Stavrakaki, 2021 #170" w:history="1">
        <w:r w:rsidRPr="00F91674">
          <w:rPr>
            <w:rFonts w:ascii="Book Antiqua" w:eastAsia="Book Antiqua" w:hAnsi="Book Antiqua" w:cs="Book Antiqua"/>
            <w:color w:val="000000"/>
            <w:vertAlign w:val="superscript"/>
          </w:rPr>
          <w:t>219</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It has been reported that the Zika virus exerts oncolytic activity against GSCs. Compared to Zika virus infection of differentiated GBM cells, the Zika virus preferentially infects and </w:t>
      </w:r>
      <w:r w:rsidRPr="00F91674">
        <w:rPr>
          <w:rFonts w:ascii="Book Antiqua" w:eastAsia="Book Antiqua" w:hAnsi="Book Antiqua" w:cs="Book Antiqua"/>
          <w:color w:val="000000"/>
        </w:rPr>
        <w:lastRenderedPageBreak/>
        <w:t xml:space="preserve">selectively kills GSCs and stem-like cells in a SOX2-dependent </w:t>
      </w:r>
      <w:proofErr w:type="gramStart"/>
      <w:r w:rsidRPr="00F91674">
        <w:rPr>
          <w:rFonts w:ascii="Book Antiqua" w:eastAsia="Book Antiqua" w:hAnsi="Book Antiqua" w:cs="Book Antiqua"/>
          <w:color w:val="000000"/>
        </w:rPr>
        <w:t>manner</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"_ENREF_220" \o "Zhu, 2017 #172" </w:instrText>
      </w:r>
      <w:r w:rsidR="00BC0B14" w:rsidRPr="00F91674">
        <w:fldChar w:fldCharType="separate"/>
      </w:r>
      <w:r w:rsidRPr="00F91674">
        <w:rPr>
          <w:rFonts w:ascii="Book Antiqua" w:eastAsia="Book Antiqua" w:hAnsi="Book Antiqua" w:cs="Book Antiqua"/>
          <w:color w:val="000000"/>
          <w:vertAlign w:val="superscript"/>
        </w:rPr>
        <w:t>220</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xml:space="preserve">. It has also been reported that an immunotherapeutic approach in gliomas that uses a vesicular stomatitis virus expressing HIF-2a, SOX10 and c-Myc together with checkpoint inhibitors anti-PD1 and anti-CTLA-4 enhances the antitumor </w:t>
      </w:r>
      <w:proofErr w:type="gramStart"/>
      <w:r w:rsidRPr="00F91674">
        <w:rPr>
          <w:rFonts w:ascii="Book Antiqua" w:eastAsia="Book Antiqua" w:hAnsi="Book Antiqua" w:cs="Book Antiqua"/>
          <w:color w:val="000000"/>
        </w:rPr>
        <w:t>response</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"_ENREF_221" \o "Cockle, 2016 #173" </w:instrText>
      </w:r>
      <w:r w:rsidR="00BC0B14" w:rsidRPr="00F91674">
        <w:fldChar w:fldCharType="separate"/>
      </w:r>
      <w:r w:rsidRPr="00F91674">
        <w:rPr>
          <w:rFonts w:ascii="Book Antiqua" w:eastAsia="Book Antiqua" w:hAnsi="Book Antiqua" w:cs="Book Antiqua"/>
          <w:color w:val="000000"/>
          <w:vertAlign w:val="superscript"/>
        </w:rPr>
        <w:t>221</w:t>
      </w:r>
      <w:r w:rsidR="00BC0B14" w:rsidRPr="00F91674">
        <w:rPr>
          <w:rFonts w:ascii="Book Antiqua" w:eastAsia="Book Antiqua" w:hAnsi="Book Antiqua" w:cs="Book Antiqua"/>
          <w:color w:val="000000"/>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3413C477" w14:textId="7B0B7754" w:rsidR="00D51910" w:rsidRPr="00F91674" w:rsidRDefault="00D51910" w:rsidP="00D51910">
      <w:pPr>
        <w:adjustRightInd w:val="0"/>
        <w:snapToGrid w:val="0"/>
        <w:spacing w:line="360" w:lineRule="auto"/>
        <w:ind w:firstLineChars="200" w:firstLine="480"/>
        <w:jc w:val="both"/>
        <w:rPr>
          <w:rFonts w:ascii="Book Antiqua" w:eastAsia="Book Antiqua" w:hAnsi="Book Antiqua" w:cs="Book Antiqua"/>
          <w:color w:val="000000"/>
        </w:rPr>
      </w:pPr>
      <w:r w:rsidRPr="00F91674">
        <w:rPr>
          <w:rFonts w:ascii="Book Antiqua" w:eastAsia="Book Antiqua" w:hAnsi="Book Antiqua" w:cs="Book Antiqua"/>
          <w:color w:val="000000"/>
        </w:rPr>
        <w:t xml:space="preserve">The current therapeutic strategies for GBM have not yet provided a cure and have only resulted in a slight improvement in patient survival. Considering that GBM therapies result in poor outcomes and that GBM treatment is one of the most expensive cancer treatment </w:t>
      </w:r>
      <w:r w:rsidRPr="00F91674">
        <w:rPr>
          <w:rFonts w:ascii="Book Antiqua" w:eastAsia="Book Antiqua" w:hAnsi="Book Antiqua" w:cs="Book Antiqua"/>
          <w:i/>
          <w:color w:val="000000"/>
        </w:rPr>
        <w:t>per capita</w:t>
      </w:r>
      <w:r w:rsidRPr="00F91674">
        <w:rPr>
          <w:rFonts w:ascii="Book Antiqua" w:eastAsia="Book Antiqua" w:hAnsi="Book Antiqua" w:cs="Book Antiqua"/>
          <w:color w:val="000000"/>
        </w:rPr>
        <w:t xml:space="preserve">  in the United States</w:t>
      </w:r>
      <w:r w:rsidRPr="00F91674">
        <w:rPr>
          <w:rFonts w:ascii="Book Antiqua" w:eastAsia="Book Antiqua" w:hAnsi="Book Antiqua" w:cs="Book Antiqua"/>
          <w:color w:val="000000"/>
          <w:vertAlign w:val="superscript"/>
        </w:rPr>
        <w:t>[</w:t>
      </w:r>
      <w:hyperlink w:anchor="_ENREF_222" w:tooltip="Perry, 2012 #174" w:history="1">
        <w:r w:rsidRPr="00F91674">
          <w:rPr>
            <w:rFonts w:ascii="Book Antiqua" w:eastAsia="Book Antiqua" w:hAnsi="Book Antiqua" w:cs="Book Antiqua"/>
            <w:color w:val="000000"/>
            <w:vertAlign w:val="superscript"/>
          </w:rPr>
          <w:t>222</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there is a critical need for novel and more effective therapeutic options. Novel approaches to GBM treatment will require the fine-tuning of multimodal therapeutic strategies that simultaneously target numerous hallmarks of cancer cells to win the battle against GBM, one of the deadliest cancers.</w:t>
      </w:r>
    </w:p>
    <w:p w14:paraId="7564CEC3" w14:textId="77777777" w:rsidR="00D51910" w:rsidRPr="00F91674" w:rsidRDefault="00D51910" w:rsidP="00D51910">
      <w:pPr>
        <w:adjustRightInd w:val="0"/>
        <w:snapToGrid w:val="0"/>
        <w:spacing w:line="360" w:lineRule="auto"/>
        <w:ind w:firstLine="720"/>
        <w:jc w:val="both"/>
        <w:rPr>
          <w:rFonts w:ascii="Book Antiqua" w:hAnsi="Book Antiqua"/>
        </w:rPr>
      </w:pPr>
    </w:p>
    <w:p w14:paraId="375CFE42"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color w:val="000000"/>
        </w:rPr>
        <w:t>REFERENCES</w:t>
      </w:r>
    </w:p>
    <w:p w14:paraId="059307B7"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1 </w:t>
      </w:r>
      <w:r w:rsidRPr="00F91674">
        <w:rPr>
          <w:rFonts w:ascii="Book Antiqua" w:eastAsia="宋体" w:hAnsi="Book Antiqua" w:cs="宋体"/>
          <w:b/>
          <w:bCs/>
          <w:color w:val="201F35"/>
          <w:lang w:eastAsia="zh-CN"/>
        </w:rPr>
        <w:t>Hanahan D</w:t>
      </w:r>
      <w:r w:rsidRPr="00F91674">
        <w:rPr>
          <w:rFonts w:ascii="Book Antiqua" w:eastAsia="宋体" w:hAnsi="Book Antiqua" w:cs="宋体"/>
          <w:color w:val="201F35"/>
          <w:lang w:eastAsia="zh-CN"/>
        </w:rPr>
        <w:t>, Weinberg RA. The hallmarks of cancer. </w:t>
      </w:r>
      <w:r w:rsidRPr="00F91674">
        <w:rPr>
          <w:rFonts w:ascii="Book Antiqua" w:eastAsia="宋体" w:hAnsi="Book Antiqua" w:cs="宋体"/>
          <w:i/>
          <w:iCs/>
          <w:color w:val="201F35"/>
          <w:lang w:eastAsia="zh-CN"/>
        </w:rPr>
        <w:t>Cell</w:t>
      </w:r>
      <w:r w:rsidRPr="00F91674">
        <w:rPr>
          <w:rFonts w:ascii="Book Antiqua" w:eastAsia="宋体" w:hAnsi="Book Antiqua" w:cs="宋体"/>
          <w:color w:val="201F35"/>
          <w:lang w:eastAsia="zh-CN"/>
        </w:rPr>
        <w:t> 2000; </w:t>
      </w:r>
      <w:r w:rsidRPr="00F91674">
        <w:rPr>
          <w:rFonts w:ascii="Book Antiqua" w:eastAsia="宋体" w:hAnsi="Book Antiqua" w:cs="宋体"/>
          <w:b/>
          <w:bCs/>
          <w:color w:val="201F35"/>
          <w:lang w:eastAsia="zh-CN"/>
        </w:rPr>
        <w:t>100</w:t>
      </w:r>
      <w:r w:rsidRPr="00F91674">
        <w:rPr>
          <w:rFonts w:ascii="Book Antiqua" w:eastAsia="宋体" w:hAnsi="Book Antiqua" w:cs="宋体"/>
          <w:color w:val="201F35"/>
          <w:lang w:eastAsia="zh-CN"/>
        </w:rPr>
        <w:t>: 57-70 [PMID: 10647931 DOI: 10.1016/s0092-8674(00)81683-9]</w:t>
      </w:r>
    </w:p>
    <w:p w14:paraId="749BB3DF"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2 </w:t>
      </w:r>
      <w:r w:rsidRPr="00F91674">
        <w:rPr>
          <w:rFonts w:ascii="Book Antiqua" w:eastAsia="宋体" w:hAnsi="Book Antiqua" w:cs="宋体"/>
          <w:b/>
          <w:bCs/>
          <w:color w:val="201F35"/>
          <w:lang w:eastAsia="zh-CN"/>
        </w:rPr>
        <w:t>Hanahan D</w:t>
      </w:r>
      <w:r w:rsidRPr="00F91674">
        <w:rPr>
          <w:rFonts w:ascii="Book Antiqua" w:eastAsia="宋体" w:hAnsi="Book Antiqua" w:cs="宋体"/>
          <w:color w:val="201F35"/>
          <w:lang w:eastAsia="zh-CN"/>
        </w:rPr>
        <w:t>, Weinberg RA. Hallmarks of cancer: the next generation. </w:t>
      </w:r>
      <w:r w:rsidRPr="00F91674">
        <w:rPr>
          <w:rFonts w:ascii="Book Antiqua" w:eastAsia="宋体" w:hAnsi="Book Antiqua" w:cs="宋体"/>
          <w:i/>
          <w:iCs/>
          <w:color w:val="201F35"/>
          <w:lang w:eastAsia="zh-CN"/>
        </w:rPr>
        <w:t>Cell</w:t>
      </w:r>
      <w:r w:rsidRPr="00F91674">
        <w:rPr>
          <w:rFonts w:ascii="Book Antiqua" w:eastAsia="宋体" w:hAnsi="Book Antiqua" w:cs="宋体"/>
          <w:color w:val="201F35"/>
          <w:lang w:eastAsia="zh-CN"/>
        </w:rPr>
        <w:t> 2011; </w:t>
      </w:r>
      <w:r w:rsidRPr="00F91674">
        <w:rPr>
          <w:rFonts w:ascii="Book Antiqua" w:eastAsia="宋体" w:hAnsi="Book Antiqua" w:cs="宋体"/>
          <w:b/>
          <w:bCs/>
          <w:color w:val="201F35"/>
          <w:lang w:eastAsia="zh-CN"/>
        </w:rPr>
        <w:t>144</w:t>
      </w:r>
      <w:r w:rsidRPr="00F91674">
        <w:rPr>
          <w:rFonts w:ascii="Book Antiqua" w:eastAsia="宋体" w:hAnsi="Book Antiqua" w:cs="宋体"/>
          <w:color w:val="201F35"/>
          <w:lang w:eastAsia="zh-CN"/>
        </w:rPr>
        <w:t>: 646-674 [PMID: 21376230 DOI: 10.1016/j.cell.2011.02.013]</w:t>
      </w:r>
    </w:p>
    <w:p w14:paraId="14505B4A"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3 </w:t>
      </w:r>
      <w:r w:rsidRPr="00F91674">
        <w:rPr>
          <w:rFonts w:ascii="Book Antiqua" w:eastAsia="宋体" w:hAnsi="Book Antiqua" w:cs="宋体"/>
          <w:b/>
          <w:bCs/>
          <w:color w:val="201F35"/>
          <w:lang w:eastAsia="zh-CN"/>
        </w:rPr>
        <w:t>Negrini S</w:t>
      </w:r>
      <w:r w:rsidRPr="00F91674">
        <w:rPr>
          <w:rFonts w:ascii="Book Antiqua" w:eastAsia="宋体" w:hAnsi="Book Antiqua" w:cs="宋体"/>
          <w:color w:val="201F35"/>
          <w:lang w:eastAsia="zh-CN"/>
        </w:rPr>
        <w:t>, Gorgoulis VG, Halazonetis TD. Genomic instability--an evolving hallmark of cancer. </w:t>
      </w:r>
      <w:r w:rsidRPr="00F91674">
        <w:rPr>
          <w:rFonts w:ascii="Book Antiqua" w:eastAsia="宋体" w:hAnsi="Book Antiqua" w:cs="宋体"/>
          <w:i/>
          <w:iCs/>
          <w:color w:val="201F35"/>
          <w:lang w:eastAsia="zh-CN"/>
        </w:rPr>
        <w:t>Nat Rev Mol Cell Biol</w:t>
      </w:r>
      <w:r w:rsidRPr="00F91674">
        <w:rPr>
          <w:rFonts w:ascii="Book Antiqua" w:eastAsia="宋体" w:hAnsi="Book Antiqua" w:cs="宋体"/>
          <w:color w:val="201F35"/>
          <w:lang w:eastAsia="zh-CN"/>
        </w:rPr>
        <w:t> 2010; </w:t>
      </w:r>
      <w:r w:rsidRPr="00F91674">
        <w:rPr>
          <w:rFonts w:ascii="Book Antiqua" w:eastAsia="宋体" w:hAnsi="Book Antiqua" w:cs="宋体"/>
          <w:b/>
          <w:bCs/>
          <w:color w:val="201F35"/>
          <w:lang w:eastAsia="zh-CN"/>
        </w:rPr>
        <w:t>11</w:t>
      </w:r>
      <w:r w:rsidRPr="00F91674">
        <w:rPr>
          <w:rFonts w:ascii="Book Antiqua" w:eastAsia="宋体" w:hAnsi="Book Antiqua" w:cs="宋体"/>
          <w:color w:val="201F35"/>
          <w:lang w:eastAsia="zh-CN"/>
        </w:rPr>
        <w:t>: 220-228 [PMID: 20177397 DOI: 10.1038/nrm2858]</w:t>
      </w:r>
    </w:p>
    <w:p w14:paraId="69CAE14C"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4 </w:t>
      </w:r>
      <w:r w:rsidRPr="00F91674">
        <w:rPr>
          <w:rFonts w:ascii="Book Antiqua" w:eastAsia="宋体" w:hAnsi="Book Antiqua" w:cs="宋体"/>
          <w:b/>
          <w:bCs/>
          <w:color w:val="201F35"/>
          <w:lang w:eastAsia="zh-CN"/>
        </w:rPr>
        <w:t>Colotta F</w:t>
      </w:r>
      <w:r w:rsidRPr="00F91674">
        <w:rPr>
          <w:rFonts w:ascii="Book Antiqua" w:eastAsia="宋体" w:hAnsi="Book Antiqua" w:cs="宋体"/>
          <w:color w:val="201F35"/>
          <w:lang w:eastAsia="zh-CN"/>
        </w:rPr>
        <w:t>, Allavena P, Sica A, Garlanda C, Mantovani A. Cancer-related inflammation, the seventh hallmark of cancer: links to genetic instability. </w:t>
      </w:r>
      <w:r w:rsidRPr="00F91674">
        <w:rPr>
          <w:rFonts w:ascii="Book Antiqua" w:eastAsia="宋体" w:hAnsi="Book Antiqua" w:cs="宋体"/>
          <w:i/>
          <w:iCs/>
          <w:color w:val="201F35"/>
          <w:lang w:eastAsia="zh-CN"/>
        </w:rPr>
        <w:t>Carcinogenesis</w:t>
      </w:r>
      <w:r w:rsidRPr="00F91674">
        <w:rPr>
          <w:rFonts w:ascii="Book Antiqua" w:eastAsia="宋体" w:hAnsi="Book Antiqua" w:cs="宋体"/>
          <w:color w:val="201F35"/>
          <w:lang w:eastAsia="zh-CN"/>
        </w:rPr>
        <w:t> 2009; </w:t>
      </w:r>
      <w:r w:rsidRPr="00F91674">
        <w:rPr>
          <w:rFonts w:ascii="Book Antiqua" w:eastAsia="宋体" w:hAnsi="Book Antiqua" w:cs="宋体"/>
          <w:b/>
          <w:bCs/>
          <w:color w:val="201F35"/>
          <w:lang w:eastAsia="zh-CN"/>
        </w:rPr>
        <w:t>30</w:t>
      </w:r>
      <w:r w:rsidRPr="00F91674">
        <w:rPr>
          <w:rFonts w:ascii="Book Antiqua" w:eastAsia="宋体" w:hAnsi="Book Antiqua" w:cs="宋体"/>
          <w:color w:val="201F35"/>
          <w:lang w:eastAsia="zh-CN"/>
        </w:rPr>
        <w:t>: 1073-1081 [PMID: 19468060 DOI: 10.1093/carcin/bgp127]</w:t>
      </w:r>
    </w:p>
    <w:p w14:paraId="27322263"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5 </w:t>
      </w:r>
      <w:r w:rsidRPr="00F91674">
        <w:rPr>
          <w:rFonts w:ascii="Book Antiqua" w:eastAsia="宋体" w:hAnsi="Book Antiqua" w:cs="宋体"/>
          <w:b/>
          <w:bCs/>
          <w:color w:val="201F35"/>
          <w:lang w:eastAsia="zh-CN"/>
        </w:rPr>
        <w:t>DeNardo DG</w:t>
      </w:r>
      <w:r w:rsidRPr="00F91674">
        <w:rPr>
          <w:rFonts w:ascii="Book Antiqua" w:eastAsia="宋体" w:hAnsi="Book Antiqua" w:cs="宋体"/>
          <w:color w:val="201F35"/>
          <w:lang w:eastAsia="zh-CN"/>
        </w:rPr>
        <w:t>, Andreu P, Coussens LM. Interactions between lymphocytes and myeloid cells regulate pro- versus anti-tumor immunity. </w:t>
      </w:r>
      <w:r w:rsidRPr="00F91674">
        <w:rPr>
          <w:rFonts w:ascii="Book Antiqua" w:eastAsia="宋体" w:hAnsi="Book Antiqua" w:cs="宋体"/>
          <w:i/>
          <w:iCs/>
          <w:color w:val="201F35"/>
          <w:lang w:eastAsia="zh-CN"/>
        </w:rPr>
        <w:t>Cancer Metastasis Rev</w:t>
      </w:r>
      <w:r w:rsidRPr="00F91674">
        <w:rPr>
          <w:rFonts w:ascii="Book Antiqua" w:eastAsia="宋体" w:hAnsi="Book Antiqua" w:cs="宋体"/>
          <w:color w:val="201F35"/>
          <w:lang w:eastAsia="zh-CN"/>
        </w:rPr>
        <w:t> 2010; </w:t>
      </w:r>
      <w:r w:rsidRPr="00F91674">
        <w:rPr>
          <w:rFonts w:ascii="Book Antiqua" w:eastAsia="宋体" w:hAnsi="Book Antiqua" w:cs="宋体"/>
          <w:b/>
          <w:bCs/>
          <w:color w:val="201F35"/>
          <w:lang w:eastAsia="zh-CN"/>
        </w:rPr>
        <w:t>29</w:t>
      </w:r>
      <w:r w:rsidRPr="00F91674">
        <w:rPr>
          <w:rFonts w:ascii="Book Antiqua" w:eastAsia="宋体" w:hAnsi="Book Antiqua" w:cs="宋体"/>
          <w:color w:val="201F35"/>
          <w:lang w:eastAsia="zh-CN"/>
        </w:rPr>
        <w:t>: 309-316 [PMID: 20405169 DOI: 10.1007/s10555-010-9223-6]</w:t>
      </w:r>
    </w:p>
    <w:p w14:paraId="495DFA85"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6 </w:t>
      </w:r>
      <w:r w:rsidRPr="00F91674">
        <w:rPr>
          <w:rFonts w:ascii="Book Antiqua" w:eastAsia="宋体" w:hAnsi="Book Antiqua" w:cs="宋体"/>
          <w:b/>
          <w:bCs/>
          <w:color w:val="201F35"/>
          <w:lang w:eastAsia="zh-CN"/>
        </w:rPr>
        <w:t>Grivennikov SI</w:t>
      </w:r>
      <w:r w:rsidRPr="00F91674">
        <w:rPr>
          <w:rFonts w:ascii="Book Antiqua" w:eastAsia="宋体" w:hAnsi="Book Antiqua" w:cs="宋体"/>
          <w:color w:val="201F35"/>
          <w:lang w:eastAsia="zh-CN"/>
        </w:rPr>
        <w:t>, Greten FR, Karin M. Immunity, inflammation, and cancer. </w:t>
      </w:r>
      <w:r w:rsidRPr="00F91674">
        <w:rPr>
          <w:rFonts w:ascii="Book Antiqua" w:eastAsia="宋体" w:hAnsi="Book Antiqua" w:cs="宋体"/>
          <w:i/>
          <w:iCs/>
          <w:color w:val="201F35"/>
          <w:lang w:eastAsia="zh-CN"/>
        </w:rPr>
        <w:t>Cell</w:t>
      </w:r>
      <w:r w:rsidRPr="00F91674">
        <w:rPr>
          <w:rFonts w:ascii="Book Antiqua" w:eastAsia="宋体" w:hAnsi="Book Antiqua" w:cs="宋体"/>
          <w:color w:val="201F35"/>
          <w:lang w:eastAsia="zh-CN"/>
        </w:rPr>
        <w:t> 2010; </w:t>
      </w:r>
      <w:r w:rsidRPr="00F91674">
        <w:rPr>
          <w:rFonts w:ascii="Book Antiqua" w:eastAsia="宋体" w:hAnsi="Book Antiqua" w:cs="宋体"/>
          <w:b/>
          <w:bCs/>
          <w:color w:val="201F35"/>
          <w:lang w:eastAsia="zh-CN"/>
        </w:rPr>
        <w:t>140</w:t>
      </w:r>
      <w:r w:rsidRPr="00F91674">
        <w:rPr>
          <w:rFonts w:ascii="Book Antiqua" w:eastAsia="宋体" w:hAnsi="Book Antiqua" w:cs="宋体"/>
          <w:color w:val="201F35"/>
          <w:lang w:eastAsia="zh-CN"/>
        </w:rPr>
        <w:t>: 883-899 [PMID: 20303878 DOI: 10.1016/j.cell.2010.01.025]</w:t>
      </w:r>
    </w:p>
    <w:p w14:paraId="35608FE4"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lastRenderedPageBreak/>
        <w:t>7 </w:t>
      </w:r>
      <w:r w:rsidRPr="00F91674">
        <w:rPr>
          <w:rFonts w:ascii="Book Antiqua" w:eastAsia="宋体" w:hAnsi="Book Antiqua" w:cs="宋体"/>
          <w:b/>
          <w:bCs/>
          <w:color w:val="201F35"/>
          <w:lang w:eastAsia="zh-CN"/>
        </w:rPr>
        <w:t>Senga SS</w:t>
      </w:r>
      <w:r w:rsidRPr="00F91674">
        <w:rPr>
          <w:rFonts w:ascii="Book Antiqua" w:eastAsia="宋体" w:hAnsi="Book Antiqua" w:cs="宋体"/>
          <w:color w:val="201F35"/>
          <w:lang w:eastAsia="zh-CN"/>
        </w:rPr>
        <w:t xml:space="preserve">, Grose RP. Hallmarks of cancer-the </w:t>
      </w:r>
      <w:proofErr w:type="gramStart"/>
      <w:r w:rsidRPr="00F91674">
        <w:rPr>
          <w:rFonts w:ascii="Book Antiqua" w:eastAsia="宋体" w:hAnsi="Book Antiqua" w:cs="宋体"/>
          <w:color w:val="201F35"/>
          <w:lang w:eastAsia="zh-CN"/>
        </w:rPr>
        <w:t>new testament</w:t>
      </w:r>
      <w:proofErr w:type="gramEnd"/>
      <w:r w:rsidRPr="00F91674">
        <w:rPr>
          <w:rFonts w:ascii="Book Antiqua" w:eastAsia="宋体" w:hAnsi="Book Antiqua" w:cs="宋体"/>
          <w:color w:val="201F35"/>
          <w:lang w:eastAsia="zh-CN"/>
        </w:rPr>
        <w:t>. </w:t>
      </w:r>
      <w:r w:rsidRPr="00F91674">
        <w:rPr>
          <w:rFonts w:ascii="Book Antiqua" w:eastAsia="宋体" w:hAnsi="Book Antiqua" w:cs="宋体"/>
          <w:i/>
          <w:iCs/>
          <w:color w:val="201F35"/>
          <w:lang w:eastAsia="zh-CN"/>
        </w:rPr>
        <w:t>Open Biol</w:t>
      </w:r>
      <w:r w:rsidRPr="00F91674">
        <w:rPr>
          <w:rFonts w:ascii="Book Antiqua" w:eastAsia="宋体" w:hAnsi="Book Antiqua" w:cs="宋体"/>
          <w:color w:val="201F35"/>
          <w:lang w:eastAsia="zh-CN"/>
        </w:rPr>
        <w:t> 2021; </w:t>
      </w:r>
      <w:r w:rsidRPr="00F91674">
        <w:rPr>
          <w:rFonts w:ascii="Book Antiqua" w:eastAsia="宋体" w:hAnsi="Book Antiqua" w:cs="宋体"/>
          <w:b/>
          <w:bCs/>
          <w:color w:val="201F35"/>
          <w:lang w:eastAsia="zh-CN"/>
        </w:rPr>
        <w:t>11</w:t>
      </w:r>
      <w:r w:rsidRPr="00F91674">
        <w:rPr>
          <w:rFonts w:ascii="Book Antiqua" w:eastAsia="宋体" w:hAnsi="Book Antiqua" w:cs="宋体"/>
          <w:color w:val="201F35"/>
          <w:lang w:eastAsia="zh-CN"/>
        </w:rPr>
        <w:t>: 200358 [PMID: 33465324 DOI: 10.1098/rsob.200358]</w:t>
      </w:r>
    </w:p>
    <w:p w14:paraId="547CF3EB"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8 </w:t>
      </w:r>
      <w:r w:rsidRPr="00F91674">
        <w:rPr>
          <w:rFonts w:ascii="Book Antiqua" w:eastAsia="宋体" w:hAnsi="Book Antiqua" w:cs="宋体"/>
          <w:b/>
          <w:bCs/>
          <w:color w:val="201F35"/>
          <w:lang w:eastAsia="zh-CN"/>
        </w:rPr>
        <w:t>Weissman IL</w:t>
      </w:r>
      <w:r w:rsidRPr="00F91674">
        <w:rPr>
          <w:rFonts w:ascii="Book Antiqua" w:eastAsia="宋体" w:hAnsi="Book Antiqua" w:cs="宋体"/>
          <w:color w:val="201F35"/>
          <w:lang w:eastAsia="zh-CN"/>
        </w:rPr>
        <w:t>. Stem cells: units of development, units of regeneration, and units in evolution. </w:t>
      </w:r>
      <w:r w:rsidRPr="00F91674">
        <w:rPr>
          <w:rFonts w:ascii="Book Antiqua" w:eastAsia="宋体" w:hAnsi="Book Antiqua" w:cs="宋体"/>
          <w:i/>
          <w:iCs/>
          <w:color w:val="201F35"/>
          <w:lang w:eastAsia="zh-CN"/>
        </w:rPr>
        <w:t>Cell</w:t>
      </w:r>
      <w:r w:rsidRPr="00F91674">
        <w:rPr>
          <w:rFonts w:ascii="Book Antiqua" w:eastAsia="宋体" w:hAnsi="Book Antiqua" w:cs="宋体"/>
          <w:color w:val="201F35"/>
          <w:lang w:eastAsia="zh-CN"/>
        </w:rPr>
        <w:t> 2000; </w:t>
      </w:r>
      <w:r w:rsidRPr="00F91674">
        <w:rPr>
          <w:rFonts w:ascii="Book Antiqua" w:eastAsia="宋体" w:hAnsi="Book Antiqua" w:cs="宋体"/>
          <w:b/>
          <w:bCs/>
          <w:color w:val="201F35"/>
          <w:lang w:eastAsia="zh-CN"/>
        </w:rPr>
        <w:t>100</w:t>
      </w:r>
      <w:r w:rsidRPr="00F91674">
        <w:rPr>
          <w:rFonts w:ascii="Book Antiqua" w:eastAsia="宋体" w:hAnsi="Book Antiqua" w:cs="宋体"/>
          <w:color w:val="201F35"/>
          <w:lang w:eastAsia="zh-CN"/>
        </w:rPr>
        <w:t>: 157-168 [PMID: 10647940 DOI: 10.1016/s0092-8674(00)81692-x]</w:t>
      </w:r>
    </w:p>
    <w:p w14:paraId="58A67342"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9 </w:t>
      </w:r>
      <w:r w:rsidRPr="00F91674">
        <w:rPr>
          <w:rFonts w:ascii="Book Antiqua" w:eastAsia="宋体" w:hAnsi="Book Antiqua" w:cs="宋体"/>
          <w:b/>
          <w:bCs/>
          <w:color w:val="201F35"/>
          <w:lang w:eastAsia="zh-CN"/>
        </w:rPr>
        <w:t>Kørbling M</w:t>
      </w:r>
      <w:r w:rsidRPr="00F91674">
        <w:rPr>
          <w:rFonts w:ascii="Book Antiqua" w:eastAsia="宋体" w:hAnsi="Book Antiqua" w:cs="宋体"/>
          <w:color w:val="201F35"/>
          <w:lang w:eastAsia="zh-CN"/>
        </w:rPr>
        <w:t>, Estrov Z. Adult stem cells for tissue repair - a new therapeutic concept? </w:t>
      </w:r>
      <w:r w:rsidRPr="00F91674">
        <w:rPr>
          <w:rFonts w:ascii="Book Antiqua" w:eastAsia="宋体" w:hAnsi="Book Antiqua" w:cs="宋体"/>
          <w:i/>
          <w:iCs/>
          <w:color w:val="201F35"/>
          <w:lang w:eastAsia="zh-CN"/>
        </w:rPr>
        <w:t>N Engl J Med</w:t>
      </w:r>
      <w:r w:rsidRPr="00F91674">
        <w:rPr>
          <w:rFonts w:ascii="Book Antiqua" w:eastAsia="宋体" w:hAnsi="Book Antiqua" w:cs="宋体"/>
          <w:color w:val="201F35"/>
          <w:lang w:eastAsia="zh-CN"/>
        </w:rPr>
        <w:t> 2003; </w:t>
      </w:r>
      <w:r w:rsidRPr="00F91674">
        <w:rPr>
          <w:rFonts w:ascii="Book Antiqua" w:eastAsia="宋体" w:hAnsi="Book Antiqua" w:cs="宋体"/>
          <w:b/>
          <w:bCs/>
          <w:color w:val="201F35"/>
          <w:lang w:eastAsia="zh-CN"/>
        </w:rPr>
        <w:t>349</w:t>
      </w:r>
      <w:r w:rsidRPr="00F91674">
        <w:rPr>
          <w:rFonts w:ascii="Book Antiqua" w:eastAsia="宋体" w:hAnsi="Book Antiqua" w:cs="宋体"/>
          <w:color w:val="201F35"/>
          <w:lang w:eastAsia="zh-CN"/>
        </w:rPr>
        <w:t>: 570-582 [PMID: 12904523 DOI: 10.1056/NEJMra022361]</w:t>
      </w:r>
    </w:p>
    <w:p w14:paraId="04A0929B"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10 </w:t>
      </w:r>
      <w:r w:rsidRPr="00F91674">
        <w:rPr>
          <w:rFonts w:ascii="Book Antiqua" w:eastAsia="宋体" w:hAnsi="Book Antiqua" w:cs="宋体"/>
          <w:b/>
          <w:bCs/>
          <w:color w:val="201F35"/>
          <w:lang w:eastAsia="zh-CN"/>
        </w:rPr>
        <w:t>Young HE</w:t>
      </w:r>
      <w:r w:rsidRPr="00F91674">
        <w:rPr>
          <w:rFonts w:ascii="Book Antiqua" w:eastAsia="宋体" w:hAnsi="Book Antiqua" w:cs="宋体"/>
          <w:color w:val="201F35"/>
          <w:lang w:eastAsia="zh-CN"/>
        </w:rPr>
        <w:t>, Black AC Jr. Adult stem cells. </w:t>
      </w:r>
      <w:r w:rsidRPr="00F91674">
        <w:rPr>
          <w:rFonts w:ascii="Book Antiqua" w:eastAsia="宋体" w:hAnsi="Book Antiqua" w:cs="宋体"/>
          <w:i/>
          <w:iCs/>
          <w:color w:val="201F35"/>
          <w:lang w:eastAsia="zh-CN"/>
        </w:rPr>
        <w:t>Anat Rec A Discov Mol Cell Evol Biol</w:t>
      </w:r>
      <w:r w:rsidRPr="00F91674">
        <w:rPr>
          <w:rFonts w:ascii="Book Antiqua" w:eastAsia="宋体" w:hAnsi="Book Antiqua" w:cs="宋体"/>
          <w:color w:val="201F35"/>
          <w:lang w:eastAsia="zh-CN"/>
        </w:rPr>
        <w:t> 2004; </w:t>
      </w:r>
      <w:r w:rsidRPr="00F91674">
        <w:rPr>
          <w:rFonts w:ascii="Book Antiqua" w:eastAsia="宋体" w:hAnsi="Book Antiqua" w:cs="宋体"/>
          <w:b/>
          <w:bCs/>
          <w:color w:val="201F35"/>
          <w:lang w:eastAsia="zh-CN"/>
        </w:rPr>
        <w:t>276</w:t>
      </w:r>
      <w:r w:rsidRPr="00F91674">
        <w:rPr>
          <w:rFonts w:ascii="Book Antiqua" w:eastAsia="宋体" w:hAnsi="Book Antiqua" w:cs="宋体"/>
          <w:color w:val="201F35"/>
          <w:lang w:eastAsia="zh-CN"/>
        </w:rPr>
        <w:t>: 75-102 [PMID: 14699636 DOI: 10.1002/ar.a.10134]</w:t>
      </w:r>
    </w:p>
    <w:p w14:paraId="1F24FFCE"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 xml:space="preserve">11 </w:t>
      </w:r>
      <w:r w:rsidRPr="00F91674">
        <w:rPr>
          <w:rFonts w:ascii="Book Antiqua" w:eastAsia="宋体" w:hAnsi="Book Antiqua" w:cs="宋体"/>
          <w:b/>
          <w:bCs/>
          <w:color w:val="201F35"/>
          <w:lang w:eastAsia="zh-CN"/>
        </w:rPr>
        <w:t>Waddington CH</w:t>
      </w:r>
      <w:r w:rsidRPr="00F91674">
        <w:rPr>
          <w:rFonts w:ascii="Book Antiqua" w:eastAsia="宋体" w:hAnsi="Book Antiqua" w:cs="宋体"/>
          <w:color w:val="201F35"/>
          <w:lang w:eastAsia="zh-CN"/>
        </w:rPr>
        <w:t>. The Strategy of the Genes: A Discussion of Some Aspects of Theoretical Biology. London: George Allen and Unwin, 1957 [DOI: 10.4324/9781315765471]</w:t>
      </w:r>
    </w:p>
    <w:p w14:paraId="69763DDA"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12 </w:t>
      </w:r>
      <w:r w:rsidRPr="00F91674">
        <w:rPr>
          <w:rFonts w:ascii="Book Antiqua" w:eastAsia="宋体" w:hAnsi="Book Antiqua" w:cs="宋体"/>
          <w:b/>
          <w:bCs/>
          <w:color w:val="201F35"/>
          <w:lang w:eastAsia="zh-CN"/>
        </w:rPr>
        <w:t>Krause DS</w:t>
      </w:r>
      <w:r w:rsidRPr="00F91674">
        <w:rPr>
          <w:rFonts w:ascii="Book Antiqua" w:eastAsia="宋体" w:hAnsi="Book Antiqua" w:cs="宋体"/>
          <w:color w:val="201F35"/>
          <w:lang w:eastAsia="zh-CN"/>
        </w:rPr>
        <w:t>. Plasticity of marrow-derived stem cells. </w:t>
      </w:r>
      <w:r w:rsidRPr="00F91674">
        <w:rPr>
          <w:rFonts w:ascii="Book Antiqua" w:eastAsia="宋体" w:hAnsi="Book Antiqua" w:cs="宋体"/>
          <w:i/>
          <w:iCs/>
          <w:color w:val="201F35"/>
          <w:lang w:eastAsia="zh-CN"/>
        </w:rPr>
        <w:t>Gene Ther</w:t>
      </w:r>
      <w:r w:rsidRPr="00F91674">
        <w:rPr>
          <w:rFonts w:ascii="Book Antiqua" w:eastAsia="宋体" w:hAnsi="Book Antiqua" w:cs="宋体"/>
          <w:color w:val="201F35"/>
          <w:lang w:eastAsia="zh-CN"/>
        </w:rPr>
        <w:t> 2002; </w:t>
      </w:r>
      <w:r w:rsidRPr="00F91674">
        <w:rPr>
          <w:rFonts w:ascii="Book Antiqua" w:eastAsia="宋体" w:hAnsi="Book Antiqua" w:cs="宋体"/>
          <w:b/>
          <w:bCs/>
          <w:color w:val="201F35"/>
          <w:lang w:eastAsia="zh-CN"/>
        </w:rPr>
        <w:t>9</w:t>
      </w:r>
      <w:r w:rsidRPr="00F91674">
        <w:rPr>
          <w:rFonts w:ascii="Book Antiqua" w:eastAsia="宋体" w:hAnsi="Book Antiqua" w:cs="宋体"/>
          <w:color w:val="201F35"/>
          <w:lang w:eastAsia="zh-CN"/>
        </w:rPr>
        <w:t>: 754-758 [PMID: 12032704 DOI: 10.1038/sj.gt.3301760]</w:t>
      </w:r>
    </w:p>
    <w:p w14:paraId="782FC0FD"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13 </w:t>
      </w:r>
      <w:r w:rsidRPr="00F91674">
        <w:rPr>
          <w:rFonts w:ascii="Book Antiqua" w:eastAsia="宋体" w:hAnsi="Book Antiqua" w:cs="宋体"/>
          <w:b/>
          <w:bCs/>
          <w:color w:val="201F35"/>
          <w:lang w:eastAsia="zh-CN"/>
        </w:rPr>
        <w:t>Poulsom R</w:t>
      </w:r>
      <w:r w:rsidRPr="00F91674">
        <w:rPr>
          <w:rFonts w:ascii="Book Antiqua" w:eastAsia="宋体" w:hAnsi="Book Antiqua" w:cs="宋体"/>
          <w:color w:val="201F35"/>
          <w:lang w:eastAsia="zh-CN"/>
        </w:rPr>
        <w:t>, Alison MR, Forbes SJ, Wright NA. Adult stem cell plasticity. </w:t>
      </w:r>
      <w:r w:rsidRPr="00F91674">
        <w:rPr>
          <w:rFonts w:ascii="Book Antiqua" w:eastAsia="宋体" w:hAnsi="Book Antiqua" w:cs="宋体"/>
          <w:i/>
          <w:iCs/>
          <w:color w:val="201F35"/>
          <w:lang w:eastAsia="zh-CN"/>
        </w:rPr>
        <w:t>J Pathol</w:t>
      </w:r>
      <w:r w:rsidRPr="00F91674">
        <w:rPr>
          <w:rFonts w:ascii="Book Antiqua" w:eastAsia="宋体" w:hAnsi="Book Antiqua" w:cs="宋体"/>
          <w:color w:val="201F35"/>
          <w:lang w:eastAsia="zh-CN"/>
        </w:rPr>
        <w:t> 2002; </w:t>
      </w:r>
      <w:r w:rsidRPr="00F91674">
        <w:rPr>
          <w:rFonts w:ascii="Book Antiqua" w:eastAsia="宋体" w:hAnsi="Book Antiqua" w:cs="宋体"/>
          <w:b/>
          <w:bCs/>
          <w:color w:val="201F35"/>
          <w:lang w:eastAsia="zh-CN"/>
        </w:rPr>
        <w:t>197</w:t>
      </w:r>
      <w:r w:rsidRPr="00F91674">
        <w:rPr>
          <w:rFonts w:ascii="Book Antiqua" w:eastAsia="宋体" w:hAnsi="Book Antiqua" w:cs="宋体"/>
          <w:color w:val="201F35"/>
          <w:lang w:eastAsia="zh-CN"/>
        </w:rPr>
        <w:t>: 441-456 [PMID: 12115861 DOI: 10.1002/path.1176]</w:t>
      </w:r>
    </w:p>
    <w:p w14:paraId="5B0BA038"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14 </w:t>
      </w:r>
      <w:r w:rsidRPr="00F91674">
        <w:rPr>
          <w:rFonts w:ascii="Book Antiqua" w:eastAsia="宋体" w:hAnsi="Book Antiqua" w:cs="宋体"/>
          <w:b/>
          <w:bCs/>
          <w:color w:val="201F35"/>
          <w:lang w:eastAsia="zh-CN"/>
        </w:rPr>
        <w:t>GURDON JB</w:t>
      </w:r>
      <w:r w:rsidRPr="00F91674">
        <w:rPr>
          <w:rFonts w:ascii="Book Antiqua" w:eastAsia="宋体" w:hAnsi="Book Antiqua" w:cs="宋体"/>
          <w:color w:val="201F35"/>
          <w:lang w:eastAsia="zh-CN"/>
        </w:rPr>
        <w:t>. Adult frogs derived from the nuclei of single somatic cells. </w:t>
      </w:r>
      <w:r w:rsidRPr="00F91674">
        <w:rPr>
          <w:rFonts w:ascii="Book Antiqua" w:eastAsia="宋体" w:hAnsi="Book Antiqua" w:cs="宋体"/>
          <w:i/>
          <w:iCs/>
          <w:color w:val="201F35"/>
          <w:lang w:eastAsia="zh-CN"/>
        </w:rPr>
        <w:t>Dev Biol</w:t>
      </w:r>
      <w:r w:rsidRPr="00F91674">
        <w:rPr>
          <w:rFonts w:ascii="Book Antiqua" w:eastAsia="宋体" w:hAnsi="Book Antiqua" w:cs="宋体"/>
          <w:color w:val="201F35"/>
          <w:lang w:eastAsia="zh-CN"/>
        </w:rPr>
        <w:t> 1962; </w:t>
      </w:r>
      <w:r w:rsidRPr="00F91674">
        <w:rPr>
          <w:rFonts w:ascii="Book Antiqua" w:eastAsia="宋体" w:hAnsi="Book Antiqua" w:cs="宋体"/>
          <w:b/>
          <w:bCs/>
          <w:color w:val="201F35"/>
          <w:lang w:eastAsia="zh-CN"/>
        </w:rPr>
        <w:t>4</w:t>
      </w:r>
      <w:r w:rsidRPr="00F91674">
        <w:rPr>
          <w:rFonts w:ascii="Book Antiqua" w:eastAsia="宋体" w:hAnsi="Book Antiqua" w:cs="宋体"/>
          <w:color w:val="201F35"/>
          <w:lang w:eastAsia="zh-CN"/>
        </w:rPr>
        <w:t>: 256-273 [PMID: 13903027 DOI: 10.1016/0012-1606(62)90043-x]</w:t>
      </w:r>
    </w:p>
    <w:p w14:paraId="680E7D5A"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15 </w:t>
      </w:r>
      <w:r w:rsidRPr="00F91674">
        <w:rPr>
          <w:rFonts w:ascii="Book Antiqua" w:eastAsia="宋体" w:hAnsi="Book Antiqua" w:cs="宋体"/>
          <w:b/>
          <w:bCs/>
          <w:color w:val="201F35"/>
          <w:lang w:eastAsia="zh-CN"/>
        </w:rPr>
        <w:t>Takahashi K</w:t>
      </w:r>
      <w:r w:rsidRPr="00F91674">
        <w:rPr>
          <w:rFonts w:ascii="Book Antiqua" w:eastAsia="宋体" w:hAnsi="Book Antiqua" w:cs="宋体"/>
          <w:color w:val="201F35"/>
          <w:lang w:eastAsia="zh-CN"/>
        </w:rPr>
        <w:t>, Yamanaka S. Induction of pluripotent stem cells from mouse embryonic and adult fibroblast cultures by defined factors. </w:t>
      </w:r>
      <w:r w:rsidRPr="00F91674">
        <w:rPr>
          <w:rFonts w:ascii="Book Antiqua" w:eastAsia="宋体" w:hAnsi="Book Antiqua" w:cs="宋体"/>
          <w:i/>
          <w:iCs/>
          <w:color w:val="201F35"/>
          <w:lang w:eastAsia="zh-CN"/>
        </w:rPr>
        <w:t>Cell</w:t>
      </w:r>
      <w:r w:rsidRPr="00F91674">
        <w:rPr>
          <w:rFonts w:ascii="Book Antiqua" w:eastAsia="宋体" w:hAnsi="Book Antiqua" w:cs="宋体"/>
          <w:color w:val="201F35"/>
          <w:lang w:eastAsia="zh-CN"/>
        </w:rPr>
        <w:t> 2006; </w:t>
      </w:r>
      <w:r w:rsidRPr="00F91674">
        <w:rPr>
          <w:rFonts w:ascii="Book Antiqua" w:eastAsia="宋体" w:hAnsi="Book Antiqua" w:cs="宋体"/>
          <w:b/>
          <w:bCs/>
          <w:color w:val="201F35"/>
          <w:lang w:eastAsia="zh-CN"/>
        </w:rPr>
        <w:t>126</w:t>
      </w:r>
      <w:r w:rsidRPr="00F91674">
        <w:rPr>
          <w:rFonts w:ascii="Book Antiqua" w:eastAsia="宋体" w:hAnsi="Book Antiqua" w:cs="宋体"/>
          <w:color w:val="201F35"/>
          <w:lang w:eastAsia="zh-CN"/>
        </w:rPr>
        <w:t>: 663-676 [PMID: 16904174 DOI: 10.1016/j.cell.2006.07.024]</w:t>
      </w:r>
    </w:p>
    <w:p w14:paraId="0EEBCCF3"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16 </w:t>
      </w:r>
      <w:r w:rsidRPr="00F91674">
        <w:rPr>
          <w:rFonts w:ascii="Book Antiqua" w:eastAsia="宋体" w:hAnsi="Book Antiqua" w:cs="宋体"/>
          <w:b/>
          <w:bCs/>
          <w:color w:val="201F35"/>
          <w:lang w:eastAsia="zh-CN"/>
        </w:rPr>
        <w:t>Kleinsmith LJ</w:t>
      </w:r>
      <w:r w:rsidRPr="00F91674">
        <w:rPr>
          <w:rFonts w:ascii="Book Antiqua" w:eastAsia="宋体" w:hAnsi="Book Antiqua" w:cs="宋体"/>
          <w:color w:val="201F35"/>
          <w:lang w:eastAsia="zh-CN"/>
        </w:rPr>
        <w:t>, Pierce GB Jr. Multipotentiality of single embryonal carcinoma cells. </w:t>
      </w:r>
      <w:r w:rsidRPr="00F91674">
        <w:rPr>
          <w:rFonts w:ascii="Book Antiqua" w:eastAsia="宋体" w:hAnsi="Book Antiqua" w:cs="宋体"/>
          <w:i/>
          <w:iCs/>
          <w:color w:val="201F35"/>
          <w:lang w:eastAsia="zh-CN"/>
        </w:rPr>
        <w:t>Cancer Res</w:t>
      </w:r>
      <w:r w:rsidRPr="00F91674">
        <w:rPr>
          <w:rFonts w:ascii="Book Antiqua" w:eastAsia="宋体" w:hAnsi="Book Antiqua" w:cs="宋体"/>
          <w:color w:val="201F35"/>
          <w:lang w:eastAsia="zh-CN"/>
        </w:rPr>
        <w:t> 1964; </w:t>
      </w:r>
      <w:r w:rsidRPr="00F91674">
        <w:rPr>
          <w:rFonts w:ascii="Book Antiqua" w:eastAsia="宋体" w:hAnsi="Book Antiqua" w:cs="宋体"/>
          <w:b/>
          <w:bCs/>
          <w:color w:val="201F35"/>
          <w:lang w:eastAsia="zh-CN"/>
        </w:rPr>
        <w:t>24</w:t>
      </w:r>
      <w:r w:rsidRPr="00F91674">
        <w:rPr>
          <w:rFonts w:ascii="Book Antiqua" w:eastAsia="宋体" w:hAnsi="Book Antiqua" w:cs="宋体"/>
          <w:color w:val="201F35"/>
          <w:lang w:eastAsia="zh-CN"/>
        </w:rPr>
        <w:t>: 1544-1551 [PMID: 14234000]</w:t>
      </w:r>
    </w:p>
    <w:p w14:paraId="0722454C"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17 </w:t>
      </w:r>
      <w:r w:rsidRPr="00F91674">
        <w:rPr>
          <w:rFonts w:ascii="Book Antiqua" w:eastAsia="宋体" w:hAnsi="Book Antiqua" w:cs="宋体"/>
          <w:b/>
          <w:bCs/>
          <w:color w:val="201F35"/>
          <w:lang w:eastAsia="zh-CN"/>
        </w:rPr>
        <w:t>Pierce GB</w:t>
      </w:r>
      <w:r w:rsidRPr="00F91674">
        <w:rPr>
          <w:rFonts w:ascii="Book Antiqua" w:eastAsia="宋体" w:hAnsi="Book Antiqua" w:cs="宋体"/>
          <w:color w:val="201F35"/>
          <w:lang w:eastAsia="zh-CN"/>
        </w:rPr>
        <w:t>, Speers WC. Tumors as caricatures of the process of tissue renewal: prospects for therapy by directing differentiation. </w:t>
      </w:r>
      <w:r w:rsidRPr="00F91674">
        <w:rPr>
          <w:rFonts w:ascii="Book Antiqua" w:eastAsia="宋体" w:hAnsi="Book Antiqua" w:cs="宋体"/>
          <w:i/>
          <w:iCs/>
          <w:color w:val="201F35"/>
          <w:lang w:eastAsia="zh-CN"/>
        </w:rPr>
        <w:t>Cancer Res</w:t>
      </w:r>
      <w:r w:rsidRPr="00F91674">
        <w:rPr>
          <w:rFonts w:ascii="Book Antiqua" w:eastAsia="宋体" w:hAnsi="Book Antiqua" w:cs="宋体"/>
          <w:color w:val="201F35"/>
          <w:lang w:eastAsia="zh-CN"/>
        </w:rPr>
        <w:t> 1988; </w:t>
      </w:r>
      <w:r w:rsidRPr="00F91674">
        <w:rPr>
          <w:rFonts w:ascii="Book Antiqua" w:eastAsia="宋体" w:hAnsi="Book Antiqua" w:cs="宋体"/>
          <w:b/>
          <w:bCs/>
          <w:color w:val="201F35"/>
          <w:lang w:eastAsia="zh-CN"/>
        </w:rPr>
        <w:t>48</w:t>
      </w:r>
      <w:r w:rsidRPr="00F91674">
        <w:rPr>
          <w:rFonts w:ascii="Book Antiqua" w:eastAsia="宋体" w:hAnsi="Book Antiqua" w:cs="宋体"/>
          <w:color w:val="201F35"/>
          <w:lang w:eastAsia="zh-CN"/>
        </w:rPr>
        <w:t>: 1996-2004 [PMID: 2450643]</w:t>
      </w:r>
    </w:p>
    <w:p w14:paraId="48C91EDE"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18 </w:t>
      </w:r>
      <w:r w:rsidRPr="00F91674">
        <w:rPr>
          <w:rFonts w:ascii="Book Antiqua" w:eastAsia="宋体" w:hAnsi="Book Antiqua" w:cs="宋体"/>
          <w:b/>
          <w:bCs/>
          <w:color w:val="201F35"/>
          <w:lang w:eastAsia="zh-CN"/>
        </w:rPr>
        <w:t>Yu Z</w:t>
      </w:r>
      <w:r w:rsidRPr="00F91674">
        <w:rPr>
          <w:rFonts w:ascii="Book Antiqua" w:eastAsia="宋体" w:hAnsi="Book Antiqua" w:cs="宋体"/>
          <w:color w:val="201F35"/>
          <w:lang w:eastAsia="zh-CN"/>
        </w:rPr>
        <w:t>, Pestell TG, Lisanti MP, Pestell RG. Cancer stem cells. </w:t>
      </w:r>
      <w:r w:rsidRPr="00F91674">
        <w:rPr>
          <w:rFonts w:ascii="Book Antiqua" w:eastAsia="宋体" w:hAnsi="Book Antiqua" w:cs="宋体"/>
          <w:i/>
          <w:iCs/>
          <w:color w:val="201F35"/>
          <w:lang w:eastAsia="zh-CN"/>
        </w:rPr>
        <w:t>Int J Biochem Cell Biol</w:t>
      </w:r>
      <w:r w:rsidRPr="00F91674">
        <w:rPr>
          <w:rFonts w:ascii="Book Antiqua" w:eastAsia="宋体" w:hAnsi="Book Antiqua" w:cs="宋体"/>
          <w:color w:val="201F35"/>
          <w:lang w:eastAsia="zh-CN"/>
        </w:rPr>
        <w:t> 2012; </w:t>
      </w:r>
      <w:r w:rsidRPr="00F91674">
        <w:rPr>
          <w:rFonts w:ascii="Book Antiqua" w:eastAsia="宋体" w:hAnsi="Book Antiqua" w:cs="宋体"/>
          <w:b/>
          <w:bCs/>
          <w:color w:val="201F35"/>
          <w:lang w:eastAsia="zh-CN"/>
        </w:rPr>
        <w:t>44</w:t>
      </w:r>
      <w:r w:rsidRPr="00F91674">
        <w:rPr>
          <w:rFonts w:ascii="Book Antiqua" w:eastAsia="宋体" w:hAnsi="Book Antiqua" w:cs="宋体"/>
          <w:color w:val="201F35"/>
          <w:lang w:eastAsia="zh-CN"/>
        </w:rPr>
        <w:t>: 2144-2151 [PMID: 22981632 DOI: 10.1016/j.biocel.2012.08.022]</w:t>
      </w:r>
    </w:p>
    <w:p w14:paraId="66B21592"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19 </w:t>
      </w:r>
      <w:r w:rsidRPr="00F91674">
        <w:rPr>
          <w:rFonts w:ascii="Book Antiqua" w:eastAsia="宋体" w:hAnsi="Book Antiqua" w:cs="宋体"/>
          <w:b/>
          <w:bCs/>
          <w:color w:val="201F35"/>
          <w:lang w:eastAsia="zh-CN"/>
        </w:rPr>
        <w:t>Carvalho J</w:t>
      </w:r>
      <w:r w:rsidRPr="00F91674">
        <w:rPr>
          <w:rFonts w:ascii="Book Antiqua" w:eastAsia="宋体" w:hAnsi="Book Antiqua" w:cs="宋体"/>
          <w:color w:val="201F35"/>
          <w:lang w:eastAsia="zh-CN"/>
        </w:rPr>
        <w:t xml:space="preserve">. Cell Reversal </w:t>
      </w:r>
      <w:proofErr w:type="gramStart"/>
      <w:r w:rsidRPr="00F91674">
        <w:rPr>
          <w:rFonts w:ascii="Book Antiqua" w:eastAsia="宋体" w:hAnsi="Book Antiqua" w:cs="宋体"/>
          <w:color w:val="201F35"/>
          <w:lang w:eastAsia="zh-CN"/>
        </w:rPr>
        <w:t>From</w:t>
      </w:r>
      <w:proofErr w:type="gramEnd"/>
      <w:r w:rsidRPr="00F91674">
        <w:rPr>
          <w:rFonts w:ascii="Book Antiqua" w:eastAsia="宋体" w:hAnsi="Book Antiqua" w:cs="宋体"/>
          <w:color w:val="201F35"/>
          <w:lang w:eastAsia="zh-CN"/>
        </w:rPr>
        <w:t xml:space="preserve"> a Differentiated to a Stem-Like State at Cancer Initiation. </w:t>
      </w:r>
      <w:r w:rsidRPr="00F91674">
        <w:rPr>
          <w:rFonts w:ascii="Book Antiqua" w:eastAsia="宋体" w:hAnsi="Book Antiqua" w:cs="宋体"/>
          <w:i/>
          <w:iCs/>
          <w:color w:val="201F35"/>
          <w:lang w:eastAsia="zh-CN"/>
        </w:rPr>
        <w:t>Front Oncol</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10</w:t>
      </w:r>
      <w:r w:rsidRPr="00F91674">
        <w:rPr>
          <w:rFonts w:ascii="Book Antiqua" w:eastAsia="宋体" w:hAnsi="Book Antiqua" w:cs="宋体"/>
          <w:color w:val="201F35"/>
          <w:lang w:eastAsia="zh-CN"/>
        </w:rPr>
        <w:t>: 541 [PMID: 32351900 DOI: 10.3389/fonc.2020.00541]</w:t>
      </w:r>
    </w:p>
    <w:p w14:paraId="58F26398"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lastRenderedPageBreak/>
        <w:t>20 </w:t>
      </w:r>
      <w:r w:rsidRPr="00F91674">
        <w:rPr>
          <w:rFonts w:ascii="Book Antiqua" w:eastAsia="宋体" w:hAnsi="Book Antiqua" w:cs="宋体"/>
          <w:b/>
          <w:bCs/>
          <w:color w:val="201F35"/>
          <w:lang w:eastAsia="zh-CN"/>
        </w:rPr>
        <w:t>Bonnet D</w:t>
      </w:r>
      <w:r w:rsidRPr="00F91674">
        <w:rPr>
          <w:rFonts w:ascii="Book Antiqua" w:eastAsia="宋体" w:hAnsi="Book Antiqua" w:cs="宋体"/>
          <w:color w:val="201F35"/>
          <w:lang w:eastAsia="zh-CN"/>
        </w:rPr>
        <w:t>, Dick JE. Human acute myeloid leukemia is organized as a hierarchy that originates from a primitive hematopoietic cell. </w:t>
      </w:r>
      <w:r w:rsidRPr="00F91674">
        <w:rPr>
          <w:rFonts w:ascii="Book Antiqua" w:eastAsia="宋体" w:hAnsi="Book Antiqua" w:cs="宋体"/>
          <w:i/>
          <w:iCs/>
          <w:color w:val="201F35"/>
          <w:lang w:eastAsia="zh-CN"/>
        </w:rPr>
        <w:t>Nat Med</w:t>
      </w:r>
      <w:r w:rsidRPr="00F91674">
        <w:rPr>
          <w:rFonts w:ascii="Book Antiqua" w:eastAsia="宋体" w:hAnsi="Book Antiqua" w:cs="宋体"/>
          <w:color w:val="201F35"/>
          <w:lang w:eastAsia="zh-CN"/>
        </w:rPr>
        <w:t> 1997; </w:t>
      </w:r>
      <w:r w:rsidRPr="00F91674">
        <w:rPr>
          <w:rFonts w:ascii="Book Antiqua" w:eastAsia="宋体" w:hAnsi="Book Antiqua" w:cs="宋体"/>
          <w:b/>
          <w:bCs/>
          <w:color w:val="201F35"/>
          <w:lang w:eastAsia="zh-CN"/>
        </w:rPr>
        <w:t>3</w:t>
      </w:r>
      <w:r w:rsidRPr="00F91674">
        <w:rPr>
          <w:rFonts w:ascii="Book Antiqua" w:eastAsia="宋体" w:hAnsi="Book Antiqua" w:cs="宋体"/>
          <w:color w:val="201F35"/>
          <w:lang w:eastAsia="zh-CN"/>
        </w:rPr>
        <w:t>: 730-737 [PMID: 9212098 DOI: 10.1038/nm0797-730]</w:t>
      </w:r>
    </w:p>
    <w:p w14:paraId="65E3AB16"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21 </w:t>
      </w:r>
      <w:r w:rsidRPr="00F91674">
        <w:rPr>
          <w:rFonts w:ascii="Book Antiqua" w:eastAsia="宋体" w:hAnsi="Book Antiqua" w:cs="宋体"/>
          <w:b/>
          <w:bCs/>
          <w:color w:val="201F35"/>
          <w:lang w:eastAsia="zh-CN"/>
        </w:rPr>
        <w:t>Chen W</w:t>
      </w:r>
      <w:r w:rsidRPr="00F91674">
        <w:rPr>
          <w:rFonts w:ascii="Book Antiqua" w:eastAsia="宋体" w:hAnsi="Book Antiqua" w:cs="宋体"/>
          <w:color w:val="201F35"/>
          <w:lang w:eastAsia="zh-CN"/>
        </w:rPr>
        <w:t>, Dong J, Haiech J, Kilhoffer MC, Zeniou M. Cancer Stem Cell Quiescence and Plasticity as Major Challenges in Cancer Therapy. </w:t>
      </w:r>
      <w:r w:rsidRPr="00F91674">
        <w:rPr>
          <w:rFonts w:ascii="Book Antiqua" w:eastAsia="宋体" w:hAnsi="Book Antiqua" w:cs="宋体"/>
          <w:i/>
          <w:iCs/>
          <w:color w:val="201F35"/>
          <w:lang w:eastAsia="zh-CN"/>
        </w:rPr>
        <w:t>Stem Cells Int</w:t>
      </w:r>
      <w:r w:rsidRPr="00F91674">
        <w:rPr>
          <w:rFonts w:ascii="Book Antiqua" w:eastAsia="宋体" w:hAnsi="Book Antiqua" w:cs="宋体"/>
          <w:color w:val="201F35"/>
          <w:lang w:eastAsia="zh-CN"/>
        </w:rPr>
        <w:t> 2016; </w:t>
      </w:r>
      <w:r w:rsidRPr="00F91674">
        <w:rPr>
          <w:rFonts w:ascii="Book Antiqua" w:eastAsia="宋体" w:hAnsi="Book Antiqua" w:cs="宋体"/>
          <w:b/>
          <w:bCs/>
          <w:color w:val="201F35"/>
          <w:lang w:eastAsia="zh-CN"/>
        </w:rPr>
        <w:t>2016</w:t>
      </w:r>
      <w:r w:rsidRPr="00F91674">
        <w:rPr>
          <w:rFonts w:ascii="Book Antiqua" w:eastAsia="宋体" w:hAnsi="Book Antiqua" w:cs="宋体"/>
          <w:color w:val="201F35"/>
          <w:lang w:eastAsia="zh-CN"/>
        </w:rPr>
        <w:t>: 1740936 [PMID: 27418931 DOI: 10.1155/2016/1740936]</w:t>
      </w:r>
    </w:p>
    <w:p w14:paraId="6A276845"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22 </w:t>
      </w:r>
      <w:r w:rsidRPr="00F91674">
        <w:rPr>
          <w:rFonts w:ascii="Book Antiqua" w:eastAsia="宋体" w:hAnsi="Book Antiqua" w:cs="宋体"/>
          <w:b/>
          <w:bCs/>
          <w:color w:val="201F35"/>
          <w:lang w:eastAsia="zh-CN"/>
        </w:rPr>
        <w:t>Medema JP</w:t>
      </w:r>
      <w:r w:rsidRPr="00F91674">
        <w:rPr>
          <w:rFonts w:ascii="Book Antiqua" w:eastAsia="宋体" w:hAnsi="Book Antiqua" w:cs="宋体"/>
          <w:color w:val="201F35"/>
          <w:lang w:eastAsia="zh-CN"/>
        </w:rPr>
        <w:t>. Cancer stem cells: the challenges ahead. </w:t>
      </w:r>
      <w:r w:rsidRPr="00F91674">
        <w:rPr>
          <w:rFonts w:ascii="Book Antiqua" w:eastAsia="宋体" w:hAnsi="Book Antiqua" w:cs="宋体"/>
          <w:i/>
          <w:iCs/>
          <w:color w:val="201F35"/>
          <w:lang w:eastAsia="zh-CN"/>
        </w:rPr>
        <w:t>Nat Cell Biol</w:t>
      </w:r>
      <w:r w:rsidRPr="00F91674">
        <w:rPr>
          <w:rFonts w:ascii="Book Antiqua" w:eastAsia="宋体" w:hAnsi="Book Antiqua" w:cs="宋体"/>
          <w:color w:val="201F35"/>
          <w:lang w:eastAsia="zh-CN"/>
        </w:rPr>
        <w:t> 2013; </w:t>
      </w:r>
      <w:r w:rsidRPr="00F91674">
        <w:rPr>
          <w:rFonts w:ascii="Book Antiqua" w:eastAsia="宋体" w:hAnsi="Book Antiqua" w:cs="宋体"/>
          <w:b/>
          <w:bCs/>
          <w:color w:val="201F35"/>
          <w:lang w:eastAsia="zh-CN"/>
        </w:rPr>
        <w:t>15</w:t>
      </w:r>
      <w:r w:rsidRPr="00F91674">
        <w:rPr>
          <w:rFonts w:ascii="Book Antiqua" w:eastAsia="宋体" w:hAnsi="Book Antiqua" w:cs="宋体"/>
          <w:color w:val="201F35"/>
          <w:lang w:eastAsia="zh-CN"/>
        </w:rPr>
        <w:t>: 338-344 [PMID: 23548926 DOI: 10.1038/ncb2717]</w:t>
      </w:r>
    </w:p>
    <w:p w14:paraId="04D813E2"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23 </w:t>
      </w:r>
      <w:r w:rsidRPr="00F91674">
        <w:rPr>
          <w:rFonts w:ascii="Book Antiqua" w:eastAsia="宋体" w:hAnsi="Book Antiqua" w:cs="宋体"/>
          <w:b/>
          <w:bCs/>
          <w:color w:val="201F35"/>
          <w:lang w:eastAsia="zh-CN"/>
        </w:rPr>
        <w:t>Visvader JE</w:t>
      </w:r>
      <w:r w:rsidRPr="00F91674">
        <w:rPr>
          <w:rFonts w:ascii="Book Antiqua" w:eastAsia="宋体" w:hAnsi="Book Antiqua" w:cs="宋体"/>
          <w:color w:val="201F35"/>
          <w:lang w:eastAsia="zh-CN"/>
        </w:rPr>
        <w:t>, Lindeman GJ. Cancer stem cells: current status and evolving complexities. </w:t>
      </w:r>
      <w:r w:rsidRPr="00F91674">
        <w:rPr>
          <w:rFonts w:ascii="Book Antiqua" w:eastAsia="宋体" w:hAnsi="Book Antiqua" w:cs="宋体"/>
          <w:i/>
          <w:iCs/>
          <w:color w:val="201F35"/>
          <w:lang w:eastAsia="zh-CN"/>
        </w:rPr>
        <w:t>Cell Stem Cell</w:t>
      </w:r>
      <w:r w:rsidRPr="00F91674">
        <w:rPr>
          <w:rFonts w:ascii="Book Antiqua" w:eastAsia="宋体" w:hAnsi="Book Antiqua" w:cs="宋体"/>
          <w:color w:val="201F35"/>
          <w:lang w:eastAsia="zh-CN"/>
        </w:rPr>
        <w:t> 2012; </w:t>
      </w:r>
      <w:r w:rsidRPr="00F91674">
        <w:rPr>
          <w:rFonts w:ascii="Book Antiqua" w:eastAsia="宋体" w:hAnsi="Book Antiqua" w:cs="宋体"/>
          <w:b/>
          <w:bCs/>
          <w:color w:val="201F35"/>
          <w:lang w:eastAsia="zh-CN"/>
        </w:rPr>
        <w:t>10</w:t>
      </w:r>
      <w:r w:rsidRPr="00F91674">
        <w:rPr>
          <w:rFonts w:ascii="Book Antiqua" w:eastAsia="宋体" w:hAnsi="Book Antiqua" w:cs="宋体"/>
          <w:color w:val="201F35"/>
          <w:lang w:eastAsia="zh-CN"/>
        </w:rPr>
        <w:t>: 717-728 [PMID: 22704512 DOI: 10.1016/j.stem.2012.05.007]</w:t>
      </w:r>
    </w:p>
    <w:p w14:paraId="707F7F65"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val="pt-BR" w:eastAsia="zh-CN"/>
        </w:rPr>
      </w:pPr>
      <w:r w:rsidRPr="00F91674">
        <w:rPr>
          <w:rFonts w:ascii="Book Antiqua" w:eastAsia="宋体" w:hAnsi="Book Antiqua" w:cs="宋体"/>
          <w:color w:val="201F35"/>
          <w:lang w:eastAsia="zh-CN"/>
        </w:rPr>
        <w:t>24 </w:t>
      </w:r>
      <w:r w:rsidRPr="00F91674">
        <w:rPr>
          <w:rFonts w:ascii="Book Antiqua" w:eastAsia="宋体" w:hAnsi="Book Antiqua" w:cs="宋体"/>
          <w:b/>
          <w:bCs/>
          <w:color w:val="201F35"/>
          <w:lang w:eastAsia="zh-CN"/>
        </w:rPr>
        <w:t>Fisher R</w:t>
      </w:r>
      <w:r w:rsidRPr="00F91674">
        <w:rPr>
          <w:rFonts w:ascii="Book Antiqua" w:eastAsia="宋体" w:hAnsi="Book Antiqua" w:cs="宋体"/>
          <w:color w:val="201F35"/>
          <w:lang w:eastAsia="zh-CN"/>
        </w:rPr>
        <w:t>, Pusztai L, Swanton C. Cancer heterogeneity: implications for targeted therapeutics. </w:t>
      </w:r>
      <w:r w:rsidRPr="00F91674">
        <w:rPr>
          <w:rFonts w:ascii="Book Antiqua" w:eastAsia="宋体" w:hAnsi="Book Antiqua" w:cs="宋体"/>
          <w:i/>
          <w:iCs/>
          <w:color w:val="201F35"/>
          <w:lang w:val="pt-BR" w:eastAsia="zh-CN"/>
        </w:rPr>
        <w:t>Br J Cancer</w:t>
      </w:r>
      <w:r w:rsidRPr="00F91674">
        <w:rPr>
          <w:rFonts w:ascii="Book Antiqua" w:eastAsia="宋体" w:hAnsi="Book Antiqua" w:cs="宋体"/>
          <w:color w:val="201F35"/>
          <w:lang w:val="pt-BR" w:eastAsia="zh-CN"/>
        </w:rPr>
        <w:t> 2013; </w:t>
      </w:r>
      <w:r w:rsidRPr="00F91674">
        <w:rPr>
          <w:rFonts w:ascii="Book Antiqua" w:eastAsia="宋体" w:hAnsi="Book Antiqua" w:cs="宋体"/>
          <w:b/>
          <w:bCs/>
          <w:color w:val="201F35"/>
          <w:lang w:val="pt-BR" w:eastAsia="zh-CN"/>
        </w:rPr>
        <w:t>108</w:t>
      </w:r>
      <w:r w:rsidRPr="00F91674">
        <w:rPr>
          <w:rFonts w:ascii="Book Antiqua" w:eastAsia="宋体" w:hAnsi="Book Antiqua" w:cs="宋体"/>
          <w:color w:val="201F35"/>
          <w:lang w:val="pt-BR" w:eastAsia="zh-CN"/>
        </w:rPr>
        <w:t>: 479-485 [PMID: 23299535 DOI: 10.1038/bjc.2012.581]</w:t>
      </w:r>
    </w:p>
    <w:p w14:paraId="66472BAB"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val="pt-BR" w:eastAsia="zh-CN"/>
        </w:rPr>
        <w:t>25 </w:t>
      </w:r>
      <w:r w:rsidRPr="00F91674">
        <w:rPr>
          <w:rFonts w:ascii="Book Antiqua" w:eastAsia="宋体" w:hAnsi="Book Antiqua" w:cs="宋体"/>
          <w:b/>
          <w:bCs/>
          <w:color w:val="201F35"/>
          <w:lang w:val="pt-BR" w:eastAsia="zh-CN"/>
        </w:rPr>
        <w:t>Prasetyanti PR</w:t>
      </w:r>
      <w:r w:rsidRPr="00F91674">
        <w:rPr>
          <w:rFonts w:ascii="Book Antiqua" w:eastAsia="宋体" w:hAnsi="Book Antiqua" w:cs="宋体"/>
          <w:color w:val="201F35"/>
          <w:lang w:val="pt-BR" w:eastAsia="zh-CN"/>
        </w:rPr>
        <w:t xml:space="preserve">, Medema JP. </w:t>
      </w:r>
      <w:r w:rsidRPr="00F91674">
        <w:rPr>
          <w:rFonts w:ascii="Book Antiqua" w:eastAsia="宋体" w:hAnsi="Book Antiqua" w:cs="宋体"/>
          <w:color w:val="201F35"/>
          <w:lang w:eastAsia="zh-CN"/>
        </w:rPr>
        <w:t>Intra-tumor heterogeneity from a cancer stem cell perspective. </w:t>
      </w:r>
      <w:r w:rsidRPr="00F91674">
        <w:rPr>
          <w:rFonts w:ascii="Book Antiqua" w:eastAsia="宋体" w:hAnsi="Book Antiqua" w:cs="宋体"/>
          <w:i/>
          <w:iCs/>
          <w:color w:val="201F35"/>
          <w:lang w:eastAsia="zh-CN"/>
        </w:rPr>
        <w:t>Mol Cancer</w:t>
      </w:r>
      <w:r w:rsidRPr="00F91674">
        <w:rPr>
          <w:rFonts w:ascii="Book Antiqua" w:eastAsia="宋体" w:hAnsi="Book Antiqua" w:cs="宋体"/>
          <w:color w:val="201F35"/>
          <w:lang w:eastAsia="zh-CN"/>
        </w:rPr>
        <w:t> 2017; </w:t>
      </w:r>
      <w:r w:rsidRPr="00F91674">
        <w:rPr>
          <w:rFonts w:ascii="Book Antiqua" w:eastAsia="宋体" w:hAnsi="Book Antiqua" w:cs="宋体"/>
          <w:b/>
          <w:bCs/>
          <w:color w:val="201F35"/>
          <w:lang w:eastAsia="zh-CN"/>
        </w:rPr>
        <w:t>16</w:t>
      </w:r>
      <w:r w:rsidRPr="00F91674">
        <w:rPr>
          <w:rFonts w:ascii="Book Antiqua" w:eastAsia="宋体" w:hAnsi="Book Antiqua" w:cs="宋体"/>
          <w:color w:val="201F35"/>
          <w:lang w:eastAsia="zh-CN"/>
        </w:rPr>
        <w:t>: 41 [PMID: 28209166 DOI: 10.1186/s12943-017-0600-4]</w:t>
      </w:r>
    </w:p>
    <w:p w14:paraId="53632134"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26 </w:t>
      </w:r>
      <w:r w:rsidRPr="00F91674">
        <w:rPr>
          <w:rFonts w:ascii="Book Antiqua" w:eastAsia="宋体" w:hAnsi="Book Antiqua" w:cs="宋体"/>
          <w:b/>
          <w:bCs/>
          <w:color w:val="201F35"/>
          <w:lang w:eastAsia="zh-CN"/>
        </w:rPr>
        <w:t>Clevers H</w:t>
      </w:r>
      <w:r w:rsidRPr="00F91674">
        <w:rPr>
          <w:rFonts w:ascii="Book Antiqua" w:eastAsia="宋体" w:hAnsi="Book Antiqua" w:cs="宋体"/>
          <w:color w:val="201F35"/>
          <w:lang w:eastAsia="zh-CN"/>
        </w:rPr>
        <w:t>. The cancer stem cell: premises, promises and challenges. </w:t>
      </w:r>
      <w:r w:rsidRPr="00F91674">
        <w:rPr>
          <w:rFonts w:ascii="Book Antiqua" w:eastAsia="宋体" w:hAnsi="Book Antiqua" w:cs="宋体"/>
          <w:i/>
          <w:iCs/>
          <w:color w:val="201F35"/>
          <w:lang w:eastAsia="zh-CN"/>
        </w:rPr>
        <w:t>Nat Med</w:t>
      </w:r>
      <w:r w:rsidRPr="00F91674">
        <w:rPr>
          <w:rFonts w:ascii="Book Antiqua" w:eastAsia="宋体" w:hAnsi="Book Antiqua" w:cs="宋体"/>
          <w:color w:val="201F35"/>
          <w:lang w:eastAsia="zh-CN"/>
        </w:rPr>
        <w:t> 2011; </w:t>
      </w:r>
      <w:r w:rsidRPr="00F91674">
        <w:rPr>
          <w:rFonts w:ascii="Book Antiqua" w:eastAsia="宋体" w:hAnsi="Book Antiqua" w:cs="宋体"/>
          <w:b/>
          <w:bCs/>
          <w:color w:val="201F35"/>
          <w:lang w:eastAsia="zh-CN"/>
        </w:rPr>
        <w:t>17</w:t>
      </w:r>
      <w:r w:rsidRPr="00F91674">
        <w:rPr>
          <w:rFonts w:ascii="Book Antiqua" w:eastAsia="宋体" w:hAnsi="Book Antiqua" w:cs="宋体"/>
          <w:color w:val="201F35"/>
          <w:lang w:eastAsia="zh-CN"/>
        </w:rPr>
        <w:t>: 313-319 [PMID: 21386835 DOI: 10.1038/nm.2304]</w:t>
      </w:r>
    </w:p>
    <w:p w14:paraId="1CFD98D1"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val="fr-FR" w:eastAsia="zh-CN"/>
        </w:rPr>
      </w:pPr>
      <w:r w:rsidRPr="00F91674">
        <w:rPr>
          <w:rFonts w:ascii="Book Antiqua" w:eastAsia="宋体" w:hAnsi="Book Antiqua" w:cs="宋体"/>
          <w:color w:val="201F35"/>
          <w:lang w:eastAsia="zh-CN"/>
        </w:rPr>
        <w:t>27 </w:t>
      </w:r>
      <w:r w:rsidRPr="00F91674">
        <w:rPr>
          <w:rFonts w:ascii="Book Antiqua" w:eastAsia="宋体" w:hAnsi="Book Antiqua" w:cs="宋体"/>
          <w:b/>
          <w:bCs/>
          <w:color w:val="201F35"/>
          <w:lang w:eastAsia="zh-CN"/>
        </w:rPr>
        <w:t>Meacham CE</w:t>
      </w:r>
      <w:r w:rsidRPr="00F91674">
        <w:rPr>
          <w:rFonts w:ascii="Book Antiqua" w:eastAsia="宋体" w:hAnsi="Book Antiqua" w:cs="宋体"/>
          <w:color w:val="201F35"/>
          <w:lang w:eastAsia="zh-CN"/>
        </w:rPr>
        <w:t>, Morrison SJ. Tumour heterogeneity and cancer cell plasticity. </w:t>
      </w:r>
      <w:r w:rsidRPr="00F91674">
        <w:rPr>
          <w:rFonts w:ascii="Book Antiqua" w:eastAsia="宋体" w:hAnsi="Book Antiqua" w:cs="宋体"/>
          <w:i/>
          <w:iCs/>
          <w:color w:val="201F35"/>
          <w:lang w:val="fr-FR" w:eastAsia="zh-CN"/>
        </w:rPr>
        <w:t>Nature</w:t>
      </w:r>
      <w:r w:rsidRPr="00F91674">
        <w:rPr>
          <w:rFonts w:ascii="Book Antiqua" w:eastAsia="宋体" w:hAnsi="Book Antiqua" w:cs="宋体"/>
          <w:color w:val="201F35"/>
          <w:lang w:val="fr-FR" w:eastAsia="zh-CN"/>
        </w:rPr>
        <w:t> 2013; </w:t>
      </w:r>
      <w:r w:rsidRPr="00F91674">
        <w:rPr>
          <w:rFonts w:ascii="Book Antiqua" w:eastAsia="宋体" w:hAnsi="Book Antiqua" w:cs="宋体"/>
          <w:b/>
          <w:bCs/>
          <w:color w:val="201F35"/>
          <w:lang w:val="fr-FR" w:eastAsia="zh-CN"/>
        </w:rPr>
        <w:t>501</w:t>
      </w:r>
      <w:r w:rsidRPr="00F91674">
        <w:rPr>
          <w:rFonts w:ascii="Book Antiqua" w:eastAsia="宋体" w:hAnsi="Book Antiqua" w:cs="宋体"/>
          <w:color w:val="201F35"/>
          <w:lang w:val="fr-FR" w:eastAsia="zh-CN"/>
        </w:rPr>
        <w:t>: 328-337 [PMID: 24048065 DOI: 10.1038/nature12624]</w:t>
      </w:r>
    </w:p>
    <w:p w14:paraId="47DC43FF"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val="fr-FR" w:eastAsia="zh-CN"/>
        </w:rPr>
        <w:t>28 </w:t>
      </w:r>
      <w:r w:rsidRPr="00F91674">
        <w:rPr>
          <w:rFonts w:ascii="Book Antiqua" w:eastAsia="宋体" w:hAnsi="Book Antiqua" w:cs="宋体"/>
          <w:b/>
          <w:bCs/>
          <w:color w:val="201F35"/>
          <w:lang w:val="fr-FR" w:eastAsia="zh-CN"/>
        </w:rPr>
        <w:t>Reya T</w:t>
      </w:r>
      <w:r w:rsidRPr="00F91674">
        <w:rPr>
          <w:rFonts w:ascii="Book Antiqua" w:eastAsia="宋体" w:hAnsi="Book Antiqua" w:cs="宋体"/>
          <w:color w:val="201F35"/>
          <w:lang w:val="fr-FR" w:eastAsia="zh-CN"/>
        </w:rPr>
        <w:t xml:space="preserve">, Morrison SJ, Clarke MF, Weissman IL. </w:t>
      </w:r>
      <w:r w:rsidRPr="00F91674">
        <w:rPr>
          <w:rFonts w:ascii="Book Antiqua" w:eastAsia="宋体" w:hAnsi="Book Antiqua" w:cs="宋体"/>
          <w:color w:val="201F35"/>
          <w:lang w:eastAsia="zh-CN"/>
        </w:rPr>
        <w:t>Stem cells, cancer, and cancer stem cells. </w:t>
      </w:r>
      <w:r w:rsidRPr="00F91674">
        <w:rPr>
          <w:rFonts w:ascii="Book Antiqua" w:eastAsia="宋体" w:hAnsi="Book Antiqua" w:cs="宋体"/>
          <w:i/>
          <w:iCs/>
          <w:color w:val="201F35"/>
          <w:lang w:eastAsia="zh-CN"/>
        </w:rPr>
        <w:t>Nature</w:t>
      </w:r>
      <w:r w:rsidRPr="00F91674">
        <w:rPr>
          <w:rFonts w:ascii="Book Antiqua" w:eastAsia="宋体" w:hAnsi="Book Antiqua" w:cs="宋体"/>
          <w:color w:val="201F35"/>
          <w:lang w:eastAsia="zh-CN"/>
        </w:rPr>
        <w:t> 2001; </w:t>
      </w:r>
      <w:r w:rsidRPr="00F91674">
        <w:rPr>
          <w:rFonts w:ascii="Book Antiqua" w:eastAsia="宋体" w:hAnsi="Book Antiqua" w:cs="宋体"/>
          <w:b/>
          <w:bCs/>
          <w:color w:val="201F35"/>
          <w:lang w:eastAsia="zh-CN"/>
        </w:rPr>
        <w:t>414</w:t>
      </w:r>
      <w:r w:rsidRPr="00F91674">
        <w:rPr>
          <w:rFonts w:ascii="Book Antiqua" w:eastAsia="宋体" w:hAnsi="Book Antiqua" w:cs="宋体"/>
          <w:color w:val="201F35"/>
          <w:lang w:eastAsia="zh-CN"/>
        </w:rPr>
        <w:t>: 105-111 [PMID: 11689955 DOI: 10.1038/35102167]</w:t>
      </w:r>
    </w:p>
    <w:p w14:paraId="68295EB5"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29 </w:t>
      </w:r>
      <w:r w:rsidRPr="00F91674">
        <w:rPr>
          <w:rFonts w:ascii="Book Antiqua" w:eastAsia="宋体" w:hAnsi="Book Antiqua" w:cs="宋体"/>
          <w:b/>
          <w:bCs/>
          <w:color w:val="201F35"/>
          <w:lang w:eastAsia="zh-CN"/>
        </w:rPr>
        <w:t>Shackleton M</w:t>
      </w:r>
      <w:r w:rsidRPr="00F91674">
        <w:rPr>
          <w:rFonts w:ascii="Book Antiqua" w:eastAsia="宋体" w:hAnsi="Book Antiqua" w:cs="宋体"/>
          <w:color w:val="201F35"/>
          <w:lang w:eastAsia="zh-CN"/>
        </w:rPr>
        <w:t>, Quintana E, Fearon ER, Morrison SJ. Heterogeneity in cancer: cancer stem cells versus clonal evolution. </w:t>
      </w:r>
      <w:r w:rsidRPr="00F91674">
        <w:rPr>
          <w:rFonts w:ascii="Book Antiqua" w:eastAsia="宋体" w:hAnsi="Book Antiqua" w:cs="宋体"/>
          <w:i/>
          <w:iCs/>
          <w:color w:val="201F35"/>
          <w:lang w:eastAsia="zh-CN"/>
        </w:rPr>
        <w:t>Cell</w:t>
      </w:r>
      <w:r w:rsidRPr="00F91674">
        <w:rPr>
          <w:rFonts w:ascii="Book Antiqua" w:eastAsia="宋体" w:hAnsi="Book Antiqua" w:cs="宋体"/>
          <w:color w:val="201F35"/>
          <w:lang w:eastAsia="zh-CN"/>
        </w:rPr>
        <w:t> 2009; </w:t>
      </w:r>
      <w:r w:rsidRPr="00F91674">
        <w:rPr>
          <w:rFonts w:ascii="Book Antiqua" w:eastAsia="宋体" w:hAnsi="Book Antiqua" w:cs="宋体"/>
          <w:b/>
          <w:bCs/>
          <w:color w:val="201F35"/>
          <w:lang w:eastAsia="zh-CN"/>
        </w:rPr>
        <w:t>138</w:t>
      </w:r>
      <w:r w:rsidRPr="00F91674">
        <w:rPr>
          <w:rFonts w:ascii="Book Antiqua" w:eastAsia="宋体" w:hAnsi="Book Antiqua" w:cs="宋体"/>
          <w:color w:val="201F35"/>
          <w:lang w:eastAsia="zh-CN"/>
        </w:rPr>
        <w:t>: 822-829 [PMID: 19737509 DOI: 10.1016/j.cell.2009.08.017]</w:t>
      </w:r>
    </w:p>
    <w:p w14:paraId="16233420"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30 </w:t>
      </w:r>
      <w:r w:rsidRPr="00F91674">
        <w:rPr>
          <w:rFonts w:ascii="Book Antiqua" w:eastAsia="宋体" w:hAnsi="Book Antiqua" w:cs="宋体"/>
          <w:b/>
          <w:bCs/>
          <w:color w:val="201F35"/>
          <w:lang w:eastAsia="zh-CN"/>
        </w:rPr>
        <w:t>Walcher L</w:t>
      </w:r>
      <w:r w:rsidRPr="00F91674">
        <w:rPr>
          <w:rFonts w:ascii="Book Antiqua" w:eastAsia="宋体" w:hAnsi="Book Antiqua" w:cs="宋体"/>
          <w:color w:val="201F35"/>
          <w:lang w:eastAsia="zh-CN"/>
        </w:rPr>
        <w:t>, Kistenmacher AK, Suo H, Kitte R, Dluczek S, Strauß A, Blaudszun AR, Yevsa T, Fricke S, Kossatz-Boehlert U. Cancer Stem Cells-Origins and Biomarkers: Perspectives for Targeted Personalized Therapies. </w:t>
      </w:r>
      <w:r w:rsidRPr="00F91674">
        <w:rPr>
          <w:rFonts w:ascii="Book Antiqua" w:eastAsia="宋体" w:hAnsi="Book Antiqua" w:cs="宋体"/>
          <w:i/>
          <w:iCs/>
          <w:color w:val="201F35"/>
          <w:lang w:eastAsia="zh-CN"/>
        </w:rPr>
        <w:t>Front Immunol</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11</w:t>
      </w:r>
      <w:r w:rsidRPr="00F91674">
        <w:rPr>
          <w:rFonts w:ascii="Book Antiqua" w:eastAsia="宋体" w:hAnsi="Book Antiqua" w:cs="宋体"/>
          <w:color w:val="201F35"/>
          <w:lang w:eastAsia="zh-CN"/>
        </w:rPr>
        <w:t>: 1280 [PMID: 32849491 DOI: 10.3389/fimmu.2020.01280]</w:t>
      </w:r>
    </w:p>
    <w:p w14:paraId="5F937874"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lastRenderedPageBreak/>
        <w:t>31 </w:t>
      </w:r>
      <w:r w:rsidRPr="00F91674">
        <w:rPr>
          <w:rFonts w:ascii="Book Antiqua" w:eastAsia="宋体" w:hAnsi="Book Antiqua" w:cs="宋体"/>
          <w:b/>
          <w:bCs/>
          <w:color w:val="201F35"/>
          <w:lang w:eastAsia="zh-CN"/>
        </w:rPr>
        <w:t>Cole AJ</w:t>
      </w:r>
      <w:r w:rsidRPr="00F91674">
        <w:rPr>
          <w:rFonts w:ascii="Book Antiqua" w:eastAsia="宋体" w:hAnsi="Book Antiqua" w:cs="宋体"/>
          <w:color w:val="201F35"/>
          <w:lang w:eastAsia="zh-CN"/>
        </w:rPr>
        <w:t>, Fayomi AP, Anyaeche VI, Bai S, Buckanovich RJ. An evolving paradigm of cancer stem cell hierarchies: therapeutic implications. </w:t>
      </w:r>
      <w:r w:rsidRPr="00F91674">
        <w:rPr>
          <w:rFonts w:ascii="Book Antiqua" w:eastAsia="宋体" w:hAnsi="Book Antiqua" w:cs="宋体"/>
          <w:i/>
          <w:iCs/>
          <w:color w:val="201F35"/>
          <w:lang w:eastAsia="zh-CN"/>
        </w:rPr>
        <w:t>Theranostics</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10</w:t>
      </w:r>
      <w:r w:rsidRPr="00F91674">
        <w:rPr>
          <w:rFonts w:ascii="Book Antiqua" w:eastAsia="宋体" w:hAnsi="Book Antiqua" w:cs="宋体"/>
          <w:color w:val="201F35"/>
          <w:lang w:eastAsia="zh-CN"/>
        </w:rPr>
        <w:t>: 3083-3098 [PMID: 32194856 DOI: 10.7150/thno.41647]</w:t>
      </w:r>
    </w:p>
    <w:p w14:paraId="3780E943"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32 </w:t>
      </w:r>
      <w:r w:rsidRPr="00F91674">
        <w:rPr>
          <w:rFonts w:ascii="Book Antiqua" w:eastAsia="宋体" w:hAnsi="Book Antiqua" w:cs="宋体"/>
          <w:b/>
          <w:bCs/>
          <w:color w:val="201F35"/>
          <w:lang w:eastAsia="zh-CN"/>
        </w:rPr>
        <w:t>Visvader JE</w:t>
      </w:r>
      <w:r w:rsidRPr="00F91674">
        <w:rPr>
          <w:rFonts w:ascii="Book Antiqua" w:eastAsia="宋体" w:hAnsi="Book Antiqua" w:cs="宋体"/>
          <w:color w:val="201F35"/>
          <w:lang w:eastAsia="zh-CN"/>
        </w:rPr>
        <w:t>, Lindeman GJ. Cancer stem cells in solid tumours: accumulating evidence and unresolved questions. </w:t>
      </w:r>
      <w:r w:rsidRPr="00F91674">
        <w:rPr>
          <w:rFonts w:ascii="Book Antiqua" w:eastAsia="宋体" w:hAnsi="Book Antiqua" w:cs="宋体"/>
          <w:i/>
          <w:iCs/>
          <w:color w:val="201F35"/>
          <w:lang w:eastAsia="zh-CN"/>
        </w:rPr>
        <w:t>Nat Rev Cancer</w:t>
      </w:r>
      <w:r w:rsidRPr="00F91674">
        <w:rPr>
          <w:rFonts w:ascii="Book Antiqua" w:eastAsia="宋体" w:hAnsi="Book Antiqua" w:cs="宋体"/>
          <w:color w:val="201F35"/>
          <w:lang w:eastAsia="zh-CN"/>
        </w:rPr>
        <w:t> 2008; </w:t>
      </w:r>
      <w:r w:rsidRPr="00F91674">
        <w:rPr>
          <w:rFonts w:ascii="Book Antiqua" w:eastAsia="宋体" w:hAnsi="Book Antiqua" w:cs="宋体"/>
          <w:b/>
          <w:bCs/>
          <w:color w:val="201F35"/>
          <w:lang w:eastAsia="zh-CN"/>
        </w:rPr>
        <w:t>8</w:t>
      </w:r>
      <w:r w:rsidRPr="00F91674">
        <w:rPr>
          <w:rFonts w:ascii="Book Antiqua" w:eastAsia="宋体" w:hAnsi="Book Antiqua" w:cs="宋体"/>
          <w:color w:val="201F35"/>
          <w:lang w:eastAsia="zh-CN"/>
        </w:rPr>
        <w:t>: 755-768 [PMID: 18784658 DOI: 10.1038/nrc2499]</w:t>
      </w:r>
    </w:p>
    <w:p w14:paraId="67817120"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33 </w:t>
      </w:r>
      <w:r w:rsidRPr="00F91674">
        <w:rPr>
          <w:rFonts w:ascii="Book Antiqua" w:eastAsia="宋体" w:hAnsi="Book Antiqua" w:cs="宋体"/>
          <w:b/>
          <w:bCs/>
          <w:color w:val="201F35"/>
          <w:lang w:eastAsia="zh-CN"/>
        </w:rPr>
        <w:t>Phi LTH</w:t>
      </w:r>
      <w:r w:rsidRPr="00F91674">
        <w:rPr>
          <w:rFonts w:ascii="Book Antiqua" w:eastAsia="宋体" w:hAnsi="Book Antiqua" w:cs="宋体"/>
          <w:color w:val="201F35"/>
          <w:lang w:eastAsia="zh-CN"/>
        </w:rPr>
        <w:t>, Sari IN, Yang YG, Lee SH, Jun N, Kim KS, Lee YK, Kwon HY. Cancer Stem Cells (CSCs) in Drug Resistance and their Therapeutic Implications in Cancer Treatment. </w:t>
      </w:r>
      <w:r w:rsidRPr="00F91674">
        <w:rPr>
          <w:rFonts w:ascii="Book Antiqua" w:eastAsia="宋体" w:hAnsi="Book Antiqua" w:cs="宋体"/>
          <w:i/>
          <w:iCs/>
          <w:color w:val="201F35"/>
          <w:lang w:eastAsia="zh-CN"/>
        </w:rPr>
        <w:t>Stem Cells Int</w:t>
      </w:r>
      <w:r w:rsidRPr="00F91674">
        <w:rPr>
          <w:rFonts w:ascii="Book Antiqua" w:eastAsia="宋体" w:hAnsi="Book Antiqua" w:cs="宋体"/>
          <w:color w:val="201F35"/>
          <w:lang w:eastAsia="zh-CN"/>
        </w:rPr>
        <w:t> 2018; </w:t>
      </w:r>
      <w:r w:rsidRPr="00F91674">
        <w:rPr>
          <w:rFonts w:ascii="Book Antiqua" w:eastAsia="宋体" w:hAnsi="Book Antiqua" w:cs="宋体"/>
          <w:b/>
          <w:bCs/>
          <w:color w:val="201F35"/>
          <w:lang w:eastAsia="zh-CN"/>
        </w:rPr>
        <w:t>2018</w:t>
      </w:r>
      <w:r w:rsidRPr="00F91674">
        <w:rPr>
          <w:rFonts w:ascii="Book Antiqua" w:eastAsia="宋体" w:hAnsi="Book Antiqua" w:cs="宋体"/>
          <w:color w:val="201F35"/>
          <w:lang w:eastAsia="zh-CN"/>
        </w:rPr>
        <w:t>: 5416923 [PMID: 29681949 DOI: 10.1155/2018/5416923]</w:t>
      </w:r>
    </w:p>
    <w:p w14:paraId="6BDDC4E5"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34 </w:t>
      </w:r>
      <w:r w:rsidRPr="00F91674">
        <w:rPr>
          <w:rFonts w:ascii="Book Antiqua" w:eastAsia="宋体" w:hAnsi="Book Antiqua" w:cs="宋体"/>
          <w:b/>
          <w:bCs/>
          <w:color w:val="201F35"/>
          <w:lang w:eastAsia="zh-CN"/>
        </w:rPr>
        <w:t>Schepers GE</w:t>
      </w:r>
      <w:r w:rsidRPr="00F91674">
        <w:rPr>
          <w:rFonts w:ascii="Book Antiqua" w:eastAsia="宋体" w:hAnsi="Book Antiqua" w:cs="宋体"/>
          <w:color w:val="201F35"/>
          <w:lang w:eastAsia="zh-CN"/>
        </w:rPr>
        <w:t>, Teasdale RD, Koopman P. Twenty pairs of sox: extent, homology, and nomenclature of the mouse and human sox transcription factor gene families. </w:t>
      </w:r>
      <w:r w:rsidRPr="00F91674">
        <w:rPr>
          <w:rFonts w:ascii="Book Antiqua" w:eastAsia="宋体" w:hAnsi="Book Antiqua" w:cs="宋体"/>
          <w:i/>
          <w:iCs/>
          <w:color w:val="201F35"/>
          <w:lang w:eastAsia="zh-CN"/>
        </w:rPr>
        <w:t>Dev Cell</w:t>
      </w:r>
      <w:r w:rsidRPr="00F91674">
        <w:rPr>
          <w:rFonts w:ascii="Book Antiqua" w:eastAsia="宋体" w:hAnsi="Book Antiqua" w:cs="宋体"/>
          <w:color w:val="201F35"/>
          <w:lang w:eastAsia="zh-CN"/>
        </w:rPr>
        <w:t> 2002; </w:t>
      </w:r>
      <w:r w:rsidRPr="00F91674">
        <w:rPr>
          <w:rFonts w:ascii="Book Antiqua" w:eastAsia="宋体" w:hAnsi="Book Antiqua" w:cs="宋体"/>
          <w:b/>
          <w:bCs/>
          <w:color w:val="201F35"/>
          <w:lang w:eastAsia="zh-CN"/>
        </w:rPr>
        <w:t>3</w:t>
      </w:r>
      <w:r w:rsidRPr="00F91674">
        <w:rPr>
          <w:rFonts w:ascii="Book Antiqua" w:eastAsia="宋体" w:hAnsi="Book Antiqua" w:cs="宋体"/>
          <w:color w:val="201F35"/>
          <w:lang w:eastAsia="zh-CN"/>
        </w:rPr>
        <w:t>: 167-170 [PMID: 12194848 DOI: 10.1016/s1534-5807(02)00223-x]</w:t>
      </w:r>
    </w:p>
    <w:p w14:paraId="35D77117"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35 </w:t>
      </w:r>
      <w:r w:rsidRPr="00F91674">
        <w:rPr>
          <w:rFonts w:ascii="Book Antiqua" w:eastAsia="宋体" w:hAnsi="Book Antiqua" w:cs="宋体"/>
          <w:b/>
          <w:bCs/>
          <w:color w:val="201F35"/>
          <w:lang w:eastAsia="zh-CN"/>
        </w:rPr>
        <w:t>Bowles J</w:t>
      </w:r>
      <w:r w:rsidRPr="00F91674">
        <w:rPr>
          <w:rFonts w:ascii="Book Antiqua" w:eastAsia="宋体" w:hAnsi="Book Antiqua" w:cs="宋体"/>
          <w:color w:val="201F35"/>
          <w:lang w:eastAsia="zh-CN"/>
        </w:rPr>
        <w:t>, Schepers G, Koopman P. Phylogeny of the SOX family of developmental transcription factors based on sequence and structural indicators. </w:t>
      </w:r>
      <w:r w:rsidRPr="00F91674">
        <w:rPr>
          <w:rFonts w:ascii="Book Antiqua" w:eastAsia="宋体" w:hAnsi="Book Antiqua" w:cs="宋体"/>
          <w:i/>
          <w:iCs/>
          <w:color w:val="201F35"/>
          <w:lang w:eastAsia="zh-CN"/>
        </w:rPr>
        <w:t>Dev Biol</w:t>
      </w:r>
      <w:r w:rsidRPr="00F91674">
        <w:rPr>
          <w:rFonts w:ascii="Book Antiqua" w:eastAsia="宋体" w:hAnsi="Book Antiqua" w:cs="宋体"/>
          <w:color w:val="201F35"/>
          <w:lang w:eastAsia="zh-CN"/>
        </w:rPr>
        <w:t> 2000; </w:t>
      </w:r>
      <w:r w:rsidRPr="00F91674">
        <w:rPr>
          <w:rFonts w:ascii="Book Antiqua" w:eastAsia="宋体" w:hAnsi="Book Antiqua" w:cs="宋体"/>
          <w:b/>
          <w:bCs/>
          <w:color w:val="201F35"/>
          <w:lang w:eastAsia="zh-CN"/>
        </w:rPr>
        <w:t>227</w:t>
      </w:r>
      <w:r w:rsidRPr="00F91674">
        <w:rPr>
          <w:rFonts w:ascii="Book Antiqua" w:eastAsia="宋体" w:hAnsi="Book Antiqua" w:cs="宋体"/>
          <w:color w:val="201F35"/>
          <w:lang w:eastAsia="zh-CN"/>
        </w:rPr>
        <w:t>: 239-255 [PMID: 11071752 DOI: 10.1006/dbio.2000.9883]</w:t>
      </w:r>
    </w:p>
    <w:p w14:paraId="251A486A"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36 </w:t>
      </w:r>
      <w:r w:rsidRPr="00F91674">
        <w:rPr>
          <w:rFonts w:ascii="Book Antiqua" w:eastAsia="宋体" w:hAnsi="Book Antiqua" w:cs="宋体"/>
          <w:b/>
          <w:bCs/>
          <w:color w:val="201F35"/>
          <w:lang w:eastAsia="zh-CN"/>
        </w:rPr>
        <w:t>Uchikawa M</w:t>
      </w:r>
      <w:r w:rsidRPr="00F91674">
        <w:rPr>
          <w:rFonts w:ascii="Book Antiqua" w:eastAsia="宋体" w:hAnsi="Book Antiqua" w:cs="宋体"/>
          <w:color w:val="201F35"/>
          <w:lang w:eastAsia="zh-CN"/>
        </w:rPr>
        <w:t>, Kamachi Y, Kondoh H. Two distinct subgroups of Group B Sox genes for transcriptional activators and repressors: their expression during embryonic organogenesis of the chicken. </w:t>
      </w:r>
      <w:r w:rsidRPr="00F91674">
        <w:rPr>
          <w:rFonts w:ascii="Book Antiqua" w:eastAsia="宋体" w:hAnsi="Book Antiqua" w:cs="宋体"/>
          <w:i/>
          <w:iCs/>
          <w:color w:val="201F35"/>
          <w:lang w:eastAsia="zh-CN"/>
        </w:rPr>
        <w:t>Mech Dev</w:t>
      </w:r>
      <w:r w:rsidRPr="00F91674">
        <w:rPr>
          <w:rFonts w:ascii="Book Antiqua" w:eastAsia="宋体" w:hAnsi="Book Antiqua" w:cs="宋体"/>
          <w:color w:val="201F35"/>
          <w:lang w:eastAsia="zh-CN"/>
        </w:rPr>
        <w:t> 1999; </w:t>
      </w:r>
      <w:r w:rsidRPr="00F91674">
        <w:rPr>
          <w:rFonts w:ascii="Book Antiqua" w:eastAsia="宋体" w:hAnsi="Book Antiqua" w:cs="宋体"/>
          <w:b/>
          <w:bCs/>
          <w:color w:val="201F35"/>
          <w:lang w:eastAsia="zh-CN"/>
        </w:rPr>
        <w:t>84</w:t>
      </w:r>
      <w:r w:rsidRPr="00F91674">
        <w:rPr>
          <w:rFonts w:ascii="Book Antiqua" w:eastAsia="宋体" w:hAnsi="Book Antiqua" w:cs="宋体"/>
          <w:color w:val="201F35"/>
          <w:lang w:eastAsia="zh-CN"/>
        </w:rPr>
        <w:t>: 103-120 [PMID: 10473124 DOI: 10.1016/s0925-4773(99)00083-0]</w:t>
      </w:r>
    </w:p>
    <w:p w14:paraId="7C58C1CD"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37 </w:t>
      </w:r>
      <w:r w:rsidRPr="00F91674">
        <w:rPr>
          <w:rFonts w:ascii="Book Antiqua" w:eastAsia="宋体" w:hAnsi="Book Antiqua" w:cs="宋体"/>
          <w:b/>
          <w:bCs/>
          <w:color w:val="201F35"/>
          <w:lang w:eastAsia="zh-CN"/>
        </w:rPr>
        <w:t>Pevny LH</w:t>
      </w:r>
      <w:r w:rsidRPr="00F91674">
        <w:rPr>
          <w:rFonts w:ascii="Book Antiqua" w:eastAsia="宋体" w:hAnsi="Book Antiqua" w:cs="宋体"/>
          <w:color w:val="201F35"/>
          <w:lang w:eastAsia="zh-CN"/>
        </w:rPr>
        <w:t>, Lovell-Badge R. Sox genes find their feet. </w:t>
      </w:r>
      <w:r w:rsidRPr="00F91674">
        <w:rPr>
          <w:rFonts w:ascii="Book Antiqua" w:eastAsia="宋体" w:hAnsi="Book Antiqua" w:cs="宋体"/>
          <w:i/>
          <w:iCs/>
          <w:color w:val="201F35"/>
          <w:lang w:eastAsia="zh-CN"/>
        </w:rPr>
        <w:t>Curr Opin Genet Dev</w:t>
      </w:r>
      <w:r w:rsidRPr="00F91674">
        <w:rPr>
          <w:rFonts w:ascii="Book Antiqua" w:eastAsia="宋体" w:hAnsi="Book Antiqua" w:cs="宋体"/>
          <w:color w:val="201F35"/>
          <w:lang w:eastAsia="zh-CN"/>
        </w:rPr>
        <w:t> 1997; </w:t>
      </w:r>
      <w:r w:rsidRPr="00F91674">
        <w:rPr>
          <w:rFonts w:ascii="Book Antiqua" w:eastAsia="宋体" w:hAnsi="Book Antiqua" w:cs="宋体"/>
          <w:b/>
          <w:bCs/>
          <w:color w:val="201F35"/>
          <w:lang w:eastAsia="zh-CN"/>
        </w:rPr>
        <w:t>7</w:t>
      </w:r>
      <w:r w:rsidRPr="00F91674">
        <w:rPr>
          <w:rFonts w:ascii="Book Antiqua" w:eastAsia="宋体" w:hAnsi="Book Antiqua" w:cs="宋体"/>
          <w:color w:val="201F35"/>
          <w:lang w:eastAsia="zh-CN"/>
        </w:rPr>
        <w:t>: 338-344 [PMID: 9229109 DOI: 10.1016/s0959-</w:t>
      </w:r>
      <w:proofErr w:type="gramStart"/>
      <w:r w:rsidRPr="00F91674">
        <w:rPr>
          <w:rFonts w:ascii="Book Antiqua" w:eastAsia="宋体" w:hAnsi="Book Antiqua" w:cs="宋体"/>
          <w:color w:val="201F35"/>
          <w:lang w:eastAsia="zh-CN"/>
        </w:rPr>
        <w:t>437x(</w:t>
      </w:r>
      <w:proofErr w:type="gramEnd"/>
      <w:r w:rsidRPr="00F91674">
        <w:rPr>
          <w:rFonts w:ascii="Book Antiqua" w:eastAsia="宋体" w:hAnsi="Book Antiqua" w:cs="宋体"/>
          <w:color w:val="201F35"/>
          <w:lang w:eastAsia="zh-CN"/>
        </w:rPr>
        <w:t>97)80147-5]</w:t>
      </w:r>
    </w:p>
    <w:p w14:paraId="740FD79F"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38 </w:t>
      </w:r>
      <w:r w:rsidRPr="00F91674">
        <w:rPr>
          <w:rFonts w:ascii="Book Antiqua" w:eastAsia="宋体" w:hAnsi="Book Antiqua" w:cs="宋体"/>
          <w:b/>
          <w:bCs/>
          <w:color w:val="201F35"/>
          <w:lang w:eastAsia="zh-CN"/>
        </w:rPr>
        <w:t>Kamachi Y</w:t>
      </w:r>
      <w:r w:rsidRPr="00F91674">
        <w:rPr>
          <w:rFonts w:ascii="Book Antiqua" w:eastAsia="宋体" w:hAnsi="Book Antiqua" w:cs="宋体"/>
          <w:color w:val="201F35"/>
          <w:lang w:eastAsia="zh-CN"/>
        </w:rPr>
        <w:t>, Uchikawa M, Kondoh H. Pairing SOX off: with partners in the regulation of embryonic development. </w:t>
      </w:r>
      <w:r w:rsidRPr="00F91674">
        <w:rPr>
          <w:rFonts w:ascii="Book Antiqua" w:eastAsia="宋体" w:hAnsi="Book Antiqua" w:cs="宋体"/>
          <w:i/>
          <w:iCs/>
          <w:color w:val="201F35"/>
          <w:lang w:eastAsia="zh-CN"/>
        </w:rPr>
        <w:t>Trends Genet</w:t>
      </w:r>
      <w:r w:rsidRPr="00F91674">
        <w:rPr>
          <w:rFonts w:ascii="Book Antiqua" w:eastAsia="宋体" w:hAnsi="Book Antiqua" w:cs="宋体"/>
          <w:color w:val="201F35"/>
          <w:lang w:eastAsia="zh-CN"/>
        </w:rPr>
        <w:t> 2000; </w:t>
      </w:r>
      <w:r w:rsidRPr="00F91674">
        <w:rPr>
          <w:rFonts w:ascii="Book Antiqua" w:eastAsia="宋体" w:hAnsi="Book Antiqua" w:cs="宋体"/>
          <w:b/>
          <w:bCs/>
          <w:color w:val="201F35"/>
          <w:lang w:eastAsia="zh-CN"/>
        </w:rPr>
        <w:t>16</w:t>
      </w:r>
      <w:r w:rsidRPr="00F91674">
        <w:rPr>
          <w:rFonts w:ascii="Book Antiqua" w:eastAsia="宋体" w:hAnsi="Book Antiqua" w:cs="宋体"/>
          <w:color w:val="201F35"/>
          <w:lang w:eastAsia="zh-CN"/>
        </w:rPr>
        <w:t>: 182-187 [PMID: 10729834 DOI: 10.1016/s0168-9525(99)01955-1]</w:t>
      </w:r>
    </w:p>
    <w:p w14:paraId="1ECFDC3C"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39 </w:t>
      </w:r>
      <w:r w:rsidRPr="00F91674">
        <w:rPr>
          <w:rFonts w:ascii="Book Antiqua" w:eastAsia="宋体" w:hAnsi="Book Antiqua" w:cs="宋体"/>
          <w:b/>
          <w:bCs/>
          <w:color w:val="201F35"/>
          <w:lang w:eastAsia="zh-CN"/>
        </w:rPr>
        <w:t>Reiprich S</w:t>
      </w:r>
      <w:r w:rsidRPr="00F91674">
        <w:rPr>
          <w:rFonts w:ascii="Book Antiqua" w:eastAsia="宋体" w:hAnsi="Book Antiqua" w:cs="宋体"/>
          <w:color w:val="201F35"/>
          <w:lang w:eastAsia="zh-CN"/>
        </w:rPr>
        <w:t>, Wegner M. From CNS stem cells to neurons and glia: Sox for everyone. </w:t>
      </w:r>
      <w:r w:rsidRPr="00F91674">
        <w:rPr>
          <w:rFonts w:ascii="Book Antiqua" w:eastAsia="宋体" w:hAnsi="Book Antiqua" w:cs="宋体"/>
          <w:i/>
          <w:iCs/>
          <w:color w:val="201F35"/>
          <w:lang w:eastAsia="zh-CN"/>
        </w:rPr>
        <w:t>Cell Tissue Res</w:t>
      </w:r>
      <w:r w:rsidRPr="00F91674">
        <w:rPr>
          <w:rFonts w:ascii="Book Antiqua" w:eastAsia="宋体" w:hAnsi="Book Antiqua" w:cs="宋体"/>
          <w:color w:val="201F35"/>
          <w:lang w:eastAsia="zh-CN"/>
        </w:rPr>
        <w:t> 2015; </w:t>
      </w:r>
      <w:r w:rsidRPr="00F91674">
        <w:rPr>
          <w:rFonts w:ascii="Book Antiqua" w:eastAsia="宋体" w:hAnsi="Book Antiqua" w:cs="宋体"/>
          <w:b/>
          <w:bCs/>
          <w:color w:val="201F35"/>
          <w:lang w:eastAsia="zh-CN"/>
        </w:rPr>
        <w:t>359</w:t>
      </w:r>
      <w:r w:rsidRPr="00F91674">
        <w:rPr>
          <w:rFonts w:ascii="Book Antiqua" w:eastAsia="宋体" w:hAnsi="Book Antiqua" w:cs="宋体"/>
          <w:color w:val="201F35"/>
          <w:lang w:eastAsia="zh-CN"/>
        </w:rPr>
        <w:t>: 111-124 [PMID: 24894327 DOI: 10.1007/s00441-014-1909-6]</w:t>
      </w:r>
    </w:p>
    <w:p w14:paraId="2740ABCF"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lastRenderedPageBreak/>
        <w:t>40 </w:t>
      </w:r>
      <w:r w:rsidRPr="00F91674">
        <w:rPr>
          <w:rFonts w:ascii="Book Antiqua" w:eastAsia="宋体" w:hAnsi="Book Antiqua" w:cs="宋体"/>
          <w:b/>
          <w:bCs/>
          <w:color w:val="201F35"/>
          <w:lang w:eastAsia="zh-CN"/>
        </w:rPr>
        <w:t>She ZY</w:t>
      </w:r>
      <w:r w:rsidRPr="00F91674">
        <w:rPr>
          <w:rFonts w:ascii="Book Antiqua" w:eastAsia="宋体" w:hAnsi="Book Antiqua" w:cs="宋体"/>
          <w:color w:val="201F35"/>
          <w:lang w:eastAsia="zh-CN"/>
        </w:rPr>
        <w:t>, Yang WX. SOX family transcription factors involved in diverse cellular events during development. </w:t>
      </w:r>
      <w:r w:rsidRPr="00F91674">
        <w:rPr>
          <w:rFonts w:ascii="Book Antiqua" w:eastAsia="宋体" w:hAnsi="Book Antiqua" w:cs="宋体"/>
          <w:i/>
          <w:iCs/>
          <w:color w:val="201F35"/>
          <w:lang w:eastAsia="zh-CN"/>
        </w:rPr>
        <w:t>Eur J Cell Biol</w:t>
      </w:r>
      <w:r w:rsidRPr="00F91674">
        <w:rPr>
          <w:rFonts w:ascii="Book Antiqua" w:eastAsia="宋体" w:hAnsi="Book Antiqua" w:cs="宋体"/>
          <w:color w:val="201F35"/>
          <w:lang w:eastAsia="zh-CN"/>
        </w:rPr>
        <w:t> 2015; </w:t>
      </w:r>
      <w:r w:rsidRPr="00F91674">
        <w:rPr>
          <w:rFonts w:ascii="Book Antiqua" w:eastAsia="宋体" w:hAnsi="Book Antiqua" w:cs="宋体"/>
          <w:b/>
          <w:bCs/>
          <w:color w:val="201F35"/>
          <w:lang w:eastAsia="zh-CN"/>
        </w:rPr>
        <w:t>94</w:t>
      </w:r>
      <w:r w:rsidRPr="00F91674">
        <w:rPr>
          <w:rFonts w:ascii="Book Antiqua" w:eastAsia="宋体" w:hAnsi="Book Antiqua" w:cs="宋体"/>
          <w:color w:val="201F35"/>
          <w:lang w:eastAsia="zh-CN"/>
        </w:rPr>
        <w:t>: 547-563 [PMID: 26340821 DOI: 10.1016/j.ejcb.2015.08.002]</w:t>
      </w:r>
    </w:p>
    <w:p w14:paraId="770BFF02"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41 </w:t>
      </w:r>
      <w:r w:rsidRPr="00F91674">
        <w:rPr>
          <w:rFonts w:ascii="Book Antiqua" w:eastAsia="宋体" w:hAnsi="Book Antiqua" w:cs="宋体"/>
          <w:b/>
          <w:bCs/>
          <w:color w:val="201F35"/>
          <w:lang w:eastAsia="zh-CN"/>
        </w:rPr>
        <w:t>Mercurio S</w:t>
      </w:r>
      <w:r w:rsidRPr="00F91674">
        <w:rPr>
          <w:rFonts w:ascii="Book Antiqua" w:eastAsia="宋体" w:hAnsi="Book Antiqua" w:cs="宋体"/>
          <w:color w:val="201F35"/>
          <w:lang w:eastAsia="zh-CN"/>
        </w:rPr>
        <w:t>, Serra L, Nicolis SK. More than just Stem Cells: Functional Roles of the Transcription Factor Sox2 in Differentiated Glia and Neurons. </w:t>
      </w:r>
      <w:r w:rsidRPr="00F91674">
        <w:rPr>
          <w:rFonts w:ascii="Book Antiqua" w:eastAsia="宋体" w:hAnsi="Book Antiqua" w:cs="宋体"/>
          <w:i/>
          <w:iCs/>
          <w:color w:val="201F35"/>
          <w:lang w:eastAsia="zh-CN"/>
        </w:rPr>
        <w:t>Int J Mol Sci</w:t>
      </w:r>
      <w:r w:rsidRPr="00F91674">
        <w:rPr>
          <w:rFonts w:ascii="Book Antiqua" w:eastAsia="宋体" w:hAnsi="Book Antiqua" w:cs="宋体"/>
          <w:color w:val="201F35"/>
          <w:lang w:eastAsia="zh-CN"/>
        </w:rPr>
        <w:t> 2019; </w:t>
      </w:r>
      <w:r w:rsidRPr="00F91674">
        <w:rPr>
          <w:rFonts w:ascii="Book Antiqua" w:eastAsia="宋体" w:hAnsi="Book Antiqua" w:cs="宋体"/>
          <w:b/>
          <w:bCs/>
          <w:color w:val="201F35"/>
          <w:lang w:eastAsia="zh-CN"/>
        </w:rPr>
        <w:t>20</w:t>
      </w:r>
      <w:r w:rsidRPr="00F91674">
        <w:rPr>
          <w:rFonts w:ascii="Book Antiqua" w:eastAsia="宋体" w:hAnsi="Book Antiqua" w:cs="宋体"/>
          <w:color w:val="201F35"/>
          <w:lang w:eastAsia="zh-CN"/>
        </w:rPr>
        <w:t>: 4540 [PMID: 31540269 DOI: 10.3390/ijms20184540]</w:t>
      </w:r>
    </w:p>
    <w:p w14:paraId="2242F5A0"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42 </w:t>
      </w:r>
      <w:r w:rsidRPr="00F91674">
        <w:rPr>
          <w:rFonts w:ascii="Book Antiqua" w:eastAsia="宋体" w:hAnsi="Book Antiqua" w:cs="宋体"/>
          <w:b/>
          <w:bCs/>
          <w:color w:val="201F35"/>
          <w:lang w:eastAsia="zh-CN"/>
        </w:rPr>
        <w:t>Pevny L</w:t>
      </w:r>
      <w:r w:rsidRPr="00F91674">
        <w:rPr>
          <w:rFonts w:ascii="Book Antiqua" w:eastAsia="宋体" w:hAnsi="Book Antiqua" w:cs="宋体"/>
          <w:color w:val="201F35"/>
          <w:lang w:eastAsia="zh-CN"/>
        </w:rPr>
        <w:t>, Placzek M. SOX genes and neural progenitor identity. </w:t>
      </w:r>
      <w:r w:rsidRPr="00F91674">
        <w:rPr>
          <w:rFonts w:ascii="Book Antiqua" w:eastAsia="宋体" w:hAnsi="Book Antiqua" w:cs="宋体"/>
          <w:i/>
          <w:iCs/>
          <w:color w:val="201F35"/>
          <w:lang w:eastAsia="zh-CN"/>
        </w:rPr>
        <w:t>Curr Opin Neurobiol</w:t>
      </w:r>
      <w:r w:rsidRPr="00F91674">
        <w:rPr>
          <w:rFonts w:ascii="Book Antiqua" w:eastAsia="宋体" w:hAnsi="Book Antiqua" w:cs="宋体"/>
          <w:color w:val="201F35"/>
          <w:lang w:eastAsia="zh-CN"/>
        </w:rPr>
        <w:t> 2005; </w:t>
      </w:r>
      <w:r w:rsidRPr="00F91674">
        <w:rPr>
          <w:rFonts w:ascii="Book Antiqua" w:eastAsia="宋体" w:hAnsi="Book Antiqua" w:cs="宋体"/>
          <w:b/>
          <w:bCs/>
          <w:color w:val="201F35"/>
          <w:lang w:eastAsia="zh-CN"/>
        </w:rPr>
        <w:t>15</w:t>
      </w:r>
      <w:r w:rsidRPr="00F91674">
        <w:rPr>
          <w:rFonts w:ascii="Book Antiqua" w:eastAsia="宋体" w:hAnsi="Book Antiqua" w:cs="宋体"/>
          <w:color w:val="201F35"/>
          <w:lang w:eastAsia="zh-CN"/>
        </w:rPr>
        <w:t>: 7-13 [PMID: 15721738 DOI: 10.1016/j.conb.2005.01.016]</w:t>
      </w:r>
    </w:p>
    <w:p w14:paraId="7DD5C560"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43 </w:t>
      </w:r>
      <w:r w:rsidRPr="00F91674">
        <w:rPr>
          <w:rFonts w:ascii="Book Antiqua" w:eastAsia="宋体" w:hAnsi="Book Antiqua" w:cs="宋体"/>
          <w:b/>
          <w:bCs/>
          <w:color w:val="201F35"/>
          <w:lang w:eastAsia="zh-CN"/>
        </w:rPr>
        <w:t>Cavaleri F</w:t>
      </w:r>
      <w:r w:rsidRPr="00F91674">
        <w:rPr>
          <w:rFonts w:ascii="Book Antiqua" w:eastAsia="宋体" w:hAnsi="Book Antiqua" w:cs="宋体"/>
          <w:color w:val="201F35"/>
          <w:lang w:eastAsia="zh-CN"/>
        </w:rPr>
        <w:t>, Schöler HR. Nanog: a new recruit to the embryonic stem cell orchestra. </w:t>
      </w:r>
      <w:r w:rsidRPr="00F91674">
        <w:rPr>
          <w:rFonts w:ascii="Book Antiqua" w:eastAsia="宋体" w:hAnsi="Book Antiqua" w:cs="宋体"/>
          <w:i/>
          <w:iCs/>
          <w:color w:val="201F35"/>
          <w:lang w:eastAsia="zh-CN"/>
        </w:rPr>
        <w:t>Cell</w:t>
      </w:r>
      <w:r w:rsidRPr="00F91674">
        <w:rPr>
          <w:rFonts w:ascii="Book Antiqua" w:eastAsia="宋体" w:hAnsi="Book Antiqua" w:cs="宋体"/>
          <w:color w:val="201F35"/>
          <w:lang w:eastAsia="zh-CN"/>
        </w:rPr>
        <w:t> 2003; </w:t>
      </w:r>
      <w:r w:rsidRPr="00F91674">
        <w:rPr>
          <w:rFonts w:ascii="Book Antiqua" w:eastAsia="宋体" w:hAnsi="Book Antiqua" w:cs="宋体"/>
          <w:b/>
          <w:bCs/>
          <w:color w:val="201F35"/>
          <w:lang w:eastAsia="zh-CN"/>
        </w:rPr>
        <w:t>113</w:t>
      </w:r>
      <w:r w:rsidRPr="00F91674">
        <w:rPr>
          <w:rFonts w:ascii="Book Antiqua" w:eastAsia="宋体" w:hAnsi="Book Antiqua" w:cs="宋体"/>
          <w:color w:val="201F35"/>
          <w:lang w:eastAsia="zh-CN"/>
        </w:rPr>
        <w:t>: 551-552 [PMID: 12787492 DOI: 10.1016/s0092-8674(03)00394-5]</w:t>
      </w:r>
    </w:p>
    <w:p w14:paraId="0D01F44E"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44 </w:t>
      </w:r>
      <w:r w:rsidRPr="00F91674">
        <w:rPr>
          <w:rFonts w:ascii="Book Antiqua" w:eastAsia="宋体" w:hAnsi="Book Antiqua" w:cs="宋体"/>
          <w:b/>
          <w:bCs/>
          <w:color w:val="201F35"/>
          <w:lang w:eastAsia="zh-CN"/>
        </w:rPr>
        <w:t>Rodda DJ</w:t>
      </w:r>
      <w:r w:rsidRPr="00F91674">
        <w:rPr>
          <w:rFonts w:ascii="Book Antiqua" w:eastAsia="宋体" w:hAnsi="Book Antiqua" w:cs="宋体"/>
          <w:color w:val="201F35"/>
          <w:lang w:eastAsia="zh-CN"/>
        </w:rPr>
        <w:t>, Chew JL, Lim LH, Loh YH, Wang B, Ng HH, Robson P. Transcriptional regulation of nanog by OCT4 and SOX2. </w:t>
      </w:r>
      <w:r w:rsidRPr="00F91674">
        <w:rPr>
          <w:rFonts w:ascii="Book Antiqua" w:eastAsia="宋体" w:hAnsi="Book Antiqua" w:cs="宋体"/>
          <w:i/>
          <w:iCs/>
          <w:color w:val="201F35"/>
          <w:lang w:eastAsia="zh-CN"/>
        </w:rPr>
        <w:t>J Biol Chem</w:t>
      </w:r>
      <w:r w:rsidRPr="00F91674">
        <w:rPr>
          <w:rFonts w:ascii="Book Antiqua" w:eastAsia="宋体" w:hAnsi="Book Antiqua" w:cs="宋体"/>
          <w:color w:val="201F35"/>
          <w:lang w:eastAsia="zh-CN"/>
        </w:rPr>
        <w:t> 2005; </w:t>
      </w:r>
      <w:r w:rsidRPr="00F91674">
        <w:rPr>
          <w:rFonts w:ascii="Book Antiqua" w:eastAsia="宋体" w:hAnsi="Book Antiqua" w:cs="宋体"/>
          <w:b/>
          <w:bCs/>
          <w:color w:val="201F35"/>
          <w:lang w:eastAsia="zh-CN"/>
        </w:rPr>
        <w:t>280</w:t>
      </w:r>
      <w:r w:rsidRPr="00F91674">
        <w:rPr>
          <w:rFonts w:ascii="Book Antiqua" w:eastAsia="宋体" w:hAnsi="Book Antiqua" w:cs="宋体"/>
          <w:color w:val="201F35"/>
          <w:lang w:eastAsia="zh-CN"/>
        </w:rPr>
        <w:t>: 24731-24737 [PMID: 15860457 DOI: 10.1074/jbc.M502573200]</w:t>
      </w:r>
    </w:p>
    <w:p w14:paraId="1F0614B4"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45 </w:t>
      </w:r>
      <w:r w:rsidRPr="00F91674">
        <w:rPr>
          <w:rFonts w:ascii="Book Antiqua" w:eastAsia="宋体" w:hAnsi="Book Antiqua" w:cs="宋体"/>
          <w:b/>
          <w:bCs/>
          <w:color w:val="201F35"/>
          <w:lang w:eastAsia="zh-CN"/>
        </w:rPr>
        <w:t>Chen CY</w:t>
      </w:r>
      <w:r w:rsidRPr="00F91674">
        <w:rPr>
          <w:rFonts w:ascii="Book Antiqua" w:eastAsia="宋体" w:hAnsi="Book Antiqua" w:cs="宋体"/>
          <w:color w:val="201F35"/>
          <w:lang w:eastAsia="zh-CN"/>
        </w:rPr>
        <w:t>, Cheng YY, Yen CY, Hsieh PC. Mechanisms of pluripotency maintenance in mouse embryonic stem cells. </w:t>
      </w:r>
      <w:r w:rsidRPr="00F91674">
        <w:rPr>
          <w:rFonts w:ascii="Book Antiqua" w:eastAsia="宋体" w:hAnsi="Book Antiqua" w:cs="宋体"/>
          <w:i/>
          <w:iCs/>
          <w:color w:val="201F35"/>
          <w:lang w:eastAsia="zh-CN"/>
        </w:rPr>
        <w:t>Cell Mol Life Sci</w:t>
      </w:r>
      <w:r w:rsidRPr="00F91674">
        <w:rPr>
          <w:rFonts w:ascii="Book Antiqua" w:eastAsia="宋体" w:hAnsi="Book Antiqua" w:cs="宋体"/>
          <w:color w:val="201F35"/>
          <w:lang w:eastAsia="zh-CN"/>
        </w:rPr>
        <w:t> 2017; </w:t>
      </w:r>
      <w:r w:rsidRPr="00F91674">
        <w:rPr>
          <w:rFonts w:ascii="Book Antiqua" w:eastAsia="宋体" w:hAnsi="Book Antiqua" w:cs="宋体"/>
          <w:b/>
          <w:bCs/>
          <w:color w:val="201F35"/>
          <w:lang w:eastAsia="zh-CN"/>
        </w:rPr>
        <w:t>74</w:t>
      </w:r>
      <w:r w:rsidRPr="00F91674">
        <w:rPr>
          <w:rFonts w:ascii="Book Antiqua" w:eastAsia="宋体" w:hAnsi="Book Antiqua" w:cs="宋体"/>
          <w:color w:val="201F35"/>
          <w:lang w:eastAsia="zh-CN"/>
        </w:rPr>
        <w:t>: 1805-1817 [PMID: 27999898 DOI: 10.1007/s00018-016-2438-0]</w:t>
      </w:r>
    </w:p>
    <w:p w14:paraId="4754F1FD"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46 </w:t>
      </w:r>
      <w:r w:rsidRPr="00F91674">
        <w:rPr>
          <w:rFonts w:ascii="Book Antiqua" w:eastAsia="宋体" w:hAnsi="Book Antiqua" w:cs="宋体"/>
          <w:b/>
          <w:bCs/>
          <w:color w:val="201F35"/>
          <w:lang w:eastAsia="zh-CN"/>
        </w:rPr>
        <w:t>Li M</w:t>
      </w:r>
      <w:r w:rsidRPr="00F91674">
        <w:rPr>
          <w:rFonts w:ascii="Book Antiqua" w:eastAsia="宋体" w:hAnsi="Book Antiqua" w:cs="宋体"/>
          <w:color w:val="201F35"/>
          <w:lang w:eastAsia="zh-CN"/>
        </w:rPr>
        <w:t>, Belmonte JC. Ground rules of the pluripotency gene regulatory network. </w:t>
      </w:r>
      <w:r w:rsidRPr="00F91674">
        <w:rPr>
          <w:rFonts w:ascii="Book Antiqua" w:eastAsia="宋体" w:hAnsi="Book Antiqua" w:cs="宋体"/>
          <w:i/>
          <w:iCs/>
          <w:color w:val="201F35"/>
          <w:lang w:eastAsia="zh-CN"/>
        </w:rPr>
        <w:t>Nat Rev Genet</w:t>
      </w:r>
      <w:r w:rsidRPr="00F91674">
        <w:rPr>
          <w:rFonts w:ascii="Book Antiqua" w:eastAsia="宋体" w:hAnsi="Book Antiqua" w:cs="宋体"/>
          <w:color w:val="201F35"/>
          <w:lang w:eastAsia="zh-CN"/>
        </w:rPr>
        <w:t> 2017; </w:t>
      </w:r>
      <w:r w:rsidRPr="00F91674">
        <w:rPr>
          <w:rFonts w:ascii="Book Antiqua" w:eastAsia="宋体" w:hAnsi="Book Antiqua" w:cs="宋体"/>
          <w:b/>
          <w:bCs/>
          <w:color w:val="201F35"/>
          <w:lang w:eastAsia="zh-CN"/>
        </w:rPr>
        <w:t>18</w:t>
      </w:r>
      <w:r w:rsidRPr="00F91674">
        <w:rPr>
          <w:rFonts w:ascii="Book Antiqua" w:eastAsia="宋体" w:hAnsi="Book Antiqua" w:cs="宋体"/>
          <w:color w:val="201F35"/>
          <w:lang w:eastAsia="zh-CN"/>
        </w:rPr>
        <w:t>: 180-191 [PMID: 28045100 DOI: 10.1038/nrg.2016.156]</w:t>
      </w:r>
    </w:p>
    <w:p w14:paraId="20D46462"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47 </w:t>
      </w:r>
      <w:r w:rsidRPr="00F91674">
        <w:rPr>
          <w:rFonts w:ascii="Book Antiqua" w:eastAsia="宋体" w:hAnsi="Book Antiqua" w:cs="宋体"/>
          <w:b/>
          <w:bCs/>
          <w:color w:val="201F35"/>
          <w:lang w:eastAsia="zh-CN"/>
        </w:rPr>
        <w:t>Huang T</w:t>
      </w:r>
      <w:r w:rsidRPr="00F91674">
        <w:rPr>
          <w:rFonts w:ascii="Book Antiqua" w:eastAsia="宋体" w:hAnsi="Book Antiqua" w:cs="宋体"/>
          <w:color w:val="201F35"/>
          <w:lang w:eastAsia="zh-CN"/>
        </w:rPr>
        <w:t>, Song X, Xu D, Tiek D, Goenka A, Wu B, Sastry N, Hu B, Cheng SY. Stem cell programs in cancer initiation, progression, and therapy resistance. </w:t>
      </w:r>
      <w:r w:rsidRPr="00F91674">
        <w:rPr>
          <w:rFonts w:ascii="Book Antiqua" w:eastAsia="宋体" w:hAnsi="Book Antiqua" w:cs="宋体"/>
          <w:i/>
          <w:iCs/>
          <w:color w:val="201F35"/>
          <w:lang w:eastAsia="zh-CN"/>
        </w:rPr>
        <w:t>Theranostics</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10</w:t>
      </w:r>
      <w:r w:rsidRPr="00F91674">
        <w:rPr>
          <w:rFonts w:ascii="Book Antiqua" w:eastAsia="宋体" w:hAnsi="Book Antiqua" w:cs="宋体"/>
          <w:color w:val="201F35"/>
          <w:lang w:eastAsia="zh-CN"/>
        </w:rPr>
        <w:t>: 8721-8743 [PMID: 32754274 DOI: 10.7150/thno.41648]</w:t>
      </w:r>
    </w:p>
    <w:p w14:paraId="0F1BC58B"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48 </w:t>
      </w:r>
      <w:r w:rsidRPr="00F91674">
        <w:rPr>
          <w:rFonts w:ascii="Book Antiqua" w:eastAsia="宋体" w:hAnsi="Book Antiqua" w:cs="宋体"/>
          <w:b/>
          <w:bCs/>
          <w:color w:val="201F35"/>
          <w:lang w:eastAsia="zh-CN"/>
        </w:rPr>
        <w:t>Liu A</w:t>
      </w:r>
      <w:r w:rsidRPr="00F91674">
        <w:rPr>
          <w:rFonts w:ascii="Book Antiqua" w:eastAsia="宋体" w:hAnsi="Book Antiqua" w:cs="宋体"/>
          <w:color w:val="201F35"/>
          <w:lang w:eastAsia="zh-CN"/>
        </w:rPr>
        <w:t>, Yu X, Liu S. Pluripotency transcription factors and cancer stem cells: small genes make a big difference. </w:t>
      </w:r>
      <w:r w:rsidRPr="00F91674">
        <w:rPr>
          <w:rFonts w:ascii="Book Antiqua" w:eastAsia="宋体" w:hAnsi="Book Antiqua" w:cs="宋体"/>
          <w:i/>
          <w:iCs/>
          <w:color w:val="201F35"/>
          <w:lang w:eastAsia="zh-CN"/>
        </w:rPr>
        <w:t>Chin J Cancer</w:t>
      </w:r>
      <w:r w:rsidRPr="00F91674">
        <w:rPr>
          <w:rFonts w:ascii="Book Antiqua" w:eastAsia="宋体" w:hAnsi="Book Antiqua" w:cs="宋体"/>
          <w:color w:val="201F35"/>
          <w:lang w:eastAsia="zh-CN"/>
        </w:rPr>
        <w:t> 2013; </w:t>
      </w:r>
      <w:r w:rsidRPr="00F91674">
        <w:rPr>
          <w:rFonts w:ascii="Book Antiqua" w:eastAsia="宋体" w:hAnsi="Book Antiqua" w:cs="宋体"/>
          <w:b/>
          <w:bCs/>
          <w:color w:val="201F35"/>
          <w:lang w:eastAsia="zh-CN"/>
        </w:rPr>
        <w:t>32</w:t>
      </w:r>
      <w:r w:rsidRPr="00F91674">
        <w:rPr>
          <w:rFonts w:ascii="Book Antiqua" w:eastAsia="宋体" w:hAnsi="Book Antiqua" w:cs="宋体"/>
          <w:color w:val="201F35"/>
          <w:lang w:eastAsia="zh-CN"/>
        </w:rPr>
        <w:t>: 483-487 [PMID: 23419197 DOI: 10.5732/cjc.012.10282]</w:t>
      </w:r>
    </w:p>
    <w:p w14:paraId="377612FA"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49 </w:t>
      </w:r>
      <w:r w:rsidRPr="00F91674">
        <w:rPr>
          <w:rFonts w:ascii="Book Antiqua" w:eastAsia="宋体" w:hAnsi="Book Antiqua" w:cs="宋体"/>
          <w:b/>
          <w:bCs/>
          <w:color w:val="201F35"/>
          <w:lang w:eastAsia="zh-CN"/>
        </w:rPr>
        <w:t>Dong C</w:t>
      </w:r>
      <w:r w:rsidRPr="00F91674">
        <w:rPr>
          <w:rFonts w:ascii="Book Antiqua" w:eastAsia="宋体" w:hAnsi="Book Antiqua" w:cs="宋体"/>
          <w:color w:val="201F35"/>
          <w:lang w:eastAsia="zh-CN"/>
        </w:rPr>
        <w:t>, Wilhelm D, Koopman P. Sox genes and cancer. </w:t>
      </w:r>
      <w:r w:rsidRPr="00F91674">
        <w:rPr>
          <w:rFonts w:ascii="Book Antiqua" w:eastAsia="宋体" w:hAnsi="Book Antiqua" w:cs="宋体"/>
          <w:i/>
          <w:iCs/>
          <w:color w:val="201F35"/>
          <w:lang w:eastAsia="zh-CN"/>
        </w:rPr>
        <w:t>Cytogenet Genome Res</w:t>
      </w:r>
      <w:r w:rsidRPr="00F91674">
        <w:rPr>
          <w:rFonts w:ascii="Book Antiqua" w:eastAsia="宋体" w:hAnsi="Book Antiqua" w:cs="宋体"/>
          <w:color w:val="201F35"/>
          <w:lang w:eastAsia="zh-CN"/>
        </w:rPr>
        <w:t> 2004; </w:t>
      </w:r>
      <w:r w:rsidRPr="00F91674">
        <w:rPr>
          <w:rFonts w:ascii="Book Antiqua" w:eastAsia="宋体" w:hAnsi="Book Antiqua" w:cs="宋体"/>
          <w:b/>
          <w:bCs/>
          <w:color w:val="201F35"/>
          <w:lang w:eastAsia="zh-CN"/>
        </w:rPr>
        <w:t>105</w:t>
      </w:r>
      <w:r w:rsidRPr="00F91674">
        <w:rPr>
          <w:rFonts w:ascii="Book Antiqua" w:eastAsia="宋体" w:hAnsi="Book Antiqua" w:cs="宋体"/>
          <w:color w:val="201F35"/>
          <w:lang w:eastAsia="zh-CN"/>
        </w:rPr>
        <w:t>: 442-447 [PMID: 15237232 DOI: 10.1159/000078217]</w:t>
      </w:r>
    </w:p>
    <w:p w14:paraId="47C2E47A"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50 </w:t>
      </w:r>
      <w:r w:rsidRPr="00F91674">
        <w:rPr>
          <w:rFonts w:ascii="Book Antiqua" w:eastAsia="宋体" w:hAnsi="Book Antiqua" w:cs="宋体"/>
          <w:b/>
          <w:bCs/>
          <w:color w:val="201F35"/>
          <w:lang w:eastAsia="zh-CN"/>
        </w:rPr>
        <w:t>Castillo SD</w:t>
      </w:r>
      <w:r w:rsidRPr="00F91674">
        <w:rPr>
          <w:rFonts w:ascii="Book Antiqua" w:eastAsia="宋体" w:hAnsi="Book Antiqua" w:cs="宋体"/>
          <w:color w:val="201F35"/>
          <w:lang w:eastAsia="zh-CN"/>
        </w:rPr>
        <w:t>, Sanchez-Cespedes M. The SOX family of genes in cancer development: biological relevance and opportunities for therapy. </w:t>
      </w:r>
      <w:r w:rsidRPr="00F91674">
        <w:rPr>
          <w:rFonts w:ascii="Book Antiqua" w:eastAsia="宋体" w:hAnsi="Book Antiqua" w:cs="宋体"/>
          <w:i/>
          <w:iCs/>
          <w:color w:val="201F35"/>
          <w:lang w:eastAsia="zh-CN"/>
        </w:rPr>
        <w:t>Expert Opin Ther Targets</w:t>
      </w:r>
      <w:r w:rsidRPr="00F91674">
        <w:rPr>
          <w:rFonts w:ascii="Book Antiqua" w:eastAsia="宋体" w:hAnsi="Book Antiqua" w:cs="宋体"/>
          <w:color w:val="201F35"/>
          <w:lang w:eastAsia="zh-CN"/>
        </w:rPr>
        <w:t> 2012; </w:t>
      </w:r>
      <w:r w:rsidRPr="00F91674">
        <w:rPr>
          <w:rFonts w:ascii="Book Antiqua" w:eastAsia="宋体" w:hAnsi="Book Antiqua" w:cs="宋体"/>
          <w:b/>
          <w:bCs/>
          <w:color w:val="201F35"/>
          <w:lang w:eastAsia="zh-CN"/>
        </w:rPr>
        <w:t>16</w:t>
      </w:r>
      <w:r w:rsidRPr="00F91674">
        <w:rPr>
          <w:rFonts w:ascii="Book Antiqua" w:eastAsia="宋体" w:hAnsi="Book Antiqua" w:cs="宋体"/>
          <w:color w:val="201F35"/>
          <w:lang w:eastAsia="zh-CN"/>
        </w:rPr>
        <w:t>: 903-919 [PMID: 22834733 DOI: 10.1517/14728222.2012.709239]</w:t>
      </w:r>
    </w:p>
    <w:p w14:paraId="1AC3E621"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lastRenderedPageBreak/>
        <w:t>51 </w:t>
      </w:r>
      <w:r w:rsidRPr="00F91674">
        <w:rPr>
          <w:rFonts w:ascii="Book Antiqua" w:eastAsia="宋体" w:hAnsi="Book Antiqua" w:cs="宋体"/>
          <w:b/>
          <w:bCs/>
          <w:color w:val="201F35"/>
          <w:lang w:eastAsia="zh-CN"/>
        </w:rPr>
        <w:t>Thu KL</w:t>
      </w:r>
      <w:r w:rsidRPr="00F91674">
        <w:rPr>
          <w:rFonts w:ascii="Book Antiqua" w:eastAsia="宋体" w:hAnsi="Book Antiqua" w:cs="宋体"/>
          <w:color w:val="201F35"/>
          <w:lang w:eastAsia="zh-CN"/>
        </w:rPr>
        <w:t>, Becker-Santos DD, Radulovich N, Pikor LA, Lam WL, Tsao MS. SOX15 and other SOX family members are important mediators of tumorigenesis in multiple cancer types. </w:t>
      </w:r>
      <w:r w:rsidRPr="00F91674">
        <w:rPr>
          <w:rFonts w:ascii="Book Antiqua" w:eastAsia="宋体" w:hAnsi="Book Antiqua" w:cs="宋体"/>
          <w:i/>
          <w:iCs/>
          <w:color w:val="201F35"/>
          <w:lang w:eastAsia="zh-CN"/>
        </w:rPr>
        <w:t>Oncoscience</w:t>
      </w:r>
      <w:r w:rsidRPr="00F91674">
        <w:rPr>
          <w:rFonts w:ascii="Book Antiqua" w:eastAsia="宋体" w:hAnsi="Book Antiqua" w:cs="宋体"/>
          <w:color w:val="201F35"/>
          <w:lang w:eastAsia="zh-CN"/>
        </w:rPr>
        <w:t> 2014; </w:t>
      </w:r>
      <w:r w:rsidRPr="00F91674">
        <w:rPr>
          <w:rFonts w:ascii="Book Antiqua" w:eastAsia="宋体" w:hAnsi="Book Antiqua" w:cs="宋体"/>
          <w:b/>
          <w:bCs/>
          <w:color w:val="201F35"/>
          <w:lang w:eastAsia="zh-CN"/>
        </w:rPr>
        <w:t>1</w:t>
      </w:r>
      <w:r w:rsidRPr="00F91674">
        <w:rPr>
          <w:rFonts w:ascii="Book Antiqua" w:eastAsia="宋体" w:hAnsi="Book Antiqua" w:cs="宋体"/>
          <w:color w:val="201F35"/>
          <w:lang w:eastAsia="zh-CN"/>
        </w:rPr>
        <w:t>: 326-335 [PMID: 25594027 DOI: 10.18632/oncoscience.46]</w:t>
      </w:r>
    </w:p>
    <w:p w14:paraId="6860303D"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52 </w:t>
      </w:r>
      <w:r w:rsidRPr="00F91674">
        <w:rPr>
          <w:rFonts w:ascii="Book Antiqua" w:eastAsia="宋体" w:hAnsi="Book Antiqua" w:cs="宋体"/>
          <w:b/>
          <w:bCs/>
          <w:color w:val="201F35"/>
          <w:lang w:eastAsia="zh-CN"/>
        </w:rPr>
        <w:t>Sarkar A</w:t>
      </w:r>
      <w:r w:rsidRPr="00F91674">
        <w:rPr>
          <w:rFonts w:ascii="Book Antiqua" w:eastAsia="宋体" w:hAnsi="Book Antiqua" w:cs="宋体"/>
          <w:color w:val="201F35"/>
          <w:lang w:eastAsia="zh-CN"/>
        </w:rPr>
        <w:t>, Hochedlinger K. The sox family of transcription factors: versatile regulators of stem and progenitor cell fate. </w:t>
      </w:r>
      <w:r w:rsidRPr="00F91674">
        <w:rPr>
          <w:rFonts w:ascii="Book Antiqua" w:eastAsia="宋体" w:hAnsi="Book Antiqua" w:cs="宋体"/>
          <w:i/>
          <w:iCs/>
          <w:color w:val="201F35"/>
          <w:lang w:eastAsia="zh-CN"/>
        </w:rPr>
        <w:t>Cell Stem Cell</w:t>
      </w:r>
      <w:r w:rsidRPr="00F91674">
        <w:rPr>
          <w:rFonts w:ascii="Book Antiqua" w:eastAsia="宋体" w:hAnsi="Book Antiqua" w:cs="宋体"/>
          <w:color w:val="201F35"/>
          <w:lang w:eastAsia="zh-CN"/>
        </w:rPr>
        <w:t> 2013; </w:t>
      </w:r>
      <w:r w:rsidRPr="00F91674">
        <w:rPr>
          <w:rFonts w:ascii="Book Antiqua" w:eastAsia="宋体" w:hAnsi="Book Antiqua" w:cs="宋体"/>
          <w:b/>
          <w:bCs/>
          <w:color w:val="201F35"/>
          <w:lang w:eastAsia="zh-CN"/>
        </w:rPr>
        <w:t>12</w:t>
      </w:r>
      <w:r w:rsidRPr="00F91674">
        <w:rPr>
          <w:rFonts w:ascii="Book Antiqua" w:eastAsia="宋体" w:hAnsi="Book Antiqua" w:cs="宋体"/>
          <w:color w:val="201F35"/>
          <w:lang w:eastAsia="zh-CN"/>
        </w:rPr>
        <w:t>: 15-30 [PMID: 23290134 DOI: 10.1016/j.stem.2012.12.007]</w:t>
      </w:r>
    </w:p>
    <w:p w14:paraId="4D279376"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53 </w:t>
      </w:r>
      <w:r w:rsidRPr="00F91674">
        <w:rPr>
          <w:rFonts w:ascii="Book Antiqua" w:eastAsia="宋体" w:hAnsi="Book Antiqua" w:cs="宋体"/>
          <w:b/>
          <w:bCs/>
          <w:color w:val="201F35"/>
          <w:lang w:eastAsia="zh-CN"/>
        </w:rPr>
        <w:t>Vervoort SJ</w:t>
      </w:r>
      <w:r w:rsidRPr="00F91674">
        <w:rPr>
          <w:rFonts w:ascii="Book Antiqua" w:eastAsia="宋体" w:hAnsi="Book Antiqua" w:cs="宋体"/>
          <w:color w:val="201F35"/>
          <w:lang w:eastAsia="zh-CN"/>
        </w:rPr>
        <w:t>, van Boxtel R, Coffer PJ. The role of SRY-related HMG box transcription factor 4 (SOX4) in tumorigenesis and metastasis: friend or foe? </w:t>
      </w:r>
      <w:r w:rsidRPr="00F91674">
        <w:rPr>
          <w:rFonts w:ascii="Book Antiqua" w:eastAsia="宋体" w:hAnsi="Book Antiqua" w:cs="宋体"/>
          <w:i/>
          <w:iCs/>
          <w:color w:val="201F35"/>
          <w:lang w:eastAsia="zh-CN"/>
        </w:rPr>
        <w:t>Oncogene</w:t>
      </w:r>
      <w:r w:rsidRPr="00F91674">
        <w:rPr>
          <w:rFonts w:ascii="Book Antiqua" w:eastAsia="宋体" w:hAnsi="Book Antiqua" w:cs="宋体"/>
          <w:color w:val="201F35"/>
          <w:lang w:eastAsia="zh-CN"/>
        </w:rPr>
        <w:t> 2013; </w:t>
      </w:r>
      <w:r w:rsidRPr="00F91674">
        <w:rPr>
          <w:rFonts w:ascii="Book Antiqua" w:eastAsia="宋体" w:hAnsi="Book Antiqua" w:cs="宋体"/>
          <w:b/>
          <w:bCs/>
          <w:color w:val="201F35"/>
          <w:lang w:eastAsia="zh-CN"/>
        </w:rPr>
        <w:t>32</w:t>
      </w:r>
      <w:r w:rsidRPr="00F91674">
        <w:rPr>
          <w:rFonts w:ascii="Book Antiqua" w:eastAsia="宋体" w:hAnsi="Book Antiqua" w:cs="宋体"/>
          <w:color w:val="201F35"/>
          <w:lang w:eastAsia="zh-CN"/>
        </w:rPr>
        <w:t>: 3397-3409 [PMID: 23246969 DOI: 10.1038/onc.2012.506]</w:t>
      </w:r>
    </w:p>
    <w:p w14:paraId="02510703"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54 </w:t>
      </w:r>
      <w:r w:rsidRPr="00F91674">
        <w:rPr>
          <w:rFonts w:ascii="Book Antiqua" w:eastAsia="宋体" w:hAnsi="Book Antiqua" w:cs="宋体"/>
          <w:b/>
          <w:bCs/>
          <w:color w:val="201F35"/>
          <w:lang w:eastAsia="zh-CN"/>
        </w:rPr>
        <w:t>Zhu Y</w:t>
      </w:r>
      <w:r w:rsidRPr="00F91674">
        <w:rPr>
          <w:rFonts w:ascii="Book Antiqua" w:eastAsia="宋体" w:hAnsi="Book Antiqua" w:cs="宋体"/>
          <w:color w:val="201F35"/>
          <w:lang w:eastAsia="zh-CN"/>
        </w:rPr>
        <w:t>, Li Y, Jun Wei JW, Liu X. The role of Sox genes in lung morphogenesis and cancer. </w:t>
      </w:r>
      <w:r w:rsidRPr="00F91674">
        <w:rPr>
          <w:rFonts w:ascii="Book Antiqua" w:eastAsia="宋体" w:hAnsi="Book Antiqua" w:cs="宋体"/>
          <w:i/>
          <w:iCs/>
          <w:color w:val="201F35"/>
          <w:lang w:eastAsia="zh-CN"/>
        </w:rPr>
        <w:t>Int J Mol Sci</w:t>
      </w:r>
      <w:r w:rsidRPr="00F91674">
        <w:rPr>
          <w:rFonts w:ascii="Book Antiqua" w:eastAsia="宋体" w:hAnsi="Book Antiqua" w:cs="宋体"/>
          <w:color w:val="201F35"/>
          <w:lang w:eastAsia="zh-CN"/>
        </w:rPr>
        <w:t> 2012; </w:t>
      </w:r>
      <w:r w:rsidRPr="00F91674">
        <w:rPr>
          <w:rFonts w:ascii="Book Antiqua" w:eastAsia="宋体" w:hAnsi="Book Antiqua" w:cs="宋体"/>
          <w:b/>
          <w:bCs/>
          <w:color w:val="201F35"/>
          <w:lang w:eastAsia="zh-CN"/>
        </w:rPr>
        <w:t>13</w:t>
      </w:r>
      <w:r w:rsidRPr="00F91674">
        <w:rPr>
          <w:rFonts w:ascii="Book Antiqua" w:eastAsia="宋体" w:hAnsi="Book Antiqua" w:cs="宋体"/>
          <w:color w:val="201F35"/>
          <w:lang w:eastAsia="zh-CN"/>
        </w:rPr>
        <w:t>: 15767-15783 [PMID: 23443092 DOI: 10.3390/ijms131215767]</w:t>
      </w:r>
    </w:p>
    <w:p w14:paraId="7986BC34"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55 </w:t>
      </w:r>
      <w:r w:rsidRPr="00F91674">
        <w:rPr>
          <w:rFonts w:ascii="Book Antiqua" w:eastAsia="宋体" w:hAnsi="Book Antiqua" w:cs="宋体"/>
          <w:b/>
          <w:bCs/>
          <w:color w:val="201F35"/>
          <w:lang w:eastAsia="zh-CN"/>
        </w:rPr>
        <w:t>Grimm D</w:t>
      </w:r>
      <w:r w:rsidRPr="00F91674">
        <w:rPr>
          <w:rFonts w:ascii="Book Antiqua" w:eastAsia="宋体" w:hAnsi="Book Antiqua" w:cs="宋体"/>
          <w:color w:val="201F35"/>
          <w:lang w:eastAsia="zh-CN"/>
        </w:rPr>
        <w:t>, Bauer J, Wise P, Krüger M, Simonsen U, Wehland M, Infanger M, Corydon TJ. The role of SOX family members in solid tumours and metastasis. </w:t>
      </w:r>
      <w:r w:rsidRPr="00F91674">
        <w:rPr>
          <w:rFonts w:ascii="Book Antiqua" w:eastAsia="宋体" w:hAnsi="Book Antiqua" w:cs="宋体"/>
          <w:i/>
          <w:iCs/>
          <w:color w:val="201F35"/>
          <w:lang w:eastAsia="zh-CN"/>
        </w:rPr>
        <w:t>Semin Cancer Biol</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67</w:t>
      </w:r>
      <w:r w:rsidRPr="00F91674">
        <w:rPr>
          <w:rFonts w:ascii="Book Antiqua" w:eastAsia="宋体" w:hAnsi="Book Antiqua" w:cs="宋体"/>
          <w:color w:val="201F35"/>
          <w:lang w:eastAsia="zh-CN"/>
        </w:rPr>
        <w:t>: 122-153 [PMID: 30914279 DOI: 10.1016/j.semcancer.2019.03.004]</w:t>
      </w:r>
    </w:p>
    <w:p w14:paraId="40EF06FC"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56 </w:t>
      </w:r>
      <w:r w:rsidRPr="00F91674">
        <w:rPr>
          <w:rFonts w:ascii="Book Antiqua" w:eastAsia="宋体" w:hAnsi="Book Antiqua" w:cs="宋体"/>
          <w:b/>
          <w:bCs/>
          <w:color w:val="201F35"/>
          <w:lang w:eastAsia="zh-CN"/>
        </w:rPr>
        <w:t>Wuebben EL</w:t>
      </w:r>
      <w:r w:rsidRPr="00F91674">
        <w:rPr>
          <w:rFonts w:ascii="Book Antiqua" w:eastAsia="宋体" w:hAnsi="Book Antiqua" w:cs="宋体"/>
          <w:color w:val="201F35"/>
          <w:lang w:eastAsia="zh-CN"/>
        </w:rPr>
        <w:t>, Rizzino A. The dark side of SOX2: cancer - a comprehensive overview. </w:t>
      </w:r>
      <w:r w:rsidRPr="00F91674">
        <w:rPr>
          <w:rFonts w:ascii="Book Antiqua" w:eastAsia="宋体" w:hAnsi="Book Antiqua" w:cs="宋体"/>
          <w:i/>
          <w:iCs/>
          <w:color w:val="201F35"/>
          <w:lang w:eastAsia="zh-CN"/>
        </w:rPr>
        <w:t>Oncotarget</w:t>
      </w:r>
      <w:r w:rsidRPr="00F91674">
        <w:rPr>
          <w:rFonts w:ascii="Book Antiqua" w:eastAsia="宋体" w:hAnsi="Book Antiqua" w:cs="宋体"/>
          <w:color w:val="201F35"/>
          <w:lang w:eastAsia="zh-CN"/>
        </w:rPr>
        <w:t> 2017; </w:t>
      </w:r>
      <w:r w:rsidRPr="00F91674">
        <w:rPr>
          <w:rFonts w:ascii="Book Antiqua" w:eastAsia="宋体" w:hAnsi="Book Antiqua" w:cs="宋体"/>
          <w:b/>
          <w:bCs/>
          <w:color w:val="201F35"/>
          <w:lang w:eastAsia="zh-CN"/>
        </w:rPr>
        <w:t>8</w:t>
      </w:r>
      <w:r w:rsidRPr="00F91674">
        <w:rPr>
          <w:rFonts w:ascii="Book Antiqua" w:eastAsia="宋体" w:hAnsi="Book Antiqua" w:cs="宋体"/>
          <w:color w:val="201F35"/>
          <w:lang w:eastAsia="zh-CN"/>
        </w:rPr>
        <w:t>: 44917-44943 [PMID: 28388544 DOI: 10.18632/oncotarget.16570]</w:t>
      </w:r>
    </w:p>
    <w:p w14:paraId="2CEBD846"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57 </w:t>
      </w:r>
      <w:r w:rsidRPr="00F91674">
        <w:rPr>
          <w:rFonts w:ascii="Book Antiqua" w:eastAsia="宋体" w:hAnsi="Book Antiqua" w:cs="宋体"/>
          <w:b/>
          <w:bCs/>
          <w:color w:val="201F35"/>
          <w:lang w:eastAsia="zh-CN"/>
        </w:rPr>
        <w:t>Schaefer T</w:t>
      </w:r>
      <w:r w:rsidRPr="00F91674">
        <w:rPr>
          <w:rFonts w:ascii="Book Antiqua" w:eastAsia="宋体" w:hAnsi="Book Antiqua" w:cs="宋体"/>
          <w:color w:val="201F35"/>
          <w:lang w:eastAsia="zh-CN"/>
        </w:rPr>
        <w:t>, Wang H, Mir P, Konantz M, Pereboom TC, Paczulla AM, Merz B, Fehm T, Perner S, Rothfuss OC, Kanz L, Schulze-Osthoff K, Lengerke C. Molecular and functional interactions between AKT and SOX2 in breast carcinoma. </w:t>
      </w:r>
      <w:r w:rsidRPr="00F91674">
        <w:rPr>
          <w:rFonts w:ascii="Book Antiqua" w:eastAsia="宋体" w:hAnsi="Book Antiqua" w:cs="宋体"/>
          <w:i/>
          <w:iCs/>
          <w:color w:val="201F35"/>
          <w:lang w:eastAsia="zh-CN"/>
        </w:rPr>
        <w:t>Oncotarget</w:t>
      </w:r>
      <w:r w:rsidRPr="00F91674">
        <w:rPr>
          <w:rFonts w:ascii="Book Antiqua" w:eastAsia="宋体" w:hAnsi="Book Antiqua" w:cs="宋体"/>
          <w:color w:val="201F35"/>
          <w:lang w:eastAsia="zh-CN"/>
        </w:rPr>
        <w:t> 2015; </w:t>
      </w:r>
      <w:r w:rsidRPr="00F91674">
        <w:rPr>
          <w:rFonts w:ascii="Book Antiqua" w:eastAsia="宋体" w:hAnsi="Book Antiqua" w:cs="宋体"/>
          <w:b/>
          <w:bCs/>
          <w:color w:val="201F35"/>
          <w:lang w:eastAsia="zh-CN"/>
        </w:rPr>
        <w:t>6</w:t>
      </w:r>
      <w:r w:rsidRPr="00F91674">
        <w:rPr>
          <w:rFonts w:ascii="Book Antiqua" w:eastAsia="宋体" w:hAnsi="Book Antiqua" w:cs="宋体"/>
          <w:color w:val="201F35"/>
          <w:lang w:eastAsia="zh-CN"/>
        </w:rPr>
        <w:t>: 43540-43556 [PMID: 26498353 DOI: 10.18632/oncotarget.6183]</w:t>
      </w:r>
    </w:p>
    <w:p w14:paraId="6ED4D064"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58 </w:t>
      </w:r>
      <w:r w:rsidRPr="00F91674">
        <w:rPr>
          <w:rFonts w:ascii="Book Antiqua" w:eastAsia="宋体" w:hAnsi="Book Antiqua" w:cs="宋体"/>
          <w:b/>
          <w:bCs/>
          <w:color w:val="201F35"/>
          <w:lang w:eastAsia="zh-CN"/>
        </w:rPr>
        <w:t>Fang X</w:t>
      </w:r>
      <w:r w:rsidRPr="00F91674">
        <w:rPr>
          <w:rFonts w:ascii="Book Antiqua" w:eastAsia="宋体" w:hAnsi="Book Antiqua" w:cs="宋体"/>
          <w:color w:val="201F35"/>
          <w:lang w:eastAsia="zh-CN"/>
        </w:rPr>
        <w:t>, Yoon JG, Li L, Yu W, Shao J, Hua D, Zheng S, Hood L, Goodlett DR, Foltz G, Lin B. The SOX2 response program in glioblastoma multiforme: an integrated ChIP-seq, expression microarray, and microRNA analysis. </w:t>
      </w:r>
      <w:r w:rsidRPr="00F91674">
        <w:rPr>
          <w:rFonts w:ascii="Book Antiqua" w:eastAsia="宋体" w:hAnsi="Book Antiqua" w:cs="宋体"/>
          <w:i/>
          <w:iCs/>
          <w:color w:val="201F35"/>
          <w:lang w:eastAsia="zh-CN"/>
        </w:rPr>
        <w:t>BMC Genomics</w:t>
      </w:r>
      <w:r w:rsidRPr="00F91674">
        <w:rPr>
          <w:rFonts w:ascii="Book Antiqua" w:eastAsia="宋体" w:hAnsi="Book Antiqua" w:cs="宋体"/>
          <w:color w:val="201F35"/>
          <w:lang w:eastAsia="zh-CN"/>
        </w:rPr>
        <w:t> 2011; </w:t>
      </w:r>
      <w:r w:rsidRPr="00F91674">
        <w:rPr>
          <w:rFonts w:ascii="Book Antiqua" w:eastAsia="宋体" w:hAnsi="Book Antiqua" w:cs="宋体"/>
          <w:b/>
          <w:bCs/>
          <w:color w:val="201F35"/>
          <w:lang w:eastAsia="zh-CN"/>
        </w:rPr>
        <w:t>12</w:t>
      </w:r>
      <w:r w:rsidRPr="00F91674">
        <w:rPr>
          <w:rFonts w:ascii="Book Antiqua" w:eastAsia="宋体" w:hAnsi="Book Antiqua" w:cs="宋体"/>
          <w:color w:val="201F35"/>
          <w:lang w:eastAsia="zh-CN"/>
        </w:rPr>
        <w:t>: 11 [PMID: 21211035 DOI: 10.1186/1471-2164-12-11]</w:t>
      </w:r>
    </w:p>
    <w:p w14:paraId="754B79CC"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59 </w:t>
      </w:r>
      <w:r w:rsidRPr="00F91674">
        <w:rPr>
          <w:rFonts w:ascii="Book Antiqua" w:eastAsia="宋体" w:hAnsi="Book Antiqua" w:cs="宋体"/>
          <w:b/>
          <w:bCs/>
          <w:color w:val="201F35"/>
          <w:lang w:eastAsia="zh-CN"/>
        </w:rPr>
        <w:t>Bareiss PM</w:t>
      </w:r>
      <w:r w:rsidRPr="00F91674">
        <w:rPr>
          <w:rFonts w:ascii="Book Antiqua" w:eastAsia="宋体" w:hAnsi="Book Antiqua" w:cs="宋体"/>
          <w:color w:val="201F35"/>
          <w:lang w:eastAsia="zh-CN"/>
        </w:rPr>
        <w:t xml:space="preserve">, Paczulla A, Wang H, Schairer R, Wiehr S, Kohlhofer U, Rothfuss OC, Fischer A, Perner S, Staebler A, Wallwiener D, Fend F, Fehm T, Pichler B, Kanz L, Quintanilla-Martinez L, Schulze-Osthoff K, Essmann F, Lengerke C. SOX2 expression </w:t>
      </w:r>
      <w:r w:rsidRPr="00F91674">
        <w:rPr>
          <w:rFonts w:ascii="Book Antiqua" w:eastAsia="宋体" w:hAnsi="Book Antiqua" w:cs="宋体"/>
          <w:color w:val="201F35"/>
          <w:lang w:eastAsia="zh-CN"/>
        </w:rPr>
        <w:lastRenderedPageBreak/>
        <w:t>associates with stem cell state in human ovarian carcinoma. </w:t>
      </w:r>
      <w:r w:rsidRPr="00F91674">
        <w:rPr>
          <w:rFonts w:ascii="Book Antiqua" w:eastAsia="宋体" w:hAnsi="Book Antiqua" w:cs="宋体"/>
          <w:i/>
          <w:iCs/>
          <w:color w:val="201F35"/>
          <w:lang w:eastAsia="zh-CN"/>
        </w:rPr>
        <w:t>Cancer Res</w:t>
      </w:r>
      <w:r w:rsidRPr="00F91674">
        <w:rPr>
          <w:rFonts w:ascii="Book Antiqua" w:eastAsia="宋体" w:hAnsi="Book Antiqua" w:cs="宋体"/>
          <w:color w:val="201F35"/>
          <w:lang w:eastAsia="zh-CN"/>
        </w:rPr>
        <w:t> 2013; </w:t>
      </w:r>
      <w:r w:rsidRPr="00F91674">
        <w:rPr>
          <w:rFonts w:ascii="Book Antiqua" w:eastAsia="宋体" w:hAnsi="Book Antiqua" w:cs="宋体"/>
          <w:b/>
          <w:bCs/>
          <w:color w:val="201F35"/>
          <w:lang w:eastAsia="zh-CN"/>
        </w:rPr>
        <w:t>73</w:t>
      </w:r>
      <w:r w:rsidRPr="00F91674">
        <w:rPr>
          <w:rFonts w:ascii="Book Antiqua" w:eastAsia="宋体" w:hAnsi="Book Antiqua" w:cs="宋体"/>
          <w:color w:val="201F35"/>
          <w:lang w:eastAsia="zh-CN"/>
        </w:rPr>
        <w:t>: 5544-5555 [PMID: 23867475 DOI: 10.1158/0008-5472.CAN-12-4177]</w:t>
      </w:r>
    </w:p>
    <w:p w14:paraId="6B8C6F7B"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60 </w:t>
      </w:r>
      <w:r w:rsidRPr="00F91674">
        <w:rPr>
          <w:rFonts w:ascii="Book Antiqua" w:eastAsia="宋体" w:hAnsi="Book Antiqua" w:cs="宋体"/>
          <w:b/>
          <w:bCs/>
          <w:color w:val="201F35"/>
          <w:lang w:eastAsia="zh-CN"/>
        </w:rPr>
        <w:t>Krol I</w:t>
      </w:r>
      <w:r w:rsidRPr="00F91674">
        <w:rPr>
          <w:rFonts w:ascii="Book Antiqua" w:eastAsia="宋体" w:hAnsi="Book Antiqua" w:cs="宋体"/>
          <w:color w:val="201F35"/>
          <w:lang w:eastAsia="zh-CN"/>
        </w:rPr>
        <w:t>, Castro-Giner F, Maurer M, Gkountela S, Szczerba BM, Scherrer R, Coleman N, Carreira S, Bachmann F, Anderson S, Engelhardt M, Lane H, Evans TRJ, Plummer R, Kristeleit R, Lopez J, Aceto N. Detection of circulating tumour cell clusters in human glioblastoma. </w:t>
      </w:r>
      <w:r w:rsidRPr="00F91674">
        <w:rPr>
          <w:rFonts w:ascii="Book Antiqua" w:eastAsia="宋体" w:hAnsi="Book Antiqua" w:cs="宋体"/>
          <w:i/>
          <w:iCs/>
          <w:color w:val="201F35"/>
          <w:lang w:eastAsia="zh-CN"/>
        </w:rPr>
        <w:t>Br J Cancer</w:t>
      </w:r>
      <w:r w:rsidRPr="00F91674">
        <w:rPr>
          <w:rFonts w:ascii="Book Antiqua" w:eastAsia="宋体" w:hAnsi="Book Antiqua" w:cs="宋体"/>
          <w:color w:val="201F35"/>
          <w:lang w:eastAsia="zh-CN"/>
        </w:rPr>
        <w:t> 2018; </w:t>
      </w:r>
      <w:r w:rsidRPr="00F91674">
        <w:rPr>
          <w:rFonts w:ascii="Book Antiqua" w:eastAsia="宋体" w:hAnsi="Book Antiqua" w:cs="宋体"/>
          <w:b/>
          <w:bCs/>
          <w:color w:val="201F35"/>
          <w:lang w:eastAsia="zh-CN"/>
        </w:rPr>
        <w:t>119</w:t>
      </w:r>
      <w:r w:rsidRPr="00F91674">
        <w:rPr>
          <w:rFonts w:ascii="Book Antiqua" w:eastAsia="宋体" w:hAnsi="Book Antiqua" w:cs="宋体"/>
          <w:color w:val="201F35"/>
          <w:lang w:eastAsia="zh-CN"/>
        </w:rPr>
        <w:t>: 487-491 [PMID: 30065256 DOI: 10.1038/s41416-018-0186-7]</w:t>
      </w:r>
    </w:p>
    <w:p w14:paraId="059DC2F0"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61 </w:t>
      </w:r>
      <w:r w:rsidRPr="00F91674">
        <w:rPr>
          <w:rFonts w:ascii="Book Antiqua" w:eastAsia="宋体" w:hAnsi="Book Antiqua" w:cs="宋体"/>
          <w:b/>
          <w:bCs/>
          <w:color w:val="201F35"/>
          <w:lang w:eastAsia="zh-CN"/>
        </w:rPr>
        <w:t>Mansouri S</w:t>
      </w:r>
      <w:r w:rsidRPr="00F91674">
        <w:rPr>
          <w:rFonts w:ascii="Book Antiqua" w:eastAsia="宋体" w:hAnsi="Book Antiqua" w:cs="宋体"/>
          <w:color w:val="201F35"/>
          <w:lang w:eastAsia="zh-CN"/>
        </w:rPr>
        <w:t>, Nejad R, Karabork M, Ekinci C, Solaroglu I, Aldape KD, Zadeh G. Sox2: regulation of expression and contribution to brain tumors. </w:t>
      </w:r>
      <w:r w:rsidRPr="00F91674">
        <w:rPr>
          <w:rFonts w:ascii="Book Antiqua" w:eastAsia="宋体" w:hAnsi="Book Antiqua" w:cs="宋体"/>
          <w:i/>
          <w:iCs/>
          <w:color w:val="201F35"/>
          <w:lang w:eastAsia="zh-CN"/>
        </w:rPr>
        <w:t>CNS Oncol</w:t>
      </w:r>
      <w:r w:rsidRPr="00F91674">
        <w:rPr>
          <w:rFonts w:ascii="Book Antiqua" w:eastAsia="宋体" w:hAnsi="Book Antiqua" w:cs="宋体"/>
          <w:color w:val="201F35"/>
          <w:lang w:eastAsia="zh-CN"/>
        </w:rPr>
        <w:t> 2016; </w:t>
      </w:r>
      <w:r w:rsidRPr="00F91674">
        <w:rPr>
          <w:rFonts w:ascii="Book Antiqua" w:eastAsia="宋体" w:hAnsi="Book Antiqua" w:cs="宋体"/>
          <w:b/>
          <w:bCs/>
          <w:color w:val="201F35"/>
          <w:lang w:eastAsia="zh-CN"/>
        </w:rPr>
        <w:t>5</w:t>
      </w:r>
      <w:r w:rsidRPr="00F91674">
        <w:rPr>
          <w:rFonts w:ascii="Book Antiqua" w:eastAsia="宋体" w:hAnsi="Book Antiqua" w:cs="宋体"/>
          <w:color w:val="201F35"/>
          <w:lang w:eastAsia="zh-CN"/>
        </w:rPr>
        <w:t>: 159-173 [PMID: 27230973 DOI: 10.2217/cns-2016-0001]</w:t>
      </w:r>
    </w:p>
    <w:p w14:paraId="104C3167"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62 </w:t>
      </w:r>
      <w:r w:rsidRPr="00F91674">
        <w:rPr>
          <w:rFonts w:ascii="Book Antiqua" w:eastAsia="宋体" w:hAnsi="Book Antiqua" w:cs="宋体"/>
          <w:b/>
          <w:bCs/>
          <w:color w:val="201F35"/>
          <w:lang w:eastAsia="zh-CN"/>
        </w:rPr>
        <w:t>Schaefer T</w:t>
      </w:r>
      <w:r w:rsidRPr="00F91674">
        <w:rPr>
          <w:rFonts w:ascii="Book Antiqua" w:eastAsia="宋体" w:hAnsi="Book Antiqua" w:cs="宋体"/>
          <w:color w:val="201F35"/>
          <w:lang w:eastAsia="zh-CN"/>
        </w:rPr>
        <w:t>, Ramadoss A, Leu S, Tintignac L, Tostado C, Bink A, Schürch C, Müller J, Schärer J, Moffa G, Demougin P, Moes S, Stippich C, Falbo S, Neddersen H, Bucher H, Frank S, Jenö P, Lengerke C, Ritz MF, Mariani L, Boulay JL. Regulation of glioma cell invasion by 3q26 gene products PIK3CA, SOX2 and OPA1. </w:t>
      </w:r>
      <w:r w:rsidRPr="00F91674">
        <w:rPr>
          <w:rFonts w:ascii="Book Antiqua" w:eastAsia="宋体" w:hAnsi="Book Antiqua" w:cs="宋体"/>
          <w:i/>
          <w:iCs/>
          <w:color w:val="201F35"/>
          <w:lang w:eastAsia="zh-CN"/>
        </w:rPr>
        <w:t>Brain Pathol</w:t>
      </w:r>
      <w:r w:rsidRPr="00F91674">
        <w:rPr>
          <w:rFonts w:ascii="Book Antiqua" w:eastAsia="宋体" w:hAnsi="Book Antiqua" w:cs="宋体"/>
          <w:color w:val="201F35"/>
          <w:lang w:eastAsia="zh-CN"/>
        </w:rPr>
        <w:t> 2019; </w:t>
      </w:r>
      <w:r w:rsidRPr="00F91674">
        <w:rPr>
          <w:rFonts w:ascii="Book Antiqua" w:eastAsia="宋体" w:hAnsi="Book Antiqua" w:cs="宋体"/>
          <w:b/>
          <w:bCs/>
          <w:color w:val="201F35"/>
          <w:lang w:eastAsia="zh-CN"/>
        </w:rPr>
        <w:t>29</w:t>
      </w:r>
      <w:r w:rsidRPr="00F91674">
        <w:rPr>
          <w:rFonts w:ascii="Book Antiqua" w:eastAsia="宋体" w:hAnsi="Book Antiqua" w:cs="宋体"/>
          <w:color w:val="201F35"/>
          <w:lang w:eastAsia="zh-CN"/>
        </w:rPr>
        <w:t>: 336-350 [PMID: 30403311 DOI: 10.1111/bpa.12670]</w:t>
      </w:r>
    </w:p>
    <w:p w14:paraId="56100971"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63 </w:t>
      </w:r>
      <w:r w:rsidRPr="00F91674">
        <w:rPr>
          <w:rFonts w:ascii="Book Antiqua" w:eastAsia="宋体" w:hAnsi="Book Antiqua" w:cs="宋体"/>
          <w:b/>
          <w:bCs/>
          <w:color w:val="201F35"/>
          <w:lang w:eastAsia="zh-CN"/>
        </w:rPr>
        <w:t>Thakkar JP</w:t>
      </w:r>
      <w:r w:rsidRPr="00F91674">
        <w:rPr>
          <w:rFonts w:ascii="Book Antiqua" w:eastAsia="宋体" w:hAnsi="Book Antiqua" w:cs="宋体"/>
          <w:color w:val="201F35"/>
          <w:lang w:eastAsia="zh-CN"/>
        </w:rPr>
        <w:t>, Dolecek TA, Horbinski C, Ostrom QT, Lightner DD, Barnholtz-Sloan JS, Villano JL. Epidemiologic and molecular prognostic review of glioblastoma. </w:t>
      </w:r>
      <w:r w:rsidRPr="00F91674">
        <w:rPr>
          <w:rFonts w:ascii="Book Antiqua" w:eastAsia="宋体" w:hAnsi="Book Antiqua" w:cs="宋体"/>
          <w:i/>
          <w:iCs/>
          <w:color w:val="201F35"/>
          <w:lang w:eastAsia="zh-CN"/>
        </w:rPr>
        <w:t>Cancer Epidemiol Biomarkers Prev</w:t>
      </w:r>
      <w:r w:rsidRPr="00F91674">
        <w:rPr>
          <w:rFonts w:ascii="Book Antiqua" w:eastAsia="宋体" w:hAnsi="Book Antiqua" w:cs="宋体"/>
          <w:color w:val="201F35"/>
          <w:lang w:eastAsia="zh-CN"/>
        </w:rPr>
        <w:t> 2014; </w:t>
      </w:r>
      <w:r w:rsidRPr="00F91674">
        <w:rPr>
          <w:rFonts w:ascii="Book Antiqua" w:eastAsia="宋体" w:hAnsi="Book Antiqua" w:cs="宋体"/>
          <w:b/>
          <w:bCs/>
          <w:color w:val="201F35"/>
          <w:lang w:eastAsia="zh-CN"/>
        </w:rPr>
        <w:t>23</w:t>
      </w:r>
      <w:r w:rsidRPr="00F91674">
        <w:rPr>
          <w:rFonts w:ascii="Book Antiqua" w:eastAsia="宋体" w:hAnsi="Book Antiqua" w:cs="宋体"/>
          <w:color w:val="201F35"/>
          <w:lang w:eastAsia="zh-CN"/>
        </w:rPr>
        <w:t>: 1985-1996 [PMID: 25053711 DOI: 10.1158/1055-9965.EPI-14-0275]</w:t>
      </w:r>
    </w:p>
    <w:p w14:paraId="404729C3"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64 </w:t>
      </w:r>
      <w:r w:rsidRPr="00F91674">
        <w:rPr>
          <w:rFonts w:ascii="Book Antiqua" w:eastAsia="宋体" w:hAnsi="Book Antiqua" w:cs="宋体"/>
          <w:b/>
          <w:bCs/>
          <w:color w:val="201F35"/>
          <w:lang w:eastAsia="zh-CN"/>
        </w:rPr>
        <w:t>Hottinger AF</w:t>
      </w:r>
      <w:r w:rsidRPr="00F91674">
        <w:rPr>
          <w:rFonts w:ascii="Book Antiqua" w:eastAsia="宋体" w:hAnsi="Book Antiqua" w:cs="宋体"/>
          <w:color w:val="201F35"/>
          <w:lang w:eastAsia="zh-CN"/>
        </w:rPr>
        <w:t>, Stupp R, Homicsko K. Standards of care and novel approaches in the management of glioblastoma multiforme. </w:t>
      </w:r>
      <w:r w:rsidRPr="00F91674">
        <w:rPr>
          <w:rFonts w:ascii="Book Antiqua" w:eastAsia="宋体" w:hAnsi="Book Antiqua" w:cs="宋体"/>
          <w:i/>
          <w:iCs/>
          <w:color w:val="201F35"/>
          <w:lang w:eastAsia="zh-CN"/>
        </w:rPr>
        <w:t>Chin J Cancer</w:t>
      </w:r>
      <w:r w:rsidRPr="00F91674">
        <w:rPr>
          <w:rFonts w:ascii="Book Antiqua" w:eastAsia="宋体" w:hAnsi="Book Antiqua" w:cs="宋体"/>
          <w:color w:val="201F35"/>
          <w:lang w:eastAsia="zh-CN"/>
        </w:rPr>
        <w:t> 2014; </w:t>
      </w:r>
      <w:r w:rsidRPr="00F91674">
        <w:rPr>
          <w:rFonts w:ascii="Book Antiqua" w:eastAsia="宋体" w:hAnsi="Book Antiqua" w:cs="宋体"/>
          <w:b/>
          <w:bCs/>
          <w:color w:val="201F35"/>
          <w:lang w:eastAsia="zh-CN"/>
        </w:rPr>
        <w:t>33</w:t>
      </w:r>
      <w:r w:rsidRPr="00F91674">
        <w:rPr>
          <w:rFonts w:ascii="Book Antiqua" w:eastAsia="宋体" w:hAnsi="Book Antiqua" w:cs="宋体"/>
          <w:color w:val="201F35"/>
          <w:lang w:eastAsia="zh-CN"/>
        </w:rPr>
        <w:t>: 32-39 [PMID: 24384238 DOI: 10.5732/cjc.013.10207]</w:t>
      </w:r>
    </w:p>
    <w:p w14:paraId="051A0565"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65 </w:t>
      </w:r>
      <w:r w:rsidRPr="00F91674">
        <w:rPr>
          <w:rFonts w:ascii="Book Antiqua" w:eastAsia="宋体" w:hAnsi="Book Antiqua" w:cs="宋体"/>
          <w:b/>
          <w:bCs/>
          <w:color w:val="201F35"/>
          <w:lang w:eastAsia="zh-CN"/>
        </w:rPr>
        <w:t>Ostrom QT</w:t>
      </w:r>
      <w:r w:rsidRPr="00F91674">
        <w:rPr>
          <w:rFonts w:ascii="Book Antiqua" w:eastAsia="宋体" w:hAnsi="Book Antiqua" w:cs="宋体"/>
          <w:color w:val="201F35"/>
          <w:lang w:eastAsia="zh-CN"/>
        </w:rPr>
        <w:t>, Bauchet L, Davis FG, Deltour I, Fisher JL, Langer CE, Pekmezci M, Schwartzbaum JA, Turner MC, Walsh KM, Wrensch MR, Barnholtz-Sloan JS. The epidemiology of glioma in adults: a "state of the science" review. </w:t>
      </w:r>
      <w:r w:rsidRPr="00F91674">
        <w:rPr>
          <w:rFonts w:ascii="Book Antiqua" w:eastAsia="宋体" w:hAnsi="Book Antiqua" w:cs="宋体"/>
          <w:i/>
          <w:iCs/>
          <w:color w:val="201F35"/>
          <w:lang w:eastAsia="zh-CN"/>
        </w:rPr>
        <w:t>Neuro Oncol</w:t>
      </w:r>
      <w:r w:rsidRPr="00F91674">
        <w:rPr>
          <w:rFonts w:ascii="Book Antiqua" w:eastAsia="宋体" w:hAnsi="Book Antiqua" w:cs="宋体"/>
          <w:color w:val="201F35"/>
          <w:lang w:eastAsia="zh-CN"/>
        </w:rPr>
        <w:t> 2014; </w:t>
      </w:r>
      <w:r w:rsidRPr="00F91674">
        <w:rPr>
          <w:rFonts w:ascii="Book Antiqua" w:eastAsia="宋体" w:hAnsi="Book Antiqua" w:cs="宋体"/>
          <w:b/>
          <w:bCs/>
          <w:color w:val="201F35"/>
          <w:lang w:eastAsia="zh-CN"/>
        </w:rPr>
        <w:t>16</w:t>
      </w:r>
      <w:r w:rsidRPr="00F91674">
        <w:rPr>
          <w:rFonts w:ascii="Book Antiqua" w:eastAsia="宋体" w:hAnsi="Book Antiqua" w:cs="宋体"/>
          <w:color w:val="201F35"/>
          <w:lang w:eastAsia="zh-CN"/>
        </w:rPr>
        <w:t>: 896-913 [PMID: 24842956 DOI: 10.1093/neuonc/nou087]</w:t>
      </w:r>
    </w:p>
    <w:p w14:paraId="524DA837"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66 </w:t>
      </w:r>
      <w:r w:rsidRPr="00F91674">
        <w:rPr>
          <w:rFonts w:ascii="Book Antiqua" w:eastAsia="宋体" w:hAnsi="Book Antiqua" w:cs="宋体"/>
          <w:b/>
          <w:bCs/>
          <w:color w:val="201F35"/>
          <w:lang w:eastAsia="zh-CN"/>
        </w:rPr>
        <w:t>Rock K</w:t>
      </w:r>
      <w:r w:rsidRPr="00F91674">
        <w:rPr>
          <w:rFonts w:ascii="Book Antiqua" w:eastAsia="宋体" w:hAnsi="Book Antiqua" w:cs="宋体"/>
          <w:color w:val="201F35"/>
          <w:lang w:eastAsia="zh-CN"/>
        </w:rPr>
        <w:t xml:space="preserve">, McArdle O, Forde P, Dunne M, Fitzpatrick D, O'Neill B, Faul C. A clinical review of treatment outcomes in glioblastoma multiforme--the validation in a non-trial population of the results of a randomised Phase III clinical trial: has a more radical </w:t>
      </w:r>
      <w:r w:rsidRPr="00F91674">
        <w:rPr>
          <w:rFonts w:ascii="Book Antiqua" w:eastAsia="宋体" w:hAnsi="Book Antiqua" w:cs="宋体"/>
          <w:color w:val="201F35"/>
          <w:lang w:eastAsia="zh-CN"/>
        </w:rPr>
        <w:lastRenderedPageBreak/>
        <w:t>approach improved survival? </w:t>
      </w:r>
      <w:r w:rsidRPr="00F91674">
        <w:rPr>
          <w:rFonts w:ascii="Book Antiqua" w:eastAsia="宋体" w:hAnsi="Book Antiqua" w:cs="宋体"/>
          <w:i/>
          <w:iCs/>
          <w:color w:val="201F35"/>
          <w:lang w:eastAsia="zh-CN"/>
        </w:rPr>
        <w:t>Br J Radiol</w:t>
      </w:r>
      <w:r w:rsidRPr="00F91674">
        <w:rPr>
          <w:rFonts w:ascii="Book Antiqua" w:eastAsia="宋体" w:hAnsi="Book Antiqua" w:cs="宋体"/>
          <w:color w:val="201F35"/>
          <w:lang w:eastAsia="zh-CN"/>
        </w:rPr>
        <w:t> 2012; </w:t>
      </w:r>
      <w:r w:rsidRPr="00F91674">
        <w:rPr>
          <w:rFonts w:ascii="Book Antiqua" w:eastAsia="宋体" w:hAnsi="Book Antiqua" w:cs="宋体"/>
          <w:b/>
          <w:bCs/>
          <w:color w:val="201F35"/>
          <w:lang w:eastAsia="zh-CN"/>
        </w:rPr>
        <w:t>85</w:t>
      </w:r>
      <w:r w:rsidRPr="00F91674">
        <w:rPr>
          <w:rFonts w:ascii="Book Antiqua" w:eastAsia="宋体" w:hAnsi="Book Antiqua" w:cs="宋体"/>
          <w:color w:val="201F35"/>
          <w:lang w:eastAsia="zh-CN"/>
        </w:rPr>
        <w:t>: e729-e733 [PMID: 22215883 DOI: 10.1259/bjr/83796755]</w:t>
      </w:r>
    </w:p>
    <w:p w14:paraId="083B2C7C"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67 </w:t>
      </w:r>
      <w:r w:rsidRPr="00F91674">
        <w:rPr>
          <w:rFonts w:ascii="Book Antiqua" w:eastAsia="宋体" w:hAnsi="Book Antiqua" w:cs="宋体"/>
          <w:b/>
          <w:bCs/>
          <w:color w:val="201F35"/>
          <w:lang w:eastAsia="zh-CN"/>
        </w:rPr>
        <w:t>Stupp R</w:t>
      </w:r>
      <w:r w:rsidRPr="00F91674">
        <w:rPr>
          <w:rFonts w:ascii="Book Antiqua" w:eastAsia="宋体" w:hAnsi="Book Antiqua" w:cs="宋体"/>
          <w:color w:val="201F35"/>
          <w:lang w:eastAsia="zh-CN"/>
        </w:rPr>
        <w:t>, Mason WP, van den Bent MJ, Weller M, Fisher B, Taphoorn MJ, Belanger K, Brandes AA, Marosi C, Bogdahn U, Curschmann J, Janzer RC, Ludwin SK, Gorlia T, Allgeier A, Lacombe D, Cairncross JG, Eisenhauer E, Mirimanoff RO; European Organisation for Research and Treatment of Cancer Brain Tumor and Radiotherapy Groups; National Cancer Institute of Canada Clinical Trials Group. Radiotherapy plus concomitant and adjuvant temozolomide for glioblastoma. </w:t>
      </w:r>
      <w:r w:rsidRPr="00F91674">
        <w:rPr>
          <w:rFonts w:ascii="Book Antiqua" w:eastAsia="宋体" w:hAnsi="Book Antiqua" w:cs="宋体"/>
          <w:i/>
          <w:iCs/>
          <w:color w:val="201F35"/>
          <w:lang w:eastAsia="zh-CN"/>
        </w:rPr>
        <w:t>N Engl J Med</w:t>
      </w:r>
      <w:r w:rsidRPr="00F91674">
        <w:rPr>
          <w:rFonts w:ascii="Book Antiqua" w:eastAsia="宋体" w:hAnsi="Book Antiqua" w:cs="宋体"/>
          <w:color w:val="201F35"/>
          <w:lang w:eastAsia="zh-CN"/>
        </w:rPr>
        <w:t> 2005; </w:t>
      </w:r>
      <w:r w:rsidRPr="00F91674">
        <w:rPr>
          <w:rFonts w:ascii="Book Antiqua" w:eastAsia="宋体" w:hAnsi="Book Antiqua" w:cs="宋体"/>
          <w:b/>
          <w:bCs/>
          <w:color w:val="201F35"/>
          <w:lang w:eastAsia="zh-CN"/>
        </w:rPr>
        <w:t>352</w:t>
      </w:r>
      <w:r w:rsidRPr="00F91674">
        <w:rPr>
          <w:rFonts w:ascii="Book Antiqua" w:eastAsia="宋体" w:hAnsi="Book Antiqua" w:cs="宋体"/>
          <w:color w:val="201F35"/>
          <w:lang w:eastAsia="zh-CN"/>
        </w:rPr>
        <w:t>: 987-996 [PMID: 15758009 DOI: 10.1056/NEJMoa043330]</w:t>
      </w:r>
    </w:p>
    <w:p w14:paraId="6126571A"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68 </w:t>
      </w:r>
      <w:r w:rsidRPr="00F91674">
        <w:rPr>
          <w:rFonts w:ascii="Book Antiqua" w:eastAsia="宋体" w:hAnsi="Book Antiqua" w:cs="宋体"/>
          <w:b/>
          <w:bCs/>
          <w:color w:val="201F35"/>
          <w:lang w:eastAsia="zh-CN"/>
        </w:rPr>
        <w:t>Ostrom QT</w:t>
      </w:r>
      <w:r w:rsidRPr="00F91674">
        <w:rPr>
          <w:rFonts w:ascii="Book Antiqua" w:eastAsia="宋体" w:hAnsi="Book Antiqua" w:cs="宋体"/>
          <w:color w:val="201F35"/>
          <w:lang w:eastAsia="zh-CN"/>
        </w:rPr>
        <w:t>, Cioffi G, Gittleman H, Patil N, Waite K, Kruchko C, Barnholtz-Sloan JS. CBTRUS Statistical Report: Primary Brain and Other Central Nervous System Tumors Diagnosed in the United States in 2012-2016. </w:t>
      </w:r>
      <w:r w:rsidRPr="00F91674">
        <w:rPr>
          <w:rFonts w:ascii="Book Antiqua" w:eastAsia="宋体" w:hAnsi="Book Antiqua" w:cs="宋体"/>
          <w:i/>
          <w:iCs/>
          <w:color w:val="201F35"/>
          <w:lang w:eastAsia="zh-CN"/>
        </w:rPr>
        <w:t>Neuro Oncol</w:t>
      </w:r>
      <w:r w:rsidRPr="00F91674">
        <w:rPr>
          <w:rFonts w:ascii="Book Antiqua" w:eastAsia="宋体" w:hAnsi="Book Antiqua" w:cs="宋体"/>
          <w:color w:val="201F35"/>
          <w:lang w:eastAsia="zh-CN"/>
        </w:rPr>
        <w:t> 2019; </w:t>
      </w:r>
      <w:r w:rsidRPr="00F91674">
        <w:rPr>
          <w:rFonts w:ascii="Book Antiqua" w:eastAsia="宋体" w:hAnsi="Book Antiqua" w:cs="宋体"/>
          <w:b/>
          <w:bCs/>
          <w:color w:val="201F35"/>
          <w:lang w:eastAsia="zh-CN"/>
        </w:rPr>
        <w:t>21</w:t>
      </w:r>
      <w:r w:rsidRPr="00F91674">
        <w:rPr>
          <w:rFonts w:ascii="Book Antiqua" w:eastAsia="宋体" w:hAnsi="Book Antiqua" w:cs="宋体"/>
          <w:color w:val="201F35"/>
          <w:lang w:eastAsia="zh-CN"/>
        </w:rPr>
        <w:t>: v1-v100 [PMID: 31675094 DOI: 10.1093/neuonc/noz150]</w:t>
      </w:r>
    </w:p>
    <w:p w14:paraId="16E87A48"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69 </w:t>
      </w:r>
      <w:r w:rsidRPr="00F91674">
        <w:rPr>
          <w:rFonts w:ascii="Book Antiqua" w:eastAsia="宋体" w:hAnsi="Book Antiqua" w:cs="宋体"/>
          <w:b/>
          <w:bCs/>
          <w:color w:val="201F35"/>
          <w:lang w:eastAsia="zh-CN"/>
        </w:rPr>
        <w:t>Brennan CW</w:t>
      </w:r>
      <w:r w:rsidRPr="00F91674">
        <w:rPr>
          <w:rFonts w:ascii="Book Antiqua" w:eastAsia="宋体" w:hAnsi="Book Antiqua" w:cs="宋体"/>
          <w:color w:val="201F35"/>
          <w:lang w:eastAsia="zh-CN"/>
        </w:rPr>
        <w:t>, Verhaak RG, McKenna A, Campos B, Noushmehr H, Salama SR, Zheng S, Chakravarty D, Sanborn JZ, Berman SH, Beroukhim R, Bernard B, Wu CJ, Genovese G, Shmulevich I, Barnholtz-Sloan J, Zou L, Vegesna R, Shukla SA, Ciriello G, Yung WK, Zhang W, Sougnez C, Mikkelsen T, Aldape K, Bigner DD, Van Meir EG, Prados M, Sloan A, Black KL, Eschbacher J, Finocchiaro G, Friedman W, Andrews DW, Guha A, Iacocca M, O'Neill BP, Foltz G, Myers J, Weisenberger DJ, Penny R, Kucherlapati R, Perou CM, Hayes DN, Gibbs R, Marra M, Mills GB, Lander E, Spellman P, Wilson R, Sander C, Weinstein J, Meyerson M, Gabriel S, Laird PW, Haussler D, Getz G, Chin L; TCGA Research Network. The somatic genomic landscape of glioblastoma. </w:t>
      </w:r>
      <w:r w:rsidRPr="00F91674">
        <w:rPr>
          <w:rFonts w:ascii="Book Antiqua" w:eastAsia="宋体" w:hAnsi="Book Antiqua" w:cs="宋体"/>
          <w:i/>
          <w:iCs/>
          <w:color w:val="201F35"/>
          <w:lang w:eastAsia="zh-CN"/>
        </w:rPr>
        <w:t>Cell</w:t>
      </w:r>
      <w:r w:rsidRPr="00F91674">
        <w:rPr>
          <w:rFonts w:ascii="Book Antiqua" w:eastAsia="宋体" w:hAnsi="Book Antiqua" w:cs="宋体"/>
          <w:color w:val="201F35"/>
          <w:lang w:eastAsia="zh-CN"/>
        </w:rPr>
        <w:t> 2013; </w:t>
      </w:r>
      <w:r w:rsidRPr="00F91674">
        <w:rPr>
          <w:rFonts w:ascii="Book Antiqua" w:eastAsia="宋体" w:hAnsi="Book Antiqua" w:cs="宋体"/>
          <w:b/>
          <w:bCs/>
          <w:color w:val="201F35"/>
          <w:lang w:eastAsia="zh-CN"/>
        </w:rPr>
        <w:t>155</w:t>
      </w:r>
      <w:r w:rsidRPr="00F91674">
        <w:rPr>
          <w:rFonts w:ascii="Book Antiqua" w:eastAsia="宋体" w:hAnsi="Book Antiqua" w:cs="宋体"/>
          <w:color w:val="201F35"/>
          <w:lang w:eastAsia="zh-CN"/>
        </w:rPr>
        <w:t>: 462-477 [PMID: 24120142 DOI: 10.1016/j.cell.2013.09.034]</w:t>
      </w:r>
    </w:p>
    <w:p w14:paraId="6FA7DCF7"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70 </w:t>
      </w:r>
      <w:r w:rsidRPr="00F91674">
        <w:rPr>
          <w:rFonts w:ascii="Book Antiqua" w:eastAsia="宋体" w:hAnsi="Book Antiqua" w:cs="宋体"/>
          <w:b/>
          <w:bCs/>
          <w:color w:val="201F35"/>
          <w:lang w:eastAsia="zh-CN"/>
        </w:rPr>
        <w:t>Conroy S</w:t>
      </w:r>
      <w:r w:rsidRPr="00F91674">
        <w:rPr>
          <w:rFonts w:ascii="Book Antiqua" w:eastAsia="宋体" w:hAnsi="Book Antiqua" w:cs="宋体"/>
          <w:color w:val="201F35"/>
          <w:lang w:eastAsia="zh-CN"/>
        </w:rPr>
        <w:t>, Wagemakers M, Walenkamp AM, Kruyt FA, den Dunnen WF. Novel insights into vascularization patterns and angiogenic factors in glioblastoma subclasses. </w:t>
      </w:r>
      <w:r w:rsidRPr="00F91674">
        <w:rPr>
          <w:rFonts w:ascii="Book Antiqua" w:eastAsia="宋体" w:hAnsi="Book Antiqua" w:cs="宋体"/>
          <w:i/>
          <w:iCs/>
          <w:color w:val="201F35"/>
          <w:lang w:eastAsia="zh-CN"/>
        </w:rPr>
        <w:t>J Neurooncol</w:t>
      </w:r>
      <w:r w:rsidRPr="00F91674">
        <w:rPr>
          <w:rFonts w:ascii="Book Antiqua" w:eastAsia="宋体" w:hAnsi="Book Antiqua" w:cs="宋体"/>
          <w:color w:val="201F35"/>
          <w:lang w:eastAsia="zh-CN"/>
        </w:rPr>
        <w:t> 2017; </w:t>
      </w:r>
      <w:r w:rsidRPr="00F91674">
        <w:rPr>
          <w:rFonts w:ascii="Book Antiqua" w:eastAsia="宋体" w:hAnsi="Book Antiqua" w:cs="宋体"/>
          <w:b/>
          <w:bCs/>
          <w:color w:val="201F35"/>
          <w:lang w:eastAsia="zh-CN"/>
        </w:rPr>
        <w:t>131</w:t>
      </w:r>
      <w:r w:rsidRPr="00F91674">
        <w:rPr>
          <w:rFonts w:ascii="Book Antiqua" w:eastAsia="宋体" w:hAnsi="Book Antiqua" w:cs="宋体"/>
          <w:color w:val="201F35"/>
          <w:lang w:eastAsia="zh-CN"/>
        </w:rPr>
        <w:t>: 11-20 [PMID: 27633774 DOI: 10.1007/s11060-016-2269-8]</w:t>
      </w:r>
    </w:p>
    <w:p w14:paraId="15D4F482"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71 </w:t>
      </w:r>
      <w:r w:rsidRPr="00F91674">
        <w:rPr>
          <w:rFonts w:ascii="Book Antiqua" w:eastAsia="宋体" w:hAnsi="Book Antiqua" w:cs="宋体"/>
          <w:b/>
          <w:bCs/>
          <w:color w:val="201F35"/>
          <w:lang w:eastAsia="zh-CN"/>
        </w:rPr>
        <w:t>Escamilla-Ramírez A</w:t>
      </w:r>
      <w:r w:rsidRPr="00F91674">
        <w:rPr>
          <w:rFonts w:ascii="Book Antiqua" w:eastAsia="宋体" w:hAnsi="Book Antiqua" w:cs="宋体"/>
          <w:color w:val="201F35"/>
          <w:lang w:eastAsia="zh-CN"/>
        </w:rPr>
        <w:t xml:space="preserve">, Castillo-Rodríguez RA, Zavala-Vega S, Jimenez-Farfan D, Anaya-Rubio I, Briseño E, Palencia G, Guevara P, Cruz-Salgado A, Sotelo J, Trejo-Solís </w:t>
      </w:r>
      <w:r w:rsidRPr="00F91674">
        <w:rPr>
          <w:rFonts w:ascii="Book Antiqua" w:eastAsia="宋体" w:hAnsi="Book Antiqua" w:cs="宋体"/>
          <w:color w:val="201F35"/>
          <w:lang w:eastAsia="zh-CN"/>
        </w:rPr>
        <w:lastRenderedPageBreak/>
        <w:t>C. Autophagy as a Potential Therapy for Malignant Glioma. </w:t>
      </w:r>
      <w:r w:rsidRPr="00F91674">
        <w:rPr>
          <w:rFonts w:ascii="Book Antiqua" w:eastAsia="宋体" w:hAnsi="Book Antiqua" w:cs="宋体"/>
          <w:i/>
          <w:iCs/>
          <w:color w:val="201F35"/>
          <w:lang w:eastAsia="zh-CN"/>
        </w:rPr>
        <w:t>Pharmaceuticals (Basel)</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13</w:t>
      </w:r>
      <w:r w:rsidRPr="00F91674">
        <w:rPr>
          <w:rFonts w:ascii="Book Antiqua" w:eastAsia="宋体" w:hAnsi="Book Antiqua" w:cs="宋体"/>
          <w:color w:val="201F35"/>
          <w:lang w:eastAsia="zh-CN"/>
        </w:rPr>
        <w:t>: 156 [PMID: 32707662 DOI: 10.3390/ph13070156]</w:t>
      </w:r>
    </w:p>
    <w:p w14:paraId="25B4CD9C"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72 </w:t>
      </w:r>
      <w:r w:rsidRPr="00F91674">
        <w:rPr>
          <w:rFonts w:ascii="Book Antiqua" w:eastAsia="宋体" w:hAnsi="Book Antiqua" w:cs="宋体"/>
          <w:b/>
          <w:bCs/>
          <w:color w:val="201F35"/>
          <w:lang w:eastAsia="zh-CN"/>
        </w:rPr>
        <w:t>Ryskalin L</w:t>
      </w:r>
      <w:r w:rsidRPr="00F91674">
        <w:rPr>
          <w:rFonts w:ascii="Book Antiqua" w:eastAsia="宋体" w:hAnsi="Book Antiqua" w:cs="宋体"/>
          <w:color w:val="201F35"/>
          <w:lang w:eastAsia="zh-CN"/>
        </w:rPr>
        <w:t>, Gaglione A, Limanaqi F, Biagioni F, Familiari P, Frati A, Esposito V, Fornai F. The Autophagy Status of Cancer Stem Cells in Gliobastoma Multiforme: From Cancer Promotion to Therapeutic Strategies. </w:t>
      </w:r>
      <w:r w:rsidRPr="00F91674">
        <w:rPr>
          <w:rFonts w:ascii="Book Antiqua" w:eastAsia="宋体" w:hAnsi="Book Antiqua" w:cs="宋体"/>
          <w:i/>
          <w:iCs/>
          <w:color w:val="201F35"/>
          <w:lang w:eastAsia="zh-CN"/>
        </w:rPr>
        <w:t>Int J Mol Sci</w:t>
      </w:r>
      <w:r w:rsidRPr="00F91674">
        <w:rPr>
          <w:rFonts w:ascii="Book Antiqua" w:eastAsia="宋体" w:hAnsi="Book Antiqua" w:cs="宋体"/>
          <w:color w:val="201F35"/>
          <w:lang w:eastAsia="zh-CN"/>
        </w:rPr>
        <w:t> 2019; </w:t>
      </w:r>
      <w:r w:rsidRPr="00F91674">
        <w:rPr>
          <w:rFonts w:ascii="Book Antiqua" w:eastAsia="宋体" w:hAnsi="Book Antiqua" w:cs="宋体"/>
          <w:b/>
          <w:bCs/>
          <w:color w:val="201F35"/>
          <w:lang w:eastAsia="zh-CN"/>
        </w:rPr>
        <w:t>20</w:t>
      </w:r>
      <w:r w:rsidRPr="00F91674">
        <w:rPr>
          <w:rFonts w:ascii="Book Antiqua" w:eastAsia="宋体" w:hAnsi="Book Antiqua" w:cs="宋体"/>
          <w:color w:val="201F35"/>
          <w:lang w:eastAsia="zh-CN"/>
        </w:rPr>
        <w:t>: 3824 [PMID: 31387280 DOI: 10.3390/ijms20153824]</w:t>
      </w:r>
    </w:p>
    <w:p w14:paraId="24409DDC"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73 </w:t>
      </w:r>
      <w:r w:rsidRPr="00F91674">
        <w:rPr>
          <w:rFonts w:ascii="Book Antiqua" w:eastAsia="宋体" w:hAnsi="Book Antiqua" w:cs="宋体"/>
          <w:b/>
          <w:bCs/>
          <w:color w:val="201F35"/>
          <w:lang w:eastAsia="zh-CN"/>
        </w:rPr>
        <w:t>Thomas L</w:t>
      </w:r>
      <w:r w:rsidRPr="00F91674">
        <w:rPr>
          <w:rFonts w:ascii="Book Antiqua" w:eastAsia="宋体" w:hAnsi="Book Antiqua" w:cs="宋体"/>
          <w:color w:val="201F35"/>
          <w:lang w:eastAsia="zh-CN"/>
        </w:rPr>
        <w:t>, Florio T, Perez-Castro C. Extracellular Vesicles Loaded miRNAs as Potential Modulators Shared Between Glioblastoma, and Parkinson's and Alzheimer's Diseases. </w:t>
      </w:r>
      <w:r w:rsidRPr="00F91674">
        <w:rPr>
          <w:rFonts w:ascii="Book Antiqua" w:eastAsia="宋体" w:hAnsi="Book Antiqua" w:cs="宋体"/>
          <w:i/>
          <w:iCs/>
          <w:color w:val="201F35"/>
          <w:lang w:eastAsia="zh-CN"/>
        </w:rPr>
        <w:t>Front Cell Neurosci</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14</w:t>
      </w:r>
      <w:r w:rsidRPr="00F91674">
        <w:rPr>
          <w:rFonts w:ascii="Book Antiqua" w:eastAsia="宋体" w:hAnsi="Book Antiqua" w:cs="宋体"/>
          <w:color w:val="201F35"/>
          <w:lang w:eastAsia="zh-CN"/>
        </w:rPr>
        <w:t>: 590034 [PMID: 33328891 DOI: 10.3389/fncel.2020.590034]</w:t>
      </w:r>
    </w:p>
    <w:p w14:paraId="5DF4BFA3"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74 </w:t>
      </w:r>
      <w:r w:rsidRPr="00F91674">
        <w:rPr>
          <w:rFonts w:ascii="Book Antiqua" w:eastAsia="宋体" w:hAnsi="Book Antiqua" w:cs="宋体"/>
          <w:b/>
          <w:bCs/>
          <w:color w:val="201F35"/>
          <w:lang w:eastAsia="zh-CN"/>
        </w:rPr>
        <w:t>Ohgaki H</w:t>
      </w:r>
      <w:r w:rsidRPr="00F91674">
        <w:rPr>
          <w:rFonts w:ascii="Book Antiqua" w:eastAsia="宋体" w:hAnsi="Book Antiqua" w:cs="宋体"/>
          <w:color w:val="201F35"/>
          <w:lang w:eastAsia="zh-CN"/>
        </w:rPr>
        <w:t>, Kleihues P. Genetic pathways to primary and secondary glioblastoma. </w:t>
      </w:r>
      <w:r w:rsidRPr="00F91674">
        <w:rPr>
          <w:rFonts w:ascii="Book Antiqua" w:eastAsia="宋体" w:hAnsi="Book Antiqua" w:cs="宋体"/>
          <w:i/>
          <w:iCs/>
          <w:color w:val="201F35"/>
          <w:lang w:eastAsia="zh-CN"/>
        </w:rPr>
        <w:t>Am J Pathol</w:t>
      </w:r>
      <w:r w:rsidRPr="00F91674">
        <w:rPr>
          <w:rFonts w:ascii="Book Antiqua" w:eastAsia="宋体" w:hAnsi="Book Antiqua" w:cs="宋体"/>
          <w:color w:val="201F35"/>
          <w:lang w:eastAsia="zh-CN"/>
        </w:rPr>
        <w:t> 2007; </w:t>
      </w:r>
      <w:r w:rsidRPr="00F91674">
        <w:rPr>
          <w:rFonts w:ascii="Book Antiqua" w:eastAsia="宋体" w:hAnsi="Book Antiqua" w:cs="宋体"/>
          <w:b/>
          <w:bCs/>
          <w:color w:val="201F35"/>
          <w:lang w:eastAsia="zh-CN"/>
        </w:rPr>
        <w:t>170</w:t>
      </w:r>
      <w:r w:rsidRPr="00F91674">
        <w:rPr>
          <w:rFonts w:ascii="Book Antiqua" w:eastAsia="宋体" w:hAnsi="Book Antiqua" w:cs="宋体"/>
          <w:color w:val="201F35"/>
          <w:lang w:eastAsia="zh-CN"/>
        </w:rPr>
        <w:t>: 1445-1453 [PMID: 17456751 DOI: 10.2353/ajpath.2007.070011]</w:t>
      </w:r>
    </w:p>
    <w:p w14:paraId="1168AB55"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75 </w:t>
      </w:r>
      <w:r w:rsidRPr="00F91674">
        <w:rPr>
          <w:rFonts w:ascii="Book Antiqua" w:eastAsia="宋体" w:hAnsi="Book Antiqua" w:cs="宋体"/>
          <w:b/>
          <w:bCs/>
          <w:color w:val="201F35"/>
          <w:lang w:eastAsia="zh-CN"/>
        </w:rPr>
        <w:t>Verhaak RG</w:t>
      </w:r>
      <w:r w:rsidRPr="00F91674">
        <w:rPr>
          <w:rFonts w:ascii="Book Antiqua" w:eastAsia="宋体" w:hAnsi="Book Antiqua" w:cs="宋体"/>
          <w:color w:val="201F35"/>
          <w:lang w:eastAsia="zh-CN"/>
        </w:rPr>
        <w:t>, Hoadley KA, Purdom E, Wang V, Qi Y, Wilkerson MD, Miller CR, Ding L, Golub T, Mesirov JP, Alexe G, Lawrence M, O'Kelly M, Tamayo P, Weir BA, Gabriel S, Winckler W, Gupta S, Jakkula L, Feiler HS, Hodgson JG, James CD, Sarkaria JN, Brennan C, Kahn A, Spellman PT, Wilson RK, Speed TP, Gray JW, Meyerson M, Getz G, Perou CM, Hayes DN; Cancer Genome Atlas Research Network. Integrated genomic analysis identifies clinically relevant subtypes of glioblastoma characterized by abnormalities in PDGFRA, IDH1, EGFR, and NF1. </w:t>
      </w:r>
      <w:r w:rsidRPr="00F91674">
        <w:rPr>
          <w:rFonts w:ascii="Book Antiqua" w:eastAsia="宋体" w:hAnsi="Book Antiqua" w:cs="宋体"/>
          <w:i/>
          <w:iCs/>
          <w:color w:val="201F35"/>
          <w:lang w:eastAsia="zh-CN"/>
        </w:rPr>
        <w:t>Cancer Cell</w:t>
      </w:r>
      <w:r w:rsidRPr="00F91674">
        <w:rPr>
          <w:rFonts w:ascii="Book Antiqua" w:eastAsia="宋体" w:hAnsi="Book Antiqua" w:cs="宋体"/>
          <w:color w:val="201F35"/>
          <w:lang w:eastAsia="zh-CN"/>
        </w:rPr>
        <w:t> 2010; </w:t>
      </w:r>
      <w:r w:rsidRPr="00F91674">
        <w:rPr>
          <w:rFonts w:ascii="Book Antiqua" w:eastAsia="宋体" w:hAnsi="Book Antiqua" w:cs="宋体"/>
          <w:b/>
          <w:bCs/>
          <w:color w:val="201F35"/>
          <w:lang w:eastAsia="zh-CN"/>
        </w:rPr>
        <w:t>17</w:t>
      </w:r>
      <w:r w:rsidRPr="00F91674">
        <w:rPr>
          <w:rFonts w:ascii="Book Antiqua" w:eastAsia="宋体" w:hAnsi="Book Antiqua" w:cs="宋体"/>
          <w:color w:val="201F35"/>
          <w:lang w:eastAsia="zh-CN"/>
        </w:rPr>
        <w:t>: 98-110 [PMID: 20129251 DOI: 10.1016/j.ccr.2009.12.020]</w:t>
      </w:r>
    </w:p>
    <w:p w14:paraId="77818A8E"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76 </w:t>
      </w:r>
      <w:r w:rsidRPr="00F91674">
        <w:rPr>
          <w:rFonts w:ascii="Book Antiqua" w:eastAsia="宋体" w:hAnsi="Book Antiqua" w:cs="宋体"/>
          <w:b/>
          <w:bCs/>
          <w:color w:val="201F35"/>
          <w:lang w:eastAsia="zh-CN"/>
        </w:rPr>
        <w:t>Sottoriva A</w:t>
      </w:r>
      <w:r w:rsidRPr="00F91674">
        <w:rPr>
          <w:rFonts w:ascii="Book Antiqua" w:eastAsia="宋体" w:hAnsi="Book Antiqua" w:cs="宋体"/>
          <w:color w:val="201F35"/>
          <w:lang w:eastAsia="zh-CN"/>
        </w:rPr>
        <w:t>, Spiteri I, Piccirillo SG, Touloumis A, Collins VP, Marioni JC, Curtis C, Watts C, Tavaré S. Intratumor heterogeneity in human glioblastoma reflects cancer evolutionary dynamics. </w:t>
      </w:r>
      <w:r w:rsidRPr="00F91674">
        <w:rPr>
          <w:rFonts w:ascii="Book Antiqua" w:eastAsia="宋体" w:hAnsi="Book Antiqua" w:cs="宋体"/>
          <w:i/>
          <w:iCs/>
          <w:color w:val="201F35"/>
          <w:lang w:eastAsia="zh-CN"/>
        </w:rPr>
        <w:t>Proc Natl Acad Sci U S A</w:t>
      </w:r>
      <w:r w:rsidRPr="00F91674">
        <w:rPr>
          <w:rFonts w:ascii="Book Antiqua" w:eastAsia="宋体" w:hAnsi="Book Antiqua" w:cs="宋体"/>
          <w:color w:val="201F35"/>
          <w:lang w:eastAsia="zh-CN"/>
        </w:rPr>
        <w:t> 2013; </w:t>
      </w:r>
      <w:r w:rsidRPr="00F91674">
        <w:rPr>
          <w:rFonts w:ascii="Book Antiqua" w:eastAsia="宋体" w:hAnsi="Book Antiqua" w:cs="宋体"/>
          <w:b/>
          <w:bCs/>
          <w:color w:val="201F35"/>
          <w:lang w:eastAsia="zh-CN"/>
        </w:rPr>
        <w:t>110</w:t>
      </w:r>
      <w:r w:rsidRPr="00F91674">
        <w:rPr>
          <w:rFonts w:ascii="Book Antiqua" w:eastAsia="宋体" w:hAnsi="Book Antiqua" w:cs="宋体"/>
          <w:color w:val="201F35"/>
          <w:lang w:eastAsia="zh-CN"/>
        </w:rPr>
        <w:t>: 4009-4014 [PMID: 23412337 DOI: 10.1073/pnas.1219747110]</w:t>
      </w:r>
    </w:p>
    <w:p w14:paraId="3FAD7002"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77 </w:t>
      </w:r>
      <w:r w:rsidRPr="00F91674">
        <w:rPr>
          <w:rFonts w:ascii="Book Antiqua" w:eastAsia="宋体" w:hAnsi="Book Antiqua" w:cs="宋体"/>
          <w:b/>
          <w:bCs/>
          <w:color w:val="201F35"/>
          <w:lang w:eastAsia="zh-CN"/>
        </w:rPr>
        <w:t>Jovčevska I</w:t>
      </w:r>
      <w:r w:rsidRPr="00F91674">
        <w:rPr>
          <w:rFonts w:ascii="Book Antiqua" w:eastAsia="宋体" w:hAnsi="Book Antiqua" w:cs="宋体"/>
          <w:color w:val="201F35"/>
          <w:lang w:eastAsia="zh-CN"/>
        </w:rPr>
        <w:t>. Genetic secrets of long-term glioblastoma survivors. </w:t>
      </w:r>
      <w:r w:rsidRPr="00F91674">
        <w:rPr>
          <w:rFonts w:ascii="Book Antiqua" w:eastAsia="宋体" w:hAnsi="Book Antiqua" w:cs="宋体"/>
          <w:i/>
          <w:iCs/>
          <w:color w:val="201F35"/>
          <w:lang w:eastAsia="zh-CN"/>
        </w:rPr>
        <w:t>Bosn J Basic Med Sci</w:t>
      </w:r>
      <w:r w:rsidRPr="00F91674">
        <w:rPr>
          <w:rFonts w:ascii="Book Antiqua" w:eastAsia="宋体" w:hAnsi="Book Antiqua" w:cs="宋体"/>
          <w:color w:val="201F35"/>
          <w:lang w:eastAsia="zh-CN"/>
        </w:rPr>
        <w:t> 2019; </w:t>
      </w:r>
      <w:r w:rsidRPr="00F91674">
        <w:rPr>
          <w:rFonts w:ascii="Book Antiqua" w:eastAsia="宋体" w:hAnsi="Book Antiqua" w:cs="宋体"/>
          <w:b/>
          <w:bCs/>
          <w:color w:val="201F35"/>
          <w:lang w:eastAsia="zh-CN"/>
        </w:rPr>
        <w:t>19</w:t>
      </w:r>
      <w:r w:rsidRPr="00F91674">
        <w:rPr>
          <w:rFonts w:ascii="Book Antiqua" w:eastAsia="宋体" w:hAnsi="Book Antiqua" w:cs="宋体"/>
          <w:color w:val="201F35"/>
          <w:lang w:eastAsia="zh-CN"/>
        </w:rPr>
        <w:t>: 116-124 [PMID: 30114377 DOI: 10.17305/bjbms.2018.3717]</w:t>
      </w:r>
    </w:p>
    <w:p w14:paraId="7BAED178"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val="it-IT" w:eastAsia="zh-CN"/>
        </w:rPr>
      </w:pPr>
      <w:r w:rsidRPr="00F91674">
        <w:rPr>
          <w:rFonts w:ascii="Book Antiqua" w:eastAsia="宋体" w:hAnsi="Book Antiqua" w:cs="宋体"/>
          <w:color w:val="201F35"/>
          <w:lang w:eastAsia="zh-CN"/>
        </w:rPr>
        <w:lastRenderedPageBreak/>
        <w:t>78 </w:t>
      </w:r>
      <w:r w:rsidRPr="00F91674">
        <w:rPr>
          <w:rFonts w:ascii="Book Antiqua" w:eastAsia="宋体" w:hAnsi="Book Antiqua" w:cs="宋体"/>
          <w:b/>
          <w:bCs/>
          <w:color w:val="201F35"/>
          <w:lang w:eastAsia="zh-CN"/>
        </w:rPr>
        <w:t>Park J</w:t>
      </w:r>
      <w:r w:rsidRPr="00F91674">
        <w:rPr>
          <w:rFonts w:ascii="Book Antiqua" w:eastAsia="宋体" w:hAnsi="Book Antiqua" w:cs="宋体"/>
          <w:color w:val="201F35"/>
          <w:lang w:eastAsia="zh-CN"/>
        </w:rPr>
        <w:t>, Shim JK, Yoon SJ, Kim SH, Chang JH, Kang SG. Transcriptome profiling-based identification of prognostic subtypes and multi-omics signatures of glioblastoma. </w:t>
      </w:r>
      <w:r w:rsidRPr="00F91674">
        <w:rPr>
          <w:rFonts w:ascii="Book Antiqua" w:eastAsia="宋体" w:hAnsi="Book Antiqua" w:cs="宋体"/>
          <w:i/>
          <w:iCs/>
          <w:color w:val="201F35"/>
          <w:lang w:val="it-IT" w:eastAsia="zh-CN"/>
        </w:rPr>
        <w:t>Sci Rep</w:t>
      </w:r>
      <w:r w:rsidRPr="00F91674">
        <w:rPr>
          <w:rFonts w:ascii="Book Antiqua" w:eastAsia="宋体" w:hAnsi="Book Antiqua" w:cs="宋体"/>
          <w:color w:val="201F35"/>
          <w:lang w:val="it-IT" w:eastAsia="zh-CN"/>
        </w:rPr>
        <w:t> 2019; </w:t>
      </w:r>
      <w:r w:rsidRPr="00F91674">
        <w:rPr>
          <w:rFonts w:ascii="Book Antiqua" w:eastAsia="宋体" w:hAnsi="Book Antiqua" w:cs="宋体"/>
          <w:b/>
          <w:bCs/>
          <w:color w:val="201F35"/>
          <w:lang w:val="it-IT" w:eastAsia="zh-CN"/>
        </w:rPr>
        <w:t>9</w:t>
      </w:r>
      <w:r w:rsidRPr="00F91674">
        <w:rPr>
          <w:rFonts w:ascii="Book Antiqua" w:eastAsia="宋体" w:hAnsi="Book Antiqua" w:cs="宋体"/>
          <w:color w:val="201F35"/>
          <w:lang w:val="it-IT" w:eastAsia="zh-CN"/>
        </w:rPr>
        <w:t>: 10555 [PMID: 31332251 DOI: 10.1038/s41598-019-47066-y]</w:t>
      </w:r>
    </w:p>
    <w:p w14:paraId="7CA6D323"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val="it-IT" w:eastAsia="zh-CN"/>
        </w:rPr>
      </w:pPr>
      <w:r w:rsidRPr="00F91674">
        <w:rPr>
          <w:rFonts w:ascii="Book Antiqua" w:eastAsia="宋体" w:hAnsi="Book Antiqua" w:cs="宋体"/>
          <w:color w:val="201F35"/>
          <w:lang w:val="it-IT" w:eastAsia="zh-CN"/>
        </w:rPr>
        <w:t>79 </w:t>
      </w:r>
      <w:r w:rsidRPr="00F91674">
        <w:rPr>
          <w:rFonts w:ascii="Book Antiqua" w:eastAsia="宋体" w:hAnsi="Book Antiqua" w:cs="宋体"/>
          <w:b/>
          <w:bCs/>
          <w:color w:val="201F35"/>
          <w:lang w:val="it-IT" w:eastAsia="zh-CN"/>
        </w:rPr>
        <w:t>Schiffer D</w:t>
      </w:r>
      <w:r w:rsidRPr="00F91674">
        <w:rPr>
          <w:rFonts w:ascii="Book Antiqua" w:eastAsia="宋体" w:hAnsi="Book Antiqua" w:cs="宋体"/>
          <w:color w:val="201F35"/>
          <w:lang w:val="it-IT" w:eastAsia="zh-CN"/>
        </w:rPr>
        <w:t>, Annovazzi L, Casalone C, Corona C, Mellai M. Glioblastoma: Microenvironment and Niche Concept. </w:t>
      </w:r>
      <w:r w:rsidRPr="00F91674">
        <w:rPr>
          <w:rFonts w:ascii="Book Antiqua" w:eastAsia="宋体" w:hAnsi="Book Antiqua" w:cs="宋体"/>
          <w:i/>
          <w:iCs/>
          <w:color w:val="201F35"/>
          <w:lang w:val="it-IT" w:eastAsia="zh-CN"/>
        </w:rPr>
        <w:t>Cancers (Basel)</w:t>
      </w:r>
      <w:r w:rsidRPr="00F91674">
        <w:rPr>
          <w:rFonts w:ascii="Book Antiqua" w:eastAsia="宋体" w:hAnsi="Book Antiqua" w:cs="宋体"/>
          <w:color w:val="201F35"/>
          <w:lang w:val="it-IT" w:eastAsia="zh-CN"/>
        </w:rPr>
        <w:t> 2018; </w:t>
      </w:r>
      <w:r w:rsidRPr="00F91674">
        <w:rPr>
          <w:rFonts w:ascii="Book Antiqua" w:eastAsia="宋体" w:hAnsi="Book Antiqua" w:cs="宋体"/>
          <w:b/>
          <w:bCs/>
          <w:color w:val="201F35"/>
          <w:lang w:val="it-IT" w:eastAsia="zh-CN"/>
        </w:rPr>
        <w:t>11</w:t>
      </w:r>
      <w:r w:rsidRPr="00F91674">
        <w:rPr>
          <w:rFonts w:ascii="Book Antiqua" w:eastAsia="宋体" w:hAnsi="Book Antiqua" w:cs="宋体"/>
          <w:color w:val="201F35"/>
          <w:lang w:val="it-IT" w:eastAsia="zh-CN"/>
        </w:rPr>
        <w:t>: 5 [PMID: 30577488 DOI: 10.3390/cancers11010005]</w:t>
      </w:r>
    </w:p>
    <w:p w14:paraId="26FEF14F"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val="it-IT" w:eastAsia="zh-CN"/>
        </w:rPr>
        <w:t>80 </w:t>
      </w:r>
      <w:r w:rsidRPr="00F91674">
        <w:rPr>
          <w:rFonts w:ascii="Book Antiqua" w:eastAsia="宋体" w:hAnsi="Book Antiqua" w:cs="宋体"/>
          <w:b/>
          <w:bCs/>
          <w:color w:val="201F35"/>
          <w:lang w:val="it-IT" w:eastAsia="zh-CN"/>
        </w:rPr>
        <w:t>Schiffer D</w:t>
      </w:r>
      <w:r w:rsidRPr="00F91674">
        <w:rPr>
          <w:rFonts w:ascii="Book Antiqua" w:eastAsia="宋体" w:hAnsi="Book Antiqua" w:cs="宋体"/>
          <w:color w:val="201F35"/>
          <w:lang w:val="it-IT" w:eastAsia="zh-CN"/>
        </w:rPr>
        <w:t>, Annovazzi L, Mazzucco M, Mellai M. The Microenvironment in Gliomas: Phenotypic Expressions. </w:t>
      </w:r>
      <w:r w:rsidRPr="00F91674">
        <w:rPr>
          <w:rFonts w:ascii="Book Antiqua" w:eastAsia="宋体" w:hAnsi="Book Antiqua" w:cs="宋体"/>
          <w:i/>
          <w:iCs/>
          <w:color w:val="201F35"/>
          <w:lang w:eastAsia="zh-CN"/>
        </w:rPr>
        <w:t>Cancers (Basel)</w:t>
      </w:r>
      <w:r w:rsidRPr="00F91674">
        <w:rPr>
          <w:rFonts w:ascii="Book Antiqua" w:eastAsia="宋体" w:hAnsi="Book Antiqua" w:cs="宋体"/>
          <w:color w:val="201F35"/>
          <w:lang w:eastAsia="zh-CN"/>
        </w:rPr>
        <w:t> 2015; </w:t>
      </w:r>
      <w:r w:rsidRPr="00F91674">
        <w:rPr>
          <w:rFonts w:ascii="Book Antiqua" w:eastAsia="宋体" w:hAnsi="Book Antiqua" w:cs="宋体"/>
          <w:b/>
          <w:bCs/>
          <w:color w:val="201F35"/>
          <w:lang w:eastAsia="zh-CN"/>
        </w:rPr>
        <w:t>7</w:t>
      </w:r>
      <w:r w:rsidRPr="00F91674">
        <w:rPr>
          <w:rFonts w:ascii="Book Antiqua" w:eastAsia="宋体" w:hAnsi="Book Antiqua" w:cs="宋体"/>
          <w:color w:val="201F35"/>
          <w:lang w:eastAsia="zh-CN"/>
        </w:rPr>
        <w:t>: 2352-2359 [PMID: 26633514 DOI: 10.3390/cancers7040896]</w:t>
      </w:r>
    </w:p>
    <w:p w14:paraId="1D7C2676"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81 </w:t>
      </w:r>
      <w:r w:rsidRPr="00F91674">
        <w:rPr>
          <w:rFonts w:ascii="Book Antiqua" w:eastAsia="宋体" w:hAnsi="Book Antiqua" w:cs="宋体"/>
          <w:b/>
          <w:bCs/>
          <w:color w:val="201F35"/>
          <w:lang w:eastAsia="zh-CN"/>
        </w:rPr>
        <w:t>Roberts LM</w:t>
      </w:r>
      <w:r w:rsidRPr="00F91674">
        <w:rPr>
          <w:rFonts w:ascii="Book Antiqua" w:eastAsia="宋体" w:hAnsi="Book Antiqua" w:cs="宋体"/>
          <w:color w:val="201F35"/>
          <w:lang w:eastAsia="zh-CN"/>
        </w:rPr>
        <w:t>, Munson J. Modulating microenvironments for treating glioblastoma. </w:t>
      </w:r>
      <w:r w:rsidRPr="00F91674">
        <w:rPr>
          <w:rFonts w:ascii="Book Antiqua" w:eastAsia="宋体" w:hAnsi="Book Antiqua" w:cs="宋体"/>
          <w:i/>
          <w:iCs/>
          <w:color w:val="201F35"/>
          <w:lang w:eastAsia="zh-CN"/>
        </w:rPr>
        <w:t>Curr Tissue Microenviron Rep</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1</w:t>
      </w:r>
      <w:r w:rsidRPr="00F91674">
        <w:rPr>
          <w:rFonts w:ascii="Book Antiqua" w:eastAsia="宋体" w:hAnsi="Book Antiqua" w:cs="宋体"/>
          <w:color w:val="201F35"/>
          <w:lang w:eastAsia="zh-CN"/>
        </w:rPr>
        <w:t>: 99-111 [PMID: 33134977 DOI: 10.1007/s43152-020-00010-z]</w:t>
      </w:r>
    </w:p>
    <w:p w14:paraId="3EDC50A3"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82 </w:t>
      </w:r>
      <w:r w:rsidRPr="00F91674">
        <w:rPr>
          <w:rFonts w:ascii="Book Antiqua" w:eastAsia="宋体" w:hAnsi="Book Antiqua" w:cs="宋体"/>
          <w:b/>
          <w:bCs/>
          <w:color w:val="201F35"/>
          <w:lang w:eastAsia="zh-CN"/>
        </w:rPr>
        <w:t>Matarredona ER</w:t>
      </w:r>
      <w:r w:rsidRPr="00F91674">
        <w:rPr>
          <w:rFonts w:ascii="Book Antiqua" w:eastAsia="宋体" w:hAnsi="Book Antiqua" w:cs="宋体"/>
          <w:color w:val="201F35"/>
          <w:lang w:eastAsia="zh-CN"/>
        </w:rPr>
        <w:t>, Pastor AM. Extracellular Vesicle-Mediated Communication between the Glioblastoma and Its Microenvironment. </w:t>
      </w:r>
      <w:r w:rsidRPr="00F91674">
        <w:rPr>
          <w:rFonts w:ascii="Book Antiqua" w:eastAsia="宋体" w:hAnsi="Book Antiqua" w:cs="宋体"/>
          <w:i/>
          <w:iCs/>
          <w:color w:val="201F35"/>
          <w:lang w:eastAsia="zh-CN"/>
        </w:rPr>
        <w:t>Cells</w:t>
      </w:r>
      <w:r w:rsidRPr="00F91674">
        <w:rPr>
          <w:rFonts w:ascii="Book Antiqua" w:eastAsia="宋体" w:hAnsi="Book Antiqua" w:cs="宋体"/>
          <w:color w:val="201F35"/>
          <w:lang w:eastAsia="zh-CN"/>
        </w:rPr>
        <w:t> 2019; </w:t>
      </w:r>
      <w:r w:rsidRPr="00F91674">
        <w:rPr>
          <w:rFonts w:ascii="Book Antiqua" w:eastAsia="宋体" w:hAnsi="Book Antiqua" w:cs="宋体"/>
          <w:b/>
          <w:bCs/>
          <w:color w:val="201F35"/>
          <w:lang w:eastAsia="zh-CN"/>
        </w:rPr>
        <w:t>9</w:t>
      </w:r>
      <w:r w:rsidRPr="00F91674">
        <w:rPr>
          <w:rFonts w:ascii="Book Antiqua" w:eastAsia="宋体" w:hAnsi="Book Antiqua" w:cs="宋体"/>
          <w:color w:val="201F35"/>
          <w:lang w:eastAsia="zh-CN"/>
        </w:rPr>
        <w:t>: 96 [PMID: 31906023 DOI: 10.3390/cells9010096]</w:t>
      </w:r>
    </w:p>
    <w:p w14:paraId="250E59E7"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83 </w:t>
      </w:r>
      <w:r w:rsidRPr="00F91674">
        <w:rPr>
          <w:rFonts w:ascii="Book Antiqua" w:eastAsia="宋体" w:hAnsi="Book Antiqua" w:cs="宋体"/>
          <w:b/>
          <w:bCs/>
          <w:color w:val="201F35"/>
          <w:lang w:eastAsia="zh-CN"/>
        </w:rPr>
        <w:t>Simon T</w:t>
      </w:r>
      <w:r w:rsidRPr="00F91674">
        <w:rPr>
          <w:rFonts w:ascii="Book Antiqua" w:eastAsia="宋体" w:hAnsi="Book Antiqua" w:cs="宋体"/>
          <w:color w:val="201F35"/>
          <w:lang w:eastAsia="zh-CN"/>
        </w:rPr>
        <w:t>, Jackson E, Giamas G. Breaking through the glioblastoma micro-environment via extracellular vesicles. </w:t>
      </w:r>
      <w:r w:rsidRPr="00F91674">
        <w:rPr>
          <w:rFonts w:ascii="Book Antiqua" w:eastAsia="宋体" w:hAnsi="Book Antiqua" w:cs="宋体"/>
          <w:i/>
          <w:iCs/>
          <w:color w:val="201F35"/>
          <w:lang w:eastAsia="zh-CN"/>
        </w:rPr>
        <w:t>Oncogene</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39</w:t>
      </w:r>
      <w:r w:rsidRPr="00F91674">
        <w:rPr>
          <w:rFonts w:ascii="Book Antiqua" w:eastAsia="宋体" w:hAnsi="Book Antiqua" w:cs="宋体"/>
          <w:color w:val="201F35"/>
          <w:lang w:eastAsia="zh-CN"/>
        </w:rPr>
        <w:t>: 4477-4490 [PMID: 32366909 DOI: 10.1038/s41388-020-1308-2]</w:t>
      </w:r>
    </w:p>
    <w:p w14:paraId="329BC0D8"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84 </w:t>
      </w:r>
      <w:r w:rsidRPr="00F91674">
        <w:rPr>
          <w:rFonts w:ascii="Book Antiqua" w:eastAsia="宋体" w:hAnsi="Book Antiqua" w:cs="宋体"/>
          <w:b/>
          <w:bCs/>
          <w:color w:val="201F35"/>
          <w:lang w:eastAsia="zh-CN"/>
        </w:rPr>
        <w:t>Valdebenito S</w:t>
      </w:r>
      <w:r w:rsidRPr="00F91674">
        <w:rPr>
          <w:rFonts w:ascii="Book Antiqua" w:eastAsia="宋体" w:hAnsi="Book Antiqua" w:cs="宋体"/>
          <w:color w:val="201F35"/>
          <w:lang w:eastAsia="zh-CN"/>
        </w:rPr>
        <w:t>, Audia A, Bhat KPL, Okafo G, Eugenin EA. Tunneling Nanotubes Mediate Adaptation of Glioblastoma Cells to Temozolomide and Ionizing Radiation Treatment. </w:t>
      </w:r>
      <w:r w:rsidRPr="00F91674">
        <w:rPr>
          <w:rFonts w:ascii="Book Antiqua" w:eastAsia="宋体" w:hAnsi="Book Antiqua" w:cs="宋体"/>
          <w:i/>
          <w:iCs/>
          <w:color w:val="201F35"/>
          <w:lang w:eastAsia="zh-CN"/>
        </w:rPr>
        <w:t>iScience</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23</w:t>
      </w:r>
      <w:r w:rsidRPr="00F91674">
        <w:rPr>
          <w:rFonts w:ascii="Book Antiqua" w:eastAsia="宋体" w:hAnsi="Book Antiqua" w:cs="宋体"/>
          <w:color w:val="201F35"/>
          <w:lang w:eastAsia="zh-CN"/>
        </w:rPr>
        <w:t>: 101450 [PMID: 32882515 DOI: 10.1016/j.isci.2020.101450]</w:t>
      </w:r>
    </w:p>
    <w:p w14:paraId="1C41F4B7"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85 </w:t>
      </w:r>
      <w:r w:rsidRPr="00F91674">
        <w:rPr>
          <w:rFonts w:ascii="Book Antiqua" w:eastAsia="宋体" w:hAnsi="Book Antiqua" w:cs="宋体"/>
          <w:b/>
          <w:bCs/>
          <w:color w:val="201F35"/>
          <w:lang w:eastAsia="zh-CN"/>
        </w:rPr>
        <w:t>Fan X</w:t>
      </w:r>
      <w:r w:rsidRPr="00F91674">
        <w:rPr>
          <w:rFonts w:ascii="Book Antiqua" w:eastAsia="宋体" w:hAnsi="Book Antiqua" w:cs="宋体"/>
          <w:color w:val="201F35"/>
          <w:lang w:eastAsia="zh-CN"/>
        </w:rPr>
        <w:t>, Xiong Y, Wang Y. A reignited debate over the cell(s) of origin for glioblastoma and its clinical implications. </w:t>
      </w:r>
      <w:r w:rsidRPr="00F91674">
        <w:rPr>
          <w:rFonts w:ascii="Book Antiqua" w:eastAsia="宋体" w:hAnsi="Book Antiqua" w:cs="宋体"/>
          <w:i/>
          <w:iCs/>
          <w:color w:val="201F35"/>
          <w:lang w:eastAsia="zh-CN"/>
        </w:rPr>
        <w:t>Front Med</w:t>
      </w:r>
      <w:r w:rsidRPr="00F91674">
        <w:rPr>
          <w:rFonts w:ascii="Book Antiqua" w:eastAsia="宋体" w:hAnsi="Book Antiqua" w:cs="宋体"/>
          <w:color w:val="201F35"/>
          <w:lang w:eastAsia="zh-CN"/>
        </w:rPr>
        <w:t> 2019; </w:t>
      </w:r>
      <w:r w:rsidRPr="00F91674">
        <w:rPr>
          <w:rFonts w:ascii="Book Antiqua" w:eastAsia="宋体" w:hAnsi="Book Antiqua" w:cs="宋体"/>
          <w:b/>
          <w:bCs/>
          <w:color w:val="201F35"/>
          <w:lang w:eastAsia="zh-CN"/>
        </w:rPr>
        <w:t>13</w:t>
      </w:r>
      <w:r w:rsidRPr="00F91674">
        <w:rPr>
          <w:rFonts w:ascii="Book Antiqua" w:eastAsia="宋体" w:hAnsi="Book Antiqua" w:cs="宋体"/>
          <w:color w:val="201F35"/>
          <w:lang w:eastAsia="zh-CN"/>
        </w:rPr>
        <w:t>: 531-539 [PMID: 31313083 DOI: 10.1007/s11684-019-0700-1]</w:t>
      </w:r>
    </w:p>
    <w:p w14:paraId="2955C695"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86 </w:t>
      </w:r>
      <w:r w:rsidRPr="00F91674">
        <w:rPr>
          <w:rFonts w:ascii="Book Antiqua" w:eastAsia="宋体" w:hAnsi="Book Antiqua" w:cs="宋体"/>
          <w:b/>
          <w:bCs/>
          <w:color w:val="201F35"/>
          <w:lang w:eastAsia="zh-CN"/>
        </w:rPr>
        <w:t>Altmann C</w:t>
      </w:r>
      <w:r w:rsidRPr="00F91674">
        <w:rPr>
          <w:rFonts w:ascii="Book Antiqua" w:eastAsia="宋体" w:hAnsi="Book Antiqua" w:cs="宋体"/>
          <w:color w:val="201F35"/>
          <w:lang w:eastAsia="zh-CN"/>
        </w:rPr>
        <w:t>, Keller S, Schmidt MHH. The Role of SVZ Stem Cells in Glioblastoma. </w:t>
      </w:r>
      <w:r w:rsidRPr="00F91674">
        <w:rPr>
          <w:rFonts w:ascii="Book Antiqua" w:eastAsia="宋体" w:hAnsi="Book Antiqua" w:cs="宋体"/>
          <w:i/>
          <w:iCs/>
          <w:color w:val="201F35"/>
          <w:lang w:eastAsia="zh-CN"/>
        </w:rPr>
        <w:t>Cancers (Basel)</w:t>
      </w:r>
      <w:r w:rsidRPr="00F91674">
        <w:rPr>
          <w:rFonts w:ascii="Book Antiqua" w:eastAsia="宋体" w:hAnsi="Book Antiqua" w:cs="宋体"/>
          <w:color w:val="201F35"/>
          <w:lang w:eastAsia="zh-CN"/>
        </w:rPr>
        <w:t> 2019; </w:t>
      </w:r>
      <w:r w:rsidRPr="00F91674">
        <w:rPr>
          <w:rFonts w:ascii="Book Antiqua" w:eastAsia="宋体" w:hAnsi="Book Antiqua" w:cs="宋体"/>
          <w:b/>
          <w:bCs/>
          <w:color w:val="201F35"/>
          <w:lang w:eastAsia="zh-CN"/>
        </w:rPr>
        <w:t>11</w:t>
      </w:r>
      <w:r w:rsidRPr="00F91674">
        <w:rPr>
          <w:rFonts w:ascii="Book Antiqua" w:eastAsia="宋体" w:hAnsi="Book Antiqua" w:cs="宋体"/>
          <w:color w:val="201F35"/>
          <w:lang w:eastAsia="zh-CN"/>
        </w:rPr>
        <w:t>: 448 [PMID: 30934929 DOI: 10.3390/cancers11040448]</w:t>
      </w:r>
    </w:p>
    <w:p w14:paraId="5AAFFB26"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lastRenderedPageBreak/>
        <w:t>87 </w:t>
      </w:r>
      <w:r w:rsidRPr="00F91674">
        <w:rPr>
          <w:rFonts w:ascii="Book Antiqua" w:eastAsia="宋体" w:hAnsi="Book Antiqua" w:cs="宋体"/>
          <w:b/>
          <w:bCs/>
          <w:color w:val="201F35"/>
          <w:lang w:eastAsia="zh-CN"/>
        </w:rPr>
        <w:t>Matarredona ER</w:t>
      </w:r>
      <w:r w:rsidRPr="00F91674">
        <w:rPr>
          <w:rFonts w:ascii="Book Antiqua" w:eastAsia="宋体" w:hAnsi="Book Antiqua" w:cs="宋体"/>
          <w:color w:val="201F35"/>
          <w:lang w:eastAsia="zh-CN"/>
        </w:rPr>
        <w:t>, Pastor AM. Neural Stem Cells of the Subventricular Zone as the Origin of Human Glioblastoma Stem Cells. Therapeutic Implications. </w:t>
      </w:r>
      <w:r w:rsidRPr="00F91674">
        <w:rPr>
          <w:rFonts w:ascii="Book Antiqua" w:eastAsia="宋体" w:hAnsi="Book Antiqua" w:cs="宋体"/>
          <w:i/>
          <w:iCs/>
          <w:color w:val="201F35"/>
          <w:lang w:eastAsia="zh-CN"/>
        </w:rPr>
        <w:t>Front Oncol</w:t>
      </w:r>
      <w:r w:rsidRPr="00F91674">
        <w:rPr>
          <w:rFonts w:ascii="Book Antiqua" w:eastAsia="宋体" w:hAnsi="Book Antiqua" w:cs="宋体"/>
          <w:color w:val="201F35"/>
          <w:lang w:eastAsia="zh-CN"/>
        </w:rPr>
        <w:t> 2019; </w:t>
      </w:r>
      <w:r w:rsidRPr="00F91674">
        <w:rPr>
          <w:rFonts w:ascii="Book Antiqua" w:eastAsia="宋体" w:hAnsi="Book Antiqua" w:cs="宋体"/>
          <w:b/>
          <w:bCs/>
          <w:color w:val="201F35"/>
          <w:lang w:eastAsia="zh-CN"/>
        </w:rPr>
        <w:t>9</w:t>
      </w:r>
      <w:r w:rsidRPr="00F91674">
        <w:rPr>
          <w:rFonts w:ascii="Book Antiqua" w:eastAsia="宋体" w:hAnsi="Book Antiqua" w:cs="宋体"/>
          <w:color w:val="201F35"/>
          <w:lang w:eastAsia="zh-CN"/>
        </w:rPr>
        <w:t>: 779 [PMID: 31482066 DOI: 10.3389/fonc.2019.00779]</w:t>
      </w:r>
    </w:p>
    <w:p w14:paraId="2C42C369"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val="pt-BR" w:eastAsia="zh-CN"/>
        </w:rPr>
      </w:pPr>
      <w:r w:rsidRPr="00F91674">
        <w:rPr>
          <w:rFonts w:ascii="Book Antiqua" w:eastAsia="宋体" w:hAnsi="Book Antiqua" w:cs="宋体"/>
          <w:color w:val="201F35"/>
          <w:lang w:eastAsia="zh-CN"/>
        </w:rPr>
        <w:t>88 </w:t>
      </w:r>
      <w:r w:rsidRPr="00F91674">
        <w:rPr>
          <w:rFonts w:ascii="Book Antiqua" w:eastAsia="宋体" w:hAnsi="Book Antiqua" w:cs="宋体"/>
          <w:b/>
          <w:bCs/>
          <w:color w:val="201F35"/>
          <w:lang w:eastAsia="zh-CN"/>
        </w:rPr>
        <w:t>Aum DJ</w:t>
      </w:r>
      <w:r w:rsidRPr="00F91674">
        <w:rPr>
          <w:rFonts w:ascii="Book Antiqua" w:eastAsia="宋体" w:hAnsi="Book Antiqua" w:cs="宋体"/>
          <w:color w:val="201F35"/>
          <w:lang w:eastAsia="zh-CN"/>
        </w:rPr>
        <w:t>, Kim DH, Beaumont TL, Leuthardt EC, Dunn GP, Kim AH. Molecular and cellular heterogeneity: the hallmark of glioblastoma. </w:t>
      </w:r>
      <w:r w:rsidRPr="00F91674">
        <w:rPr>
          <w:rFonts w:ascii="Book Antiqua" w:eastAsia="宋体" w:hAnsi="Book Antiqua" w:cs="宋体"/>
          <w:i/>
          <w:iCs/>
          <w:color w:val="201F35"/>
          <w:lang w:val="pt-BR" w:eastAsia="zh-CN"/>
        </w:rPr>
        <w:t>Neurosurg Focus</w:t>
      </w:r>
      <w:r w:rsidRPr="00F91674">
        <w:rPr>
          <w:rFonts w:ascii="Book Antiqua" w:eastAsia="宋体" w:hAnsi="Book Antiqua" w:cs="宋体"/>
          <w:color w:val="201F35"/>
          <w:lang w:val="pt-BR" w:eastAsia="zh-CN"/>
        </w:rPr>
        <w:t> 2014; </w:t>
      </w:r>
      <w:r w:rsidRPr="00F91674">
        <w:rPr>
          <w:rFonts w:ascii="Book Antiqua" w:eastAsia="宋体" w:hAnsi="Book Antiqua" w:cs="宋体"/>
          <w:b/>
          <w:bCs/>
          <w:color w:val="201F35"/>
          <w:lang w:val="pt-BR" w:eastAsia="zh-CN"/>
        </w:rPr>
        <w:t>37</w:t>
      </w:r>
      <w:r w:rsidRPr="00F91674">
        <w:rPr>
          <w:rFonts w:ascii="Book Antiqua" w:eastAsia="宋体" w:hAnsi="Book Antiqua" w:cs="宋体"/>
          <w:color w:val="201F35"/>
          <w:lang w:val="pt-BR" w:eastAsia="zh-CN"/>
        </w:rPr>
        <w:t>: E11 [PMID: 25434380 DOI: 10.3171/2014.9.FOCUS14521]</w:t>
      </w:r>
    </w:p>
    <w:p w14:paraId="184F6E7C"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val="pt-BR" w:eastAsia="zh-CN"/>
        </w:rPr>
        <w:t>89 </w:t>
      </w:r>
      <w:r w:rsidRPr="00F91674">
        <w:rPr>
          <w:rFonts w:ascii="Book Antiqua" w:eastAsia="宋体" w:hAnsi="Book Antiqua" w:cs="宋体"/>
          <w:b/>
          <w:bCs/>
          <w:color w:val="201F35"/>
          <w:lang w:val="pt-BR" w:eastAsia="zh-CN"/>
        </w:rPr>
        <w:t>Bonavia R</w:t>
      </w:r>
      <w:r w:rsidRPr="00F91674">
        <w:rPr>
          <w:rFonts w:ascii="Book Antiqua" w:eastAsia="宋体" w:hAnsi="Book Antiqua" w:cs="宋体"/>
          <w:color w:val="201F35"/>
          <w:lang w:val="pt-BR" w:eastAsia="zh-CN"/>
        </w:rPr>
        <w:t xml:space="preserve">, Inda MM, Cavenee WK, Furnari FB. </w:t>
      </w:r>
      <w:r w:rsidRPr="00F91674">
        <w:rPr>
          <w:rFonts w:ascii="Book Antiqua" w:eastAsia="宋体" w:hAnsi="Book Antiqua" w:cs="宋体"/>
          <w:color w:val="201F35"/>
          <w:lang w:eastAsia="zh-CN"/>
        </w:rPr>
        <w:t>Heterogeneity maintenance in glioblastoma: a social network. </w:t>
      </w:r>
      <w:r w:rsidRPr="00F91674">
        <w:rPr>
          <w:rFonts w:ascii="Book Antiqua" w:eastAsia="宋体" w:hAnsi="Book Antiqua" w:cs="宋体"/>
          <w:i/>
          <w:iCs/>
          <w:color w:val="201F35"/>
          <w:lang w:eastAsia="zh-CN"/>
        </w:rPr>
        <w:t>Cancer Res</w:t>
      </w:r>
      <w:r w:rsidRPr="00F91674">
        <w:rPr>
          <w:rFonts w:ascii="Book Antiqua" w:eastAsia="宋体" w:hAnsi="Book Antiqua" w:cs="宋体"/>
          <w:color w:val="201F35"/>
          <w:lang w:eastAsia="zh-CN"/>
        </w:rPr>
        <w:t> 2011; </w:t>
      </w:r>
      <w:r w:rsidRPr="00F91674">
        <w:rPr>
          <w:rFonts w:ascii="Book Antiqua" w:eastAsia="宋体" w:hAnsi="Book Antiqua" w:cs="宋体"/>
          <w:b/>
          <w:bCs/>
          <w:color w:val="201F35"/>
          <w:lang w:eastAsia="zh-CN"/>
        </w:rPr>
        <w:t>71</w:t>
      </w:r>
      <w:r w:rsidRPr="00F91674">
        <w:rPr>
          <w:rFonts w:ascii="Book Antiqua" w:eastAsia="宋体" w:hAnsi="Book Antiqua" w:cs="宋体"/>
          <w:color w:val="201F35"/>
          <w:lang w:eastAsia="zh-CN"/>
        </w:rPr>
        <w:t>: 4055-4060 [PMID: 21628493 DOI: 10.1158/0008-5472.CAN-11-0153]</w:t>
      </w:r>
    </w:p>
    <w:p w14:paraId="3A4E4EA2"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90 </w:t>
      </w:r>
      <w:r w:rsidRPr="00F91674">
        <w:rPr>
          <w:rFonts w:ascii="Book Antiqua" w:eastAsia="宋体" w:hAnsi="Book Antiqua" w:cs="宋体"/>
          <w:b/>
          <w:bCs/>
          <w:color w:val="201F35"/>
          <w:lang w:eastAsia="zh-CN"/>
        </w:rPr>
        <w:t>Friedmann-Morvinski D</w:t>
      </w:r>
      <w:r w:rsidRPr="00F91674">
        <w:rPr>
          <w:rFonts w:ascii="Book Antiqua" w:eastAsia="宋体" w:hAnsi="Book Antiqua" w:cs="宋体"/>
          <w:color w:val="201F35"/>
          <w:lang w:eastAsia="zh-CN"/>
        </w:rPr>
        <w:t>. Glioblastoma heterogeneity and cancer cell plasticity. </w:t>
      </w:r>
      <w:r w:rsidRPr="00F91674">
        <w:rPr>
          <w:rFonts w:ascii="Book Antiqua" w:eastAsia="宋体" w:hAnsi="Book Antiqua" w:cs="宋体"/>
          <w:i/>
          <w:iCs/>
          <w:color w:val="201F35"/>
          <w:lang w:eastAsia="zh-CN"/>
        </w:rPr>
        <w:t>Crit Rev Oncog</w:t>
      </w:r>
      <w:r w:rsidRPr="00F91674">
        <w:rPr>
          <w:rFonts w:ascii="Book Antiqua" w:eastAsia="宋体" w:hAnsi="Book Antiqua" w:cs="宋体"/>
          <w:color w:val="201F35"/>
          <w:lang w:eastAsia="zh-CN"/>
        </w:rPr>
        <w:t> 2014; </w:t>
      </w:r>
      <w:r w:rsidRPr="00F91674">
        <w:rPr>
          <w:rFonts w:ascii="Book Antiqua" w:eastAsia="宋体" w:hAnsi="Book Antiqua" w:cs="宋体"/>
          <w:b/>
          <w:bCs/>
          <w:color w:val="201F35"/>
          <w:lang w:eastAsia="zh-CN"/>
        </w:rPr>
        <w:t>19</w:t>
      </w:r>
      <w:r w:rsidRPr="00F91674">
        <w:rPr>
          <w:rFonts w:ascii="Book Antiqua" w:eastAsia="宋体" w:hAnsi="Book Antiqua" w:cs="宋体"/>
          <w:color w:val="201F35"/>
          <w:lang w:eastAsia="zh-CN"/>
        </w:rPr>
        <w:t>: 327-336 [PMID: 25404148 DOI: 10.1615/critrevoncog.2014011777]</w:t>
      </w:r>
    </w:p>
    <w:p w14:paraId="692B708B"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91 </w:t>
      </w:r>
      <w:r w:rsidRPr="00F91674">
        <w:rPr>
          <w:rFonts w:ascii="Book Antiqua" w:eastAsia="宋体" w:hAnsi="Book Antiqua" w:cs="宋体"/>
          <w:b/>
          <w:bCs/>
          <w:color w:val="201F35"/>
          <w:lang w:eastAsia="zh-CN"/>
        </w:rPr>
        <w:t>Abadi B</w:t>
      </w:r>
      <w:r w:rsidRPr="00F91674">
        <w:rPr>
          <w:rFonts w:ascii="Book Antiqua" w:eastAsia="宋体" w:hAnsi="Book Antiqua" w:cs="宋体"/>
          <w:color w:val="201F35"/>
          <w:lang w:eastAsia="zh-CN"/>
        </w:rPr>
        <w:t>, Ahmadi-Zeidabadi M, Dini L, Vergallo C. Stem cell-based therapy treating glioblastoma multiforme. </w:t>
      </w:r>
      <w:r w:rsidRPr="00F91674">
        <w:rPr>
          <w:rFonts w:ascii="Book Antiqua" w:eastAsia="宋体" w:hAnsi="Book Antiqua" w:cs="宋体"/>
          <w:i/>
          <w:iCs/>
          <w:color w:val="201F35"/>
          <w:lang w:eastAsia="zh-CN"/>
        </w:rPr>
        <w:t>Hematol Oncol Stem Cell Ther</w:t>
      </w:r>
      <w:r w:rsidRPr="00F91674">
        <w:rPr>
          <w:rFonts w:ascii="Book Antiqua" w:eastAsia="宋体" w:hAnsi="Book Antiqua" w:cs="宋体"/>
          <w:color w:val="201F35"/>
          <w:lang w:eastAsia="zh-CN"/>
        </w:rPr>
        <w:t> 2021; </w:t>
      </w:r>
      <w:r w:rsidRPr="00F91674">
        <w:rPr>
          <w:rFonts w:ascii="Book Antiqua" w:eastAsia="宋体" w:hAnsi="Book Antiqua" w:cs="宋体"/>
          <w:b/>
          <w:bCs/>
          <w:color w:val="201F35"/>
          <w:lang w:eastAsia="zh-CN"/>
        </w:rPr>
        <w:t>14</w:t>
      </w:r>
      <w:r w:rsidRPr="00F91674">
        <w:rPr>
          <w:rFonts w:ascii="Book Antiqua" w:eastAsia="宋体" w:hAnsi="Book Antiqua" w:cs="宋体"/>
          <w:color w:val="201F35"/>
          <w:lang w:eastAsia="zh-CN"/>
        </w:rPr>
        <w:t>: 1-15 [PMID: 32971031 DOI: 10.1016/j.hemonc.2020.08.001]</w:t>
      </w:r>
    </w:p>
    <w:p w14:paraId="42898094"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val="pt-BR" w:eastAsia="zh-CN"/>
        </w:rPr>
      </w:pPr>
      <w:r w:rsidRPr="00F91674">
        <w:rPr>
          <w:rFonts w:ascii="Book Antiqua" w:eastAsia="宋体" w:hAnsi="Book Antiqua" w:cs="宋体"/>
          <w:color w:val="201F35"/>
          <w:lang w:eastAsia="zh-CN"/>
        </w:rPr>
        <w:t>92 </w:t>
      </w:r>
      <w:r w:rsidRPr="00F91674">
        <w:rPr>
          <w:rFonts w:ascii="Book Antiqua" w:eastAsia="宋体" w:hAnsi="Book Antiqua" w:cs="宋体"/>
          <w:b/>
          <w:bCs/>
          <w:color w:val="201F35"/>
          <w:lang w:eastAsia="zh-CN"/>
        </w:rPr>
        <w:t>Bryukhovetskiy I</w:t>
      </w:r>
      <w:r w:rsidRPr="00F91674">
        <w:rPr>
          <w:rFonts w:ascii="Book Antiqua" w:eastAsia="宋体" w:hAnsi="Book Antiqua" w:cs="宋体"/>
          <w:color w:val="201F35"/>
          <w:lang w:eastAsia="zh-CN"/>
        </w:rPr>
        <w:t>, Pak O, Khotimchenko Y, Bryukhovetskiy A, Sharma A, Sharma HS. Personalized therapy and stem cell transplantation for pro-inflammatory modulation of cancer stem cells microenvironment in glioblastoma: Review. </w:t>
      </w:r>
      <w:r w:rsidRPr="00F91674">
        <w:rPr>
          <w:rFonts w:ascii="Book Antiqua" w:eastAsia="宋体" w:hAnsi="Book Antiqua" w:cs="宋体"/>
          <w:i/>
          <w:iCs/>
          <w:color w:val="201F35"/>
          <w:lang w:val="pt-BR" w:eastAsia="zh-CN"/>
        </w:rPr>
        <w:t>Int Rev Neurobiol</w:t>
      </w:r>
      <w:r w:rsidRPr="00F91674">
        <w:rPr>
          <w:rFonts w:ascii="Book Antiqua" w:eastAsia="宋体" w:hAnsi="Book Antiqua" w:cs="宋体"/>
          <w:color w:val="201F35"/>
          <w:lang w:val="pt-BR" w:eastAsia="zh-CN"/>
        </w:rPr>
        <w:t> 2020; </w:t>
      </w:r>
      <w:r w:rsidRPr="00F91674">
        <w:rPr>
          <w:rFonts w:ascii="Book Antiqua" w:eastAsia="宋体" w:hAnsi="Book Antiqua" w:cs="宋体"/>
          <w:b/>
          <w:bCs/>
          <w:color w:val="201F35"/>
          <w:lang w:val="pt-BR" w:eastAsia="zh-CN"/>
        </w:rPr>
        <w:t>151</w:t>
      </w:r>
      <w:r w:rsidRPr="00F91674">
        <w:rPr>
          <w:rFonts w:ascii="Book Antiqua" w:eastAsia="宋体" w:hAnsi="Book Antiqua" w:cs="宋体"/>
          <w:color w:val="201F35"/>
          <w:lang w:val="pt-BR" w:eastAsia="zh-CN"/>
        </w:rPr>
        <w:t>: 67-98 [PMID: 32448615 DOI: 10.1016/bs.irn.2020.03.002]</w:t>
      </w:r>
    </w:p>
    <w:p w14:paraId="30167FD0"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val="pt-BR" w:eastAsia="zh-CN"/>
        </w:rPr>
        <w:t>93 </w:t>
      </w:r>
      <w:r w:rsidRPr="00F91674">
        <w:rPr>
          <w:rFonts w:ascii="Book Antiqua" w:eastAsia="宋体" w:hAnsi="Book Antiqua" w:cs="宋体"/>
          <w:b/>
          <w:bCs/>
          <w:color w:val="201F35"/>
          <w:lang w:val="pt-BR" w:eastAsia="zh-CN"/>
        </w:rPr>
        <w:t>Vieira de Castro J</w:t>
      </w:r>
      <w:r w:rsidRPr="00F91674">
        <w:rPr>
          <w:rFonts w:ascii="Book Antiqua" w:eastAsia="宋体" w:hAnsi="Book Antiqua" w:cs="宋体"/>
          <w:color w:val="201F35"/>
          <w:lang w:val="pt-BR" w:eastAsia="zh-CN"/>
        </w:rPr>
        <w:t xml:space="preserve">, Gonçalves CS, Hormigo A, Costa BM. </w:t>
      </w:r>
      <w:r w:rsidRPr="00F91674">
        <w:rPr>
          <w:rFonts w:ascii="Book Antiqua" w:eastAsia="宋体" w:hAnsi="Book Antiqua" w:cs="宋体"/>
          <w:color w:val="201F35"/>
          <w:lang w:eastAsia="zh-CN"/>
        </w:rPr>
        <w:t>Exploiting the Complexities of Glioblastoma Stem Cells: Insights for Cancer Initiation and Therapeutic Targeting. </w:t>
      </w:r>
      <w:r w:rsidRPr="00F91674">
        <w:rPr>
          <w:rFonts w:ascii="Book Antiqua" w:eastAsia="宋体" w:hAnsi="Book Antiqua" w:cs="宋体"/>
          <w:i/>
          <w:iCs/>
          <w:color w:val="201F35"/>
          <w:lang w:eastAsia="zh-CN"/>
        </w:rPr>
        <w:t>Int J Mol Sci</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21</w:t>
      </w:r>
      <w:r w:rsidRPr="00F91674">
        <w:rPr>
          <w:rFonts w:ascii="Book Antiqua" w:eastAsia="宋体" w:hAnsi="Book Antiqua" w:cs="宋体"/>
          <w:color w:val="201F35"/>
          <w:lang w:eastAsia="zh-CN"/>
        </w:rPr>
        <w:t>: 5278 [PMID: 32722427 DOI: 10.3390/ijms21155278]</w:t>
      </w:r>
    </w:p>
    <w:p w14:paraId="6A32246E"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94 </w:t>
      </w:r>
      <w:r w:rsidRPr="00F91674">
        <w:rPr>
          <w:rFonts w:ascii="Book Antiqua" w:eastAsia="宋体" w:hAnsi="Book Antiqua" w:cs="宋体"/>
          <w:b/>
          <w:bCs/>
          <w:color w:val="201F35"/>
          <w:lang w:eastAsia="zh-CN"/>
        </w:rPr>
        <w:t>Garcia I</w:t>
      </w:r>
      <w:r w:rsidRPr="00F91674">
        <w:rPr>
          <w:rFonts w:ascii="Book Antiqua" w:eastAsia="宋体" w:hAnsi="Book Antiqua" w:cs="宋体"/>
          <w:color w:val="201F35"/>
          <w:lang w:eastAsia="zh-CN"/>
        </w:rPr>
        <w:t>, Aldaregia J, Marjanovic Vicentic J, Aldaz P, Moreno-Cugnon L, Torres-Bayona S, Carrasco-Garcia E, Garros-Regulez L, Egaña L, Rubio A, Pollard S, Stevanovic M, Sampron N, Matheu A. Oncogenic activity of SOX1 in glioblastoma. </w:t>
      </w:r>
      <w:r w:rsidRPr="00F91674">
        <w:rPr>
          <w:rFonts w:ascii="Book Antiqua" w:eastAsia="宋体" w:hAnsi="Book Antiqua" w:cs="宋体"/>
          <w:i/>
          <w:iCs/>
          <w:color w:val="201F35"/>
          <w:lang w:eastAsia="zh-CN"/>
        </w:rPr>
        <w:t>Sci Rep</w:t>
      </w:r>
      <w:r w:rsidRPr="00F91674">
        <w:rPr>
          <w:rFonts w:ascii="Book Antiqua" w:eastAsia="宋体" w:hAnsi="Book Antiqua" w:cs="宋体"/>
          <w:color w:val="201F35"/>
          <w:lang w:eastAsia="zh-CN"/>
        </w:rPr>
        <w:t> 2017; </w:t>
      </w:r>
      <w:r w:rsidRPr="00F91674">
        <w:rPr>
          <w:rFonts w:ascii="Book Antiqua" w:eastAsia="宋体" w:hAnsi="Book Antiqua" w:cs="宋体"/>
          <w:b/>
          <w:bCs/>
          <w:color w:val="201F35"/>
          <w:lang w:eastAsia="zh-CN"/>
        </w:rPr>
        <w:t>7</w:t>
      </w:r>
      <w:r w:rsidRPr="00F91674">
        <w:rPr>
          <w:rFonts w:ascii="Book Antiqua" w:eastAsia="宋体" w:hAnsi="Book Antiqua" w:cs="宋体"/>
          <w:color w:val="201F35"/>
          <w:lang w:eastAsia="zh-CN"/>
        </w:rPr>
        <w:t>: 46575 [PMID: 28425506 DOI: 10.1038/srep46575]</w:t>
      </w:r>
    </w:p>
    <w:p w14:paraId="20AC6FF2"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95 </w:t>
      </w:r>
      <w:r w:rsidRPr="00F91674">
        <w:rPr>
          <w:rFonts w:ascii="Book Antiqua" w:eastAsia="宋体" w:hAnsi="Book Antiqua" w:cs="宋体"/>
          <w:b/>
          <w:bCs/>
          <w:color w:val="201F35"/>
          <w:lang w:eastAsia="zh-CN"/>
        </w:rPr>
        <w:t>Annovazzi L</w:t>
      </w:r>
      <w:r w:rsidRPr="00F91674">
        <w:rPr>
          <w:rFonts w:ascii="Book Antiqua" w:eastAsia="宋体" w:hAnsi="Book Antiqua" w:cs="宋体"/>
          <w:color w:val="201F35"/>
          <w:lang w:eastAsia="zh-CN"/>
        </w:rPr>
        <w:t>, Mellai M, Caldera V, Valente G, Schiffer D. SOX2 expression and amplification in gliomas and glioma cell lines. </w:t>
      </w:r>
      <w:r w:rsidRPr="00F91674">
        <w:rPr>
          <w:rFonts w:ascii="Book Antiqua" w:eastAsia="宋体" w:hAnsi="Book Antiqua" w:cs="宋体"/>
          <w:i/>
          <w:iCs/>
          <w:color w:val="201F35"/>
          <w:lang w:eastAsia="zh-CN"/>
        </w:rPr>
        <w:t>Cancer Genomics Proteomics</w:t>
      </w:r>
      <w:r w:rsidRPr="00F91674">
        <w:rPr>
          <w:rFonts w:ascii="Book Antiqua" w:eastAsia="宋体" w:hAnsi="Book Antiqua" w:cs="宋体"/>
          <w:color w:val="201F35"/>
          <w:lang w:eastAsia="zh-CN"/>
        </w:rPr>
        <w:t> 2011; </w:t>
      </w:r>
      <w:r w:rsidRPr="00F91674">
        <w:rPr>
          <w:rFonts w:ascii="Book Antiqua" w:eastAsia="宋体" w:hAnsi="Book Antiqua" w:cs="宋体"/>
          <w:b/>
          <w:bCs/>
          <w:color w:val="201F35"/>
          <w:lang w:eastAsia="zh-CN"/>
        </w:rPr>
        <w:t>8</w:t>
      </w:r>
      <w:r w:rsidRPr="00F91674">
        <w:rPr>
          <w:rFonts w:ascii="Book Antiqua" w:eastAsia="宋体" w:hAnsi="Book Antiqua" w:cs="宋体"/>
          <w:color w:val="201F35"/>
          <w:lang w:eastAsia="zh-CN"/>
        </w:rPr>
        <w:t>: 139-147 [PMID: 21518820]</w:t>
      </w:r>
    </w:p>
    <w:p w14:paraId="124F648B"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lastRenderedPageBreak/>
        <w:t>96 </w:t>
      </w:r>
      <w:r w:rsidRPr="00F91674">
        <w:rPr>
          <w:rFonts w:ascii="Book Antiqua" w:eastAsia="宋体" w:hAnsi="Book Antiqua" w:cs="宋体"/>
          <w:b/>
          <w:bCs/>
          <w:color w:val="201F35"/>
          <w:lang w:eastAsia="zh-CN"/>
        </w:rPr>
        <w:t>Hong X</w:t>
      </w:r>
      <w:r w:rsidRPr="00F91674">
        <w:rPr>
          <w:rFonts w:ascii="Book Antiqua" w:eastAsia="宋体" w:hAnsi="Book Antiqua" w:cs="宋体"/>
          <w:color w:val="201F35"/>
          <w:lang w:eastAsia="zh-CN"/>
        </w:rPr>
        <w:t>, Chedid K, Kalkanis SN. Glioblastoma cell line-derived spheres in serum</w:t>
      </w:r>
      <w:r w:rsidRPr="00F91674">
        <w:rPr>
          <w:rFonts w:ascii="Book Antiqua" w:eastAsia="宋体" w:hAnsi="Book Antiqua" w:cs="宋体"/>
          <w:color w:val="201F35"/>
          <w:lang w:eastAsia="zh-CN"/>
        </w:rPr>
        <w:noBreakHyphen/>
        <w:t>containing medium versus serum-free medium: a comparison of cancer stem cell properties. </w:t>
      </w:r>
      <w:r w:rsidRPr="00F91674">
        <w:rPr>
          <w:rFonts w:ascii="Book Antiqua" w:eastAsia="宋体" w:hAnsi="Book Antiqua" w:cs="宋体"/>
          <w:i/>
          <w:iCs/>
          <w:color w:val="201F35"/>
          <w:lang w:eastAsia="zh-CN"/>
        </w:rPr>
        <w:t>Int J Oncol</w:t>
      </w:r>
      <w:r w:rsidRPr="00F91674">
        <w:rPr>
          <w:rFonts w:ascii="Book Antiqua" w:eastAsia="宋体" w:hAnsi="Book Antiqua" w:cs="宋体"/>
          <w:color w:val="201F35"/>
          <w:lang w:eastAsia="zh-CN"/>
        </w:rPr>
        <w:t> 2012; </w:t>
      </w:r>
      <w:r w:rsidRPr="00F91674">
        <w:rPr>
          <w:rFonts w:ascii="Book Antiqua" w:eastAsia="宋体" w:hAnsi="Book Antiqua" w:cs="宋体"/>
          <w:b/>
          <w:bCs/>
          <w:color w:val="201F35"/>
          <w:lang w:eastAsia="zh-CN"/>
        </w:rPr>
        <w:t>41</w:t>
      </w:r>
      <w:r w:rsidRPr="00F91674">
        <w:rPr>
          <w:rFonts w:ascii="Book Antiqua" w:eastAsia="宋体" w:hAnsi="Book Antiqua" w:cs="宋体"/>
          <w:color w:val="201F35"/>
          <w:lang w:eastAsia="zh-CN"/>
        </w:rPr>
        <w:t>: 1693-1700 [PMID: 22922964 DOI: 10.3892/ijo.2012.1592]</w:t>
      </w:r>
    </w:p>
    <w:p w14:paraId="0AD0E2DE"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97 </w:t>
      </w:r>
      <w:r w:rsidRPr="00F91674">
        <w:rPr>
          <w:rFonts w:ascii="Book Antiqua" w:eastAsia="宋体" w:hAnsi="Book Antiqua" w:cs="宋体"/>
          <w:b/>
          <w:bCs/>
          <w:color w:val="201F35"/>
          <w:lang w:eastAsia="zh-CN"/>
        </w:rPr>
        <w:t>Schmitz M</w:t>
      </w:r>
      <w:r w:rsidRPr="00F91674">
        <w:rPr>
          <w:rFonts w:ascii="Book Antiqua" w:eastAsia="宋体" w:hAnsi="Book Antiqua" w:cs="宋体"/>
          <w:color w:val="201F35"/>
          <w:lang w:eastAsia="zh-CN"/>
        </w:rPr>
        <w:t>, Temme A, Senner V, Ebner R, Schwind S, Stevanovic S, Wehner R, Schackert G, Schackert HK, Fussel M, Bachmann M, Rieber EP, Weigle B. Identification of SOX2 as a novel glioma-associated antigen and potential target for T cell-based immunotherapy. </w:t>
      </w:r>
      <w:r w:rsidRPr="00F91674">
        <w:rPr>
          <w:rFonts w:ascii="Book Antiqua" w:eastAsia="宋体" w:hAnsi="Book Antiqua" w:cs="宋体"/>
          <w:i/>
          <w:iCs/>
          <w:color w:val="201F35"/>
          <w:lang w:eastAsia="zh-CN"/>
        </w:rPr>
        <w:t>Br J Cancer</w:t>
      </w:r>
      <w:r w:rsidRPr="00F91674">
        <w:rPr>
          <w:rFonts w:ascii="Book Antiqua" w:eastAsia="宋体" w:hAnsi="Book Antiqua" w:cs="宋体"/>
          <w:color w:val="201F35"/>
          <w:lang w:eastAsia="zh-CN"/>
        </w:rPr>
        <w:t> 2007; </w:t>
      </w:r>
      <w:r w:rsidRPr="00F91674">
        <w:rPr>
          <w:rFonts w:ascii="Book Antiqua" w:eastAsia="宋体" w:hAnsi="Book Antiqua" w:cs="宋体"/>
          <w:b/>
          <w:bCs/>
          <w:color w:val="201F35"/>
          <w:lang w:eastAsia="zh-CN"/>
        </w:rPr>
        <w:t>96</w:t>
      </w:r>
      <w:r w:rsidRPr="00F91674">
        <w:rPr>
          <w:rFonts w:ascii="Book Antiqua" w:eastAsia="宋体" w:hAnsi="Book Antiqua" w:cs="宋体"/>
          <w:color w:val="201F35"/>
          <w:lang w:eastAsia="zh-CN"/>
        </w:rPr>
        <w:t>: 1293-1301 [PMID: 17375044 DOI: 10.1038/sj.bjc.6603696]</w:t>
      </w:r>
    </w:p>
    <w:p w14:paraId="0A9C253C"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98 </w:t>
      </w:r>
      <w:r w:rsidRPr="00F91674">
        <w:rPr>
          <w:rFonts w:ascii="Book Antiqua" w:eastAsia="宋体" w:hAnsi="Book Antiqua" w:cs="宋体"/>
          <w:b/>
          <w:bCs/>
          <w:color w:val="201F35"/>
          <w:lang w:eastAsia="zh-CN"/>
        </w:rPr>
        <w:t>Alonso MM</w:t>
      </w:r>
      <w:r w:rsidRPr="00F91674">
        <w:rPr>
          <w:rFonts w:ascii="Book Antiqua" w:eastAsia="宋体" w:hAnsi="Book Antiqua" w:cs="宋体"/>
          <w:color w:val="201F35"/>
          <w:lang w:eastAsia="zh-CN"/>
        </w:rPr>
        <w:t>, Diez-Valle R, Manterola L, Rubio A, Liu D, Cortes-Santiago N, Urquiza L, Jauregi P, Lopez de Munain A, Sampron N, Aramburu A, Tejada-Solís S, Vicente C, Odero MD, Bandrés E, García-Foncillas J, Idoate MA, Lang FF, Fueyo J, Gomez-Manzano C. Genetic and epigenetic modifications of Sox2 contribute to the invasive phenotype of malignant gliomas. </w:t>
      </w:r>
      <w:r w:rsidRPr="00F91674">
        <w:rPr>
          <w:rFonts w:ascii="Book Antiqua" w:eastAsia="宋体" w:hAnsi="Book Antiqua" w:cs="宋体"/>
          <w:i/>
          <w:iCs/>
          <w:color w:val="201F35"/>
          <w:lang w:eastAsia="zh-CN"/>
        </w:rPr>
        <w:t>PLoS One</w:t>
      </w:r>
      <w:r w:rsidRPr="00F91674">
        <w:rPr>
          <w:rFonts w:ascii="Book Antiqua" w:eastAsia="宋体" w:hAnsi="Book Antiqua" w:cs="宋体"/>
          <w:color w:val="201F35"/>
          <w:lang w:eastAsia="zh-CN"/>
        </w:rPr>
        <w:t> 2011; </w:t>
      </w:r>
      <w:r w:rsidRPr="00F91674">
        <w:rPr>
          <w:rFonts w:ascii="Book Antiqua" w:eastAsia="宋体" w:hAnsi="Book Antiqua" w:cs="宋体"/>
          <w:b/>
          <w:bCs/>
          <w:color w:val="201F35"/>
          <w:lang w:eastAsia="zh-CN"/>
        </w:rPr>
        <w:t>6</w:t>
      </w:r>
      <w:r w:rsidRPr="00F91674">
        <w:rPr>
          <w:rFonts w:ascii="Book Antiqua" w:eastAsia="宋体" w:hAnsi="Book Antiqua" w:cs="宋体"/>
          <w:color w:val="201F35"/>
          <w:lang w:eastAsia="zh-CN"/>
        </w:rPr>
        <w:t>: e26740 [PMID: 22069467 DOI: 10.1371/journal.pone.0026740]</w:t>
      </w:r>
    </w:p>
    <w:p w14:paraId="234D2652"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99 </w:t>
      </w:r>
      <w:r w:rsidRPr="00F91674">
        <w:rPr>
          <w:rFonts w:ascii="Book Antiqua" w:eastAsia="宋体" w:hAnsi="Book Antiqua" w:cs="宋体"/>
          <w:b/>
          <w:bCs/>
          <w:color w:val="201F35"/>
          <w:lang w:eastAsia="zh-CN"/>
        </w:rPr>
        <w:t>Ben-Porath I</w:t>
      </w:r>
      <w:r w:rsidRPr="00F91674">
        <w:rPr>
          <w:rFonts w:ascii="Book Antiqua" w:eastAsia="宋体" w:hAnsi="Book Antiqua" w:cs="宋体"/>
          <w:color w:val="201F35"/>
          <w:lang w:eastAsia="zh-CN"/>
        </w:rPr>
        <w:t>, Thomson MW, Carey VJ, Ge R, Bell GW, Regev A, Weinberg RA. An embryonic stem cell-like gene expression signature in poorly differentiated aggressive human tumors. </w:t>
      </w:r>
      <w:r w:rsidRPr="00F91674">
        <w:rPr>
          <w:rFonts w:ascii="Book Antiqua" w:eastAsia="宋体" w:hAnsi="Book Antiqua" w:cs="宋体"/>
          <w:i/>
          <w:iCs/>
          <w:color w:val="201F35"/>
          <w:lang w:eastAsia="zh-CN"/>
        </w:rPr>
        <w:t>Nat Genet</w:t>
      </w:r>
      <w:r w:rsidRPr="00F91674">
        <w:rPr>
          <w:rFonts w:ascii="Book Antiqua" w:eastAsia="宋体" w:hAnsi="Book Antiqua" w:cs="宋体"/>
          <w:color w:val="201F35"/>
          <w:lang w:eastAsia="zh-CN"/>
        </w:rPr>
        <w:t> 2008; </w:t>
      </w:r>
      <w:r w:rsidRPr="00F91674">
        <w:rPr>
          <w:rFonts w:ascii="Book Antiqua" w:eastAsia="宋体" w:hAnsi="Book Antiqua" w:cs="宋体"/>
          <w:b/>
          <w:bCs/>
          <w:color w:val="201F35"/>
          <w:lang w:eastAsia="zh-CN"/>
        </w:rPr>
        <w:t>40</w:t>
      </w:r>
      <w:r w:rsidRPr="00F91674">
        <w:rPr>
          <w:rFonts w:ascii="Book Antiqua" w:eastAsia="宋体" w:hAnsi="Book Antiqua" w:cs="宋体"/>
          <w:color w:val="201F35"/>
          <w:lang w:eastAsia="zh-CN"/>
        </w:rPr>
        <w:t>: 499-507 [PMID: 18443585 DOI: 10.1038/ng.127]</w:t>
      </w:r>
    </w:p>
    <w:p w14:paraId="61C3E21E"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100 </w:t>
      </w:r>
      <w:r w:rsidRPr="00F91674">
        <w:rPr>
          <w:rFonts w:ascii="Book Antiqua" w:eastAsia="宋体" w:hAnsi="Book Antiqua" w:cs="宋体"/>
          <w:b/>
          <w:bCs/>
          <w:color w:val="201F35"/>
          <w:lang w:eastAsia="zh-CN"/>
        </w:rPr>
        <w:t>Berezovsky AD</w:t>
      </w:r>
      <w:r w:rsidRPr="00F91674">
        <w:rPr>
          <w:rFonts w:ascii="Book Antiqua" w:eastAsia="宋体" w:hAnsi="Book Antiqua" w:cs="宋体"/>
          <w:color w:val="201F35"/>
          <w:lang w:eastAsia="zh-CN"/>
        </w:rPr>
        <w:t>, Poisson LM, Cherba D, Webb CP, Transou AD, Lemke NW, Hong X, Hasselbach LA, Irtenkauf SM, Mikkelsen T, deCarvalho AC. Sox2 promotes malignancy in glioblastoma by regulating plasticity and astrocytic differentiation. </w:t>
      </w:r>
      <w:r w:rsidRPr="00F91674">
        <w:rPr>
          <w:rFonts w:ascii="Book Antiqua" w:eastAsia="宋体" w:hAnsi="Book Antiqua" w:cs="宋体"/>
          <w:i/>
          <w:iCs/>
          <w:color w:val="201F35"/>
          <w:lang w:eastAsia="zh-CN"/>
        </w:rPr>
        <w:t>Neoplasia</w:t>
      </w:r>
      <w:r w:rsidRPr="00F91674">
        <w:rPr>
          <w:rFonts w:ascii="Book Antiqua" w:eastAsia="宋体" w:hAnsi="Book Antiqua" w:cs="宋体"/>
          <w:color w:val="201F35"/>
          <w:lang w:eastAsia="zh-CN"/>
        </w:rPr>
        <w:t> 2014; </w:t>
      </w:r>
      <w:r w:rsidRPr="00F91674">
        <w:rPr>
          <w:rFonts w:ascii="Book Antiqua" w:eastAsia="宋体" w:hAnsi="Book Antiqua" w:cs="宋体"/>
          <w:b/>
          <w:bCs/>
          <w:color w:val="201F35"/>
          <w:lang w:eastAsia="zh-CN"/>
        </w:rPr>
        <w:t>16</w:t>
      </w:r>
      <w:r w:rsidRPr="00F91674">
        <w:rPr>
          <w:rFonts w:ascii="Book Antiqua" w:eastAsia="宋体" w:hAnsi="Book Antiqua" w:cs="宋体"/>
          <w:color w:val="201F35"/>
          <w:lang w:eastAsia="zh-CN"/>
        </w:rPr>
        <w:t>: 193-206 [PMID: 24726753 DOI: 10.1016/j.neo.2014.03.006]</w:t>
      </w:r>
    </w:p>
    <w:p w14:paraId="32C679EF"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101 </w:t>
      </w:r>
      <w:r w:rsidRPr="00F91674">
        <w:rPr>
          <w:rFonts w:ascii="Book Antiqua" w:eastAsia="宋体" w:hAnsi="Book Antiqua" w:cs="宋体"/>
          <w:b/>
          <w:bCs/>
          <w:color w:val="201F35"/>
          <w:lang w:eastAsia="zh-CN"/>
        </w:rPr>
        <w:t>Sathyan P</w:t>
      </w:r>
      <w:r w:rsidRPr="00F91674">
        <w:rPr>
          <w:rFonts w:ascii="Book Antiqua" w:eastAsia="宋体" w:hAnsi="Book Antiqua" w:cs="宋体"/>
          <w:color w:val="201F35"/>
          <w:lang w:eastAsia="zh-CN"/>
        </w:rPr>
        <w:t>, Zinn PO, Marisetty AL, Liu B, Kamal MM, Singh SK, Bady P, Lu L, Wani KM, Veo BL, Gumin J, Kassem DH, Robinson F, Weng C, Baladandayuthapani V, Suki D, Colman H, Bhat KP, Sulman EP, Aldape K, Colen RR, Verhaak RG, Lu Z, Fuller GN, Huang S, Lang FF, Sawaya R, Hegi M, Majumder S. Mir-21-Sox2 Axis Delineates Glioblastoma Subtypes with Prognostic Impact. </w:t>
      </w:r>
      <w:r w:rsidRPr="00F91674">
        <w:rPr>
          <w:rFonts w:ascii="Book Antiqua" w:eastAsia="宋体" w:hAnsi="Book Antiqua" w:cs="宋体"/>
          <w:i/>
          <w:iCs/>
          <w:color w:val="201F35"/>
          <w:lang w:eastAsia="zh-CN"/>
        </w:rPr>
        <w:t>J Neurosci</w:t>
      </w:r>
      <w:r w:rsidRPr="00F91674">
        <w:rPr>
          <w:rFonts w:ascii="Book Antiqua" w:eastAsia="宋体" w:hAnsi="Book Antiqua" w:cs="宋体"/>
          <w:color w:val="201F35"/>
          <w:lang w:eastAsia="zh-CN"/>
        </w:rPr>
        <w:t> 2015; </w:t>
      </w:r>
      <w:r w:rsidRPr="00F91674">
        <w:rPr>
          <w:rFonts w:ascii="Book Antiqua" w:eastAsia="宋体" w:hAnsi="Book Antiqua" w:cs="宋体"/>
          <w:b/>
          <w:bCs/>
          <w:color w:val="201F35"/>
          <w:lang w:eastAsia="zh-CN"/>
        </w:rPr>
        <w:t>35</w:t>
      </w:r>
      <w:r w:rsidRPr="00F91674">
        <w:rPr>
          <w:rFonts w:ascii="Book Antiqua" w:eastAsia="宋体" w:hAnsi="Book Antiqua" w:cs="宋体"/>
          <w:color w:val="201F35"/>
          <w:lang w:eastAsia="zh-CN"/>
        </w:rPr>
        <w:t>: 15097-15112 [PMID: 26558781 DOI: 10.1523/JNEUROSCI.1265-15.2015]</w:t>
      </w:r>
    </w:p>
    <w:p w14:paraId="034081EC"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lastRenderedPageBreak/>
        <w:t>102 </w:t>
      </w:r>
      <w:r w:rsidRPr="00F91674">
        <w:rPr>
          <w:rFonts w:ascii="Book Antiqua" w:eastAsia="宋体" w:hAnsi="Book Antiqua" w:cs="宋体"/>
          <w:b/>
          <w:bCs/>
          <w:color w:val="201F35"/>
          <w:lang w:eastAsia="zh-CN"/>
        </w:rPr>
        <w:t>Nandeesh BN</w:t>
      </w:r>
      <w:r w:rsidRPr="00F91674">
        <w:rPr>
          <w:rFonts w:ascii="Book Antiqua" w:eastAsia="宋体" w:hAnsi="Book Antiqua" w:cs="宋体"/>
          <w:color w:val="201F35"/>
          <w:lang w:eastAsia="zh-CN"/>
        </w:rPr>
        <w:t>, Naskar S, Shashtri AH, Arivazhagan A, Santosh V. Recurrent Glioblastomas Exhibit Higher Expression of Biomarkers with Stem-like Properties. </w:t>
      </w:r>
      <w:r w:rsidRPr="00F91674">
        <w:rPr>
          <w:rFonts w:ascii="Book Antiqua" w:eastAsia="宋体" w:hAnsi="Book Antiqua" w:cs="宋体"/>
          <w:i/>
          <w:iCs/>
          <w:color w:val="201F35"/>
          <w:lang w:eastAsia="zh-CN"/>
        </w:rPr>
        <w:t>J Neurosci Rural Pract</w:t>
      </w:r>
      <w:r w:rsidRPr="00F91674">
        <w:rPr>
          <w:rFonts w:ascii="Book Antiqua" w:eastAsia="宋体" w:hAnsi="Book Antiqua" w:cs="宋体"/>
          <w:color w:val="201F35"/>
          <w:lang w:eastAsia="zh-CN"/>
        </w:rPr>
        <w:t> 2018; </w:t>
      </w:r>
      <w:r w:rsidRPr="00F91674">
        <w:rPr>
          <w:rFonts w:ascii="Book Antiqua" w:eastAsia="宋体" w:hAnsi="Book Antiqua" w:cs="宋体"/>
          <w:b/>
          <w:bCs/>
          <w:color w:val="201F35"/>
          <w:lang w:eastAsia="zh-CN"/>
        </w:rPr>
        <w:t>9</w:t>
      </w:r>
      <w:r w:rsidRPr="00F91674">
        <w:rPr>
          <w:rFonts w:ascii="Book Antiqua" w:eastAsia="宋体" w:hAnsi="Book Antiqua" w:cs="宋体"/>
          <w:color w:val="201F35"/>
          <w:lang w:eastAsia="zh-CN"/>
        </w:rPr>
        <w:t>: 86-91 [PMID: 29456350 DOI: 10.4103/jnrp.jnrp_417_17]</w:t>
      </w:r>
    </w:p>
    <w:p w14:paraId="5CC4E1C5"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103 </w:t>
      </w:r>
      <w:r w:rsidRPr="00F91674">
        <w:rPr>
          <w:rFonts w:ascii="Book Antiqua" w:eastAsia="宋体" w:hAnsi="Book Antiqua" w:cs="宋体"/>
          <w:b/>
          <w:bCs/>
          <w:color w:val="201F35"/>
          <w:lang w:eastAsia="zh-CN"/>
        </w:rPr>
        <w:t>Yu W</w:t>
      </w:r>
      <w:r w:rsidRPr="00F91674">
        <w:rPr>
          <w:rFonts w:ascii="Book Antiqua" w:eastAsia="宋体" w:hAnsi="Book Antiqua" w:cs="宋体"/>
          <w:color w:val="201F35"/>
          <w:lang w:eastAsia="zh-CN"/>
        </w:rPr>
        <w:t>, Ren X, Hu C, Tan Y, Shui Y, Chen Z, Zhang L, Peng J, Wei Q. Glioma SOX2 expression decreased after adjuvant therapy. </w:t>
      </w:r>
      <w:r w:rsidRPr="00F91674">
        <w:rPr>
          <w:rFonts w:ascii="Book Antiqua" w:eastAsia="宋体" w:hAnsi="Book Antiqua" w:cs="宋体"/>
          <w:i/>
          <w:iCs/>
          <w:color w:val="201F35"/>
          <w:lang w:eastAsia="zh-CN"/>
        </w:rPr>
        <w:t>BMC Cancer</w:t>
      </w:r>
      <w:r w:rsidRPr="00F91674">
        <w:rPr>
          <w:rFonts w:ascii="Book Antiqua" w:eastAsia="宋体" w:hAnsi="Book Antiqua" w:cs="宋体"/>
          <w:color w:val="201F35"/>
          <w:lang w:eastAsia="zh-CN"/>
        </w:rPr>
        <w:t> 2019; </w:t>
      </w:r>
      <w:r w:rsidRPr="00F91674">
        <w:rPr>
          <w:rFonts w:ascii="Book Antiqua" w:eastAsia="宋体" w:hAnsi="Book Antiqua" w:cs="宋体"/>
          <w:b/>
          <w:bCs/>
          <w:color w:val="201F35"/>
          <w:lang w:eastAsia="zh-CN"/>
        </w:rPr>
        <w:t>19</w:t>
      </w:r>
      <w:r w:rsidRPr="00F91674">
        <w:rPr>
          <w:rFonts w:ascii="Book Antiqua" w:eastAsia="宋体" w:hAnsi="Book Antiqua" w:cs="宋体"/>
          <w:color w:val="201F35"/>
          <w:lang w:eastAsia="zh-CN"/>
        </w:rPr>
        <w:t>: 1087 [PMID: 31718604 DOI: 10.1186/s12885-019-6292-y]</w:t>
      </w:r>
    </w:p>
    <w:p w14:paraId="081634C3"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104 </w:t>
      </w:r>
      <w:r w:rsidRPr="00F91674">
        <w:rPr>
          <w:rFonts w:ascii="Book Antiqua" w:eastAsia="宋体" w:hAnsi="Book Antiqua" w:cs="宋体"/>
          <w:b/>
          <w:bCs/>
          <w:color w:val="201F35"/>
          <w:lang w:eastAsia="zh-CN"/>
        </w:rPr>
        <w:t>Marjanovic Vicentic J</w:t>
      </w:r>
      <w:r w:rsidRPr="00F91674">
        <w:rPr>
          <w:rFonts w:ascii="Book Antiqua" w:eastAsia="宋体" w:hAnsi="Book Antiqua" w:cs="宋体"/>
          <w:color w:val="201F35"/>
          <w:lang w:eastAsia="zh-CN"/>
        </w:rPr>
        <w:t>, Drakulic D, Garcia I, Vukovic V, Aldaz P, Puskas N, Nikolic I, Tasic G, Raicevic S, Garros-Regulez L, Sampron N, Atkinson MJ, Anastasov N, Matheu A, Stevanovic M. SOX3 can promote the malignant behavior of glioblastoma cells. </w:t>
      </w:r>
      <w:r w:rsidRPr="00F91674">
        <w:rPr>
          <w:rFonts w:ascii="Book Antiqua" w:eastAsia="宋体" w:hAnsi="Book Antiqua" w:cs="宋体"/>
          <w:i/>
          <w:iCs/>
          <w:color w:val="201F35"/>
          <w:lang w:eastAsia="zh-CN"/>
        </w:rPr>
        <w:t>Cell Oncol (Dordr)</w:t>
      </w:r>
      <w:r w:rsidRPr="00F91674">
        <w:rPr>
          <w:rFonts w:ascii="Book Antiqua" w:eastAsia="宋体" w:hAnsi="Book Antiqua" w:cs="宋体"/>
          <w:color w:val="201F35"/>
          <w:lang w:eastAsia="zh-CN"/>
        </w:rPr>
        <w:t> 2019; </w:t>
      </w:r>
      <w:r w:rsidRPr="00F91674">
        <w:rPr>
          <w:rFonts w:ascii="Book Antiqua" w:eastAsia="宋体" w:hAnsi="Book Antiqua" w:cs="宋体"/>
          <w:b/>
          <w:bCs/>
          <w:color w:val="201F35"/>
          <w:lang w:eastAsia="zh-CN"/>
        </w:rPr>
        <w:t>42</w:t>
      </w:r>
      <w:r w:rsidRPr="00F91674">
        <w:rPr>
          <w:rFonts w:ascii="Book Antiqua" w:eastAsia="宋体" w:hAnsi="Book Antiqua" w:cs="宋体"/>
          <w:color w:val="201F35"/>
          <w:lang w:eastAsia="zh-CN"/>
        </w:rPr>
        <w:t>: 41-54 [PMID: 30209685 DOI: 10.1007/s13402-018-0405-5]</w:t>
      </w:r>
    </w:p>
    <w:p w14:paraId="56F2E06D"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105 </w:t>
      </w:r>
      <w:r w:rsidRPr="00F91674">
        <w:rPr>
          <w:rFonts w:ascii="Book Antiqua" w:eastAsia="宋体" w:hAnsi="Book Antiqua" w:cs="宋体"/>
          <w:b/>
          <w:bCs/>
          <w:color w:val="201F35"/>
          <w:lang w:eastAsia="zh-CN"/>
        </w:rPr>
        <w:t>Lu S</w:t>
      </w:r>
      <w:r w:rsidRPr="00F91674">
        <w:rPr>
          <w:rFonts w:ascii="Book Antiqua" w:eastAsia="宋体" w:hAnsi="Book Antiqua" w:cs="宋体"/>
          <w:color w:val="201F35"/>
          <w:lang w:eastAsia="zh-CN"/>
        </w:rPr>
        <w:t>, Yu Z, Zhang X, Sui L. MiR-483 Targeted SOX3 to Suppress Glioma Cell Migration, Invasion and Promote Cell Apoptosis. </w:t>
      </w:r>
      <w:r w:rsidRPr="00F91674">
        <w:rPr>
          <w:rFonts w:ascii="Book Antiqua" w:eastAsia="宋体" w:hAnsi="Book Antiqua" w:cs="宋体"/>
          <w:i/>
          <w:iCs/>
          <w:color w:val="201F35"/>
          <w:lang w:eastAsia="zh-CN"/>
        </w:rPr>
        <w:t>Onco Targets Ther</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13</w:t>
      </w:r>
      <w:r w:rsidRPr="00F91674">
        <w:rPr>
          <w:rFonts w:ascii="Book Antiqua" w:eastAsia="宋体" w:hAnsi="Book Antiqua" w:cs="宋体"/>
          <w:color w:val="201F35"/>
          <w:lang w:eastAsia="zh-CN"/>
        </w:rPr>
        <w:t>: 2153-2161 [PMID: 32210581 DOI: 10.2147/OTT.S240619]</w:t>
      </w:r>
    </w:p>
    <w:p w14:paraId="3E98894B"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106 </w:t>
      </w:r>
      <w:r w:rsidRPr="00F91674">
        <w:rPr>
          <w:rFonts w:ascii="Book Antiqua" w:eastAsia="宋体" w:hAnsi="Book Antiqua" w:cs="宋体"/>
          <w:b/>
          <w:bCs/>
          <w:color w:val="201F35"/>
          <w:lang w:eastAsia="zh-CN"/>
        </w:rPr>
        <w:t>Wang L</w:t>
      </w:r>
      <w:r w:rsidRPr="00F91674">
        <w:rPr>
          <w:rFonts w:ascii="Book Antiqua" w:eastAsia="宋体" w:hAnsi="Book Antiqua" w:cs="宋体"/>
          <w:color w:val="201F35"/>
          <w:lang w:eastAsia="zh-CN"/>
        </w:rPr>
        <w:t>, He S, Yuan J, Mao X, Cao Y, Zong J, Tu Y, Zhang Y. Oncogenic role of SOX9 expression in human malignant glioma. </w:t>
      </w:r>
      <w:r w:rsidRPr="00F91674">
        <w:rPr>
          <w:rFonts w:ascii="Book Antiqua" w:eastAsia="宋体" w:hAnsi="Book Antiqua" w:cs="宋体"/>
          <w:i/>
          <w:iCs/>
          <w:color w:val="201F35"/>
          <w:lang w:eastAsia="zh-CN"/>
        </w:rPr>
        <w:t>Med Oncol</w:t>
      </w:r>
      <w:r w:rsidRPr="00F91674">
        <w:rPr>
          <w:rFonts w:ascii="Book Antiqua" w:eastAsia="宋体" w:hAnsi="Book Antiqua" w:cs="宋体"/>
          <w:color w:val="201F35"/>
          <w:lang w:eastAsia="zh-CN"/>
        </w:rPr>
        <w:t> 2012; </w:t>
      </w:r>
      <w:r w:rsidRPr="00F91674">
        <w:rPr>
          <w:rFonts w:ascii="Book Antiqua" w:eastAsia="宋体" w:hAnsi="Book Antiqua" w:cs="宋体"/>
          <w:b/>
          <w:bCs/>
          <w:color w:val="201F35"/>
          <w:lang w:eastAsia="zh-CN"/>
        </w:rPr>
        <w:t>29</w:t>
      </w:r>
      <w:r w:rsidRPr="00F91674">
        <w:rPr>
          <w:rFonts w:ascii="Book Antiqua" w:eastAsia="宋体" w:hAnsi="Book Antiqua" w:cs="宋体"/>
          <w:color w:val="201F35"/>
          <w:lang w:eastAsia="zh-CN"/>
        </w:rPr>
        <w:t>: 3484-3490 [PMID: 22714060 DOI: 10.1007/s12032-012-0267-z]</w:t>
      </w:r>
    </w:p>
    <w:p w14:paraId="7CD7D7F6"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107 </w:t>
      </w:r>
      <w:r w:rsidRPr="00F91674">
        <w:rPr>
          <w:rFonts w:ascii="Book Antiqua" w:eastAsia="宋体" w:hAnsi="Book Antiqua" w:cs="宋体"/>
          <w:b/>
          <w:bCs/>
          <w:color w:val="201F35"/>
          <w:lang w:eastAsia="zh-CN"/>
        </w:rPr>
        <w:t>Aldaz P</w:t>
      </w:r>
      <w:r w:rsidRPr="00F91674">
        <w:rPr>
          <w:rFonts w:ascii="Book Antiqua" w:eastAsia="宋体" w:hAnsi="Book Antiqua" w:cs="宋体"/>
          <w:color w:val="201F35"/>
          <w:lang w:eastAsia="zh-CN"/>
        </w:rPr>
        <w:t>, Otaegi-Ugartemendia M, Saenz-Antoñanzas A, Garcia-Puga M, Moreno-Valladares M, Flores JM, Gerovska D, Arauzo-Bravo MJ, Samprón N, Matheu A, Carrasco-Garcia E. SOX9 promotes tumor progression through the axis BMI1-p21</w:t>
      </w:r>
      <w:r w:rsidRPr="00F91674">
        <w:rPr>
          <w:rFonts w:ascii="Book Antiqua" w:eastAsia="宋体" w:hAnsi="Book Antiqua" w:cs="宋体"/>
          <w:color w:val="201F35"/>
          <w:vertAlign w:val="superscript"/>
          <w:lang w:eastAsia="zh-CN"/>
        </w:rPr>
        <w:t>CIP</w:t>
      </w:r>
      <w:r w:rsidRPr="00F91674">
        <w:rPr>
          <w:rFonts w:ascii="Book Antiqua" w:eastAsia="宋体" w:hAnsi="Book Antiqua" w:cs="宋体"/>
          <w:color w:val="201F35"/>
          <w:lang w:eastAsia="zh-CN"/>
        </w:rPr>
        <w:t>. </w:t>
      </w:r>
      <w:r w:rsidRPr="00F91674">
        <w:rPr>
          <w:rFonts w:ascii="Book Antiqua" w:eastAsia="宋体" w:hAnsi="Book Antiqua" w:cs="宋体"/>
          <w:i/>
          <w:iCs/>
          <w:color w:val="201F35"/>
          <w:lang w:eastAsia="zh-CN"/>
        </w:rPr>
        <w:t>Sci Rep</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10</w:t>
      </w:r>
      <w:r w:rsidRPr="00F91674">
        <w:rPr>
          <w:rFonts w:ascii="Book Antiqua" w:eastAsia="宋体" w:hAnsi="Book Antiqua" w:cs="宋体"/>
          <w:color w:val="201F35"/>
          <w:lang w:eastAsia="zh-CN"/>
        </w:rPr>
        <w:t>: 357 [PMID: 31941916 DOI: 10.1038/s41598-019-57047-w]</w:t>
      </w:r>
    </w:p>
    <w:p w14:paraId="7F84F0C6"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108 </w:t>
      </w:r>
      <w:r w:rsidRPr="00F91674">
        <w:rPr>
          <w:rFonts w:ascii="Book Antiqua" w:eastAsia="宋体" w:hAnsi="Book Antiqua" w:cs="宋体"/>
          <w:b/>
          <w:bCs/>
          <w:color w:val="201F35"/>
          <w:lang w:eastAsia="zh-CN"/>
        </w:rPr>
        <w:t>Gao J</w:t>
      </w:r>
      <w:r w:rsidRPr="00F91674">
        <w:rPr>
          <w:rFonts w:ascii="Book Antiqua" w:eastAsia="宋体" w:hAnsi="Book Antiqua" w:cs="宋体"/>
          <w:color w:val="201F35"/>
          <w:lang w:eastAsia="zh-CN"/>
        </w:rPr>
        <w:t>, Zhang JY, Li YH, Ren F. Decreased expression of SOX9 indicates a better prognosis and inhibits the growth of glioma cells by inducing cell cycle arrest. </w:t>
      </w:r>
      <w:r w:rsidRPr="00F91674">
        <w:rPr>
          <w:rFonts w:ascii="Book Antiqua" w:eastAsia="宋体" w:hAnsi="Book Antiqua" w:cs="宋体"/>
          <w:i/>
          <w:iCs/>
          <w:color w:val="201F35"/>
          <w:lang w:eastAsia="zh-CN"/>
        </w:rPr>
        <w:t>Int J Clin Exp Pathol</w:t>
      </w:r>
      <w:r w:rsidRPr="00F91674">
        <w:rPr>
          <w:rFonts w:ascii="Book Antiqua" w:eastAsia="宋体" w:hAnsi="Book Antiqua" w:cs="宋体"/>
          <w:color w:val="201F35"/>
          <w:lang w:eastAsia="zh-CN"/>
        </w:rPr>
        <w:t> 2015; </w:t>
      </w:r>
      <w:r w:rsidRPr="00F91674">
        <w:rPr>
          <w:rFonts w:ascii="Book Antiqua" w:eastAsia="宋体" w:hAnsi="Book Antiqua" w:cs="宋体"/>
          <w:b/>
          <w:bCs/>
          <w:color w:val="201F35"/>
          <w:lang w:eastAsia="zh-CN"/>
        </w:rPr>
        <w:t>8</w:t>
      </w:r>
      <w:r w:rsidRPr="00F91674">
        <w:rPr>
          <w:rFonts w:ascii="Book Antiqua" w:eastAsia="宋体" w:hAnsi="Book Antiqua" w:cs="宋体"/>
          <w:color w:val="201F35"/>
          <w:lang w:eastAsia="zh-CN"/>
        </w:rPr>
        <w:t>: 10130-10138 [PMID: 26617720]</w:t>
      </w:r>
    </w:p>
    <w:p w14:paraId="2A15D83D"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109 </w:t>
      </w:r>
      <w:r w:rsidRPr="00F91674">
        <w:rPr>
          <w:rFonts w:ascii="Book Antiqua" w:eastAsia="宋体" w:hAnsi="Book Antiqua" w:cs="宋体"/>
          <w:b/>
          <w:bCs/>
          <w:color w:val="201F35"/>
          <w:lang w:eastAsia="zh-CN"/>
        </w:rPr>
        <w:t>Bannykh SI</w:t>
      </w:r>
      <w:r w:rsidRPr="00F91674">
        <w:rPr>
          <w:rFonts w:ascii="Book Antiqua" w:eastAsia="宋体" w:hAnsi="Book Antiqua" w:cs="宋体"/>
          <w:color w:val="201F35"/>
          <w:lang w:eastAsia="zh-CN"/>
        </w:rPr>
        <w:t>, Stolt CC, Kim J, Perry A, Wegner M. Oligodendroglial-specific transcriptional factor SOX10 is ubiquitously expressed in human gliomas. </w:t>
      </w:r>
      <w:r w:rsidRPr="00F91674">
        <w:rPr>
          <w:rFonts w:ascii="Book Antiqua" w:eastAsia="宋体" w:hAnsi="Book Antiqua" w:cs="宋体"/>
          <w:i/>
          <w:iCs/>
          <w:color w:val="201F35"/>
          <w:lang w:eastAsia="zh-CN"/>
        </w:rPr>
        <w:t>J Neurooncol</w:t>
      </w:r>
      <w:r w:rsidRPr="00F91674">
        <w:rPr>
          <w:rFonts w:ascii="Book Antiqua" w:eastAsia="宋体" w:hAnsi="Book Antiqua" w:cs="宋体"/>
          <w:color w:val="201F35"/>
          <w:lang w:eastAsia="zh-CN"/>
        </w:rPr>
        <w:t> 2006; </w:t>
      </w:r>
      <w:r w:rsidRPr="00F91674">
        <w:rPr>
          <w:rFonts w:ascii="Book Antiqua" w:eastAsia="宋体" w:hAnsi="Book Antiqua" w:cs="宋体"/>
          <w:b/>
          <w:bCs/>
          <w:color w:val="201F35"/>
          <w:lang w:eastAsia="zh-CN"/>
        </w:rPr>
        <w:t>76</w:t>
      </w:r>
      <w:r w:rsidRPr="00F91674">
        <w:rPr>
          <w:rFonts w:ascii="Book Antiqua" w:eastAsia="宋体" w:hAnsi="Book Antiqua" w:cs="宋体"/>
          <w:color w:val="201F35"/>
          <w:lang w:eastAsia="zh-CN"/>
        </w:rPr>
        <w:t>: 115-127 [PMID: 16205963 DOI: 10.1007/s11060-005-5533-x]</w:t>
      </w:r>
    </w:p>
    <w:p w14:paraId="23155CD3"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110 </w:t>
      </w:r>
      <w:r w:rsidRPr="00F91674">
        <w:rPr>
          <w:rFonts w:ascii="Book Antiqua" w:eastAsia="宋体" w:hAnsi="Book Antiqua" w:cs="宋体"/>
          <w:b/>
          <w:bCs/>
          <w:color w:val="201F35"/>
          <w:lang w:eastAsia="zh-CN"/>
        </w:rPr>
        <w:t>Ferletta M</w:t>
      </w:r>
      <w:r w:rsidRPr="00F91674">
        <w:rPr>
          <w:rFonts w:ascii="Book Antiqua" w:eastAsia="宋体" w:hAnsi="Book Antiqua" w:cs="宋体"/>
          <w:color w:val="201F35"/>
          <w:lang w:eastAsia="zh-CN"/>
        </w:rPr>
        <w:t xml:space="preserve">, Uhrbom L, Olofsson T, Pontén F, Westermark B. Sox10 has a broad expression pattern in gliomas and enhances platelet-derived growth factor-B--induced </w:t>
      </w:r>
      <w:r w:rsidRPr="00F91674">
        <w:rPr>
          <w:rFonts w:ascii="Book Antiqua" w:eastAsia="宋体" w:hAnsi="Book Antiqua" w:cs="宋体"/>
          <w:color w:val="201F35"/>
          <w:lang w:eastAsia="zh-CN"/>
        </w:rPr>
        <w:lastRenderedPageBreak/>
        <w:t>gliomagenesis. </w:t>
      </w:r>
      <w:r w:rsidRPr="00F91674">
        <w:rPr>
          <w:rFonts w:ascii="Book Antiqua" w:eastAsia="宋体" w:hAnsi="Book Antiqua" w:cs="宋体"/>
          <w:i/>
          <w:iCs/>
          <w:color w:val="201F35"/>
          <w:lang w:eastAsia="zh-CN"/>
        </w:rPr>
        <w:t>Mol Cancer Res</w:t>
      </w:r>
      <w:r w:rsidRPr="00F91674">
        <w:rPr>
          <w:rFonts w:ascii="Book Antiqua" w:eastAsia="宋体" w:hAnsi="Book Antiqua" w:cs="宋体"/>
          <w:color w:val="201F35"/>
          <w:lang w:eastAsia="zh-CN"/>
        </w:rPr>
        <w:t> 2007; </w:t>
      </w:r>
      <w:r w:rsidRPr="00F91674">
        <w:rPr>
          <w:rFonts w:ascii="Book Antiqua" w:eastAsia="宋体" w:hAnsi="Book Antiqua" w:cs="宋体"/>
          <w:b/>
          <w:bCs/>
          <w:color w:val="201F35"/>
          <w:lang w:eastAsia="zh-CN"/>
        </w:rPr>
        <w:t>5</w:t>
      </w:r>
      <w:r w:rsidRPr="00F91674">
        <w:rPr>
          <w:rFonts w:ascii="Book Antiqua" w:eastAsia="宋体" w:hAnsi="Book Antiqua" w:cs="宋体"/>
          <w:color w:val="201F35"/>
          <w:lang w:eastAsia="zh-CN"/>
        </w:rPr>
        <w:t>: 891-897 [PMID: 17855658 DOI: 10.1158/1541-7786.MCR-07-0113]</w:t>
      </w:r>
    </w:p>
    <w:p w14:paraId="0596DB21"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111 </w:t>
      </w:r>
      <w:r w:rsidRPr="00F91674">
        <w:rPr>
          <w:rFonts w:ascii="Book Antiqua" w:eastAsia="宋体" w:hAnsi="Book Antiqua" w:cs="宋体"/>
          <w:b/>
          <w:bCs/>
          <w:color w:val="201F35"/>
          <w:lang w:eastAsia="zh-CN"/>
        </w:rPr>
        <w:t>Jin C</w:t>
      </w:r>
      <w:r w:rsidRPr="00F91674">
        <w:rPr>
          <w:rFonts w:ascii="Book Antiqua" w:eastAsia="宋体" w:hAnsi="Book Antiqua" w:cs="宋体"/>
          <w:color w:val="201F35"/>
          <w:lang w:eastAsia="zh-CN"/>
        </w:rPr>
        <w:t>, Zhao J, Zhang ZP, Wu M, Li J, Liu B, Bin Liao X, Liao YX, Liu JP. CircRNA EPHB4 modulates stem properties and proliferation of gliomas via sponging miR-637 and up-regulating SOX10. </w:t>
      </w:r>
      <w:r w:rsidRPr="00F91674">
        <w:rPr>
          <w:rFonts w:ascii="Book Antiqua" w:eastAsia="宋体" w:hAnsi="Book Antiqua" w:cs="宋体"/>
          <w:i/>
          <w:iCs/>
          <w:color w:val="201F35"/>
          <w:lang w:eastAsia="zh-CN"/>
        </w:rPr>
        <w:t>Mol Oncol</w:t>
      </w:r>
      <w:r w:rsidRPr="00F91674">
        <w:rPr>
          <w:rFonts w:ascii="Book Antiqua" w:eastAsia="宋体" w:hAnsi="Book Antiqua" w:cs="宋体"/>
          <w:color w:val="201F35"/>
          <w:lang w:eastAsia="zh-CN"/>
        </w:rPr>
        <w:t> 2021; </w:t>
      </w:r>
      <w:r w:rsidRPr="00F91674">
        <w:rPr>
          <w:rFonts w:ascii="Book Antiqua" w:eastAsia="宋体" w:hAnsi="Book Antiqua" w:cs="宋体"/>
          <w:b/>
          <w:bCs/>
          <w:color w:val="201F35"/>
          <w:lang w:eastAsia="zh-CN"/>
        </w:rPr>
        <w:t>15</w:t>
      </w:r>
      <w:r w:rsidRPr="00F91674">
        <w:rPr>
          <w:rFonts w:ascii="Book Antiqua" w:eastAsia="宋体" w:hAnsi="Book Antiqua" w:cs="宋体"/>
          <w:color w:val="201F35"/>
          <w:lang w:eastAsia="zh-CN"/>
        </w:rPr>
        <w:t>: 596-622 [PMID: 33085838 DOI: 10.1002/1878-0261.12830]</w:t>
      </w:r>
    </w:p>
    <w:p w14:paraId="0761379D"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112 </w:t>
      </w:r>
      <w:r w:rsidRPr="00F91674">
        <w:rPr>
          <w:rFonts w:ascii="Book Antiqua" w:eastAsia="宋体" w:hAnsi="Book Antiqua" w:cs="宋体"/>
          <w:b/>
          <w:bCs/>
          <w:color w:val="201F35"/>
          <w:lang w:eastAsia="zh-CN"/>
        </w:rPr>
        <w:t>Ueda R</w:t>
      </w:r>
      <w:r w:rsidRPr="00F91674">
        <w:rPr>
          <w:rFonts w:ascii="Book Antiqua" w:eastAsia="宋体" w:hAnsi="Book Antiqua" w:cs="宋体"/>
          <w:color w:val="201F35"/>
          <w:lang w:eastAsia="zh-CN"/>
        </w:rPr>
        <w:t>, Yoshida K, Kawase T, Kawakami Y, Toda M. Preferential expression and frequent IgG responses of a tumor antigen, SOX5, in glioma patients. </w:t>
      </w:r>
      <w:r w:rsidRPr="00F91674">
        <w:rPr>
          <w:rFonts w:ascii="Book Antiqua" w:eastAsia="宋体" w:hAnsi="Book Antiqua" w:cs="宋体"/>
          <w:i/>
          <w:iCs/>
          <w:color w:val="201F35"/>
          <w:lang w:eastAsia="zh-CN"/>
        </w:rPr>
        <w:t>Int J Cancer</w:t>
      </w:r>
      <w:r w:rsidRPr="00F91674">
        <w:rPr>
          <w:rFonts w:ascii="Book Antiqua" w:eastAsia="宋体" w:hAnsi="Book Antiqua" w:cs="宋体"/>
          <w:color w:val="201F35"/>
          <w:lang w:eastAsia="zh-CN"/>
        </w:rPr>
        <w:t> 2007; </w:t>
      </w:r>
      <w:r w:rsidRPr="00F91674">
        <w:rPr>
          <w:rFonts w:ascii="Book Antiqua" w:eastAsia="宋体" w:hAnsi="Book Antiqua" w:cs="宋体"/>
          <w:b/>
          <w:bCs/>
          <w:color w:val="201F35"/>
          <w:lang w:eastAsia="zh-CN"/>
        </w:rPr>
        <w:t>120</w:t>
      </w:r>
      <w:r w:rsidRPr="00F91674">
        <w:rPr>
          <w:rFonts w:ascii="Book Antiqua" w:eastAsia="宋体" w:hAnsi="Book Antiqua" w:cs="宋体"/>
          <w:color w:val="201F35"/>
          <w:lang w:eastAsia="zh-CN"/>
        </w:rPr>
        <w:t>: 1704-1711 [PMID: 17230535 DOI: 10.1002/ijc.22472]</w:t>
      </w:r>
    </w:p>
    <w:p w14:paraId="379F4579"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113 </w:t>
      </w:r>
      <w:r w:rsidRPr="00F91674">
        <w:rPr>
          <w:rFonts w:ascii="Book Antiqua" w:eastAsia="宋体" w:hAnsi="Book Antiqua" w:cs="宋体"/>
          <w:b/>
          <w:bCs/>
          <w:color w:val="201F35"/>
          <w:lang w:eastAsia="zh-CN"/>
        </w:rPr>
        <w:t>Tchougounova E</w:t>
      </w:r>
      <w:r w:rsidRPr="00F91674">
        <w:rPr>
          <w:rFonts w:ascii="Book Antiqua" w:eastAsia="宋体" w:hAnsi="Book Antiqua" w:cs="宋体"/>
          <w:color w:val="201F35"/>
          <w:lang w:eastAsia="zh-CN"/>
        </w:rPr>
        <w:t>, Jiang Y, Bråsäter D, Lindberg N, Kastemar M, Asplund A, Westermark B, Uhrbom L. Sox5 can suppress platelet-derived growth factor B-induced glioma development in Ink4a-deficient mice through induction of acute cellular senescence. </w:t>
      </w:r>
      <w:r w:rsidRPr="00F91674">
        <w:rPr>
          <w:rFonts w:ascii="Book Antiqua" w:eastAsia="宋体" w:hAnsi="Book Antiqua" w:cs="宋体"/>
          <w:i/>
          <w:iCs/>
          <w:color w:val="201F35"/>
          <w:lang w:eastAsia="zh-CN"/>
        </w:rPr>
        <w:t>Oncogene</w:t>
      </w:r>
      <w:r w:rsidRPr="00F91674">
        <w:rPr>
          <w:rFonts w:ascii="Book Antiqua" w:eastAsia="宋体" w:hAnsi="Book Antiqua" w:cs="宋体"/>
          <w:color w:val="201F35"/>
          <w:lang w:eastAsia="zh-CN"/>
        </w:rPr>
        <w:t> 2009; </w:t>
      </w:r>
      <w:r w:rsidRPr="00F91674">
        <w:rPr>
          <w:rFonts w:ascii="Book Antiqua" w:eastAsia="宋体" w:hAnsi="Book Antiqua" w:cs="宋体"/>
          <w:b/>
          <w:bCs/>
          <w:color w:val="201F35"/>
          <w:lang w:eastAsia="zh-CN"/>
        </w:rPr>
        <w:t>28</w:t>
      </w:r>
      <w:r w:rsidRPr="00F91674">
        <w:rPr>
          <w:rFonts w:ascii="Book Antiqua" w:eastAsia="宋体" w:hAnsi="Book Antiqua" w:cs="宋体"/>
          <w:color w:val="201F35"/>
          <w:lang w:eastAsia="zh-CN"/>
        </w:rPr>
        <w:t>: 1537-1548 [PMID: 19219070 DOI: 10.1038/onc.2009.9]</w:t>
      </w:r>
    </w:p>
    <w:p w14:paraId="7438F8B6"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114 </w:t>
      </w:r>
      <w:r w:rsidRPr="00F91674">
        <w:rPr>
          <w:rFonts w:ascii="Book Antiqua" w:eastAsia="宋体" w:hAnsi="Book Antiqua" w:cs="宋体"/>
          <w:b/>
          <w:bCs/>
          <w:color w:val="201F35"/>
          <w:lang w:eastAsia="zh-CN"/>
        </w:rPr>
        <w:t>Schlierf B</w:t>
      </w:r>
      <w:r w:rsidRPr="00F91674">
        <w:rPr>
          <w:rFonts w:ascii="Book Antiqua" w:eastAsia="宋体" w:hAnsi="Book Antiqua" w:cs="宋体"/>
          <w:color w:val="201F35"/>
          <w:lang w:eastAsia="zh-CN"/>
        </w:rPr>
        <w:t>, Friedrich RP, Roerig P, Felsberg J, Reifenberger G, Wegner M. Expression of SoxE and SoxD genes in human gliomas. </w:t>
      </w:r>
      <w:r w:rsidRPr="00F91674">
        <w:rPr>
          <w:rFonts w:ascii="Book Antiqua" w:eastAsia="宋体" w:hAnsi="Book Antiqua" w:cs="宋体"/>
          <w:i/>
          <w:iCs/>
          <w:color w:val="201F35"/>
          <w:lang w:eastAsia="zh-CN"/>
        </w:rPr>
        <w:t>Neuropathol Appl Neurobiol</w:t>
      </w:r>
      <w:r w:rsidRPr="00F91674">
        <w:rPr>
          <w:rFonts w:ascii="Book Antiqua" w:eastAsia="宋体" w:hAnsi="Book Antiqua" w:cs="宋体"/>
          <w:color w:val="201F35"/>
          <w:lang w:eastAsia="zh-CN"/>
        </w:rPr>
        <w:t> 2007; </w:t>
      </w:r>
      <w:r w:rsidRPr="00F91674">
        <w:rPr>
          <w:rFonts w:ascii="Book Antiqua" w:eastAsia="宋体" w:hAnsi="Book Antiqua" w:cs="宋体"/>
          <w:b/>
          <w:bCs/>
          <w:color w:val="201F35"/>
          <w:lang w:eastAsia="zh-CN"/>
        </w:rPr>
        <w:t>33</w:t>
      </w:r>
      <w:r w:rsidRPr="00F91674">
        <w:rPr>
          <w:rFonts w:ascii="Book Antiqua" w:eastAsia="宋体" w:hAnsi="Book Antiqua" w:cs="宋体"/>
          <w:color w:val="201F35"/>
          <w:lang w:eastAsia="zh-CN"/>
        </w:rPr>
        <w:t>: 621-630 [PMID: 17961134 DOI: 10.1111/j.1365-2990.2007.00881.x]</w:t>
      </w:r>
    </w:p>
    <w:p w14:paraId="48AA6271"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115 </w:t>
      </w:r>
      <w:r w:rsidRPr="00F91674">
        <w:rPr>
          <w:rFonts w:ascii="Book Antiqua" w:eastAsia="宋体" w:hAnsi="Book Antiqua" w:cs="宋体"/>
          <w:b/>
          <w:bCs/>
          <w:color w:val="201F35"/>
          <w:lang w:eastAsia="zh-CN"/>
        </w:rPr>
        <w:t>Tian R</w:t>
      </w:r>
      <w:r w:rsidRPr="00F91674">
        <w:rPr>
          <w:rFonts w:ascii="Book Antiqua" w:eastAsia="宋体" w:hAnsi="Book Antiqua" w:cs="宋体"/>
          <w:color w:val="201F35"/>
          <w:lang w:eastAsia="zh-CN"/>
        </w:rPr>
        <w:t>, Wang J, Yan H, Wu J, Xu Q, Zhan X, Gui Z, Ding M, He J. Differential expression of miR16 in glioblastoma and glioblastoma stem cells: their correlation with proliferation, differentiation, metastasis and prognosis. </w:t>
      </w:r>
      <w:r w:rsidRPr="00F91674">
        <w:rPr>
          <w:rFonts w:ascii="Book Antiqua" w:eastAsia="宋体" w:hAnsi="Book Antiqua" w:cs="宋体"/>
          <w:i/>
          <w:iCs/>
          <w:color w:val="201F35"/>
          <w:lang w:eastAsia="zh-CN"/>
        </w:rPr>
        <w:t>Oncogene</w:t>
      </w:r>
      <w:r w:rsidRPr="00F91674">
        <w:rPr>
          <w:rFonts w:ascii="Book Antiqua" w:eastAsia="宋体" w:hAnsi="Book Antiqua" w:cs="宋体"/>
          <w:color w:val="201F35"/>
          <w:lang w:eastAsia="zh-CN"/>
        </w:rPr>
        <w:t> 2017; </w:t>
      </w:r>
      <w:r w:rsidRPr="00F91674">
        <w:rPr>
          <w:rFonts w:ascii="Book Antiqua" w:eastAsia="宋体" w:hAnsi="Book Antiqua" w:cs="宋体"/>
          <w:b/>
          <w:bCs/>
          <w:color w:val="201F35"/>
          <w:lang w:eastAsia="zh-CN"/>
        </w:rPr>
        <w:t>36</w:t>
      </w:r>
      <w:r w:rsidRPr="00F91674">
        <w:rPr>
          <w:rFonts w:ascii="Book Antiqua" w:eastAsia="宋体" w:hAnsi="Book Antiqua" w:cs="宋体"/>
          <w:color w:val="201F35"/>
          <w:lang w:eastAsia="zh-CN"/>
        </w:rPr>
        <w:t>: 5861-5873 [PMID: 28628119 DOI: 10.1038/onc.2017.182]</w:t>
      </w:r>
    </w:p>
    <w:p w14:paraId="4B8F5A7F"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116 </w:t>
      </w:r>
      <w:r w:rsidRPr="00F91674">
        <w:rPr>
          <w:rFonts w:ascii="Book Antiqua" w:eastAsia="宋体" w:hAnsi="Book Antiqua" w:cs="宋体"/>
          <w:b/>
          <w:bCs/>
          <w:color w:val="201F35"/>
          <w:lang w:eastAsia="zh-CN"/>
        </w:rPr>
        <w:t>Jiang L</w:t>
      </w:r>
      <w:r w:rsidRPr="00F91674">
        <w:rPr>
          <w:rFonts w:ascii="Book Antiqua" w:eastAsia="宋体" w:hAnsi="Book Antiqua" w:cs="宋体"/>
          <w:color w:val="201F35"/>
          <w:lang w:eastAsia="zh-CN"/>
        </w:rPr>
        <w:t>, Yang H, Chen T, Zhu X, Ye J, Lv K. Identification of HMG-box family establishes the significance of SOX6 in the malignant progression of glioblastoma. </w:t>
      </w:r>
      <w:r w:rsidRPr="00F91674">
        <w:rPr>
          <w:rFonts w:ascii="Book Antiqua" w:eastAsia="宋体" w:hAnsi="Book Antiqua" w:cs="宋体"/>
          <w:i/>
          <w:iCs/>
          <w:color w:val="201F35"/>
          <w:lang w:eastAsia="zh-CN"/>
        </w:rPr>
        <w:t>Aging (Albany NY)</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12</w:t>
      </w:r>
      <w:r w:rsidRPr="00F91674">
        <w:rPr>
          <w:rFonts w:ascii="Book Antiqua" w:eastAsia="宋体" w:hAnsi="Book Antiqua" w:cs="宋体"/>
          <w:color w:val="201F35"/>
          <w:lang w:eastAsia="zh-CN"/>
        </w:rPr>
        <w:t>: 8084-8106 [PMID: 32388501 DOI: 10.18632/aging.103127]</w:t>
      </w:r>
    </w:p>
    <w:p w14:paraId="558FA4FC"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117 </w:t>
      </w:r>
      <w:r w:rsidRPr="00F91674">
        <w:rPr>
          <w:rFonts w:ascii="Book Antiqua" w:eastAsia="宋体" w:hAnsi="Book Antiqua" w:cs="宋体"/>
          <w:b/>
          <w:bCs/>
          <w:color w:val="201F35"/>
          <w:lang w:eastAsia="zh-CN"/>
        </w:rPr>
        <w:t>Zhao T</w:t>
      </w:r>
      <w:r w:rsidRPr="00F91674">
        <w:rPr>
          <w:rFonts w:ascii="Book Antiqua" w:eastAsia="宋体" w:hAnsi="Book Antiqua" w:cs="宋体"/>
          <w:color w:val="201F35"/>
          <w:lang w:eastAsia="zh-CN"/>
        </w:rPr>
        <w:t>, Yang H, Tian Y, Xie Q, Lu Y, Wang Y, Su N, Dong B, Liu X, Wang C, Jiang C, Liu X. SOX7 is associated with the suppression of human glioma by HMG-box dependent regulation of Wnt/β-catenin signaling. </w:t>
      </w:r>
      <w:r w:rsidRPr="00F91674">
        <w:rPr>
          <w:rFonts w:ascii="Book Antiqua" w:eastAsia="宋体" w:hAnsi="Book Antiqua" w:cs="宋体"/>
          <w:i/>
          <w:iCs/>
          <w:color w:val="201F35"/>
          <w:lang w:eastAsia="zh-CN"/>
        </w:rPr>
        <w:t>Cancer Lett</w:t>
      </w:r>
      <w:r w:rsidRPr="00F91674">
        <w:rPr>
          <w:rFonts w:ascii="Book Antiqua" w:eastAsia="宋体" w:hAnsi="Book Antiqua" w:cs="宋体"/>
          <w:color w:val="201F35"/>
          <w:lang w:eastAsia="zh-CN"/>
        </w:rPr>
        <w:t> 2016; </w:t>
      </w:r>
      <w:r w:rsidRPr="00F91674">
        <w:rPr>
          <w:rFonts w:ascii="Book Antiqua" w:eastAsia="宋体" w:hAnsi="Book Antiqua" w:cs="宋体"/>
          <w:b/>
          <w:bCs/>
          <w:color w:val="201F35"/>
          <w:lang w:eastAsia="zh-CN"/>
        </w:rPr>
        <w:t>375</w:t>
      </w:r>
      <w:r w:rsidRPr="00F91674">
        <w:rPr>
          <w:rFonts w:ascii="Book Antiqua" w:eastAsia="宋体" w:hAnsi="Book Antiqua" w:cs="宋体"/>
          <w:color w:val="201F35"/>
          <w:lang w:eastAsia="zh-CN"/>
        </w:rPr>
        <w:t>: 100-107 [PMID: 26944317 DOI: 10.1016/j.canlet.2016.02.044]</w:t>
      </w:r>
    </w:p>
    <w:p w14:paraId="02B93224"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118 </w:t>
      </w:r>
      <w:r w:rsidRPr="00F91674">
        <w:rPr>
          <w:rFonts w:ascii="Book Antiqua" w:eastAsia="宋体" w:hAnsi="Book Antiqua" w:cs="宋体"/>
          <w:b/>
          <w:bCs/>
          <w:color w:val="201F35"/>
          <w:lang w:eastAsia="zh-CN"/>
        </w:rPr>
        <w:t>Weigle B</w:t>
      </w:r>
      <w:r w:rsidRPr="00F91674">
        <w:rPr>
          <w:rFonts w:ascii="Book Antiqua" w:eastAsia="宋体" w:hAnsi="Book Antiqua" w:cs="宋体"/>
          <w:color w:val="201F35"/>
          <w:lang w:eastAsia="zh-CN"/>
        </w:rPr>
        <w:t xml:space="preserve">, Ebner R, Temme A, Schwind S, Schmitz M, Kiessling A, Rieger MA, Schackert G, Schackert HK, Rieber EP. Highly specific overexpression of the </w:t>
      </w:r>
      <w:r w:rsidRPr="00F91674">
        <w:rPr>
          <w:rFonts w:ascii="Book Antiqua" w:eastAsia="宋体" w:hAnsi="Book Antiqua" w:cs="宋体"/>
          <w:color w:val="201F35"/>
          <w:lang w:eastAsia="zh-CN"/>
        </w:rPr>
        <w:lastRenderedPageBreak/>
        <w:t>transcription factor SOX11 in human malignant gliomas. </w:t>
      </w:r>
      <w:r w:rsidRPr="00F91674">
        <w:rPr>
          <w:rFonts w:ascii="Book Antiqua" w:eastAsia="宋体" w:hAnsi="Book Antiqua" w:cs="宋体"/>
          <w:i/>
          <w:iCs/>
          <w:color w:val="201F35"/>
          <w:lang w:eastAsia="zh-CN"/>
        </w:rPr>
        <w:t>Oncol Rep</w:t>
      </w:r>
      <w:r w:rsidRPr="00F91674">
        <w:rPr>
          <w:rFonts w:ascii="Book Antiqua" w:eastAsia="宋体" w:hAnsi="Book Antiqua" w:cs="宋体"/>
          <w:color w:val="201F35"/>
          <w:lang w:eastAsia="zh-CN"/>
        </w:rPr>
        <w:t> 2005; </w:t>
      </w:r>
      <w:r w:rsidRPr="00F91674">
        <w:rPr>
          <w:rFonts w:ascii="Book Antiqua" w:eastAsia="宋体" w:hAnsi="Book Antiqua" w:cs="宋体"/>
          <w:b/>
          <w:bCs/>
          <w:color w:val="201F35"/>
          <w:lang w:eastAsia="zh-CN"/>
        </w:rPr>
        <w:t>13</w:t>
      </w:r>
      <w:r w:rsidRPr="00F91674">
        <w:rPr>
          <w:rFonts w:ascii="Book Antiqua" w:eastAsia="宋体" w:hAnsi="Book Antiqua" w:cs="宋体"/>
          <w:color w:val="201F35"/>
          <w:lang w:eastAsia="zh-CN"/>
        </w:rPr>
        <w:t>: 139-144 [PMID: 15583815]</w:t>
      </w:r>
    </w:p>
    <w:p w14:paraId="15C53359"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119 </w:t>
      </w:r>
      <w:r w:rsidRPr="00F91674">
        <w:rPr>
          <w:rFonts w:ascii="Book Antiqua" w:eastAsia="宋体" w:hAnsi="Book Antiqua" w:cs="宋体"/>
          <w:b/>
          <w:bCs/>
          <w:color w:val="201F35"/>
          <w:lang w:eastAsia="zh-CN"/>
        </w:rPr>
        <w:t>Hide T</w:t>
      </w:r>
      <w:r w:rsidRPr="00F91674">
        <w:rPr>
          <w:rFonts w:ascii="Book Antiqua" w:eastAsia="宋体" w:hAnsi="Book Antiqua" w:cs="宋体"/>
          <w:color w:val="201F35"/>
          <w:lang w:eastAsia="zh-CN"/>
        </w:rPr>
        <w:t>, Takezaki T, Nakatani Y, Nakamura H, Kuratsu J, Kondo T. Sox11 prevents tumorigenesis of glioma-initiating cells by inducing neuronal differentiation. </w:t>
      </w:r>
      <w:r w:rsidRPr="00F91674">
        <w:rPr>
          <w:rFonts w:ascii="Book Antiqua" w:eastAsia="宋体" w:hAnsi="Book Antiqua" w:cs="宋体"/>
          <w:i/>
          <w:iCs/>
          <w:color w:val="201F35"/>
          <w:lang w:eastAsia="zh-CN"/>
        </w:rPr>
        <w:t>Cancer Res</w:t>
      </w:r>
      <w:r w:rsidRPr="00F91674">
        <w:rPr>
          <w:rFonts w:ascii="Book Antiqua" w:eastAsia="宋体" w:hAnsi="Book Antiqua" w:cs="宋体"/>
          <w:color w:val="201F35"/>
          <w:lang w:eastAsia="zh-CN"/>
        </w:rPr>
        <w:t> 2009; </w:t>
      </w:r>
      <w:r w:rsidRPr="00F91674">
        <w:rPr>
          <w:rFonts w:ascii="Book Antiqua" w:eastAsia="宋体" w:hAnsi="Book Antiqua" w:cs="宋体"/>
          <w:b/>
          <w:bCs/>
          <w:color w:val="201F35"/>
          <w:lang w:eastAsia="zh-CN"/>
        </w:rPr>
        <w:t>69</w:t>
      </w:r>
      <w:r w:rsidRPr="00F91674">
        <w:rPr>
          <w:rFonts w:ascii="Book Antiqua" w:eastAsia="宋体" w:hAnsi="Book Antiqua" w:cs="宋体"/>
          <w:color w:val="201F35"/>
          <w:lang w:eastAsia="zh-CN"/>
        </w:rPr>
        <w:t>: 7953-7959 [PMID: 19808959 DOI: 10.1158/0008-5472.CAN-09-2006]</w:t>
      </w:r>
    </w:p>
    <w:p w14:paraId="494F8D83"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120 </w:t>
      </w:r>
      <w:r w:rsidRPr="00F91674">
        <w:rPr>
          <w:rFonts w:ascii="Book Antiqua" w:eastAsia="宋体" w:hAnsi="Book Antiqua" w:cs="宋体"/>
          <w:b/>
          <w:bCs/>
          <w:color w:val="201F35"/>
          <w:lang w:eastAsia="zh-CN"/>
        </w:rPr>
        <w:t>Su Z</w:t>
      </w:r>
      <w:r w:rsidRPr="00F91674">
        <w:rPr>
          <w:rFonts w:ascii="Book Antiqua" w:eastAsia="宋体" w:hAnsi="Book Antiqua" w:cs="宋体"/>
          <w:color w:val="201F35"/>
          <w:lang w:eastAsia="zh-CN"/>
        </w:rPr>
        <w:t>, Zang T, Liu ML, Wang LL, Niu W, Zhang CL. Reprogramming the fate of human glioma cells to impede brain tumor development. </w:t>
      </w:r>
      <w:r w:rsidRPr="00F91674">
        <w:rPr>
          <w:rFonts w:ascii="Book Antiqua" w:eastAsia="宋体" w:hAnsi="Book Antiqua" w:cs="宋体"/>
          <w:i/>
          <w:iCs/>
          <w:color w:val="201F35"/>
          <w:lang w:eastAsia="zh-CN"/>
        </w:rPr>
        <w:t>Cell Death Dis</w:t>
      </w:r>
      <w:r w:rsidRPr="00F91674">
        <w:rPr>
          <w:rFonts w:ascii="Book Antiqua" w:eastAsia="宋体" w:hAnsi="Book Antiqua" w:cs="宋体"/>
          <w:color w:val="201F35"/>
          <w:lang w:eastAsia="zh-CN"/>
        </w:rPr>
        <w:t> 2014; </w:t>
      </w:r>
      <w:r w:rsidRPr="00F91674">
        <w:rPr>
          <w:rFonts w:ascii="Book Antiqua" w:eastAsia="宋体" w:hAnsi="Book Antiqua" w:cs="宋体"/>
          <w:b/>
          <w:bCs/>
          <w:color w:val="201F35"/>
          <w:lang w:eastAsia="zh-CN"/>
        </w:rPr>
        <w:t>5</w:t>
      </w:r>
      <w:r w:rsidRPr="00F91674">
        <w:rPr>
          <w:rFonts w:ascii="Book Antiqua" w:eastAsia="宋体" w:hAnsi="Book Antiqua" w:cs="宋体"/>
          <w:color w:val="201F35"/>
          <w:lang w:eastAsia="zh-CN"/>
        </w:rPr>
        <w:t>: e1463 [PMID: 25321470 DOI: 10.1038/cddis.2014.425]</w:t>
      </w:r>
    </w:p>
    <w:p w14:paraId="0BF4C391"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121 </w:t>
      </w:r>
      <w:r w:rsidRPr="00F91674">
        <w:rPr>
          <w:rFonts w:ascii="Book Antiqua" w:eastAsia="宋体" w:hAnsi="Book Antiqua" w:cs="宋体"/>
          <w:b/>
          <w:bCs/>
          <w:color w:val="201F35"/>
          <w:lang w:eastAsia="zh-CN"/>
        </w:rPr>
        <w:t>Zhang D</w:t>
      </w:r>
      <w:r w:rsidRPr="00F91674">
        <w:rPr>
          <w:rFonts w:ascii="Book Antiqua" w:eastAsia="宋体" w:hAnsi="Book Antiqua" w:cs="宋体"/>
          <w:color w:val="201F35"/>
          <w:lang w:eastAsia="zh-CN"/>
        </w:rPr>
        <w:t>, Guo S, Wang H, Hu Y. SOX15 exerts antitumor function in glioma by inhibiting cell proliferation and invasion via downregulation of Wnt/β-catenin signaling. </w:t>
      </w:r>
      <w:r w:rsidRPr="00F91674">
        <w:rPr>
          <w:rFonts w:ascii="Book Antiqua" w:eastAsia="宋体" w:hAnsi="Book Antiqua" w:cs="宋体"/>
          <w:i/>
          <w:iCs/>
          <w:color w:val="201F35"/>
          <w:lang w:eastAsia="zh-CN"/>
        </w:rPr>
        <w:t>Life Sci</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255</w:t>
      </w:r>
      <w:r w:rsidRPr="00F91674">
        <w:rPr>
          <w:rFonts w:ascii="Book Antiqua" w:eastAsia="宋体" w:hAnsi="Book Antiqua" w:cs="宋体"/>
          <w:color w:val="201F35"/>
          <w:lang w:eastAsia="zh-CN"/>
        </w:rPr>
        <w:t>: 117792 [PMID: 32416168 DOI: 10.1016/j.lfs.2020.117792]</w:t>
      </w:r>
    </w:p>
    <w:p w14:paraId="47FF5782"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122 </w:t>
      </w:r>
      <w:r w:rsidRPr="00F91674">
        <w:rPr>
          <w:rFonts w:ascii="Book Antiqua" w:eastAsia="宋体" w:hAnsi="Book Antiqua" w:cs="宋体"/>
          <w:b/>
          <w:bCs/>
          <w:color w:val="201F35"/>
          <w:lang w:eastAsia="zh-CN"/>
        </w:rPr>
        <w:t>de la Rocha AM</w:t>
      </w:r>
      <w:r w:rsidRPr="00F91674">
        <w:rPr>
          <w:rFonts w:ascii="Book Antiqua" w:eastAsia="宋体" w:hAnsi="Book Antiqua" w:cs="宋体"/>
          <w:color w:val="201F35"/>
          <w:lang w:eastAsia="zh-CN"/>
        </w:rPr>
        <w:t>, Sampron N, Alonso MM, Matheu A. Role of SOX family of transcription factors in central nervous system tumors. </w:t>
      </w:r>
      <w:r w:rsidRPr="00F91674">
        <w:rPr>
          <w:rFonts w:ascii="Book Antiqua" w:eastAsia="宋体" w:hAnsi="Book Antiqua" w:cs="宋体"/>
          <w:i/>
          <w:iCs/>
          <w:color w:val="201F35"/>
          <w:lang w:eastAsia="zh-CN"/>
        </w:rPr>
        <w:t>Am J Cancer Res</w:t>
      </w:r>
      <w:r w:rsidRPr="00F91674">
        <w:rPr>
          <w:rFonts w:ascii="Book Antiqua" w:eastAsia="宋体" w:hAnsi="Book Antiqua" w:cs="宋体"/>
          <w:color w:val="201F35"/>
          <w:lang w:eastAsia="zh-CN"/>
        </w:rPr>
        <w:t> 2014; </w:t>
      </w:r>
      <w:r w:rsidRPr="00F91674">
        <w:rPr>
          <w:rFonts w:ascii="Book Antiqua" w:eastAsia="宋体" w:hAnsi="Book Antiqua" w:cs="宋体"/>
          <w:b/>
          <w:bCs/>
          <w:color w:val="201F35"/>
          <w:lang w:eastAsia="zh-CN"/>
        </w:rPr>
        <w:t>4</w:t>
      </w:r>
      <w:r w:rsidRPr="00F91674">
        <w:rPr>
          <w:rFonts w:ascii="Book Antiqua" w:eastAsia="宋体" w:hAnsi="Book Antiqua" w:cs="宋体"/>
          <w:color w:val="201F35"/>
          <w:lang w:eastAsia="zh-CN"/>
        </w:rPr>
        <w:t>: 312-324 [PMID: 25057435]</w:t>
      </w:r>
    </w:p>
    <w:p w14:paraId="29CCFB28"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123 </w:t>
      </w:r>
      <w:r w:rsidRPr="00F91674">
        <w:rPr>
          <w:rFonts w:ascii="Book Antiqua" w:eastAsia="宋体" w:hAnsi="Book Antiqua" w:cs="宋体"/>
          <w:b/>
          <w:bCs/>
          <w:color w:val="201F35"/>
          <w:lang w:eastAsia="zh-CN"/>
        </w:rPr>
        <w:t>Ferletta M</w:t>
      </w:r>
      <w:r w:rsidRPr="00F91674">
        <w:rPr>
          <w:rFonts w:ascii="Book Antiqua" w:eastAsia="宋体" w:hAnsi="Book Antiqua" w:cs="宋体"/>
          <w:color w:val="201F35"/>
          <w:lang w:eastAsia="zh-CN"/>
        </w:rPr>
        <w:t>, Caglayan D, Mokvist L, Jiang Y, Kastemar M, Uhrbom L, Westermark B. Forced expression of Sox21 inhibits Sox2 and induces apoptosis in human glioma cells. </w:t>
      </w:r>
      <w:r w:rsidRPr="00F91674">
        <w:rPr>
          <w:rFonts w:ascii="Book Antiqua" w:eastAsia="宋体" w:hAnsi="Book Antiqua" w:cs="宋体"/>
          <w:i/>
          <w:iCs/>
          <w:color w:val="201F35"/>
          <w:lang w:eastAsia="zh-CN"/>
        </w:rPr>
        <w:t>Int J Cancer</w:t>
      </w:r>
      <w:r w:rsidRPr="00F91674">
        <w:rPr>
          <w:rFonts w:ascii="Book Antiqua" w:eastAsia="宋体" w:hAnsi="Book Antiqua" w:cs="宋体"/>
          <w:color w:val="201F35"/>
          <w:lang w:eastAsia="zh-CN"/>
        </w:rPr>
        <w:t> 2011; </w:t>
      </w:r>
      <w:r w:rsidRPr="00F91674">
        <w:rPr>
          <w:rFonts w:ascii="Book Antiqua" w:eastAsia="宋体" w:hAnsi="Book Antiqua" w:cs="宋体"/>
          <w:b/>
          <w:bCs/>
          <w:color w:val="201F35"/>
          <w:lang w:eastAsia="zh-CN"/>
        </w:rPr>
        <w:t>129</w:t>
      </w:r>
      <w:r w:rsidRPr="00F91674">
        <w:rPr>
          <w:rFonts w:ascii="Book Antiqua" w:eastAsia="宋体" w:hAnsi="Book Antiqua" w:cs="宋体"/>
          <w:color w:val="201F35"/>
          <w:lang w:eastAsia="zh-CN"/>
        </w:rPr>
        <w:t>: 45-60 [PMID: 20824710 DOI: 10.1002/ijc.25647]</w:t>
      </w:r>
    </w:p>
    <w:p w14:paraId="37CBFAB5"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124 </w:t>
      </w:r>
      <w:r w:rsidRPr="00F91674">
        <w:rPr>
          <w:rFonts w:ascii="Book Antiqua" w:eastAsia="宋体" w:hAnsi="Book Antiqua" w:cs="宋体"/>
          <w:b/>
          <w:bCs/>
          <w:color w:val="201F35"/>
          <w:lang w:eastAsia="zh-CN"/>
        </w:rPr>
        <w:t>Caglayan D</w:t>
      </w:r>
      <w:r w:rsidRPr="00F91674">
        <w:rPr>
          <w:rFonts w:ascii="Book Antiqua" w:eastAsia="宋体" w:hAnsi="Book Antiqua" w:cs="宋体"/>
          <w:color w:val="201F35"/>
          <w:lang w:eastAsia="zh-CN"/>
        </w:rPr>
        <w:t>, Lundin E, Kastemar M, Westermark B, Ferletta M. Sox21 inhibits glioma progression in vivo by forming complexes with Sox2 and stimulating aberrant differentiation. </w:t>
      </w:r>
      <w:r w:rsidRPr="00F91674">
        <w:rPr>
          <w:rFonts w:ascii="Book Antiqua" w:eastAsia="宋体" w:hAnsi="Book Antiqua" w:cs="宋体"/>
          <w:i/>
          <w:iCs/>
          <w:color w:val="201F35"/>
          <w:lang w:eastAsia="zh-CN"/>
        </w:rPr>
        <w:t>Int J Cancer</w:t>
      </w:r>
      <w:r w:rsidRPr="00F91674">
        <w:rPr>
          <w:rFonts w:ascii="Book Antiqua" w:eastAsia="宋体" w:hAnsi="Book Antiqua" w:cs="宋体"/>
          <w:color w:val="201F35"/>
          <w:lang w:eastAsia="zh-CN"/>
        </w:rPr>
        <w:t> 2013; </w:t>
      </w:r>
      <w:r w:rsidRPr="00F91674">
        <w:rPr>
          <w:rFonts w:ascii="Book Antiqua" w:eastAsia="宋体" w:hAnsi="Book Antiqua" w:cs="宋体"/>
          <w:b/>
          <w:bCs/>
          <w:color w:val="201F35"/>
          <w:lang w:eastAsia="zh-CN"/>
        </w:rPr>
        <w:t>133</w:t>
      </w:r>
      <w:r w:rsidRPr="00F91674">
        <w:rPr>
          <w:rFonts w:ascii="Book Antiqua" w:eastAsia="宋体" w:hAnsi="Book Antiqua" w:cs="宋体"/>
          <w:color w:val="201F35"/>
          <w:lang w:eastAsia="zh-CN"/>
        </w:rPr>
        <w:t>: 1345-1356 [PMID: 23463365 DOI: 10.1002/ijc.28147]</w:t>
      </w:r>
    </w:p>
    <w:p w14:paraId="275DCF0B"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125 </w:t>
      </w:r>
      <w:r w:rsidRPr="00F91674">
        <w:rPr>
          <w:rFonts w:ascii="Book Antiqua" w:eastAsia="宋体" w:hAnsi="Book Antiqua" w:cs="宋体"/>
          <w:b/>
          <w:bCs/>
          <w:color w:val="201F35"/>
          <w:lang w:eastAsia="zh-CN"/>
        </w:rPr>
        <w:t>Kurtsdotter I</w:t>
      </w:r>
      <w:r w:rsidRPr="00F91674">
        <w:rPr>
          <w:rFonts w:ascii="Book Antiqua" w:eastAsia="宋体" w:hAnsi="Book Antiqua" w:cs="宋体"/>
          <w:color w:val="201F35"/>
          <w:lang w:eastAsia="zh-CN"/>
        </w:rPr>
        <w:t>, Topcic D, Karlén A, Singla B, Hagey DW, Bergsland M, Siesjö P, Nistér M, Carlson JW, Lefebvre V, Persson O, Holmberg J, Muhr J. SOX5/6/21 Prevent Oncogene-Driven Transformation of Brain Stem Cells. </w:t>
      </w:r>
      <w:r w:rsidRPr="00F91674">
        <w:rPr>
          <w:rFonts w:ascii="Book Antiqua" w:eastAsia="宋体" w:hAnsi="Book Antiqua" w:cs="宋体"/>
          <w:i/>
          <w:iCs/>
          <w:color w:val="201F35"/>
          <w:lang w:eastAsia="zh-CN"/>
        </w:rPr>
        <w:t>Cancer Res</w:t>
      </w:r>
      <w:r w:rsidRPr="00F91674">
        <w:rPr>
          <w:rFonts w:ascii="Book Antiqua" w:eastAsia="宋体" w:hAnsi="Book Antiqua" w:cs="宋体"/>
          <w:color w:val="201F35"/>
          <w:lang w:eastAsia="zh-CN"/>
        </w:rPr>
        <w:t> 2017; </w:t>
      </w:r>
      <w:r w:rsidRPr="00F91674">
        <w:rPr>
          <w:rFonts w:ascii="Book Antiqua" w:eastAsia="宋体" w:hAnsi="Book Antiqua" w:cs="宋体"/>
          <w:b/>
          <w:bCs/>
          <w:color w:val="201F35"/>
          <w:lang w:eastAsia="zh-CN"/>
        </w:rPr>
        <w:t>77</w:t>
      </w:r>
      <w:r w:rsidRPr="00F91674">
        <w:rPr>
          <w:rFonts w:ascii="Book Antiqua" w:eastAsia="宋体" w:hAnsi="Book Antiqua" w:cs="宋体"/>
          <w:color w:val="201F35"/>
          <w:lang w:eastAsia="zh-CN"/>
        </w:rPr>
        <w:t>: 4985-4997 [PMID: 28687615 DOI: 10.1158/0008-5472.CAN-17-0704]</w:t>
      </w:r>
    </w:p>
    <w:p w14:paraId="54DC91F1"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126 </w:t>
      </w:r>
      <w:r w:rsidRPr="00F91674">
        <w:rPr>
          <w:rFonts w:ascii="Book Antiqua" w:eastAsia="宋体" w:hAnsi="Book Antiqua" w:cs="宋体"/>
          <w:b/>
          <w:bCs/>
          <w:color w:val="201F35"/>
          <w:lang w:eastAsia="zh-CN"/>
        </w:rPr>
        <w:t>Xu Y,</w:t>
      </w:r>
      <w:r w:rsidRPr="00F91674">
        <w:rPr>
          <w:rFonts w:ascii="Book Antiqua" w:eastAsia="宋体" w:hAnsi="Book Antiqua" w:cs="宋体"/>
          <w:color w:val="201F35"/>
          <w:lang w:eastAsia="zh-CN"/>
        </w:rPr>
        <w:t xml:space="preserve"> Yuan FE, Chen QX, Liu BH. Molecular mechanisms involved in angiogenesis and potential target of antiangiogenesis in human glioblastomas. </w:t>
      </w:r>
      <w:r w:rsidRPr="00F91674">
        <w:rPr>
          <w:rFonts w:ascii="Book Antiqua" w:eastAsia="宋体" w:hAnsi="Book Antiqua" w:cs="宋体"/>
          <w:i/>
          <w:iCs/>
          <w:color w:val="201F35"/>
          <w:lang w:eastAsia="zh-CN"/>
        </w:rPr>
        <w:t>GLIOMA</w:t>
      </w:r>
      <w:r w:rsidRPr="00F91674">
        <w:rPr>
          <w:rFonts w:ascii="Book Antiqua" w:eastAsia="宋体" w:hAnsi="Book Antiqua" w:cs="宋体"/>
          <w:color w:val="201F35"/>
          <w:lang w:eastAsia="zh-CN"/>
        </w:rPr>
        <w:t xml:space="preserve"> 2018; </w:t>
      </w:r>
      <w:r w:rsidRPr="00F91674">
        <w:rPr>
          <w:rFonts w:ascii="Book Antiqua" w:eastAsia="宋体" w:hAnsi="Book Antiqua" w:cs="宋体"/>
          <w:b/>
          <w:bCs/>
          <w:color w:val="201F35"/>
          <w:lang w:eastAsia="zh-CN"/>
        </w:rPr>
        <w:t>1</w:t>
      </w:r>
      <w:r w:rsidRPr="00F91674">
        <w:rPr>
          <w:rFonts w:ascii="Book Antiqua" w:eastAsia="宋体" w:hAnsi="Book Antiqua" w:cs="宋体"/>
          <w:color w:val="201F35"/>
          <w:lang w:eastAsia="zh-CN"/>
        </w:rPr>
        <w:t>: 35-42 [DOI: 10.4103/glioma.glioma_10_17]</w:t>
      </w:r>
    </w:p>
    <w:p w14:paraId="2CD7A631"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127 </w:t>
      </w:r>
      <w:r w:rsidRPr="00F91674">
        <w:rPr>
          <w:rFonts w:ascii="Book Antiqua" w:eastAsia="宋体" w:hAnsi="Book Antiqua" w:cs="宋体"/>
          <w:b/>
          <w:bCs/>
          <w:color w:val="201F35"/>
          <w:lang w:eastAsia="zh-CN"/>
        </w:rPr>
        <w:t>Kim IK</w:t>
      </w:r>
      <w:r w:rsidRPr="00F91674">
        <w:rPr>
          <w:rFonts w:ascii="Book Antiqua" w:eastAsia="宋体" w:hAnsi="Book Antiqua" w:cs="宋体"/>
          <w:color w:val="201F35"/>
          <w:lang w:eastAsia="zh-CN"/>
        </w:rPr>
        <w:t xml:space="preserve">, Kim K, Lee E, Oh DS, Park CS, Park S, Yang JM, Kim JH, Kim HS, Shima DT, Kim JH, Hong SH, Cho YH, Kim YH, Park JB, Koh GY, Ju YS, Lee HK, Lee S, Kim I. </w:t>
      </w:r>
      <w:r w:rsidRPr="00F91674">
        <w:rPr>
          <w:rFonts w:ascii="Book Antiqua" w:eastAsia="宋体" w:hAnsi="Book Antiqua" w:cs="宋体"/>
          <w:color w:val="201F35"/>
          <w:lang w:eastAsia="zh-CN"/>
        </w:rPr>
        <w:lastRenderedPageBreak/>
        <w:t>Sox7 promotes high-grade glioma by increasing VEGFR2-mediated vascular abnormality. </w:t>
      </w:r>
      <w:r w:rsidRPr="00F91674">
        <w:rPr>
          <w:rFonts w:ascii="Book Antiqua" w:eastAsia="宋体" w:hAnsi="Book Antiqua" w:cs="宋体"/>
          <w:i/>
          <w:iCs/>
          <w:color w:val="201F35"/>
          <w:lang w:eastAsia="zh-CN"/>
        </w:rPr>
        <w:t>J Exp Med</w:t>
      </w:r>
      <w:r w:rsidRPr="00F91674">
        <w:rPr>
          <w:rFonts w:ascii="Book Antiqua" w:eastAsia="宋体" w:hAnsi="Book Antiqua" w:cs="宋体"/>
          <w:color w:val="201F35"/>
          <w:lang w:eastAsia="zh-CN"/>
        </w:rPr>
        <w:t> 2018; </w:t>
      </w:r>
      <w:r w:rsidRPr="00F91674">
        <w:rPr>
          <w:rFonts w:ascii="Book Antiqua" w:eastAsia="宋体" w:hAnsi="Book Antiqua" w:cs="宋体"/>
          <w:b/>
          <w:bCs/>
          <w:color w:val="201F35"/>
          <w:lang w:eastAsia="zh-CN"/>
        </w:rPr>
        <w:t>215</w:t>
      </w:r>
      <w:r w:rsidRPr="00F91674">
        <w:rPr>
          <w:rFonts w:ascii="Book Antiqua" w:eastAsia="宋体" w:hAnsi="Book Antiqua" w:cs="宋体"/>
          <w:color w:val="201F35"/>
          <w:lang w:eastAsia="zh-CN"/>
        </w:rPr>
        <w:t>: 963-983 [PMID: 29444818 DOI: 10.1084/jem.20170123]</w:t>
      </w:r>
    </w:p>
    <w:p w14:paraId="680F5EE5"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128 </w:t>
      </w:r>
      <w:r w:rsidRPr="00F91674">
        <w:rPr>
          <w:rFonts w:ascii="Book Antiqua" w:eastAsia="宋体" w:hAnsi="Book Antiqua" w:cs="宋体"/>
          <w:b/>
          <w:bCs/>
          <w:color w:val="201F35"/>
          <w:lang w:eastAsia="zh-CN"/>
        </w:rPr>
        <w:t>He Z</w:t>
      </w:r>
      <w:r w:rsidRPr="00F91674">
        <w:rPr>
          <w:rFonts w:ascii="Book Antiqua" w:eastAsia="宋体" w:hAnsi="Book Antiqua" w:cs="宋体"/>
          <w:color w:val="201F35"/>
          <w:lang w:eastAsia="zh-CN"/>
        </w:rPr>
        <w:t>, Ruan X, Liu X, Zheng J, Liu Y, Liu L, Ma J, Shao L, Wang D, Shen S, Yang C, Xue Y. FUS/circ_002136/miR-138-5p/SOX13 feedback loop regulates angiogenesis in Glioma. </w:t>
      </w:r>
      <w:r w:rsidRPr="00F91674">
        <w:rPr>
          <w:rFonts w:ascii="Book Antiqua" w:eastAsia="宋体" w:hAnsi="Book Antiqua" w:cs="宋体"/>
          <w:i/>
          <w:iCs/>
          <w:color w:val="201F35"/>
          <w:lang w:eastAsia="zh-CN"/>
        </w:rPr>
        <w:t>J Exp Clin Cancer Res</w:t>
      </w:r>
      <w:r w:rsidRPr="00F91674">
        <w:rPr>
          <w:rFonts w:ascii="Book Antiqua" w:eastAsia="宋体" w:hAnsi="Book Antiqua" w:cs="宋体"/>
          <w:color w:val="201F35"/>
          <w:lang w:eastAsia="zh-CN"/>
        </w:rPr>
        <w:t> 2019; </w:t>
      </w:r>
      <w:r w:rsidRPr="00F91674">
        <w:rPr>
          <w:rFonts w:ascii="Book Antiqua" w:eastAsia="宋体" w:hAnsi="Book Antiqua" w:cs="宋体"/>
          <w:b/>
          <w:bCs/>
          <w:color w:val="201F35"/>
          <w:lang w:eastAsia="zh-CN"/>
        </w:rPr>
        <w:t>38</w:t>
      </w:r>
      <w:r w:rsidRPr="00F91674">
        <w:rPr>
          <w:rFonts w:ascii="Book Antiqua" w:eastAsia="宋体" w:hAnsi="Book Antiqua" w:cs="宋体"/>
          <w:color w:val="201F35"/>
          <w:lang w:eastAsia="zh-CN"/>
        </w:rPr>
        <w:t>: 65 [PMID: 30736838 DOI: 10.1186/s13046-019-1065-7]</w:t>
      </w:r>
    </w:p>
    <w:p w14:paraId="30B860C4"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129 </w:t>
      </w:r>
      <w:r w:rsidRPr="00F91674">
        <w:rPr>
          <w:rFonts w:ascii="Book Antiqua" w:eastAsia="宋体" w:hAnsi="Book Antiqua" w:cs="宋体"/>
          <w:b/>
          <w:bCs/>
          <w:color w:val="201F35"/>
          <w:lang w:eastAsia="zh-CN"/>
        </w:rPr>
        <w:t>Zhang J</w:t>
      </w:r>
      <w:r w:rsidRPr="00F91674">
        <w:rPr>
          <w:rFonts w:ascii="Book Antiqua" w:eastAsia="宋体" w:hAnsi="Book Antiqua" w:cs="宋体"/>
          <w:color w:val="201F35"/>
          <w:lang w:eastAsia="zh-CN"/>
        </w:rPr>
        <w:t>, Jiang H, Shao J, Mao R, Liu J, Ma Y, Fang X, Zhao N, Zheng S, Lin B. SOX4 inhibits GBM cell growth and induces G0/G1 cell cycle arrest through Akt-p53 axis. </w:t>
      </w:r>
      <w:r w:rsidRPr="00F91674">
        <w:rPr>
          <w:rFonts w:ascii="Book Antiqua" w:eastAsia="宋体" w:hAnsi="Book Antiqua" w:cs="宋体"/>
          <w:i/>
          <w:iCs/>
          <w:color w:val="201F35"/>
          <w:lang w:eastAsia="zh-CN"/>
        </w:rPr>
        <w:t>BMC Neurol</w:t>
      </w:r>
      <w:r w:rsidRPr="00F91674">
        <w:rPr>
          <w:rFonts w:ascii="Book Antiqua" w:eastAsia="宋体" w:hAnsi="Book Antiqua" w:cs="宋体"/>
          <w:color w:val="201F35"/>
          <w:lang w:eastAsia="zh-CN"/>
        </w:rPr>
        <w:t> 2014; </w:t>
      </w:r>
      <w:r w:rsidRPr="00F91674">
        <w:rPr>
          <w:rFonts w:ascii="Book Antiqua" w:eastAsia="宋体" w:hAnsi="Book Antiqua" w:cs="宋体"/>
          <w:b/>
          <w:bCs/>
          <w:color w:val="201F35"/>
          <w:lang w:eastAsia="zh-CN"/>
        </w:rPr>
        <w:t>14</w:t>
      </w:r>
      <w:r w:rsidRPr="00F91674">
        <w:rPr>
          <w:rFonts w:ascii="Book Antiqua" w:eastAsia="宋体" w:hAnsi="Book Antiqua" w:cs="宋体"/>
          <w:color w:val="201F35"/>
          <w:lang w:eastAsia="zh-CN"/>
        </w:rPr>
        <w:t>: 207 [PMID: 25366337 DOI: 10.1186/s12883-014-0207-y]</w:t>
      </w:r>
    </w:p>
    <w:p w14:paraId="2C65166C"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130 </w:t>
      </w:r>
      <w:r w:rsidRPr="00F91674">
        <w:rPr>
          <w:rFonts w:ascii="Book Antiqua" w:eastAsia="宋体" w:hAnsi="Book Antiqua" w:cs="宋体"/>
          <w:b/>
          <w:bCs/>
          <w:color w:val="201F35"/>
          <w:lang w:eastAsia="zh-CN"/>
        </w:rPr>
        <w:t>Ikushima H</w:t>
      </w:r>
      <w:r w:rsidRPr="00F91674">
        <w:rPr>
          <w:rFonts w:ascii="Book Antiqua" w:eastAsia="宋体" w:hAnsi="Book Antiqua" w:cs="宋体"/>
          <w:color w:val="201F35"/>
          <w:lang w:eastAsia="zh-CN"/>
        </w:rPr>
        <w:t>, Todo T, Ino Y, Takahashi M, Miyazawa K, Miyazono K. Autocrine TGF-beta signaling maintains tumorigenicity of glioma-initiating cells through Sry-related HMG-box factors. </w:t>
      </w:r>
      <w:r w:rsidRPr="00F91674">
        <w:rPr>
          <w:rFonts w:ascii="Book Antiqua" w:eastAsia="宋体" w:hAnsi="Book Antiqua" w:cs="宋体"/>
          <w:i/>
          <w:iCs/>
          <w:color w:val="201F35"/>
          <w:lang w:eastAsia="zh-CN"/>
        </w:rPr>
        <w:t>Cell Stem Cell</w:t>
      </w:r>
      <w:r w:rsidRPr="00F91674">
        <w:rPr>
          <w:rFonts w:ascii="Book Antiqua" w:eastAsia="宋体" w:hAnsi="Book Antiqua" w:cs="宋体"/>
          <w:color w:val="201F35"/>
          <w:lang w:eastAsia="zh-CN"/>
        </w:rPr>
        <w:t> 2009; </w:t>
      </w:r>
      <w:r w:rsidRPr="00F91674">
        <w:rPr>
          <w:rFonts w:ascii="Book Antiqua" w:eastAsia="宋体" w:hAnsi="Book Antiqua" w:cs="宋体"/>
          <w:b/>
          <w:bCs/>
          <w:color w:val="201F35"/>
          <w:lang w:eastAsia="zh-CN"/>
        </w:rPr>
        <w:t>5</w:t>
      </w:r>
      <w:r w:rsidRPr="00F91674">
        <w:rPr>
          <w:rFonts w:ascii="Book Antiqua" w:eastAsia="宋体" w:hAnsi="Book Antiqua" w:cs="宋体"/>
          <w:color w:val="201F35"/>
          <w:lang w:eastAsia="zh-CN"/>
        </w:rPr>
        <w:t>: 504-514 [PMID: 19896441 DOI: 10.1016/j.stem.2009.08.018]</w:t>
      </w:r>
    </w:p>
    <w:p w14:paraId="3D19F132"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131 </w:t>
      </w:r>
      <w:r w:rsidRPr="00F91674">
        <w:rPr>
          <w:rFonts w:ascii="Book Antiqua" w:eastAsia="宋体" w:hAnsi="Book Antiqua" w:cs="宋体"/>
          <w:b/>
          <w:bCs/>
          <w:color w:val="201F35"/>
          <w:lang w:eastAsia="zh-CN"/>
        </w:rPr>
        <w:t>Galatro TF</w:t>
      </w:r>
      <w:r w:rsidRPr="00F91674">
        <w:rPr>
          <w:rFonts w:ascii="Book Antiqua" w:eastAsia="宋体" w:hAnsi="Book Antiqua" w:cs="宋体"/>
          <w:color w:val="201F35"/>
          <w:lang w:eastAsia="zh-CN"/>
        </w:rPr>
        <w:t>, Uno M, Oba-Shinjo SM, Almeida AN, Teixeira MJ, Rosemberg S, Marie SK. Differential expression of ID4 and its association with TP53 mutation, SOX2, SOX4 and OCT-4 expression levels. </w:t>
      </w:r>
      <w:r w:rsidRPr="00F91674">
        <w:rPr>
          <w:rFonts w:ascii="Book Antiqua" w:eastAsia="宋体" w:hAnsi="Book Antiqua" w:cs="宋体"/>
          <w:i/>
          <w:iCs/>
          <w:color w:val="201F35"/>
          <w:lang w:eastAsia="zh-CN"/>
        </w:rPr>
        <w:t>PLoS One</w:t>
      </w:r>
      <w:r w:rsidRPr="00F91674">
        <w:rPr>
          <w:rFonts w:ascii="Book Antiqua" w:eastAsia="宋体" w:hAnsi="Book Antiqua" w:cs="宋体"/>
          <w:color w:val="201F35"/>
          <w:lang w:eastAsia="zh-CN"/>
        </w:rPr>
        <w:t> 2013; </w:t>
      </w:r>
      <w:r w:rsidRPr="00F91674">
        <w:rPr>
          <w:rFonts w:ascii="Book Antiqua" w:eastAsia="宋体" w:hAnsi="Book Antiqua" w:cs="宋体"/>
          <w:b/>
          <w:bCs/>
          <w:color w:val="201F35"/>
          <w:lang w:eastAsia="zh-CN"/>
        </w:rPr>
        <w:t>8</w:t>
      </w:r>
      <w:r w:rsidRPr="00F91674">
        <w:rPr>
          <w:rFonts w:ascii="Book Antiqua" w:eastAsia="宋体" w:hAnsi="Book Antiqua" w:cs="宋体"/>
          <w:color w:val="201F35"/>
          <w:lang w:eastAsia="zh-CN"/>
        </w:rPr>
        <w:t>: e61605 [PMID: 23613880 DOI: 10.1371/journal.pone.0061605]</w:t>
      </w:r>
    </w:p>
    <w:p w14:paraId="2746DB57"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132 </w:t>
      </w:r>
      <w:r w:rsidRPr="00F91674">
        <w:rPr>
          <w:rFonts w:ascii="Book Antiqua" w:eastAsia="宋体" w:hAnsi="Book Antiqua" w:cs="宋体"/>
          <w:b/>
          <w:bCs/>
          <w:color w:val="201F35"/>
          <w:lang w:eastAsia="zh-CN"/>
        </w:rPr>
        <w:t>Singh SK</w:t>
      </w:r>
      <w:r w:rsidRPr="00F91674">
        <w:rPr>
          <w:rFonts w:ascii="Book Antiqua" w:eastAsia="宋体" w:hAnsi="Book Antiqua" w:cs="宋体"/>
          <w:color w:val="201F35"/>
          <w:lang w:eastAsia="zh-CN"/>
        </w:rPr>
        <w:t>, Hawkins C, Clarke ID, Squire JA, Bayani J, Hide T, Henkelman RM, Cusimano MD, Dirks PB. Identification of human brain tumour initiating cells. </w:t>
      </w:r>
      <w:r w:rsidRPr="00F91674">
        <w:rPr>
          <w:rFonts w:ascii="Book Antiqua" w:eastAsia="宋体" w:hAnsi="Book Antiqua" w:cs="宋体"/>
          <w:i/>
          <w:iCs/>
          <w:color w:val="201F35"/>
          <w:lang w:eastAsia="zh-CN"/>
        </w:rPr>
        <w:t>Nature</w:t>
      </w:r>
      <w:r w:rsidRPr="00F91674">
        <w:rPr>
          <w:rFonts w:ascii="Book Antiqua" w:eastAsia="宋体" w:hAnsi="Book Antiqua" w:cs="宋体"/>
          <w:color w:val="201F35"/>
          <w:lang w:eastAsia="zh-CN"/>
        </w:rPr>
        <w:t> 2004; </w:t>
      </w:r>
      <w:r w:rsidRPr="00F91674">
        <w:rPr>
          <w:rFonts w:ascii="Book Antiqua" w:eastAsia="宋体" w:hAnsi="Book Antiqua" w:cs="宋体"/>
          <w:b/>
          <w:bCs/>
          <w:color w:val="201F35"/>
          <w:lang w:eastAsia="zh-CN"/>
        </w:rPr>
        <w:t>432</w:t>
      </w:r>
      <w:r w:rsidRPr="00F91674">
        <w:rPr>
          <w:rFonts w:ascii="Book Antiqua" w:eastAsia="宋体" w:hAnsi="Book Antiqua" w:cs="宋体"/>
          <w:color w:val="201F35"/>
          <w:lang w:eastAsia="zh-CN"/>
        </w:rPr>
        <w:t>: 396-401 [PMID: 15549107 DOI: 10.1038/nature03128]</w:t>
      </w:r>
    </w:p>
    <w:p w14:paraId="645959B7"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133 </w:t>
      </w:r>
      <w:r w:rsidRPr="00F91674">
        <w:rPr>
          <w:rFonts w:ascii="Book Antiqua" w:eastAsia="宋体" w:hAnsi="Book Antiqua" w:cs="宋体"/>
          <w:b/>
          <w:bCs/>
          <w:color w:val="201F35"/>
          <w:lang w:eastAsia="zh-CN"/>
        </w:rPr>
        <w:t>Auffinger B</w:t>
      </w:r>
      <w:r w:rsidRPr="00F91674">
        <w:rPr>
          <w:rFonts w:ascii="Book Antiqua" w:eastAsia="宋体" w:hAnsi="Book Antiqua" w:cs="宋体"/>
          <w:color w:val="201F35"/>
          <w:lang w:eastAsia="zh-CN"/>
        </w:rPr>
        <w:t>, Spencer D, Pytel P, Ahmed AU, Lesniak MS. The role of glioma stem cells in chemotherapy resistance and glioblastoma multiforme recurrence. </w:t>
      </w:r>
      <w:r w:rsidRPr="00F91674">
        <w:rPr>
          <w:rFonts w:ascii="Book Antiqua" w:eastAsia="宋体" w:hAnsi="Book Antiqua" w:cs="宋体"/>
          <w:i/>
          <w:iCs/>
          <w:color w:val="201F35"/>
          <w:lang w:eastAsia="zh-CN"/>
        </w:rPr>
        <w:t>Expert Rev Neurother</w:t>
      </w:r>
      <w:r w:rsidRPr="00F91674">
        <w:rPr>
          <w:rFonts w:ascii="Book Antiqua" w:eastAsia="宋体" w:hAnsi="Book Antiqua" w:cs="宋体"/>
          <w:color w:val="201F35"/>
          <w:lang w:eastAsia="zh-CN"/>
        </w:rPr>
        <w:t> 2015; </w:t>
      </w:r>
      <w:r w:rsidRPr="00F91674">
        <w:rPr>
          <w:rFonts w:ascii="Book Antiqua" w:eastAsia="宋体" w:hAnsi="Book Antiqua" w:cs="宋体"/>
          <w:b/>
          <w:bCs/>
          <w:color w:val="201F35"/>
          <w:lang w:eastAsia="zh-CN"/>
        </w:rPr>
        <w:t>15</w:t>
      </w:r>
      <w:r w:rsidRPr="00F91674">
        <w:rPr>
          <w:rFonts w:ascii="Book Antiqua" w:eastAsia="宋体" w:hAnsi="Book Antiqua" w:cs="宋体"/>
          <w:color w:val="201F35"/>
          <w:lang w:eastAsia="zh-CN"/>
        </w:rPr>
        <w:t>: 741-752 [PMID: 26027432 DOI: 10.1586/14737175.2015.1051968]</w:t>
      </w:r>
    </w:p>
    <w:p w14:paraId="52D3BBC3"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134 </w:t>
      </w:r>
      <w:r w:rsidRPr="00F91674">
        <w:rPr>
          <w:rFonts w:ascii="Book Antiqua" w:eastAsia="宋体" w:hAnsi="Book Antiqua" w:cs="宋体"/>
          <w:b/>
          <w:bCs/>
          <w:color w:val="201F35"/>
          <w:lang w:eastAsia="zh-CN"/>
        </w:rPr>
        <w:t>Boyd NH</w:t>
      </w:r>
      <w:r w:rsidRPr="00F91674">
        <w:rPr>
          <w:rFonts w:ascii="Book Antiqua" w:eastAsia="宋体" w:hAnsi="Book Antiqua" w:cs="宋体"/>
          <w:color w:val="201F35"/>
          <w:lang w:eastAsia="zh-CN"/>
        </w:rPr>
        <w:t>, Tran AN, Bernstock JD, Etminan T, Jones AB, Gillespie GY, Friedman GK, Hjelmeland AB. Glioma stem cells and their roles within the hypoxic tumor microenvironment. </w:t>
      </w:r>
      <w:r w:rsidRPr="00F91674">
        <w:rPr>
          <w:rFonts w:ascii="Book Antiqua" w:eastAsia="宋体" w:hAnsi="Book Antiqua" w:cs="宋体"/>
          <w:i/>
          <w:iCs/>
          <w:color w:val="201F35"/>
          <w:lang w:eastAsia="zh-CN"/>
        </w:rPr>
        <w:t>Theranostics</w:t>
      </w:r>
      <w:r w:rsidRPr="00F91674">
        <w:rPr>
          <w:rFonts w:ascii="Book Antiqua" w:eastAsia="宋体" w:hAnsi="Book Antiqua" w:cs="宋体"/>
          <w:color w:val="201F35"/>
          <w:lang w:eastAsia="zh-CN"/>
        </w:rPr>
        <w:t> 2021; </w:t>
      </w:r>
      <w:r w:rsidRPr="00F91674">
        <w:rPr>
          <w:rFonts w:ascii="Book Antiqua" w:eastAsia="宋体" w:hAnsi="Book Antiqua" w:cs="宋体"/>
          <w:b/>
          <w:bCs/>
          <w:color w:val="201F35"/>
          <w:lang w:eastAsia="zh-CN"/>
        </w:rPr>
        <w:t>11</w:t>
      </w:r>
      <w:r w:rsidRPr="00F91674">
        <w:rPr>
          <w:rFonts w:ascii="Book Antiqua" w:eastAsia="宋体" w:hAnsi="Book Antiqua" w:cs="宋体"/>
          <w:color w:val="201F35"/>
          <w:lang w:eastAsia="zh-CN"/>
        </w:rPr>
        <w:t>: 665-683 [PMID: 33391498 DOI: 10.7150/thno.41692]</w:t>
      </w:r>
    </w:p>
    <w:p w14:paraId="1FD71277"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135 </w:t>
      </w:r>
      <w:r w:rsidRPr="00F91674">
        <w:rPr>
          <w:rFonts w:ascii="Book Antiqua" w:eastAsia="宋体" w:hAnsi="Book Antiqua" w:cs="宋体"/>
          <w:b/>
          <w:bCs/>
          <w:color w:val="201F35"/>
          <w:lang w:eastAsia="zh-CN"/>
        </w:rPr>
        <w:t>Ferreyra Solari NE</w:t>
      </w:r>
      <w:r w:rsidRPr="00F91674">
        <w:rPr>
          <w:rFonts w:ascii="Book Antiqua" w:eastAsia="宋体" w:hAnsi="Book Antiqua" w:cs="宋体"/>
          <w:color w:val="201F35"/>
          <w:lang w:eastAsia="zh-CN"/>
        </w:rPr>
        <w:t xml:space="preserve">, Belforte FS, Canedo L, Videla-Richardson GA, Espinosa JM, Rossi M, Serna E, Riudavets MA, Martinetto H, Sevlever G, Perez-Castro C. The NSL </w:t>
      </w:r>
      <w:r w:rsidRPr="00F91674">
        <w:rPr>
          <w:rFonts w:ascii="Book Antiqua" w:eastAsia="宋体" w:hAnsi="Book Antiqua" w:cs="宋体"/>
          <w:color w:val="201F35"/>
          <w:lang w:eastAsia="zh-CN"/>
        </w:rPr>
        <w:lastRenderedPageBreak/>
        <w:t>Chromatin-Modifying Complex Subunit KANSL2 Regulates Cancer Stem-like Properties in Glioblastoma That Contribute to Tumorigenesis. </w:t>
      </w:r>
      <w:r w:rsidRPr="00F91674">
        <w:rPr>
          <w:rFonts w:ascii="Book Antiqua" w:eastAsia="宋体" w:hAnsi="Book Antiqua" w:cs="宋体"/>
          <w:i/>
          <w:iCs/>
          <w:color w:val="201F35"/>
          <w:lang w:eastAsia="zh-CN"/>
        </w:rPr>
        <w:t>Cancer Res</w:t>
      </w:r>
      <w:r w:rsidRPr="00F91674">
        <w:rPr>
          <w:rFonts w:ascii="Book Antiqua" w:eastAsia="宋体" w:hAnsi="Book Antiqua" w:cs="宋体"/>
          <w:color w:val="201F35"/>
          <w:lang w:eastAsia="zh-CN"/>
        </w:rPr>
        <w:t> 2016; </w:t>
      </w:r>
      <w:r w:rsidRPr="00F91674">
        <w:rPr>
          <w:rFonts w:ascii="Book Antiqua" w:eastAsia="宋体" w:hAnsi="Book Antiqua" w:cs="宋体"/>
          <w:b/>
          <w:bCs/>
          <w:color w:val="201F35"/>
          <w:lang w:eastAsia="zh-CN"/>
        </w:rPr>
        <w:t>76</w:t>
      </w:r>
      <w:r w:rsidRPr="00F91674">
        <w:rPr>
          <w:rFonts w:ascii="Book Antiqua" w:eastAsia="宋体" w:hAnsi="Book Antiqua" w:cs="宋体"/>
          <w:color w:val="201F35"/>
          <w:lang w:eastAsia="zh-CN"/>
        </w:rPr>
        <w:t>: 5383-5394 [PMID: 27406830 DOI: 10.1158/0008-5472.CAN-15-3159]</w:t>
      </w:r>
    </w:p>
    <w:p w14:paraId="18EC24EB"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136 </w:t>
      </w:r>
      <w:r w:rsidRPr="00F91674">
        <w:rPr>
          <w:rFonts w:ascii="Book Antiqua" w:eastAsia="宋体" w:hAnsi="Book Antiqua" w:cs="宋体"/>
          <w:b/>
          <w:bCs/>
          <w:color w:val="201F35"/>
          <w:lang w:eastAsia="zh-CN"/>
        </w:rPr>
        <w:t>Suvà ML</w:t>
      </w:r>
      <w:r w:rsidRPr="00F91674">
        <w:rPr>
          <w:rFonts w:ascii="Book Antiqua" w:eastAsia="宋体" w:hAnsi="Book Antiqua" w:cs="宋体"/>
          <w:color w:val="201F35"/>
          <w:lang w:eastAsia="zh-CN"/>
        </w:rPr>
        <w:t>, Rheinbay E, Gillespie SM, Patel AP, Wakimoto H, Rabkin SD, Riggi N, Chi AS, Cahill DP, Nahed BV, Curry WT, Martuza RL, Rivera MN, Rossetti N, Kasif S, Beik S, Kadri S, Tirosh I, Wortman I, Shalek AK, Rozenblatt-Rosen O, Regev A, Louis DN, Bernstein BE. Reconstructing and reprogramming the tumor-propagating potential of glioblastoma stem-like cells. </w:t>
      </w:r>
      <w:r w:rsidRPr="00F91674">
        <w:rPr>
          <w:rFonts w:ascii="Book Antiqua" w:eastAsia="宋体" w:hAnsi="Book Antiqua" w:cs="宋体"/>
          <w:i/>
          <w:iCs/>
          <w:color w:val="201F35"/>
          <w:lang w:eastAsia="zh-CN"/>
        </w:rPr>
        <w:t>Cell</w:t>
      </w:r>
      <w:r w:rsidRPr="00F91674">
        <w:rPr>
          <w:rFonts w:ascii="Book Antiqua" w:eastAsia="宋体" w:hAnsi="Book Antiqua" w:cs="宋体"/>
          <w:color w:val="201F35"/>
          <w:lang w:eastAsia="zh-CN"/>
        </w:rPr>
        <w:t> 2014; </w:t>
      </w:r>
      <w:r w:rsidRPr="00F91674">
        <w:rPr>
          <w:rFonts w:ascii="Book Antiqua" w:eastAsia="宋体" w:hAnsi="Book Antiqua" w:cs="宋体"/>
          <w:b/>
          <w:bCs/>
          <w:color w:val="201F35"/>
          <w:lang w:eastAsia="zh-CN"/>
        </w:rPr>
        <w:t>157</w:t>
      </w:r>
      <w:r w:rsidRPr="00F91674">
        <w:rPr>
          <w:rFonts w:ascii="Book Antiqua" w:eastAsia="宋体" w:hAnsi="Book Antiqua" w:cs="宋体"/>
          <w:color w:val="201F35"/>
          <w:lang w:eastAsia="zh-CN"/>
        </w:rPr>
        <w:t>: 580-594 [PMID: 24726434 DOI: 10.1016/j.cell.2014.02.030]</w:t>
      </w:r>
    </w:p>
    <w:p w14:paraId="3650FC00"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137 </w:t>
      </w:r>
      <w:r w:rsidRPr="00F91674">
        <w:rPr>
          <w:rFonts w:ascii="Book Antiqua" w:eastAsia="宋体" w:hAnsi="Book Antiqua" w:cs="宋体"/>
          <w:b/>
          <w:bCs/>
          <w:color w:val="201F35"/>
          <w:lang w:eastAsia="zh-CN"/>
        </w:rPr>
        <w:t>Gimple RC</w:t>
      </w:r>
      <w:r w:rsidRPr="00F91674">
        <w:rPr>
          <w:rFonts w:ascii="Book Antiqua" w:eastAsia="宋体" w:hAnsi="Book Antiqua" w:cs="宋体"/>
          <w:color w:val="201F35"/>
          <w:lang w:eastAsia="zh-CN"/>
        </w:rPr>
        <w:t>, Bhargava S, Dixit D, Rich JN. Glioblastoma stem cells: lessons from the tumor hierarchy in a lethal cancer. </w:t>
      </w:r>
      <w:r w:rsidRPr="00F91674">
        <w:rPr>
          <w:rFonts w:ascii="Book Antiqua" w:eastAsia="宋体" w:hAnsi="Book Antiqua" w:cs="宋体"/>
          <w:i/>
          <w:iCs/>
          <w:color w:val="201F35"/>
          <w:lang w:eastAsia="zh-CN"/>
        </w:rPr>
        <w:t>Genes Dev</w:t>
      </w:r>
      <w:r w:rsidRPr="00F91674">
        <w:rPr>
          <w:rFonts w:ascii="Book Antiqua" w:eastAsia="宋体" w:hAnsi="Book Antiqua" w:cs="宋体"/>
          <w:color w:val="201F35"/>
          <w:lang w:eastAsia="zh-CN"/>
        </w:rPr>
        <w:t> 2019; </w:t>
      </w:r>
      <w:r w:rsidRPr="00F91674">
        <w:rPr>
          <w:rFonts w:ascii="Book Antiqua" w:eastAsia="宋体" w:hAnsi="Book Antiqua" w:cs="宋体"/>
          <w:b/>
          <w:bCs/>
          <w:color w:val="201F35"/>
          <w:lang w:eastAsia="zh-CN"/>
        </w:rPr>
        <w:t>33</w:t>
      </w:r>
      <w:r w:rsidRPr="00F91674">
        <w:rPr>
          <w:rFonts w:ascii="Book Antiqua" w:eastAsia="宋体" w:hAnsi="Book Antiqua" w:cs="宋体"/>
          <w:color w:val="201F35"/>
          <w:lang w:eastAsia="zh-CN"/>
        </w:rPr>
        <w:t>: 591-609 [PMID: 31160393 DOI: 10.1101/gad.324301.119]</w:t>
      </w:r>
    </w:p>
    <w:p w14:paraId="5BE0616B"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138 </w:t>
      </w:r>
      <w:r w:rsidRPr="00F91674">
        <w:rPr>
          <w:rFonts w:ascii="Book Antiqua" w:eastAsia="宋体" w:hAnsi="Book Antiqua" w:cs="宋体"/>
          <w:b/>
          <w:bCs/>
          <w:color w:val="201F35"/>
          <w:lang w:eastAsia="zh-CN"/>
        </w:rPr>
        <w:t>Jin X</w:t>
      </w:r>
      <w:r w:rsidRPr="00F91674">
        <w:rPr>
          <w:rFonts w:ascii="Book Antiqua" w:eastAsia="宋体" w:hAnsi="Book Antiqua" w:cs="宋体"/>
          <w:color w:val="201F35"/>
          <w:lang w:eastAsia="zh-CN"/>
        </w:rPr>
        <w:t>, Kim LJY, Wu Q, Wallace LC, Prager BC, Sanvoranart T, Gimple RC, Wang X, Mack SC, Miller TE, Huang P, Valentim CL, Zhou QG, Barnholtz-Sloan JS, Bao S, Sloan AE, Rich JN. Targeting glioma stem cells through combined BMI1 and EZH2 inhibition. </w:t>
      </w:r>
      <w:r w:rsidRPr="00F91674">
        <w:rPr>
          <w:rFonts w:ascii="Book Antiqua" w:eastAsia="宋体" w:hAnsi="Book Antiqua" w:cs="宋体"/>
          <w:i/>
          <w:iCs/>
          <w:color w:val="201F35"/>
          <w:lang w:eastAsia="zh-CN"/>
        </w:rPr>
        <w:t>Nat Med</w:t>
      </w:r>
      <w:r w:rsidRPr="00F91674">
        <w:rPr>
          <w:rFonts w:ascii="Book Antiqua" w:eastAsia="宋体" w:hAnsi="Book Antiqua" w:cs="宋体"/>
          <w:color w:val="201F35"/>
          <w:lang w:eastAsia="zh-CN"/>
        </w:rPr>
        <w:t> 2017; </w:t>
      </w:r>
      <w:r w:rsidRPr="00F91674">
        <w:rPr>
          <w:rFonts w:ascii="Book Antiqua" w:eastAsia="宋体" w:hAnsi="Book Antiqua" w:cs="宋体"/>
          <w:b/>
          <w:bCs/>
          <w:color w:val="201F35"/>
          <w:lang w:eastAsia="zh-CN"/>
        </w:rPr>
        <w:t>23</w:t>
      </w:r>
      <w:r w:rsidRPr="00F91674">
        <w:rPr>
          <w:rFonts w:ascii="Book Antiqua" w:eastAsia="宋体" w:hAnsi="Book Antiqua" w:cs="宋体"/>
          <w:color w:val="201F35"/>
          <w:lang w:eastAsia="zh-CN"/>
        </w:rPr>
        <w:t>: 1352-1361 [PMID: 29035367 DOI: 10.1038/nm.4415]</w:t>
      </w:r>
    </w:p>
    <w:p w14:paraId="4A062268"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139 </w:t>
      </w:r>
      <w:r w:rsidRPr="00F91674">
        <w:rPr>
          <w:rFonts w:ascii="Book Antiqua" w:eastAsia="宋体" w:hAnsi="Book Antiqua" w:cs="宋体"/>
          <w:b/>
          <w:bCs/>
          <w:color w:val="201F35"/>
          <w:lang w:eastAsia="zh-CN"/>
        </w:rPr>
        <w:t>Clement V</w:t>
      </w:r>
      <w:r w:rsidRPr="00F91674">
        <w:rPr>
          <w:rFonts w:ascii="Book Antiqua" w:eastAsia="宋体" w:hAnsi="Book Antiqua" w:cs="宋体"/>
          <w:color w:val="201F35"/>
          <w:lang w:eastAsia="zh-CN"/>
        </w:rPr>
        <w:t>, Sanchez P, de Tribolet N, Radovanovic I, Ruiz i Altaba A. HEDGEHOG-GLI1 signaling regulates human glioma growth, cancer stem cell self-renewal, and tumorigenicity. </w:t>
      </w:r>
      <w:r w:rsidRPr="00F91674">
        <w:rPr>
          <w:rFonts w:ascii="Book Antiqua" w:eastAsia="宋体" w:hAnsi="Book Antiqua" w:cs="宋体"/>
          <w:i/>
          <w:iCs/>
          <w:color w:val="201F35"/>
          <w:lang w:eastAsia="zh-CN"/>
        </w:rPr>
        <w:t>Curr Biol</w:t>
      </w:r>
      <w:r w:rsidRPr="00F91674">
        <w:rPr>
          <w:rFonts w:ascii="Book Antiqua" w:eastAsia="宋体" w:hAnsi="Book Antiqua" w:cs="宋体"/>
          <w:color w:val="201F35"/>
          <w:lang w:eastAsia="zh-CN"/>
        </w:rPr>
        <w:t> 2007; </w:t>
      </w:r>
      <w:r w:rsidRPr="00F91674">
        <w:rPr>
          <w:rFonts w:ascii="Book Antiqua" w:eastAsia="宋体" w:hAnsi="Book Antiqua" w:cs="宋体"/>
          <w:b/>
          <w:bCs/>
          <w:color w:val="201F35"/>
          <w:lang w:eastAsia="zh-CN"/>
        </w:rPr>
        <w:t>17</w:t>
      </w:r>
      <w:r w:rsidRPr="00F91674">
        <w:rPr>
          <w:rFonts w:ascii="Book Antiqua" w:eastAsia="宋体" w:hAnsi="Book Antiqua" w:cs="宋体"/>
          <w:color w:val="201F35"/>
          <w:lang w:eastAsia="zh-CN"/>
        </w:rPr>
        <w:t>: 165-172 [PMID: 17196391 DOI: 10.1016/j.cub.2006.11.033]</w:t>
      </w:r>
    </w:p>
    <w:p w14:paraId="6862D622"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140 </w:t>
      </w:r>
      <w:r w:rsidRPr="00F91674">
        <w:rPr>
          <w:rFonts w:ascii="Book Antiqua" w:eastAsia="宋体" w:hAnsi="Book Antiqua" w:cs="宋体"/>
          <w:b/>
          <w:bCs/>
          <w:color w:val="201F35"/>
          <w:lang w:eastAsia="zh-CN"/>
        </w:rPr>
        <w:t>Kim KH</w:t>
      </w:r>
      <w:r w:rsidRPr="00F91674">
        <w:rPr>
          <w:rFonts w:ascii="Book Antiqua" w:eastAsia="宋体" w:hAnsi="Book Antiqua" w:cs="宋体"/>
          <w:color w:val="201F35"/>
          <w:lang w:eastAsia="zh-CN"/>
        </w:rPr>
        <w:t>, Seol HJ, Kim EH, Rheey J, Jin HJ, Lee Y, Joo KM, Lee J, Nam DH. Wnt/β-catenin signaling is a key downstream mediator of MET signaling in glioblastoma stem cells. </w:t>
      </w:r>
      <w:r w:rsidRPr="00F91674">
        <w:rPr>
          <w:rFonts w:ascii="Book Antiqua" w:eastAsia="宋体" w:hAnsi="Book Antiqua" w:cs="宋体"/>
          <w:i/>
          <w:iCs/>
          <w:color w:val="201F35"/>
          <w:lang w:eastAsia="zh-CN"/>
        </w:rPr>
        <w:t>Neuro Oncol</w:t>
      </w:r>
      <w:r w:rsidRPr="00F91674">
        <w:rPr>
          <w:rFonts w:ascii="Book Antiqua" w:eastAsia="宋体" w:hAnsi="Book Antiqua" w:cs="宋体"/>
          <w:color w:val="201F35"/>
          <w:lang w:eastAsia="zh-CN"/>
        </w:rPr>
        <w:t> 2013; </w:t>
      </w:r>
      <w:r w:rsidRPr="00F91674">
        <w:rPr>
          <w:rFonts w:ascii="Book Antiqua" w:eastAsia="宋体" w:hAnsi="Book Antiqua" w:cs="宋体"/>
          <w:b/>
          <w:bCs/>
          <w:color w:val="201F35"/>
          <w:lang w:eastAsia="zh-CN"/>
        </w:rPr>
        <w:t>15</w:t>
      </w:r>
      <w:r w:rsidRPr="00F91674">
        <w:rPr>
          <w:rFonts w:ascii="Book Antiqua" w:eastAsia="宋体" w:hAnsi="Book Antiqua" w:cs="宋体"/>
          <w:color w:val="201F35"/>
          <w:lang w:eastAsia="zh-CN"/>
        </w:rPr>
        <w:t>: 161-171 [PMID: 23258844 DOI: 10.1093/neuonc/nos299]</w:t>
      </w:r>
    </w:p>
    <w:p w14:paraId="32BDB4D6"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141 </w:t>
      </w:r>
      <w:r w:rsidRPr="00F91674">
        <w:rPr>
          <w:rFonts w:ascii="Book Antiqua" w:eastAsia="宋体" w:hAnsi="Book Antiqua" w:cs="宋体"/>
          <w:b/>
          <w:bCs/>
          <w:color w:val="201F35"/>
          <w:lang w:eastAsia="zh-CN"/>
        </w:rPr>
        <w:t>Fan X</w:t>
      </w:r>
      <w:r w:rsidRPr="00F91674">
        <w:rPr>
          <w:rFonts w:ascii="Book Antiqua" w:eastAsia="宋体" w:hAnsi="Book Antiqua" w:cs="宋体"/>
          <w:color w:val="201F35"/>
          <w:lang w:eastAsia="zh-CN"/>
        </w:rPr>
        <w:t>, Khaki L, Zhu TS, Soules ME, Talsma CE, Gul N, Koh C, Zhang J, Li YM, Maciaczyk J, Nikkhah G, Dimeco F, Piccirillo S, Vescovi AL, Eberhart CG. NOTCH pathway blockade depletes CD133-positive glioblastoma cells and inhibits growth of tumor neurospheres and xenografts. </w:t>
      </w:r>
      <w:r w:rsidRPr="00F91674">
        <w:rPr>
          <w:rFonts w:ascii="Book Antiqua" w:eastAsia="宋体" w:hAnsi="Book Antiqua" w:cs="宋体"/>
          <w:i/>
          <w:iCs/>
          <w:color w:val="201F35"/>
          <w:lang w:eastAsia="zh-CN"/>
        </w:rPr>
        <w:t>Stem Cells</w:t>
      </w:r>
      <w:r w:rsidRPr="00F91674">
        <w:rPr>
          <w:rFonts w:ascii="Book Antiqua" w:eastAsia="宋体" w:hAnsi="Book Antiqua" w:cs="宋体"/>
          <w:color w:val="201F35"/>
          <w:lang w:eastAsia="zh-CN"/>
        </w:rPr>
        <w:t> 2010; </w:t>
      </w:r>
      <w:r w:rsidRPr="00F91674">
        <w:rPr>
          <w:rFonts w:ascii="Book Antiqua" w:eastAsia="宋体" w:hAnsi="Book Antiqua" w:cs="宋体"/>
          <w:b/>
          <w:bCs/>
          <w:color w:val="201F35"/>
          <w:lang w:eastAsia="zh-CN"/>
        </w:rPr>
        <w:t>28</w:t>
      </w:r>
      <w:r w:rsidRPr="00F91674">
        <w:rPr>
          <w:rFonts w:ascii="Book Antiqua" w:eastAsia="宋体" w:hAnsi="Book Antiqua" w:cs="宋体"/>
          <w:color w:val="201F35"/>
          <w:lang w:eastAsia="zh-CN"/>
        </w:rPr>
        <w:t>: 5-16 [PMID: 19904829 DOI: 10.1002/stem.254]</w:t>
      </w:r>
    </w:p>
    <w:p w14:paraId="32CF5175"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val="pt-BR" w:eastAsia="zh-CN"/>
        </w:rPr>
      </w:pPr>
      <w:r w:rsidRPr="00F91674">
        <w:rPr>
          <w:rFonts w:ascii="Book Antiqua" w:eastAsia="宋体" w:hAnsi="Book Antiqua" w:cs="宋体"/>
          <w:color w:val="201F35"/>
          <w:lang w:eastAsia="zh-CN"/>
        </w:rPr>
        <w:lastRenderedPageBreak/>
        <w:t>142 </w:t>
      </w:r>
      <w:r w:rsidRPr="00F91674">
        <w:rPr>
          <w:rFonts w:ascii="Book Antiqua" w:eastAsia="宋体" w:hAnsi="Book Antiqua" w:cs="宋体"/>
          <w:b/>
          <w:bCs/>
          <w:color w:val="201F35"/>
          <w:lang w:eastAsia="zh-CN"/>
        </w:rPr>
        <w:t>Soeda A</w:t>
      </w:r>
      <w:r w:rsidRPr="00F91674">
        <w:rPr>
          <w:rFonts w:ascii="Book Antiqua" w:eastAsia="宋体" w:hAnsi="Book Antiqua" w:cs="宋体"/>
          <w:color w:val="201F35"/>
          <w:lang w:eastAsia="zh-CN"/>
        </w:rPr>
        <w:t>, Inagaki A, Oka N, Ikegame Y, Aoki H, Yoshimura S, Nakashima S, Kunisada T, Iwama T. Epidermal growth factor plays a crucial role in mitogenic regulation of human brain tumor stem cells. </w:t>
      </w:r>
      <w:r w:rsidRPr="00F91674">
        <w:rPr>
          <w:rFonts w:ascii="Book Antiqua" w:eastAsia="宋体" w:hAnsi="Book Antiqua" w:cs="宋体"/>
          <w:i/>
          <w:iCs/>
          <w:color w:val="201F35"/>
          <w:lang w:val="pt-BR" w:eastAsia="zh-CN"/>
        </w:rPr>
        <w:t>J Biol Chem</w:t>
      </w:r>
      <w:r w:rsidRPr="00F91674">
        <w:rPr>
          <w:rFonts w:ascii="Book Antiqua" w:eastAsia="宋体" w:hAnsi="Book Antiqua" w:cs="宋体"/>
          <w:color w:val="201F35"/>
          <w:lang w:val="pt-BR" w:eastAsia="zh-CN"/>
        </w:rPr>
        <w:t> 2008; </w:t>
      </w:r>
      <w:r w:rsidRPr="00F91674">
        <w:rPr>
          <w:rFonts w:ascii="Book Antiqua" w:eastAsia="宋体" w:hAnsi="Book Antiqua" w:cs="宋体"/>
          <w:b/>
          <w:bCs/>
          <w:color w:val="201F35"/>
          <w:lang w:val="pt-BR" w:eastAsia="zh-CN"/>
        </w:rPr>
        <w:t>283</w:t>
      </w:r>
      <w:r w:rsidRPr="00F91674">
        <w:rPr>
          <w:rFonts w:ascii="Book Antiqua" w:eastAsia="宋体" w:hAnsi="Book Antiqua" w:cs="宋体"/>
          <w:color w:val="201F35"/>
          <w:lang w:val="pt-BR" w:eastAsia="zh-CN"/>
        </w:rPr>
        <w:t>: 10958-10966 [PMID: 18292095 DOI: 10.1074/jbc.M704205200]</w:t>
      </w:r>
    </w:p>
    <w:p w14:paraId="5674B591"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val="pt-BR" w:eastAsia="zh-CN"/>
        </w:rPr>
        <w:t>143 </w:t>
      </w:r>
      <w:r w:rsidRPr="00F91674">
        <w:rPr>
          <w:rFonts w:ascii="Book Antiqua" w:eastAsia="宋体" w:hAnsi="Book Antiqua" w:cs="宋体"/>
          <w:b/>
          <w:bCs/>
          <w:color w:val="201F35"/>
          <w:lang w:val="pt-BR" w:eastAsia="zh-CN"/>
        </w:rPr>
        <w:t>Nanta R</w:t>
      </w:r>
      <w:r w:rsidRPr="00F91674">
        <w:rPr>
          <w:rFonts w:ascii="Book Antiqua" w:eastAsia="宋体" w:hAnsi="Book Antiqua" w:cs="宋体"/>
          <w:color w:val="201F35"/>
          <w:lang w:val="pt-BR" w:eastAsia="zh-CN"/>
        </w:rPr>
        <w:t xml:space="preserve">, Shrivastava A, Sharma J, Shankar S, Srivastava RK. </w:t>
      </w:r>
      <w:r w:rsidRPr="00F91674">
        <w:rPr>
          <w:rFonts w:ascii="Book Antiqua" w:eastAsia="宋体" w:hAnsi="Book Antiqua" w:cs="宋体"/>
          <w:color w:val="201F35"/>
          <w:lang w:eastAsia="zh-CN"/>
        </w:rPr>
        <w:t>Inhibition of sonic hedgehog and PI3K/Akt/mTOR pathways cooperate in suppressing survival, self-renewal and tumorigenic potential of glioblastoma-initiating cells. </w:t>
      </w:r>
      <w:r w:rsidRPr="00F91674">
        <w:rPr>
          <w:rFonts w:ascii="Book Antiqua" w:eastAsia="宋体" w:hAnsi="Book Antiqua" w:cs="宋体"/>
          <w:i/>
          <w:iCs/>
          <w:color w:val="201F35"/>
          <w:lang w:eastAsia="zh-CN"/>
        </w:rPr>
        <w:t>Mol Cell Biochem</w:t>
      </w:r>
      <w:r w:rsidRPr="00F91674">
        <w:rPr>
          <w:rFonts w:ascii="Book Antiqua" w:eastAsia="宋体" w:hAnsi="Book Antiqua" w:cs="宋体"/>
          <w:color w:val="201F35"/>
          <w:lang w:eastAsia="zh-CN"/>
        </w:rPr>
        <w:t> 2019; </w:t>
      </w:r>
      <w:r w:rsidRPr="00F91674">
        <w:rPr>
          <w:rFonts w:ascii="Book Antiqua" w:eastAsia="宋体" w:hAnsi="Book Antiqua" w:cs="宋体"/>
          <w:b/>
          <w:bCs/>
          <w:color w:val="201F35"/>
          <w:lang w:eastAsia="zh-CN"/>
        </w:rPr>
        <w:t>454</w:t>
      </w:r>
      <w:r w:rsidRPr="00F91674">
        <w:rPr>
          <w:rFonts w:ascii="Book Antiqua" w:eastAsia="宋体" w:hAnsi="Book Antiqua" w:cs="宋体"/>
          <w:color w:val="201F35"/>
          <w:lang w:eastAsia="zh-CN"/>
        </w:rPr>
        <w:t>: 11-23 [PMID: 30251117 DOI: 10.1007/s11010-018-3448-z]</w:t>
      </w:r>
    </w:p>
    <w:p w14:paraId="56666121"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144 </w:t>
      </w:r>
      <w:r w:rsidRPr="00F91674">
        <w:rPr>
          <w:rFonts w:ascii="Book Antiqua" w:eastAsia="宋体" w:hAnsi="Book Antiqua" w:cs="宋体"/>
          <w:b/>
          <w:bCs/>
          <w:color w:val="201F35"/>
          <w:lang w:eastAsia="zh-CN"/>
        </w:rPr>
        <w:t>Riddick G</w:t>
      </w:r>
      <w:r w:rsidRPr="00F91674">
        <w:rPr>
          <w:rFonts w:ascii="Book Antiqua" w:eastAsia="宋体" w:hAnsi="Book Antiqua" w:cs="宋体"/>
          <w:color w:val="201F35"/>
          <w:lang w:eastAsia="zh-CN"/>
        </w:rPr>
        <w:t>, Kotliarova S, Rodriguez V, Kim HS, Linkous A, Storaska AJ, Ahn S, Walling J, Belova G, Fine HA. A Core Regulatory Circuit in Glioblastoma Stem Cells Links MAPK Activation to a Transcriptional Program of Neural Stem Cell Identity. </w:t>
      </w:r>
      <w:r w:rsidRPr="00F91674">
        <w:rPr>
          <w:rFonts w:ascii="Book Antiqua" w:eastAsia="宋体" w:hAnsi="Book Antiqua" w:cs="宋体"/>
          <w:i/>
          <w:iCs/>
          <w:color w:val="201F35"/>
          <w:lang w:eastAsia="zh-CN"/>
        </w:rPr>
        <w:t>Sci Rep</w:t>
      </w:r>
      <w:r w:rsidRPr="00F91674">
        <w:rPr>
          <w:rFonts w:ascii="Book Antiqua" w:eastAsia="宋体" w:hAnsi="Book Antiqua" w:cs="宋体"/>
          <w:color w:val="201F35"/>
          <w:lang w:eastAsia="zh-CN"/>
        </w:rPr>
        <w:t> 2017; </w:t>
      </w:r>
      <w:r w:rsidRPr="00F91674">
        <w:rPr>
          <w:rFonts w:ascii="Book Antiqua" w:eastAsia="宋体" w:hAnsi="Book Antiqua" w:cs="宋体"/>
          <w:b/>
          <w:bCs/>
          <w:color w:val="201F35"/>
          <w:lang w:eastAsia="zh-CN"/>
        </w:rPr>
        <w:t>7</w:t>
      </w:r>
      <w:r w:rsidRPr="00F91674">
        <w:rPr>
          <w:rFonts w:ascii="Book Antiqua" w:eastAsia="宋体" w:hAnsi="Book Antiqua" w:cs="宋体"/>
          <w:color w:val="201F35"/>
          <w:lang w:eastAsia="zh-CN"/>
        </w:rPr>
        <w:t>: 43605 [PMID: 28256619 DOI: 10.1038/srep43605]</w:t>
      </w:r>
    </w:p>
    <w:p w14:paraId="30A90695"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145 </w:t>
      </w:r>
      <w:r w:rsidRPr="00F91674">
        <w:rPr>
          <w:rFonts w:ascii="Book Antiqua" w:eastAsia="宋体" w:hAnsi="Book Antiqua" w:cs="宋体"/>
          <w:b/>
          <w:bCs/>
          <w:color w:val="201F35"/>
          <w:lang w:eastAsia="zh-CN"/>
        </w:rPr>
        <w:t>Rinkenbaugh AL</w:t>
      </w:r>
      <w:r w:rsidRPr="00F91674">
        <w:rPr>
          <w:rFonts w:ascii="Book Antiqua" w:eastAsia="宋体" w:hAnsi="Book Antiqua" w:cs="宋体"/>
          <w:color w:val="201F35"/>
          <w:lang w:eastAsia="zh-CN"/>
        </w:rPr>
        <w:t>, Cogswell PC, Calamini B, Dunn DE, Persson AI, Weiss WA, Lo DC, Baldwin AS. IKK/NF-κB signaling contributes to glioblastoma stem cell maintenance. </w:t>
      </w:r>
      <w:r w:rsidRPr="00F91674">
        <w:rPr>
          <w:rFonts w:ascii="Book Antiqua" w:eastAsia="宋体" w:hAnsi="Book Antiqua" w:cs="宋体"/>
          <w:i/>
          <w:iCs/>
          <w:color w:val="201F35"/>
          <w:lang w:eastAsia="zh-CN"/>
        </w:rPr>
        <w:t>Oncotarget</w:t>
      </w:r>
      <w:r w:rsidRPr="00F91674">
        <w:rPr>
          <w:rFonts w:ascii="Book Antiqua" w:eastAsia="宋体" w:hAnsi="Book Antiqua" w:cs="宋体"/>
          <w:color w:val="201F35"/>
          <w:lang w:eastAsia="zh-CN"/>
        </w:rPr>
        <w:t> 2016; </w:t>
      </w:r>
      <w:r w:rsidRPr="00F91674">
        <w:rPr>
          <w:rFonts w:ascii="Book Antiqua" w:eastAsia="宋体" w:hAnsi="Book Antiqua" w:cs="宋体"/>
          <w:b/>
          <w:bCs/>
          <w:color w:val="201F35"/>
          <w:lang w:eastAsia="zh-CN"/>
        </w:rPr>
        <w:t>7</w:t>
      </w:r>
      <w:r w:rsidRPr="00F91674">
        <w:rPr>
          <w:rFonts w:ascii="Book Antiqua" w:eastAsia="宋体" w:hAnsi="Book Antiqua" w:cs="宋体"/>
          <w:color w:val="201F35"/>
          <w:lang w:eastAsia="zh-CN"/>
        </w:rPr>
        <w:t>: 69173-69187 [PMID: 27732951 DOI: 10.18632/oncotarget.12507]</w:t>
      </w:r>
    </w:p>
    <w:p w14:paraId="5F6E4291"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146 </w:t>
      </w:r>
      <w:r w:rsidRPr="00F91674">
        <w:rPr>
          <w:rFonts w:ascii="Book Antiqua" w:eastAsia="宋体" w:hAnsi="Book Antiqua" w:cs="宋体"/>
          <w:b/>
          <w:bCs/>
          <w:color w:val="201F35"/>
          <w:lang w:eastAsia="zh-CN"/>
        </w:rPr>
        <w:t>Almiron Bonnin DA</w:t>
      </w:r>
      <w:r w:rsidRPr="00F91674">
        <w:rPr>
          <w:rFonts w:ascii="Book Antiqua" w:eastAsia="宋体" w:hAnsi="Book Antiqua" w:cs="宋体"/>
          <w:color w:val="201F35"/>
          <w:lang w:eastAsia="zh-CN"/>
        </w:rPr>
        <w:t>, Havrda MC, Lee MC, Liu H, Zhang Z, Nguyen LN, Harrington LX, Hassanpour S, Cheng C, Israel MA. Secretion-mediated STAT3 activation promotes self-renewal of glioma stem-like cells during hypoxia. </w:t>
      </w:r>
      <w:r w:rsidRPr="00F91674">
        <w:rPr>
          <w:rFonts w:ascii="Book Antiqua" w:eastAsia="宋体" w:hAnsi="Book Antiqua" w:cs="宋体"/>
          <w:i/>
          <w:iCs/>
          <w:color w:val="201F35"/>
          <w:lang w:eastAsia="zh-CN"/>
        </w:rPr>
        <w:t>Oncogene</w:t>
      </w:r>
      <w:r w:rsidRPr="00F91674">
        <w:rPr>
          <w:rFonts w:ascii="Book Antiqua" w:eastAsia="宋体" w:hAnsi="Book Antiqua" w:cs="宋体"/>
          <w:color w:val="201F35"/>
          <w:lang w:eastAsia="zh-CN"/>
        </w:rPr>
        <w:t> 2018; </w:t>
      </w:r>
      <w:r w:rsidRPr="00F91674">
        <w:rPr>
          <w:rFonts w:ascii="Book Antiqua" w:eastAsia="宋体" w:hAnsi="Book Antiqua" w:cs="宋体"/>
          <w:b/>
          <w:bCs/>
          <w:color w:val="201F35"/>
          <w:lang w:eastAsia="zh-CN"/>
        </w:rPr>
        <w:t>37</w:t>
      </w:r>
      <w:r w:rsidRPr="00F91674">
        <w:rPr>
          <w:rFonts w:ascii="Book Antiqua" w:eastAsia="宋体" w:hAnsi="Book Antiqua" w:cs="宋体"/>
          <w:color w:val="201F35"/>
          <w:lang w:eastAsia="zh-CN"/>
        </w:rPr>
        <w:t>: 1107-1118 [PMID: 29155422 DOI: 10.1038/onc.2017.404]</w:t>
      </w:r>
    </w:p>
    <w:p w14:paraId="23FC969C"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147 </w:t>
      </w:r>
      <w:r w:rsidRPr="00F91674">
        <w:rPr>
          <w:rFonts w:ascii="Book Antiqua" w:eastAsia="宋体" w:hAnsi="Book Antiqua" w:cs="宋体"/>
          <w:b/>
          <w:bCs/>
          <w:color w:val="201F35"/>
          <w:lang w:eastAsia="zh-CN"/>
        </w:rPr>
        <w:t>Jin X</w:t>
      </w:r>
      <w:r w:rsidRPr="00F91674">
        <w:rPr>
          <w:rFonts w:ascii="Book Antiqua" w:eastAsia="宋体" w:hAnsi="Book Antiqua" w:cs="宋体"/>
          <w:color w:val="201F35"/>
          <w:lang w:eastAsia="zh-CN"/>
        </w:rPr>
        <w:t>, Yin J, Kim SH, Sohn YW, Beck S, Lim YC, Nam DH, Choi YJ, Kim H. EGFR-AKT-Smad signaling promotes formation of glioma stem-like cells and tumor angiogenesis by ID3-driven cytokine induction. </w:t>
      </w:r>
      <w:r w:rsidRPr="00F91674">
        <w:rPr>
          <w:rFonts w:ascii="Book Antiqua" w:eastAsia="宋体" w:hAnsi="Book Antiqua" w:cs="宋体"/>
          <w:i/>
          <w:iCs/>
          <w:color w:val="201F35"/>
          <w:lang w:eastAsia="zh-CN"/>
        </w:rPr>
        <w:t>Cancer Res</w:t>
      </w:r>
      <w:r w:rsidRPr="00F91674">
        <w:rPr>
          <w:rFonts w:ascii="Book Antiqua" w:eastAsia="宋体" w:hAnsi="Book Antiqua" w:cs="宋体"/>
          <w:color w:val="201F35"/>
          <w:lang w:eastAsia="zh-CN"/>
        </w:rPr>
        <w:t> 2011; </w:t>
      </w:r>
      <w:r w:rsidRPr="00F91674">
        <w:rPr>
          <w:rFonts w:ascii="Book Antiqua" w:eastAsia="宋体" w:hAnsi="Book Antiqua" w:cs="宋体"/>
          <w:b/>
          <w:bCs/>
          <w:color w:val="201F35"/>
          <w:lang w:eastAsia="zh-CN"/>
        </w:rPr>
        <w:t>71</w:t>
      </w:r>
      <w:r w:rsidRPr="00F91674">
        <w:rPr>
          <w:rFonts w:ascii="Book Antiqua" w:eastAsia="宋体" w:hAnsi="Book Antiqua" w:cs="宋体"/>
          <w:color w:val="201F35"/>
          <w:lang w:eastAsia="zh-CN"/>
        </w:rPr>
        <w:t>: 7125-7134 [PMID: 21975932 DOI: 10.1158/0008-5472.CAN-11-1330]</w:t>
      </w:r>
    </w:p>
    <w:p w14:paraId="2C2AA1A9"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148 </w:t>
      </w:r>
      <w:r w:rsidRPr="00F91674">
        <w:rPr>
          <w:rFonts w:ascii="Book Antiqua" w:eastAsia="宋体" w:hAnsi="Book Antiqua" w:cs="宋体"/>
          <w:b/>
          <w:bCs/>
          <w:color w:val="201F35"/>
          <w:lang w:eastAsia="zh-CN"/>
        </w:rPr>
        <w:t>Peñuelas S</w:t>
      </w:r>
      <w:r w:rsidRPr="00F91674">
        <w:rPr>
          <w:rFonts w:ascii="Book Antiqua" w:eastAsia="宋体" w:hAnsi="Book Antiqua" w:cs="宋体"/>
          <w:color w:val="201F35"/>
          <w:lang w:eastAsia="zh-CN"/>
        </w:rPr>
        <w:t>, Anido J, Prieto-Sánchez RM, Folch G, Barba I, Cuartas I, García-Dorado D, Poca MA, Sahuquillo J, Baselga J, Seoane J. TGF-beta increases glioma-initiating cell self-renewal through the induction of LIF in human glioblastoma. </w:t>
      </w:r>
      <w:r w:rsidRPr="00F91674">
        <w:rPr>
          <w:rFonts w:ascii="Book Antiqua" w:eastAsia="宋体" w:hAnsi="Book Antiqua" w:cs="宋体"/>
          <w:i/>
          <w:iCs/>
          <w:color w:val="201F35"/>
          <w:lang w:eastAsia="zh-CN"/>
        </w:rPr>
        <w:t>Cancer Cell</w:t>
      </w:r>
      <w:r w:rsidRPr="00F91674">
        <w:rPr>
          <w:rFonts w:ascii="Book Antiqua" w:eastAsia="宋体" w:hAnsi="Book Antiqua" w:cs="宋体"/>
          <w:color w:val="201F35"/>
          <w:lang w:eastAsia="zh-CN"/>
        </w:rPr>
        <w:t> 2009; </w:t>
      </w:r>
      <w:r w:rsidRPr="00F91674">
        <w:rPr>
          <w:rFonts w:ascii="Book Antiqua" w:eastAsia="宋体" w:hAnsi="Book Antiqua" w:cs="宋体"/>
          <w:b/>
          <w:bCs/>
          <w:color w:val="201F35"/>
          <w:lang w:eastAsia="zh-CN"/>
        </w:rPr>
        <w:t>15</w:t>
      </w:r>
      <w:r w:rsidRPr="00F91674">
        <w:rPr>
          <w:rFonts w:ascii="Book Antiqua" w:eastAsia="宋体" w:hAnsi="Book Antiqua" w:cs="宋体"/>
          <w:color w:val="201F35"/>
          <w:lang w:eastAsia="zh-CN"/>
        </w:rPr>
        <w:t>: 315-327 [PMID: 19345330 DOI: 10.1016/j.ccr.2009.02.011]</w:t>
      </w:r>
    </w:p>
    <w:p w14:paraId="7A8892B4"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lastRenderedPageBreak/>
        <w:t>149 </w:t>
      </w:r>
      <w:r w:rsidRPr="00F91674">
        <w:rPr>
          <w:rFonts w:ascii="Book Antiqua" w:eastAsia="宋体" w:hAnsi="Book Antiqua" w:cs="宋体"/>
          <w:b/>
          <w:bCs/>
          <w:color w:val="201F35"/>
          <w:lang w:eastAsia="zh-CN"/>
        </w:rPr>
        <w:t>Sunayama J</w:t>
      </w:r>
      <w:r w:rsidRPr="00F91674">
        <w:rPr>
          <w:rFonts w:ascii="Book Antiqua" w:eastAsia="宋体" w:hAnsi="Book Antiqua" w:cs="宋体"/>
          <w:color w:val="201F35"/>
          <w:lang w:eastAsia="zh-CN"/>
        </w:rPr>
        <w:t>, Matsuda K, Sato A, Tachibana K, Suzuki K, Narita Y, Shibui S, Sakurada K, Kayama T, Tomiyama A, Kitanaka C. Crosstalk between the PI3K/mTOR and MEK/ERK pathways involved in the maintenance of self-renewal and tumorigenicity of glioblastoma stem-like cells. </w:t>
      </w:r>
      <w:r w:rsidRPr="00F91674">
        <w:rPr>
          <w:rFonts w:ascii="Book Antiqua" w:eastAsia="宋体" w:hAnsi="Book Antiqua" w:cs="宋体"/>
          <w:i/>
          <w:iCs/>
          <w:color w:val="201F35"/>
          <w:lang w:eastAsia="zh-CN"/>
        </w:rPr>
        <w:t>Stem Cells</w:t>
      </w:r>
      <w:r w:rsidRPr="00F91674">
        <w:rPr>
          <w:rFonts w:ascii="Book Antiqua" w:eastAsia="宋体" w:hAnsi="Book Antiqua" w:cs="宋体"/>
          <w:color w:val="201F35"/>
          <w:lang w:eastAsia="zh-CN"/>
        </w:rPr>
        <w:t> 2010; </w:t>
      </w:r>
      <w:r w:rsidRPr="00F91674">
        <w:rPr>
          <w:rFonts w:ascii="Book Antiqua" w:eastAsia="宋体" w:hAnsi="Book Antiqua" w:cs="宋体"/>
          <w:b/>
          <w:bCs/>
          <w:color w:val="201F35"/>
          <w:lang w:eastAsia="zh-CN"/>
        </w:rPr>
        <w:t>28</w:t>
      </w:r>
      <w:r w:rsidRPr="00F91674">
        <w:rPr>
          <w:rFonts w:ascii="Book Antiqua" w:eastAsia="宋体" w:hAnsi="Book Antiqua" w:cs="宋体"/>
          <w:color w:val="201F35"/>
          <w:lang w:eastAsia="zh-CN"/>
        </w:rPr>
        <w:t>: 1930-1939 [PMID: 20857497 DOI: 10.1002/stem.521]</w:t>
      </w:r>
    </w:p>
    <w:p w14:paraId="6470FA13"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150 </w:t>
      </w:r>
      <w:r w:rsidRPr="00F91674">
        <w:rPr>
          <w:rFonts w:ascii="Book Antiqua" w:eastAsia="宋体" w:hAnsi="Book Antiqua" w:cs="宋体"/>
          <w:b/>
          <w:bCs/>
          <w:color w:val="201F35"/>
          <w:lang w:eastAsia="zh-CN"/>
        </w:rPr>
        <w:t>Yang L</w:t>
      </w:r>
      <w:r w:rsidRPr="00F91674">
        <w:rPr>
          <w:rFonts w:ascii="Book Antiqua" w:eastAsia="宋体" w:hAnsi="Book Antiqua" w:cs="宋体"/>
          <w:color w:val="201F35"/>
          <w:lang w:eastAsia="zh-CN"/>
        </w:rPr>
        <w:t>, Shi P, Zhao G, Xu J, Peng W, Zhang J, Zhang G, Wang X, Dong Z, Chen F, Cui H. Targeting cancer stem cell pathways for cancer therapy. </w:t>
      </w:r>
      <w:r w:rsidRPr="00F91674">
        <w:rPr>
          <w:rFonts w:ascii="Book Antiqua" w:eastAsia="宋体" w:hAnsi="Book Antiqua" w:cs="宋体"/>
          <w:i/>
          <w:iCs/>
          <w:color w:val="201F35"/>
          <w:lang w:eastAsia="zh-CN"/>
        </w:rPr>
        <w:t>Signal Transduct Target Ther</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5</w:t>
      </w:r>
      <w:r w:rsidRPr="00F91674">
        <w:rPr>
          <w:rFonts w:ascii="Book Antiqua" w:eastAsia="宋体" w:hAnsi="Book Antiqua" w:cs="宋体"/>
          <w:color w:val="201F35"/>
          <w:lang w:eastAsia="zh-CN"/>
        </w:rPr>
        <w:t>: 8 [PMID: 32296030 DOI: 10.1038/s41392-020-0110-5]</w:t>
      </w:r>
    </w:p>
    <w:p w14:paraId="5D36A050"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151 </w:t>
      </w:r>
      <w:r w:rsidRPr="00F91674">
        <w:rPr>
          <w:rFonts w:ascii="Book Antiqua" w:eastAsia="宋体" w:hAnsi="Book Antiqua" w:cs="宋体"/>
          <w:b/>
          <w:bCs/>
          <w:color w:val="201F35"/>
          <w:lang w:eastAsia="zh-CN"/>
        </w:rPr>
        <w:t>Yang Y</w:t>
      </w:r>
      <w:r w:rsidRPr="00F91674">
        <w:rPr>
          <w:rFonts w:ascii="Book Antiqua" w:eastAsia="宋体" w:hAnsi="Book Antiqua" w:cs="宋体"/>
          <w:color w:val="201F35"/>
          <w:lang w:eastAsia="zh-CN"/>
        </w:rPr>
        <w:t>, Li X, Wang T, Guo Q, Xi T, Zheng L. Emerging agents that target signaling pathways in cancer stem cells. </w:t>
      </w:r>
      <w:r w:rsidRPr="00F91674">
        <w:rPr>
          <w:rFonts w:ascii="Book Antiqua" w:eastAsia="宋体" w:hAnsi="Book Antiqua" w:cs="宋体"/>
          <w:i/>
          <w:iCs/>
          <w:color w:val="201F35"/>
          <w:lang w:eastAsia="zh-CN"/>
        </w:rPr>
        <w:t>J Hematol Oncol</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13</w:t>
      </w:r>
      <w:r w:rsidRPr="00F91674">
        <w:rPr>
          <w:rFonts w:ascii="Book Antiqua" w:eastAsia="宋体" w:hAnsi="Book Antiqua" w:cs="宋体"/>
          <w:color w:val="201F35"/>
          <w:lang w:eastAsia="zh-CN"/>
        </w:rPr>
        <w:t>: 60 [PMID: 32456660 DOI: 10.1186/s13045-020-00901-6]</w:t>
      </w:r>
    </w:p>
    <w:p w14:paraId="13B10F1B"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152 </w:t>
      </w:r>
      <w:r w:rsidRPr="00F91674">
        <w:rPr>
          <w:rFonts w:ascii="Book Antiqua" w:eastAsia="宋体" w:hAnsi="Book Antiqua" w:cs="宋体"/>
          <w:b/>
          <w:bCs/>
          <w:color w:val="201F35"/>
          <w:lang w:eastAsia="zh-CN"/>
        </w:rPr>
        <w:t>Codrici E</w:t>
      </w:r>
      <w:r w:rsidRPr="00F91674">
        <w:rPr>
          <w:rFonts w:ascii="Book Antiqua" w:eastAsia="宋体" w:hAnsi="Book Antiqua" w:cs="宋体"/>
          <w:color w:val="201F35"/>
          <w:lang w:eastAsia="zh-CN"/>
        </w:rPr>
        <w:t>, Enciu AM, Popescu ID, Mihai S, Tanase C. Glioma Stem Cells and Their Microenvironments: Providers of Challenging Therapeutic Targets. </w:t>
      </w:r>
      <w:r w:rsidRPr="00F91674">
        <w:rPr>
          <w:rFonts w:ascii="Book Antiqua" w:eastAsia="宋体" w:hAnsi="Book Antiqua" w:cs="宋体"/>
          <w:i/>
          <w:iCs/>
          <w:color w:val="201F35"/>
          <w:lang w:eastAsia="zh-CN"/>
        </w:rPr>
        <w:t>Stem Cells Int</w:t>
      </w:r>
      <w:r w:rsidRPr="00F91674">
        <w:rPr>
          <w:rFonts w:ascii="Book Antiqua" w:eastAsia="宋体" w:hAnsi="Book Antiqua" w:cs="宋体"/>
          <w:color w:val="201F35"/>
          <w:lang w:eastAsia="zh-CN"/>
        </w:rPr>
        <w:t> 2016; </w:t>
      </w:r>
      <w:r w:rsidRPr="00F91674">
        <w:rPr>
          <w:rFonts w:ascii="Book Antiqua" w:eastAsia="宋体" w:hAnsi="Book Antiqua" w:cs="宋体"/>
          <w:b/>
          <w:bCs/>
          <w:color w:val="201F35"/>
          <w:lang w:eastAsia="zh-CN"/>
        </w:rPr>
        <w:t>2016</w:t>
      </w:r>
      <w:r w:rsidRPr="00F91674">
        <w:rPr>
          <w:rFonts w:ascii="Book Antiqua" w:eastAsia="宋体" w:hAnsi="Book Antiqua" w:cs="宋体"/>
          <w:color w:val="201F35"/>
          <w:lang w:eastAsia="zh-CN"/>
        </w:rPr>
        <w:t>: 5728438 [PMID: 26977157 DOI: 10.1155/2016/5728438]</w:t>
      </w:r>
    </w:p>
    <w:p w14:paraId="0A9D43D2"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153 </w:t>
      </w:r>
      <w:r w:rsidRPr="00F91674">
        <w:rPr>
          <w:rFonts w:ascii="Book Antiqua" w:eastAsia="宋体" w:hAnsi="Book Antiqua" w:cs="宋体"/>
          <w:b/>
          <w:bCs/>
          <w:color w:val="201F35"/>
          <w:lang w:eastAsia="zh-CN"/>
        </w:rPr>
        <w:t>Huang Q</w:t>
      </w:r>
      <w:r w:rsidRPr="00F91674">
        <w:rPr>
          <w:rFonts w:ascii="Book Antiqua" w:eastAsia="宋体" w:hAnsi="Book Antiqua" w:cs="宋体"/>
          <w:color w:val="201F35"/>
          <w:lang w:eastAsia="zh-CN"/>
        </w:rPr>
        <w:t>, Zhang QB, Dong J, Wu YY, Shen YT, Zhao YD, Zhu YD, Diao Y, Wang AD, Lan Q. Glioma stem cells are more aggressive in recurrent tumors with malignant progression than in the primary tumor, and both can be maintained long-term in vitro. </w:t>
      </w:r>
      <w:r w:rsidRPr="00F91674">
        <w:rPr>
          <w:rFonts w:ascii="Book Antiqua" w:eastAsia="宋体" w:hAnsi="Book Antiqua" w:cs="宋体"/>
          <w:i/>
          <w:iCs/>
          <w:color w:val="201F35"/>
          <w:lang w:eastAsia="zh-CN"/>
        </w:rPr>
        <w:t>BMC Cancer</w:t>
      </w:r>
      <w:r w:rsidRPr="00F91674">
        <w:rPr>
          <w:rFonts w:ascii="Book Antiqua" w:eastAsia="宋体" w:hAnsi="Book Antiqua" w:cs="宋体"/>
          <w:color w:val="201F35"/>
          <w:lang w:eastAsia="zh-CN"/>
        </w:rPr>
        <w:t> 2008; </w:t>
      </w:r>
      <w:r w:rsidRPr="00F91674">
        <w:rPr>
          <w:rFonts w:ascii="Book Antiqua" w:eastAsia="宋体" w:hAnsi="Book Antiqua" w:cs="宋体"/>
          <w:b/>
          <w:bCs/>
          <w:color w:val="201F35"/>
          <w:lang w:eastAsia="zh-CN"/>
        </w:rPr>
        <w:t>8</w:t>
      </w:r>
      <w:r w:rsidRPr="00F91674">
        <w:rPr>
          <w:rFonts w:ascii="Book Antiqua" w:eastAsia="宋体" w:hAnsi="Book Antiqua" w:cs="宋体"/>
          <w:color w:val="201F35"/>
          <w:lang w:eastAsia="zh-CN"/>
        </w:rPr>
        <w:t>: 304 [PMID: 18940013 DOI: 10.1186/1471-2407-8-304]</w:t>
      </w:r>
    </w:p>
    <w:p w14:paraId="4E3F8DEE"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154 </w:t>
      </w:r>
      <w:r w:rsidRPr="00F91674">
        <w:rPr>
          <w:rFonts w:ascii="Book Antiqua" w:eastAsia="宋体" w:hAnsi="Book Antiqua" w:cs="宋体"/>
          <w:b/>
          <w:bCs/>
          <w:color w:val="201F35"/>
          <w:lang w:eastAsia="zh-CN"/>
        </w:rPr>
        <w:t>Cho DY</w:t>
      </w:r>
      <w:r w:rsidRPr="00F91674">
        <w:rPr>
          <w:rFonts w:ascii="Book Antiqua" w:eastAsia="宋体" w:hAnsi="Book Antiqua" w:cs="宋体"/>
          <w:color w:val="201F35"/>
          <w:lang w:eastAsia="zh-CN"/>
        </w:rPr>
        <w:t>, Lin SZ, Yang WK, Lee HC, Hsu DM, Lin HL, Chen CC, Liu CL, Lee WY, Ho LH. Targeting cancer stem cells for treatment of glioblastoma multiforme. </w:t>
      </w:r>
      <w:r w:rsidRPr="00F91674">
        <w:rPr>
          <w:rFonts w:ascii="Book Antiqua" w:eastAsia="宋体" w:hAnsi="Book Antiqua" w:cs="宋体"/>
          <w:i/>
          <w:iCs/>
          <w:color w:val="201F35"/>
          <w:lang w:eastAsia="zh-CN"/>
        </w:rPr>
        <w:t>Cell Transplant</w:t>
      </w:r>
      <w:r w:rsidRPr="00F91674">
        <w:rPr>
          <w:rFonts w:ascii="Book Antiqua" w:eastAsia="宋体" w:hAnsi="Book Antiqua" w:cs="宋体"/>
          <w:color w:val="201F35"/>
          <w:lang w:eastAsia="zh-CN"/>
        </w:rPr>
        <w:t> 2013; </w:t>
      </w:r>
      <w:r w:rsidRPr="00F91674">
        <w:rPr>
          <w:rFonts w:ascii="Book Antiqua" w:eastAsia="宋体" w:hAnsi="Book Antiqua" w:cs="宋体"/>
          <w:b/>
          <w:bCs/>
          <w:color w:val="201F35"/>
          <w:lang w:eastAsia="zh-CN"/>
        </w:rPr>
        <w:t>22</w:t>
      </w:r>
      <w:r w:rsidRPr="00F91674">
        <w:rPr>
          <w:rFonts w:ascii="Book Antiqua" w:eastAsia="宋体" w:hAnsi="Book Antiqua" w:cs="宋体"/>
          <w:color w:val="201F35"/>
          <w:lang w:eastAsia="zh-CN"/>
        </w:rPr>
        <w:t>: 731-739 [PMID: 23594862 DOI: 10.3727/096368912X655136]</w:t>
      </w:r>
    </w:p>
    <w:p w14:paraId="7734B79A"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155 </w:t>
      </w:r>
      <w:r w:rsidRPr="00F91674">
        <w:rPr>
          <w:rFonts w:ascii="Book Antiqua" w:eastAsia="宋体" w:hAnsi="Book Antiqua" w:cs="宋体"/>
          <w:b/>
          <w:bCs/>
          <w:color w:val="201F35"/>
          <w:lang w:eastAsia="zh-CN"/>
        </w:rPr>
        <w:t>Brooks MD</w:t>
      </w:r>
      <w:r w:rsidRPr="00F91674">
        <w:rPr>
          <w:rFonts w:ascii="Book Antiqua" w:eastAsia="宋体" w:hAnsi="Book Antiqua" w:cs="宋体"/>
          <w:color w:val="201F35"/>
          <w:lang w:eastAsia="zh-CN"/>
        </w:rPr>
        <w:t>, Sengupta R, Snyder SC, Rubin JB. Hitting Them Where They Live: Targeting the Glioblastoma Perivascular Stem Cell Niche. </w:t>
      </w:r>
      <w:r w:rsidRPr="00F91674">
        <w:rPr>
          <w:rFonts w:ascii="Book Antiqua" w:eastAsia="宋体" w:hAnsi="Book Antiqua" w:cs="宋体"/>
          <w:i/>
          <w:iCs/>
          <w:color w:val="201F35"/>
          <w:lang w:eastAsia="zh-CN"/>
        </w:rPr>
        <w:t>Curr Pathobiol Rep</w:t>
      </w:r>
      <w:r w:rsidRPr="00F91674">
        <w:rPr>
          <w:rFonts w:ascii="Book Antiqua" w:eastAsia="宋体" w:hAnsi="Book Antiqua" w:cs="宋体"/>
          <w:color w:val="201F35"/>
          <w:lang w:eastAsia="zh-CN"/>
        </w:rPr>
        <w:t> 2013; </w:t>
      </w:r>
      <w:r w:rsidRPr="00F91674">
        <w:rPr>
          <w:rFonts w:ascii="Book Antiqua" w:eastAsia="宋体" w:hAnsi="Book Antiqua" w:cs="宋体"/>
          <w:b/>
          <w:bCs/>
          <w:color w:val="201F35"/>
          <w:lang w:eastAsia="zh-CN"/>
        </w:rPr>
        <w:t>1</w:t>
      </w:r>
      <w:r w:rsidRPr="00F91674">
        <w:rPr>
          <w:rFonts w:ascii="Book Antiqua" w:eastAsia="宋体" w:hAnsi="Book Antiqua" w:cs="宋体"/>
          <w:color w:val="201F35"/>
          <w:lang w:eastAsia="zh-CN"/>
        </w:rPr>
        <w:t>: 101-110 [PMID: 23766946 DOI: 10.1007/s40139-013-0012-0]</w:t>
      </w:r>
    </w:p>
    <w:p w14:paraId="3C748E79"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156 </w:t>
      </w:r>
      <w:r w:rsidRPr="00F91674">
        <w:rPr>
          <w:rFonts w:ascii="Book Antiqua" w:eastAsia="宋体" w:hAnsi="Book Antiqua" w:cs="宋体"/>
          <w:b/>
          <w:bCs/>
          <w:color w:val="201F35"/>
          <w:lang w:eastAsia="zh-CN"/>
        </w:rPr>
        <w:t>Prager BC</w:t>
      </w:r>
      <w:r w:rsidRPr="00F91674">
        <w:rPr>
          <w:rFonts w:ascii="Book Antiqua" w:eastAsia="宋体" w:hAnsi="Book Antiqua" w:cs="宋体"/>
          <w:color w:val="201F35"/>
          <w:lang w:eastAsia="zh-CN"/>
        </w:rPr>
        <w:t>, Bhargava S, Mahadev V, Hubert CG, Rich JN. Glioblastoma Stem Cells: Driving Resilience through Chaos. </w:t>
      </w:r>
      <w:r w:rsidRPr="00F91674">
        <w:rPr>
          <w:rFonts w:ascii="Book Antiqua" w:eastAsia="宋体" w:hAnsi="Book Antiqua" w:cs="宋体"/>
          <w:i/>
          <w:iCs/>
          <w:color w:val="201F35"/>
          <w:lang w:eastAsia="zh-CN"/>
        </w:rPr>
        <w:t>Trends Cancer</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6</w:t>
      </w:r>
      <w:r w:rsidRPr="00F91674">
        <w:rPr>
          <w:rFonts w:ascii="Book Antiqua" w:eastAsia="宋体" w:hAnsi="Book Antiqua" w:cs="宋体"/>
          <w:color w:val="201F35"/>
          <w:lang w:eastAsia="zh-CN"/>
        </w:rPr>
        <w:t>: 223-235 [PMID: 32101725 DOI: 10.1016/j.trecan.2020.01.009]</w:t>
      </w:r>
    </w:p>
    <w:p w14:paraId="5E8A97CA"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lastRenderedPageBreak/>
        <w:t>157 </w:t>
      </w:r>
      <w:r w:rsidRPr="00F91674">
        <w:rPr>
          <w:rFonts w:ascii="Book Antiqua" w:eastAsia="宋体" w:hAnsi="Book Antiqua" w:cs="宋体"/>
          <w:b/>
          <w:bCs/>
          <w:color w:val="201F35"/>
          <w:lang w:eastAsia="zh-CN"/>
        </w:rPr>
        <w:t>Jhaveri N</w:t>
      </w:r>
      <w:r w:rsidRPr="00F91674">
        <w:rPr>
          <w:rFonts w:ascii="Book Antiqua" w:eastAsia="宋体" w:hAnsi="Book Antiqua" w:cs="宋体"/>
          <w:color w:val="201F35"/>
          <w:lang w:eastAsia="zh-CN"/>
        </w:rPr>
        <w:t>, Chen TC, Hofman FM. Tumor vasculature and glioma stem cells: Contributions to glioma progression. </w:t>
      </w:r>
      <w:r w:rsidRPr="00F91674">
        <w:rPr>
          <w:rFonts w:ascii="Book Antiqua" w:eastAsia="宋体" w:hAnsi="Book Antiqua" w:cs="宋体"/>
          <w:i/>
          <w:iCs/>
          <w:color w:val="201F35"/>
          <w:lang w:eastAsia="zh-CN"/>
        </w:rPr>
        <w:t>Cancer Lett</w:t>
      </w:r>
      <w:r w:rsidRPr="00F91674">
        <w:rPr>
          <w:rFonts w:ascii="Book Antiqua" w:eastAsia="宋体" w:hAnsi="Book Antiqua" w:cs="宋体"/>
          <w:color w:val="201F35"/>
          <w:lang w:eastAsia="zh-CN"/>
        </w:rPr>
        <w:t> 2016; </w:t>
      </w:r>
      <w:r w:rsidRPr="00F91674">
        <w:rPr>
          <w:rFonts w:ascii="Book Antiqua" w:eastAsia="宋体" w:hAnsi="Book Antiqua" w:cs="宋体"/>
          <w:b/>
          <w:bCs/>
          <w:color w:val="201F35"/>
          <w:lang w:eastAsia="zh-CN"/>
        </w:rPr>
        <w:t>380</w:t>
      </w:r>
      <w:r w:rsidRPr="00F91674">
        <w:rPr>
          <w:rFonts w:ascii="Book Antiqua" w:eastAsia="宋体" w:hAnsi="Book Antiqua" w:cs="宋体"/>
          <w:color w:val="201F35"/>
          <w:lang w:eastAsia="zh-CN"/>
        </w:rPr>
        <w:t>: 545-551 [PMID: 25527451 DOI: 10.1016/j.canlet.2014.12.028]</w:t>
      </w:r>
    </w:p>
    <w:p w14:paraId="05EE0670"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158 </w:t>
      </w:r>
      <w:r w:rsidRPr="00F91674">
        <w:rPr>
          <w:rFonts w:ascii="Book Antiqua" w:eastAsia="宋体" w:hAnsi="Book Antiqua" w:cs="宋体"/>
          <w:b/>
          <w:bCs/>
          <w:color w:val="201F35"/>
          <w:lang w:eastAsia="zh-CN"/>
        </w:rPr>
        <w:t>Schiffer D</w:t>
      </w:r>
      <w:r w:rsidRPr="00F91674">
        <w:rPr>
          <w:rFonts w:ascii="Book Antiqua" w:eastAsia="宋体" w:hAnsi="Book Antiqua" w:cs="宋体"/>
          <w:color w:val="201F35"/>
          <w:lang w:eastAsia="zh-CN"/>
        </w:rPr>
        <w:t>, Mellai M, Bovio E, Bisogno I, Casalone C, Annovazzi L. Glioblastoma niches: from the concept to the phenotypical reality. </w:t>
      </w:r>
      <w:r w:rsidRPr="00F91674">
        <w:rPr>
          <w:rFonts w:ascii="Book Antiqua" w:eastAsia="宋体" w:hAnsi="Book Antiqua" w:cs="宋体"/>
          <w:i/>
          <w:iCs/>
          <w:color w:val="201F35"/>
          <w:lang w:eastAsia="zh-CN"/>
        </w:rPr>
        <w:t>Neurol Sci</w:t>
      </w:r>
      <w:r w:rsidRPr="00F91674">
        <w:rPr>
          <w:rFonts w:ascii="Book Antiqua" w:eastAsia="宋体" w:hAnsi="Book Antiqua" w:cs="宋体"/>
          <w:color w:val="201F35"/>
          <w:lang w:eastAsia="zh-CN"/>
        </w:rPr>
        <w:t> 2018; </w:t>
      </w:r>
      <w:r w:rsidRPr="00F91674">
        <w:rPr>
          <w:rFonts w:ascii="Book Antiqua" w:eastAsia="宋体" w:hAnsi="Book Antiqua" w:cs="宋体"/>
          <w:b/>
          <w:bCs/>
          <w:color w:val="201F35"/>
          <w:lang w:eastAsia="zh-CN"/>
        </w:rPr>
        <w:t>39</w:t>
      </w:r>
      <w:r w:rsidRPr="00F91674">
        <w:rPr>
          <w:rFonts w:ascii="Book Antiqua" w:eastAsia="宋体" w:hAnsi="Book Antiqua" w:cs="宋体"/>
          <w:color w:val="201F35"/>
          <w:lang w:eastAsia="zh-CN"/>
        </w:rPr>
        <w:t>: 1161-1168 [PMID: 29736738 DOI: 10.1007/s10072-018-3408-0]</w:t>
      </w:r>
    </w:p>
    <w:p w14:paraId="1779B94D"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159 </w:t>
      </w:r>
      <w:r w:rsidRPr="00F91674">
        <w:rPr>
          <w:rFonts w:ascii="Book Antiqua" w:eastAsia="宋体" w:hAnsi="Book Antiqua" w:cs="宋体"/>
          <w:b/>
          <w:bCs/>
          <w:color w:val="201F35"/>
          <w:lang w:eastAsia="zh-CN"/>
        </w:rPr>
        <w:t>Gangemi RM</w:t>
      </w:r>
      <w:r w:rsidRPr="00F91674">
        <w:rPr>
          <w:rFonts w:ascii="Book Antiqua" w:eastAsia="宋体" w:hAnsi="Book Antiqua" w:cs="宋体"/>
          <w:color w:val="201F35"/>
          <w:lang w:eastAsia="zh-CN"/>
        </w:rPr>
        <w:t>, Griffero F, Marubbi D, Perera M, Capra MC, Malatesta P, Ravetti GL, Zona GL, Daga A, Corte G. SOX2 silencing in glioblastoma tumor-initiating cells causes stop of proliferation and loss of tumorigenicity. </w:t>
      </w:r>
      <w:r w:rsidRPr="00F91674">
        <w:rPr>
          <w:rFonts w:ascii="Book Antiqua" w:eastAsia="宋体" w:hAnsi="Book Antiqua" w:cs="宋体"/>
          <w:i/>
          <w:iCs/>
          <w:color w:val="201F35"/>
          <w:lang w:eastAsia="zh-CN"/>
        </w:rPr>
        <w:t>Stem Cells</w:t>
      </w:r>
      <w:r w:rsidRPr="00F91674">
        <w:rPr>
          <w:rFonts w:ascii="Book Antiqua" w:eastAsia="宋体" w:hAnsi="Book Antiqua" w:cs="宋体"/>
          <w:color w:val="201F35"/>
          <w:lang w:eastAsia="zh-CN"/>
        </w:rPr>
        <w:t> 2009; </w:t>
      </w:r>
      <w:r w:rsidRPr="00F91674">
        <w:rPr>
          <w:rFonts w:ascii="Book Antiqua" w:eastAsia="宋体" w:hAnsi="Book Antiqua" w:cs="宋体"/>
          <w:b/>
          <w:bCs/>
          <w:color w:val="201F35"/>
          <w:lang w:eastAsia="zh-CN"/>
        </w:rPr>
        <w:t>27</w:t>
      </w:r>
      <w:r w:rsidRPr="00F91674">
        <w:rPr>
          <w:rFonts w:ascii="Book Antiqua" w:eastAsia="宋体" w:hAnsi="Book Antiqua" w:cs="宋体"/>
          <w:color w:val="201F35"/>
          <w:lang w:eastAsia="zh-CN"/>
        </w:rPr>
        <w:t>: 40-48 [PMID: 18948646 DOI: 10.1634/stemcells.2008-0493]</w:t>
      </w:r>
    </w:p>
    <w:p w14:paraId="33C684CF"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160 </w:t>
      </w:r>
      <w:r w:rsidRPr="00F91674">
        <w:rPr>
          <w:rFonts w:ascii="Book Antiqua" w:eastAsia="宋体" w:hAnsi="Book Antiqua" w:cs="宋体"/>
          <w:b/>
          <w:bCs/>
          <w:color w:val="201F35"/>
          <w:lang w:eastAsia="zh-CN"/>
        </w:rPr>
        <w:t>Song WS</w:t>
      </w:r>
      <w:r w:rsidRPr="00F91674">
        <w:rPr>
          <w:rFonts w:ascii="Book Antiqua" w:eastAsia="宋体" w:hAnsi="Book Antiqua" w:cs="宋体"/>
          <w:color w:val="201F35"/>
          <w:lang w:eastAsia="zh-CN"/>
        </w:rPr>
        <w:t>, Yang YP, Huang CS, Lu KH, Liu WH, Wu WW, Lee YY, Lo WL, Lee SD, Chen YW, Huang PI, Chen MT. Sox2, a stemness gene, regulates tumor-initiating and drug-resistant properties in CD133-positive glioblastoma stem cells. </w:t>
      </w:r>
      <w:r w:rsidRPr="00F91674">
        <w:rPr>
          <w:rFonts w:ascii="Book Antiqua" w:eastAsia="宋体" w:hAnsi="Book Antiqua" w:cs="宋体"/>
          <w:i/>
          <w:iCs/>
          <w:color w:val="201F35"/>
          <w:lang w:eastAsia="zh-CN"/>
        </w:rPr>
        <w:t>J Chin Med Assoc</w:t>
      </w:r>
      <w:r w:rsidRPr="00F91674">
        <w:rPr>
          <w:rFonts w:ascii="Book Antiqua" w:eastAsia="宋体" w:hAnsi="Book Antiqua" w:cs="宋体"/>
          <w:color w:val="201F35"/>
          <w:lang w:eastAsia="zh-CN"/>
        </w:rPr>
        <w:t> 2016; </w:t>
      </w:r>
      <w:r w:rsidRPr="00F91674">
        <w:rPr>
          <w:rFonts w:ascii="Book Antiqua" w:eastAsia="宋体" w:hAnsi="Book Antiqua" w:cs="宋体"/>
          <w:b/>
          <w:bCs/>
          <w:color w:val="201F35"/>
          <w:lang w:eastAsia="zh-CN"/>
        </w:rPr>
        <w:t>79</w:t>
      </w:r>
      <w:r w:rsidRPr="00F91674">
        <w:rPr>
          <w:rFonts w:ascii="Book Antiqua" w:eastAsia="宋体" w:hAnsi="Book Antiqua" w:cs="宋体"/>
          <w:color w:val="201F35"/>
          <w:lang w:eastAsia="zh-CN"/>
        </w:rPr>
        <w:t>: 538-545 [PMID: 27530866 DOI: 10.1016/j.jcma.2016.03.010]</w:t>
      </w:r>
    </w:p>
    <w:p w14:paraId="61E1B7C3"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161 </w:t>
      </w:r>
      <w:r w:rsidRPr="00F91674">
        <w:rPr>
          <w:rFonts w:ascii="Book Antiqua" w:eastAsia="宋体" w:hAnsi="Book Antiqua" w:cs="宋体"/>
          <w:b/>
          <w:bCs/>
          <w:color w:val="201F35"/>
          <w:lang w:eastAsia="zh-CN"/>
        </w:rPr>
        <w:t>Cox JL</w:t>
      </w:r>
      <w:r w:rsidRPr="00F91674">
        <w:rPr>
          <w:rFonts w:ascii="Book Antiqua" w:eastAsia="宋体" w:hAnsi="Book Antiqua" w:cs="宋体"/>
          <w:color w:val="201F35"/>
          <w:lang w:eastAsia="zh-CN"/>
        </w:rPr>
        <w:t>, Wilder PJ, Desler M, Rizzino A. Elevating SOX2 levels deleteriously affects the growth of medulloblastoma and glioblastoma cells. </w:t>
      </w:r>
      <w:r w:rsidRPr="00F91674">
        <w:rPr>
          <w:rFonts w:ascii="Book Antiqua" w:eastAsia="宋体" w:hAnsi="Book Antiqua" w:cs="宋体"/>
          <w:i/>
          <w:iCs/>
          <w:color w:val="201F35"/>
          <w:lang w:eastAsia="zh-CN"/>
        </w:rPr>
        <w:t>PLoS One</w:t>
      </w:r>
      <w:r w:rsidRPr="00F91674">
        <w:rPr>
          <w:rFonts w:ascii="Book Antiqua" w:eastAsia="宋体" w:hAnsi="Book Antiqua" w:cs="宋体"/>
          <w:color w:val="201F35"/>
          <w:lang w:eastAsia="zh-CN"/>
        </w:rPr>
        <w:t> 2012; </w:t>
      </w:r>
      <w:r w:rsidRPr="00F91674">
        <w:rPr>
          <w:rFonts w:ascii="Book Antiqua" w:eastAsia="宋体" w:hAnsi="Book Antiqua" w:cs="宋体"/>
          <w:b/>
          <w:bCs/>
          <w:color w:val="201F35"/>
          <w:lang w:eastAsia="zh-CN"/>
        </w:rPr>
        <w:t>7</w:t>
      </w:r>
      <w:r w:rsidRPr="00F91674">
        <w:rPr>
          <w:rFonts w:ascii="Book Antiqua" w:eastAsia="宋体" w:hAnsi="Book Antiqua" w:cs="宋体"/>
          <w:color w:val="201F35"/>
          <w:lang w:eastAsia="zh-CN"/>
        </w:rPr>
        <w:t>: e44087 [PMID: 22937156 DOI: 10.1371/journal.pone.0044087]</w:t>
      </w:r>
    </w:p>
    <w:p w14:paraId="2B53A761"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162 </w:t>
      </w:r>
      <w:r w:rsidRPr="00F91674">
        <w:rPr>
          <w:rFonts w:ascii="Book Antiqua" w:eastAsia="宋体" w:hAnsi="Book Antiqua" w:cs="宋体"/>
          <w:b/>
          <w:bCs/>
          <w:color w:val="201F35"/>
          <w:lang w:eastAsia="zh-CN"/>
        </w:rPr>
        <w:t>Singh DK</w:t>
      </w:r>
      <w:r w:rsidRPr="00F91674">
        <w:rPr>
          <w:rFonts w:ascii="Book Antiqua" w:eastAsia="宋体" w:hAnsi="Book Antiqua" w:cs="宋体"/>
          <w:color w:val="201F35"/>
          <w:lang w:eastAsia="zh-CN"/>
        </w:rPr>
        <w:t>, Kollipara RK, Vemireddy V, Yang XL, Sun Y, Regmi N, Klingler S, Hatanpaa KJ, Raisanen J, Cho SK, Sirasanagandla S, Nannepaga S, Piccirillo S, Mashimo T, Wang S, Humphries CG, Mickey B, Maher EA, Zheng H, Kim RS, Kittler R, Bachoo RM. Oncogenes Activate an Autonomous Transcriptional Regulatory Circuit That Drives Glioblastoma. </w:t>
      </w:r>
      <w:r w:rsidRPr="00F91674">
        <w:rPr>
          <w:rFonts w:ascii="Book Antiqua" w:eastAsia="宋体" w:hAnsi="Book Antiqua" w:cs="宋体"/>
          <w:i/>
          <w:iCs/>
          <w:color w:val="201F35"/>
          <w:lang w:eastAsia="zh-CN"/>
        </w:rPr>
        <w:t>Cell Rep</w:t>
      </w:r>
      <w:r w:rsidRPr="00F91674">
        <w:rPr>
          <w:rFonts w:ascii="Book Antiqua" w:eastAsia="宋体" w:hAnsi="Book Antiqua" w:cs="宋体"/>
          <w:color w:val="201F35"/>
          <w:lang w:eastAsia="zh-CN"/>
        </w:rPr>
        <w:t> 2017; </w:t>
      </w:r>
      <w:r w:rsidRPr="00F91674">
        <w:rPr>
          <w:rFonts w:ascii="Book Antiqua" w:eastAsia="宋体" w:hAnsi="Book Antiqua" w:cs="宋体"/>
          <w:b/>
          <w:bCs/>
          <w:color w:val="201F35"/>
          <w:lang w:eastAsia="zh-CN"/>
        </w:rPr>
        <w:t>18</w:t>
      </w:r>
      <w:r w:rsidRPr="00F91674">
        <w:rPr>
          <w:rFonts w:ascii="Book Antiqua" w:eastAsia="宋体" w:hAnsi="Book Antiqua" w:cs="宋体"/>
          <w:color w:val="201F35"/>
          <w:lang w:eastAsia="zh-CN"/>
        </w:rPr>
        <w:t>: 961-976 [PMID: 28122245 DOI: 10.1016/j.celrep.2016.12.064]</w:t>
      </w:r>
    </w:p>
    <w:p w14:paraId="43491186"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163 </w:t>
      </w:r>
      <w:r w:rsidRPr="00F91674">
        <w:rPr>
          <w:rFonts w:ascii="Book Antiqua" w:eastAsia="宋体" w:hAnsi="Book Antiqua" w:cs="宋体"/>
          <w:b/>
          <w:bCs/>
          <w:color w:val="201F35"/>
          <w:lang w:eastAsia="zh-CN"/>
        </w:rPr>
        <w:t>Su R</w:t>
      </w:r>
      <w:r w:rsidRPr="00F91674">
        <w:rPr>
          <w:rFonts w:ascii="Book Antiqua" w:eastAsia="宋体" w:hAnsi="Book Antiqua" w:cs="宋体"/>
          <w:color w:val="201F35"/>
          <w:lang w:eastAsia="zh-CN"/>
        </w:rPr>
        <w:t>, Cao S, Ma J, Liu Y, Liu X, Zheng J, Chen J, Liu L, Cai H, Li Z, Zhao L, He Q, Xue Y. Knockdown of SOX2OT inhibits the malignant biological behaviors of glioblastoma stem cells via up-regulating the expression of miR-194-5p and miR-122. </w:t>
      </w:r>
      <w:r w:rsidRPr="00F91674">
        <w:rPr>
          <w:rFonts w:ascii="Book Antiqua" w:eastAsia="宋体" w:hAnsi="Book Antiqua" w:cs="宋体"/>
          <w:i/>
          <w:iCs/>
          <w:color w:val="201F35"/>
          <w:lang w:eastAsia="zh-CN"/>
        </w:rPr>
        <w:t>Mol Cancer</w:t>
      </w:r>
      <w:r w:rsidRPr="00F91674">
        <w:rPr>
          <w:rFonts w:ascii="Book Antiqua" w:eastAsia="宋体" w:hAnsi="Book Antiqua" w:cs="宋体"/>
          <w:color w:val="201F35"/>
          <w:lang w:eastAsia="zh-CN"/>
        </w:rPr>
        <w:t> 2017; </w:t>
      </w:r>
      <w:r w:rsidRPr="00F91674">
        <w:rPr>
          <w:rFonts w:ascii="Book Antiqua" w:eastAsia="宋体" w:hAnsi="Book Antiqua" w:cs="宋体"/>
          <w:b/>
          <w:bCs/>
          <w:color w:val="201F35"/>
          <w:lang w:eastAsia="zh-CN"/>
        </w:rPr>
        <w:t>16</w:t>
      </w:r>
      <w:r w:rsidRPr="00F91674">
        <w:rPr>
          <w:rFonts w:ascii="Book Antiqua" w:eastAsia="宋体" w:hAnsi="Book Antiqua" w:cs="宋体"/>
          <w:color w:val="201F35"/>
          <w:lang w:eastAsia="zh-CN"/>
        </w:rPr>
        <w:t>: 171 [PMID: 29132362 DOI: 10.1186/s12943-017-0737-1]</w:t>
      </w:r>
    </w:p>
    <w:p w14:paraId="653220FD"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lastRenderedPageBreak/>
        <w:t>164 </w:t>
      </w:r>
      <w:r w:rsidRPr="00F91674">
        <w:rPr>
          <w:rFonts w:ascii="Book Antiqua" w:eastAsia="宋体" w:hAnsi="Book Antiqua" w:cs="宋体"/>
          <w:b/>
          <w:bCs/>
          <w:color w:val="201F35"/>
          <w:lang w:eastAsia="zh-CN"/>
        </w:rPr>
        <w:t>Wang Z</w:t>
      </w:r>
      <w:r w:rsidRPr="00F91674">
        <w:rPr>
          <w:rFonts w:ascii="Book Antiqua" w:eastAsia="宋体" w:hAnsi="Book Antiqua" w:cs="宋体"/>
          <w:color w:val="201F35"/>
          <w:lang w:eastAsia="zh-CN"/>
        </w:rPr>
        <w:t>, Xu X, Liu N, Cheng Y, Jin W, Zhang P, Wang X, Yang H, Liu H, Tu Y. SOX9-PDK1 axis is essential for glioma stem cell self-renewal and temozolomide resistance. </w:t>
      </w:r>
      <w:r w:rsidRPr="00F91674">
        <w:rPr>
          <w:rFonts w:ascii="Book Antiqua" w:eastAsia="宋体" w:hAnsi="Book Antiqua" w:cs="宋体"/>
          <w:i/>
          <w:iCs/>
          <w:color w:val="201F35"/>
          <w:lang w:eastAsia="zh-CN"/>
        </w:rPr>
        <w:t>Oncotarget</w:t>
      </w:r>
      <w:r w:rsidRPr="00F91674">
        <w:rPr>
          <w:rFonts w:ascii="Book Antiqua" w:eastAsia="宋体" w:hAnsi="Book Antiqua" w:cs="宋体"/>
          <w:color w:val="201F35"/>
          <w:lang w:eastAsia="zh-CN"/>
        </w:rPr>
        <w:t> 2018; </w:t>
      </w:r>
      <w:r w:rsidRPr="00F91674">
        <w:rPr>
          <w:rFonts w:ascii="Book Antiqua" w:eastAsia="宋体" w:hAnsi="Book Antiqua" w:cs="宋体"/>
          <w:b/>
          <w:bCs/>
          <w:color w:val="201F35"/>
          <w:lang w:eastAsia="zh-CN"/>
        </w:rPr>
        <w:t>9</w:t>
      </w:r>
      <w:r w:rsidRPr="00F91674">
        <w:rPr>
          <w:rFonts w:ascii="Book Antiqua" w:eastAsia="宋体" w:hAnsi="Book Antiqua" w:cs="宋体"/>
          <w:color w:val="201F35"/>
          <w:lang w:eastAsia="zh-CN"/>
        </w:rPr>
        <w:t>: 192-204 [PMID: 29416606 DOI: 10.18632/oncotarget.22773]</w:t>
      </w:r>
    </w:p>
    <w:p w14:paraId="4F28658C"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165 </w:t>
      </w:r>
      <w:r w:rsidRPr="00F91674">
        <w:rPr>
          <w:rFonts w:ascii="Book Antiqua" w:eastAsia="宋体" w:hAnsi="Book Antiqua" w:cs="宋体"/>
          <w:b/>
          <w:bCs/>
          <w:color w:val="201F35"/>
          <w:lang w:eastAsia="zh-CN"/>
        </w:rPr>
        <w:t>Garros-Regulez L</w:t>
      </w:r>
      <w:r w:rsidRPr="00F91674">
        <w:rPr>
          <w:rFonts w:ascii="Book Antiqua" w:eastAsia="宋体" w:hAnsi="Book Antiqua" w:cs="宋体"/>
          <w:color w:val="201F35"/>
          <w:lang w:eastAsia="zh-CN"/>
        </w:rPr>
        <w:t>, Aldaz P, Arrizabalaga O, Moncho-Amor V, Carrasco-Garcia E, Manterola L, Moreno-Cugnon L, Barrena C, Villanua J, Ruiz I, Pollard S, Lovell-Badge R, Sampron N, Garcia I, Matheu A. mTOR inhibition decreases SOX2-SOX9 mediated glioma stem cell activity and temozolomide resistance. </w:t>
      </w:r>
      <w:r w:rsidRPr="00F91674">
        <w:rPr>
          <w:rFonts w:ascii="Book Antiqua" w:eastAsia="宋体" w:hAnsi="Book Antiqua" w:cs="宋体"/>
          <w:i/>
          <w:iCs/>
          <w:color w:val="201F35"/>
          <w:lang w:eastAsia="zh-CN"/>
        </w:rPr>
        <w:t>Expert Opin Ther Targets</w:t>
      </w:r>
      <w:r w:rsidRPr="00F91674">
        <w:rPr>
          <w:rFonts w:ascii="Book Antiqua" w:eastAsia="宋体" w:hAnsi="Book Antiqua" w:cs="宋体"/>
          <w:color w:val="201F35"/>
          <w:lang w:eastAsia="zh-CN"/>
        </w:rPr>
        <w:t> 2016; </w:t>
      </w:r>
      <w:r w:rsidRPr="00F91674">
        <w:rPr>
          <w:rFonts w:ascii="Book Antiqua" w:eastAsia="宋体" w:hAnsi="Book Antiqua" w:cs="宋体"/>
          <w:b/>
          <w:bCs/>
          <w:color w:val="201F35"/>
          <w:lang w:eastAsia="zh-CN"/>
        </w:rPr>
        <w:t>20</w:t>
      </w:r>
      <w:r w:rsidRPr="00F91674">
        <w:rPr>
          <w:rFonts w:ascii="Book Antiqua" w:eastAsia="宋体" w:hAnsi="Book Antiqua" w:cs="宋体"/>
          <w:color w:val="201F35"/>
          <w:lang w:eastAsia="zh-CN"/>
        </w:rPr>
        <w:t>: 393-405 [PMID: 26878385 DOI: 10.1517/14728222.2016.1151002]</w:t>
      </w:r>
    </w:p>
    <w:p w14:paraId="5BCC8B51"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166 </w:t>
      </w:r>
      <w:r w:rsidRPr="00F91674">
        <w:rPr>
          <w:rFonts w:ascii="Book Antiqua" w:eastAsia="宋体" w:hAnsi="Book Antiqua" w:cs="宋体"/>
          <w:b/>
          <w:bCs/>
          <w:color w:val="201F35"/>
          <w:lang w:eastAsia="zh-CN"/>
        </w:rPr>
        <w:t>López-Valero I</w:t>
      </w:r>
      <w:r w:rsidRPr="00F91674">
        <w:rPr>
          <w:rFonts w:ascii="Book Antiqua" w:eastAsia="宋体" w:hAnsi="Book Antiqua" w:cs="宋体"/>
          <w:color w:val="201F35"/>
          <w:lang w:eastAsia="zh-CN"/>
        </w:rPr>
        <w:t>, Dávila D, González-Martínez J, Salvador-Tormo N, Lorente M, Saiz-Ladera C, Torres S, Gabicagogeascoa E, Hernández-Tiedra S, García-Taboada E, Mendiburu-Eliçabe M, Rodríguez-Fornés F, Sánchez-Domínguez R, Segovia JC, Sánchez-Gómez P, Matheu A, Sepúlveda JM, Velasco G. Midkine signaling maintains the self-renewal and tumorigenic capacity of glioma initiating cells. </w:t>
      </w:r>
      <w:r w:rsidRPr="00F91674">
        <w:rPr>
          <w:rFonts w:ascii="Book Antiqua" w:eastAsia="宋体" w:hAnsi="Book Antiqua" w:cs="宋体"/>
          <w:i/>
          <w:iCs/>
          <w:color w:val="201F35"/>
          <w:lang w:eastAsia="zh-CN"/>
        </w:rPr>
        <w:t>Theranostics</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10</w:t>
      </w:r>
      <w:r w:rsidRPr="00F91674">
        <w:rPr>
          <w:rFonts w:ascii="Book Antiqua" w:eastAsia="宋体" w:hAnsi="Book Antiqua" w:cs="宋体"/>
          <w:color w:val="201F35"/>
          <w:lang w:eastAsia="zh-CN"/>
        </w:rPr>
        <w:t>: 5120-5136 [PMID: 32308772 DOI: 10.7150/thno.41450]</w:t>
      </w:r>
    </w:p>
    <w:p w14:paraId="51098C00"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167 </w:t>
      </w:r>
      <w:r w:rsidRPr="00F91674">
        <w:rPr>
          <w:rFonts w:ascii="Book Antiqua" w:eastAsia="宋体" w:hAnsi="Book Antiqua" w:cs="宋体"/>
          <w:b/>
          <w:bCs/>
          <w:color w:val="201F35"/>
          <w:lang w:eastAsia="zh-CN"/>
        </w:rPr>
        <w:t>Wu B</w:t>
      </w:r>
      <w:r w:rsidRPr="00F91674">
        <w:rPr>
          <w:rFonts w:ascii="Book Antiqua" w:eastAsia="宋体" w:hAnsi="Book Antiqua" w:cs="宋体"/>
          <w:color w:val="201F35"/>
          <w:lang w:eastAsia="zh-CN"/>
        </w:rPr>
        <w:t>, Yang C, Fang Y, Ding W, Zhang Y. Long noncoding RNA DUXAP10 promotes the stemness of glioma cells by recruiting HuR to enhance Sox12 mRNA stability. </w:t>
      </w:r>
      <w:r w:rsidRPr="00F91674">
        <w:rPr>
          <w:rFonts w:ascii="Book Antiqua" w:eastAsia="宋体" w:hAnsi="Book Antiqua" w:cs="宋体"/>
          <w:i/>
          <w:iCs/>
          <w:color w:val="201F35"/>
          <w:lang w:eastAsia="zh-CN"/>
        </w:rPr>
        <w:t>Environ Toxicol</w:t>
      </w:r>
      <w:r w:rsidRPr="00F91674">
        <w:rPr>
          <w:rFonts w:ascii="Book Antiqua" w:eastAsia="宋体" w:hAnsi="Book Antiqua" w:cs="宋体"/>
          <w:color w:val="201F35"/>
          <w:lang w:eastAsia="zh-CN"/>
        </w:rPr>
        <w:t> 2021; </w:t>
      </w:r>
      <w:r w:rsidRPr="00F91674">
        <w:rPr>
          <w:rFonts w:ascii="Book Antiqua" w:eastAsia="宋体" w:hAnsi="Book Antiqua" w:cs="宋体"/>
          <w:b/>
          <w:bCs/>
          <w:color w:val="201F35"/>
          <w:lang w:eastAsia="zh-CN"/>
        </w:rPr>
        <w:t>36</w:t>
      </w:r>
      <w:r w:rsidRPr="00F91674">
        <w:rPr>
          <w:rFonts w:ascii="Book Antiqua" w:eastAsia="宋体" w:hAnsi="Book Antiqua" w:cs="宋体"/>
          <w:color w:val="201F35"/>
          <w:lang w:eastAsia="zh-CN"/>
        </w:rPr>
        <w:t>: 840-849 [PMID: 33340249 DOI: 10.1002/tox.23087]</w:t>
      </w:r>
    </w:p>
    <w:p w14:paraId="764CB337"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168 </w:t>
      </w:r>
      <w:r w:rsidRPr="00F91674">
        <w:rPr>
          <w:rFonts w:ascii="Book Antiqua" w:eastAsia="宋体" w:hAnsi="Book Antiqua" w:cs="宋体"/>
          <w:b/>
          <w:bCs/>
          <w:color w:val="201F35"/>
          <w:lang w:eastAsia="zh-CN"/>
        </w:rPr>
        <w:t>Liu G</w:t>
      </w:r>
      <w:r w:rsidRPr="00F91674">
        <w:rPr>
          <w:rFonts w:ascii="Book Antiqua" w:eastAsia="宋体" w:hAnsi="Book Antiqua" w:cs="宋体"/>
          <w:color w:val="201F35"/>
          <w:lang w:eastAsia="zh-CN"/>
        </w:rPr>
        <w:t>, Yuan X, Zeng Z, Tunici P, Ng H, Abdulkadir IR, Lu L, Irvin D, Black KL, Yu JS. Analysis of gene expression and chemoresistance of CD133+ cancer stem cells in glioblastoma. </w:t>
      </w:r>
      <w:r w:rsidRPr="00F91674">
        <w:rPr>
          <w:rFonts w:ascii="Book Antiqua" w:eastAsia="宋体" w:hAnsi="Book Antiqua" w:cs="宋体"/>
          <w:i/>
          <w:iCs/>
          <w:color w:val="201F35"/>
          <w:lang w:eastAsia="zh-CN"/>
        </w:rPr>
        <w:t>Mol Cancer</w:t>
      </w:r>
      <w:r w:rsidRPr="00F91674">
        <w:rPr>
          <w:rFonts w:ascii="Book Antiqua" w:eastAsia="宋体" w:hAnsi="Book Antiqua" w:cs="宋体"/>
          <w:color w:val="201F35"/>
          <w:lang w:eastAsia="zh-CN"/>
        </w:rPr>
        <w:t> 2006; </w:t>
      </w:r>
      <w:r w:rsidRPr="00F91674">
        <w:rPr>
          <w:rFonts w:ascii="Book Antiqua" w:eastAsia="宋体" w:hAnsi="Book Antiqua" w:cs="宋体"/>
          <w:b/>
          <w:bCs/>
          <w:color w:val="201F35"/>
          <w:lang w:eastAsia="zh-CN"/>
        </w:rPr>
        <w:t>5</w:t>
      </w:r>
      <w:r w:rsidRPr="00F91674">
        <w:rPr>
          <w:rFonts w:ascii="Book Antiqua" w:eastAsia="宋体" w:hAnsi="Book Antiqua" w:cs="宋体"/>
          <w:color w:val="201F35"/>
          <w:lang w:eastAsia="zh-CN"/>
        </w:rPr>
        <w:t>: 67 [PMID: 17140455 DOI: 10.1186/1476-4598-5-67]</w:t>
      </w:r>
    </w:p>
    <w:p w14:paraId="77842F4D"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169 </w:t>
      </w:r>
      <w:r w:rsidRPr="00F91674">
        <w:rPr>
          <w:rFonts w:ascii="Book Antiqua" w:eastAsia="宋体" w:hAnsi="Book Antiqua" w:cs="宋体"/>
          <w:b/>
          <w:bCs/>
          <w:color w:val="201F35"/>
          <w:lang w:eastAsia="zh-CN"/>
        </w:rPr>
        <w:t>Bao S</w:t>
      </w:r>
      <w:r w:rsidRPr="00F91674">
        <w:rPr>
          <w:rFonts w:ascii="Book Antiqua" w:eastAsia="宋体" w:hAnsi="Book Antiqua" w:cs="宋体"/>
          <w:color w:val="201F35"/>
          <w:lang w:eastAsia="zh-CN"/>
        </w:rPr>
        <w:t>, Wu Q, McLendon RE, Hao Y, Shi Q, Hjelmeland AB, Dewhirst MW, Bigner DD, Rich JN. Glioma stem cells promote radioresistance by preferential activation of the DNA damage response. </w:t>
      </w:r>
      <w:r w:rsidRPr="00F91674">
        <w:rPr>
          <w:rFonts w:ascii="Book Antiqua" w:eastAsia="宋体" w:hAnsi="Book Antiqua" w:cs="宋体"/>
          <w:i/>
          <w:iCs/>
          <w:color w:val="201F35"/>
          <w:lang w:eastAsia="zh-CN"/>
        </w:rPr>
        <w:t>Nature</w:t>
      </w:r>
      <w:r w:rsidRPr="00F91674">
        <w:rPr>
          <w:rFonts w:ascii="Book Antiqua" w:eastAsia="宋体" w:hAnsi="Book Antiqua" w:cs="宋体"/>
          <w:color w:val="201F35"/>
          <w:lang w:eastAsia="zh-CN"/>
        </w:rPr>
        <w:t> 2006; </w:t>
      </w:r>
      <w:r w:rsidRPr="00F91674">
        <w:rPr>
          <w:rFonts w:ascii="Book Antiqua" w:eastAsia="宋体" w:hAnsi="Book Antiqua" w:cs="宋体"/>
          <w:b/>
          <w:bCs/>
          <w:color w:val="201F35"/>
          <w:lang w:eastAsia="zh-CN"/>
        </w:rPr>
        <w:t>444</w:t>
      </w:r>
      <w:r w:rsidRPr="00F91674">
        <w:rPr>
          <w:rFonts w:ascii="Book Antiqua" w:eastAsia="宋体" w:hAnsi="Book Antiqua" w:cs="宋体"/>
          <w:color w:val="201F35"/>
          <w:lang w:eastAsia="zh-CN"/>
        </w:rPr>
        <w:t>: 756-760 [PMID: 17051156 DOI: 10.1038/nature05236]</w:t>
      </w:r>
    </w:p>
    <w:p w14:paraId="25179396"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170 </w:t>
      </w:r>
      <w:r w:rsidRPr="00F91674">
        <w:rPr>
          <w:rFonts w:ascii="Book Antiqua" w:eastAsia="宋体" w:hAnsi="Book Antiqua" w:cs="宋体"/>
          <w:b/>
          <w:bCs/>
          <w:color w:val="201F35"/>
          <w:lang w:eastAsia="zh-CN"/>
        </w:rPr>
        <w:t>Carruthers RD</w:t>
      </w:r>
      <w:r w:rsidRPr="00F91674">
        <w:rPr>
          <w:rFonts w:ascii="Book Antiqua" w:eastAsia="宋体" w:hAnsi="Book Antiqua" w:cs="宋体"/>
          <w:color w:val="201F35"/>
          <w:lang w:eastAsia="zh-CN"/>
        </w:rPr>
        <w:t>, Ahmed SU, Ramachandran S, Strathdee K, Kurian KM, Hedley A, Gomez-Roman N, Kalna G, Neilson M, Gilmour L, Stevenson KH, Hammond EM, Chalmers AJ. Replication Stress Drives Constitutive Activation of the DNA Damage Response and Radioresistance in Glioblastoma Stem-like Cells. </w:t>
      </w:r>
      <w:r w:rsidRPr="00F91674">
        <w:rPr>
          <w:rFonts w:ascii="Book Antiqua" w:eastAsia="宋体" w:hAnsi="Book Antiqua" w:cs="宋体"/>
          <w:i/>
          <w:iCs/>
          <w:color w:val="201F35"/>
          <w:lang w:eastAsia="zh-CN"/>
        </w:rPr>
        <w:t>Cancer Res</w:t>
      </w:r>
      <w:r w:rsidRPr="00F91674">
        <w:rPr>
          <w:rFonts w:ascii="Book Antiqua" w:eastAsia="宋体" w:hAnsi="Book Antiqua" w:cs="宋体"/>
          <w:color w:val="201F35"/>
          <w:lang w:eastAsia="zh-CN"/>
        </w:rPr>
        <w:t> 2018; </w:t>
      </w:r>
      <w:r w:rsidRPr="00F91674">
        <w:rPr>
          <w:rFonts w:ascii="Book Antiqua" w:eastAsia="宋体" w:hAnsi="Book Antiqua" w:cs="宋体"/>
          <w:b/>
          <w:bCs/>
          <w:color w:val="201F35"/>
          <w:lang w:eastAsia="zh-CN"/>
        </w:rPr>
        <w:t>78</w:t>
      </w:r>
      <w:r w:rsidRPr="00F91674">
        <w:rPr>
          <w:rFonts w:ascii="Book Antiqua" w:eastAsia="宋体" w:hAnsi="Book Antiqua" w:cs="宋体"/>
          <w:color w:val="201F35"/>
          <w:lang w:eastAsia="zh-CN"/>
        </w:rPr>
        <w:t>: 5060-5071 [PMID: 29976574 DOI: 10.1158/0008-5472.CAN-18-0569]</w:t>
      </w:r>
    </w:p>
    <w:p w14:paraId="1485A9A7"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lastRenderedPageBreak/>
        <w:t>171 </w:t>
      </w:r>
      <w:r w:rsidRPr="00F91674">
        <w:rPr>
          <w:rFonts w:ascii="Book Antiqua" w:eastAsia="宋体" w:hAnsi="Book Antiqua" w:cs="宋体"/>
          <w:b/>
          <w:bCs/>
          <w:color w:val="201F35"/>
          <w:lang w:eastAsia="zh-CN"/>
        </w:rPr>
        <w:t>Bhat KPL</w:t>
      </w:r>
      <w:r w:rsidRPr="00F91674">
        <w:rPr>
          <w:rFonts w:ascii="Book Antiqua" w:eastAsia="宋体" w:hAnsi="Book Antiqua" w:cs="宋体"/>
          <w:color w:val="201F35"/>
          <w:lang w:eastAsia="zh-CN"/>
        </w:rPr>
        <w:t>, Balasubramaniyan V, Vaillant B, Ezhilarasan R, Hummelink K, Hollingsworth F, Wani K, Heathcock L, James JD, Goodman LD, Conroy S, Long L, Lelic N, Wang S, Gumin J, Raj D, Kodama Y, Raghunathan A, Olar A, Joshi K, Pelloski CE, Heimberger A, Kim SH, Cahill DP, Rao G, Den Dunnen WFA, Boddeke HWGM, Phillips HS, Nakano I, Lang FF, Colman H, Sulman EP, Aldape K. Mesenchymal differentiation mediated by NF-κB promotes radiation resistance in glioblastoma. </w:t>
      </w:r>
      <w:r w:rsidRPr="00F91674">
        <w:rPr>
          <w:rFonts w:ascii="Book Antiqua" w:eastAsia="宋体" w:hAnsi="Book Antiqua" w:cs="宋体"/>
          <w:i/>
          <w:iCs/>
          <w:color w:val="201F35"/>
          <w:lang w:eastAsia="zh-CN"/>
        </w:rPr>
        <w:t>Cancer Cell</w:t>
      </w:r>
      <w:r w:rsidRPr="00F91674">
        <w:rPr>
          <w:rFonts w:ascii="Book Antiqua" w:eastAsia="宋体" w:hAnsi="Book Antiqua" w:cs="宋体"/>
          <w:color w:val="201F35"/>
          <w:lang w:eastAsia="zh-CN"/>
        </w:rPr>
        <w:t> 2013; </w:t>
      </w:r>
      <w:r w:rsidRPr="00F91674">
        <w:rPr>
          <w:rFonts w:ascii="Book Antiqua" w:eastAsia="宋体" w:hAnsi="Book Antiqua" w:cs="宋体"/>
          <w:b/>
          <w:bCs/>
          <w:color w:val="201F35"/>
          <w:lang w:eastAsia="zh-CN"/>
        </w:rPr>
        <w:t>24</w:t>
      </w:r>
      <w:r w:rsidRPr="00F91674">
        <w:rPr>
          <w:rFonts w:ascii="Book Antiqua" w:eastAsia="宋体" w:hAnsi="Book Antiqua" w:cs="宋体"/>
          <w:color w:val="201F35"/>
          <w:lang w:eastAsia="zh-CN"/>
        </w:rPr>
        <w:t>: 331-346 [PMID: 23993863 DOI: 10.1016/j.ccr.2013.08.001]</w:t>
      </w:r>
    </w:p>
    <w:p w14:paraId="66CA1C12"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172 </w:t>
      </w:r>
      <w:r w:rsidRPr="00F91674">
        <w:rPr>
          <w:rFonts w:ascii="Book Antiqua" w:eastAsia="宋体" w:hAnsi="Book Antiqua" w:cs="宋体"/>
          <w:b/>
          <w:bCs/>
          <w:color w:val="201F35"/>
          <w:lang w:eastAsia="zh-CN"/>
        </w:rPr>
        <w:t>Hsieh A</w:t>
      </w:r>
      <w:r w:rsidRPr="00F91674">
        <w:rPr>
          <w:rFonts w:ascii="Book Antiqua" w:eastAsia="宋体" w:hAnsi="Book Antiqua" w:cs="宋体"/>
          <w:color w:val="201F35"/>
          <w:lang w:eastAsia="zh-CN"/>
        </w:rPr>
        <w:t>, Ellsworth R, Hsieh D. Hedgehog/GLI1 regulates IGF dependent malignant behaviors in glioma stem cells. </w:t>
      </w:r>
      <w:r w:rsidRPr="00F91674">
        <w:rPr>
          <w:rFonts w:ascii="Book Antiqua" w:eastAsia="宋体" w:hAnsi="Book Antiqua" w:cs="宋体"/>
          <w:i/>
          <w:iCs/>
          <w:color w:val="201F35"/>
          <w:lang w:eastAsia="zh-CN"/>
        </w:rPr>
        <w:t>J Cell Physiol</w:t>
      </w:r>
      <w:r w:rsidRPr="00F91674">
        <w:rPr>
          <w:rFonts w:ascii="Book Antiqua" w:eastAsia="宋体" w:hAnsi="Book Antiqua" w:cs="宋体"/>
          <w:color w:val="201F35"/>
          <w:lang w:eastAsia="zh-CN"/>
        </w:rPr>
        <w:t> 2011; </w:t>
      </w:r>
      <w:r w:rsidRPr="00F91674">
        <w:rPr>
          <w:rFonts w:ascii="Book Antiqua" w:eastAsia="宋体" w:hAnsi="Book Antiqua" w:cs="宋体"/>
          <w:b/>
          <w:bCs/>
          <w:color w:val="201F35"/>
          <w:lang w:eastAsia="zh-CN"/>
        </w:rPr>
        <w:t>226</w:t>
      </w:r>
      <w:r w:rsidRPr="00F91674">
        <w:rPr>
          <w:rFonts w:ascii="Book Antiqua" w:eastAsia="宋体" w:hAnsi="Book Antiqua" w:cs="宋体"/>
          <w:color w:val="201F35"/>
          <w:lang w:eastAsia="zh-CN"/>
        </w:rPr>
        <w:t>: 1118-1127 [PMID: 20857406 DOI: 10.1002/jcp.22433]</w:t>
      </w:r>
    </w:p>
    <w:p w14:paraId="72A3C56A"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173 </w:t>
      </w:r>
      <w:r w:rsidRPr="00F91674">
        <w:rPr>
          <w:rFonts w:ascii="Book Antiqua" w:eastAsia="宋体" w:hAnsi="Book Antiqua" w:cs="宋体"/>
          <w:b/>
          <w:bCs/>
          <w:color w:val="201F35"/>
          <w:lang w:eastAsia="zh-CN"/>
        </w:rPr>
        <w:t>Kim Y</w:t>
      </w:r>
      <w:r w:rsidRPr="00F91674">
        <w:rPr>
          <w:rFonts w:ascii="Book Antiqua" w:eastAsia="宋体" w:hAnsi="Book Antiqua" w:cs="宋体"/>
          <w:color w:val="201F35"/>
          <w:lang w:eastAsia="zh-CN"/>
        </w:rPr>
        <w:t>, Kim KH, Lee J, Lee YA, Kim M, Lee SJ, Park K, Yang H, Jin J, Joo KM, Lee J, Nam DH. Wnt activation is implicated in glioblastoma radioresistance. </w:t>
      </w:r>
      <w:r w:rsidRPr="00F91674">
        <w:rPr>
          <w:rFonts w:ascii="Book Antiqua" w:eastAsia="宋体" w:hAnsi="Book Antiqua" w:cs="宋体"/>
          <w:i/>
          <w:iCs/>
          <w:color w:val="201F35"/>
          <w:lang w:eastAsia="zh-CN"/>
        </w:rPr>
        <w:t>Lab Invest</w:t>
      </w:r>
      <w:r w:rsidRPr="00F91674">
        <w:rPr>
          <w:rFonts w:ascii="Book Antiqua" w:eastAsia="宋体" w:hAnsi="Book Antiqua" w:cs="宋体"/>
          <w:color w:val="201F35"/>
          <w:lang w:eastAsia="zh-CN"/>
        </w:rPr>
        <w:t> 2012; </w:t>
      </w:r>
      <w:r w:rsidRPr="00F91674">
        <w:rPr>
          <w:rFonts w:ascii="Book Antiqua" w:eastAsia="宋体" w:hAnsi="Book Antiqua" w:cs="宋体"/>
          <w:b/>
          <w:bCs/>
          <w:color w:val="201F35"/>
          <w:lang w:eastAsia="zh-CN"/>
        </w:rPr>
        <w:t>92</w:t>
      </w:r>
      <w:r w:rsidRPr="00F91674">
        <w:rPr>
          <w:rFonts w:ascii="Book Antiqua" w:eastAsia="宋体" w:hAnsi="Book Antiqua" w:cs="宋体"/>
          <w:color w:val="201F35"/>
          <w:lang w:eastAsia="zh-CN"/>
        </w:rPr>
        <w:t>: 466-473 [PMID: 22083670 DOI: 10.1038/labinvest.2011.161]</w:t>
      </w:r>
    </w:p>
    <w:p w14:paraId="0FD95C69"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174 </w:t>
      </w:r>
      <w:r w:rsidRPr="00F91674">
        <w:rPr>
          <w:rFonts w:ascii="Book Antiqua" w:eastAsia="宋体" w:hAnsi="Book Antiqua" w:cs="宋体"/>
          <w:b/>
          <w:bCs/>
          <w:color w:val="201F35"/>
          <w:lang w:eastAsia="zh-CN"/>
        </w:rPr>
        <w:t>Wang J</w:t>
      </w:r>
      <w:r w:rsidRPr="00F91674">
        <w:rPr>
          <w:rFonts w:ascii="Book Antiqua" w:eastAsia="宋体" w:hAnsi="Book Antiqua" w:cs="宋体"/>
          <w:color w:val="201F35"/>
          <w:lang w:eastAsia="zh-CN"/>
        </w:rPr>
        <w:t>, Wakeman TP, Lathia JD, Hjelmeland AB, Wang XF, White RR, Rich JN, Sullenger BA. Notch promotes radioresistance of glioma stem cells. </w:t>
      </w:r>
      <w:r w:rsidRPr="00F91674">
        <w:rPr>
          <w:rFonts w:ascii="Book Antiqua" w:eastAsia="宋体" w:hAnsi="Book Antiqua" w:cs="宋体"/>
          <w:i/>
          <w:iCs/>
          <w:color w:val="201F35"/>
          <w:lang w:eastAsia="zh-CN"/>
        </w:rPr>
        <w:t>Stem Cells</w:t>
      </w:r>
      <w:r w:rsidRPr="00F91674">
        <w:rPr>
          <w:rFonts w:ascii="Book Antiqua" w:eastAsia="宋体" w:hAnsi="Book Antiqua" w:cs="宋体"/>
          <w:color w:val="201F35"/>
          <w:lang w:eastAsia="zh-CN"/>
        </w:rPr>
        <w:t> 2010; </w:t>
      </w:r>
      <w:r w:rsidRPr="00F91674">
        <w:rPr>
          <w:rFonts w:ascii="Book Antiqua" w:eastAsia="宋体" w:hAnsi="Book Antiqua" w:cs="宋体"/>
          <w:b/>
          <w:bCs/>
          <w:color w:val="201F35"/>
          <w:lang w:eastAsia="zh-CN"/>
        </w:rPr>
        <w:t>28</w:t>
      </w:r>
      <w:r w:rsidRPr="00F91674">
        <w:rPr>
          <w:rFonts w:ascii="Book Antiqua" w:eastAsia="宋体" w:hAnsi="Book Antiqua" w:cs="宋体"/>
          <w:color w:val="201F35"/>
          <w:lang w:eastAsia="zh-CN"/>
        </w:rPr>
        <w:t>: 17-28 [PMID: 19921751 DOI: 10.1002/stem.261]</w:t>
      </w:r>
    </w:p>
    <w:p w14:paraId="20BAE703"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175 </w:t>
      </w:r>
      <w:r w:rsidRPr="00F91674">
        <w:rPr>
          <w:rFonts w:ascii="Book Antiqua" w:eastAsia="宋体" w:hAnsi="Book Antiqua" w:cs="宋体"/>
          <w:b/>
          <w:bCs/>
          <w:color w:val="201F35"/>
          <w:lang w:eastAsia="zh-CN"/>
        </w:rPr>
        <w:t>Halliday J</w:t>
      </w:r>
      <w:r w:rsidRPr="00F91674">
        <w:rPr>
          <w:rFonts w:ascii="Book Antiqua" w:eastAsia="宋体" w:hAnsi="Book Antiqua" w:cs="宋体"/>
          <w:color w:val="201F35"/>
          <w:lang w:eastAsia="zh-CN"/>
        </w:rPr>
        <w:t>, Helmy K, Pattwell SS, Pitter KL, LaPlant Q, Ozawa T, Holland EC. In vivo radiation response of proneural glioma characterized by protective p53 transcriptional program and proneural-mesenchymal shift. </w:t>
      </w:r>
      <w:r w:rsidRPr="00F91674">
        <w:rPr>
          <w:rFonts w:ascii="Book Antiqua" w:eastAsia="宋体" w:hAnsi="Book Antiqua" w:cs="宋体"/>
          <w:i/>
          <w:iCs/>
          <w:color w:val="201F35"/>
          <w:lang w:eastAsia="zh-CN"/>
        </w:rPr>
        <w:t>Proc Natl Acad Sci U S A</w:t>
      </w:r>
      <w:r w:rsidRPr="00F91674">
        <w:rPr>
          <w:rFonts w:ascii="Book Antiqua" w:eastAsia="宋体" w:hAnsi="Book Antiqua" w:cs="宋体"/>
          <w:color w:val="201F35"/>
          <w:lang w:eastAsia="zh-CN"/>
        </w:rPr>
        <w:t> 2014; </w:t>
      </w:r>
      <w:r w:rsidRPr="00F91674">
        <w:rPr>
          <w:rFonts w:ascii="Book Antiqua" w:eastAsia="宋体" w:hAnsi="Book Antiqua" w:cs="宋体"/>
          <w:b/>
          <w:bCs/>
          <w:color w:val="201F35"/>
          <w:lang w:eastAsia="zh-CN"/>
        </w:rPr>
        <w:t>111</w:t>
      </w:r>
      <w:r w:rsidRPr="00F91674">
        <w:rPr>
          <w:rFonts w:ascii="Book Antiqua" w:eastAsia="宋体" w:hAnsi="Book Antiqua" w:cs="宋体"/>
          <w:color w:val="201F35"/>
          <w:lang w:eastAsia="zh-CN"/>
        </w:rPr>
        <w:t>: 5248-5253 [PMID: 24706837 DOI: 10.1073/pnas.1321014111]</w:t>
      </w:r>
    </w:p>
    <w:p w14:paraId="3D3D20C7"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176 </w:t>
      </w:r>
      <w:r w:rsidRPr="00F91674">
        <w:rPr>
          <w:rFonts w:ascii="Book Antiqua" w:eastAsia="宋体" w:hAnsi="Book Antiqua" w:cs="宋体"/>
          <w:b/>
          <w:bCs/>
          <w:color w:val="201F35"/>
          <w:lang w:eastAsia="zh-CN"/>
        </w:rPr>
        <w:t>Segerman A</w:t>
      </w:r>
      <w:r w:rsidRPr="00F91674">
        <w:rPr>
          <w:rFonts w:ascii="Book Antiqua" w:eastAsia="宋体" w:hAnsi="Book Antiqua" w:cs="宋体"/>
          <w:color w:val="201F35"/>
          <w:lang w:eastAsia="zh-CN"/>
        </w:rPr>
        <w:t>, Niklasson M, Haglund C, Bergström T, Jarvius M, Xie Y, Westermark A, Sönmez D, Hermansson A, Kastemar M, Naimaie-Ali Z, Nyberg F, Berglund M, Sundström M, Hesselager G, Uhrbom L, Gustafsson M, Larsson R, Fryknäs M, Segerman B, Westermark B. Clonal Variation in Drug and Radiation Response among Glioma-Initiating Cells Is Linked to Proneural-Mesenchymal Transition. </w:t>
      </w:r>
      <w:r w:rsidRPr="00F91674">
        <w:rPr>
          <w:rFonts w:ascii="Book Antiqua" w:eastAsia="宋体" w:hAnsi="Book Antiqua" w:cs="宋体"/>
          <w:i/>
          <w:iCs/>
          <w:color w:val="201F35"/>
          <w:lang w:eastAsia="zh-CN"/>
        </w:rPr>
        <w:t>Cell Rep</w:t>
      </w:r>
      <w:r w:rsidRPr="00F91674">
        <w:rPr>
          <w:rFonts w:ascii="Book Antiqua" w:eastAsia="宋体" w:hAnsi="Book Antiqua" w:cs="宋体"/>
          <w:color w:val="201F35"/>
          <w:lang w:eastAsia="zh-CN"/>
        </w:rPr>
        <w:t> 2016; </w:t>
      </w:r>
      <w:r w:rsidRPr="00F91674">
        <w:rPr>
          <w:rFonts w:ascii="Book Antiqua" w:eastAsia="宋体" w:hAnsi="Book Antiqua" w:cs="宋体"/>
          <w:b/>
          <w:bCs/>
          <w:color w:val="201F35"/>
          <w:lang w:eastAsia="zh-CN"/>
        </w:rPr>
        <w:t>17</w:t>
      </w:r>
      <w:r w:rsidRPr="00F91674">
        <w:rPr>
          <w:rFonts w:ascii="Book Antiqua" w:eastAsia="宋体" w:hAnsi="Book Antiqua" w:cs="宋体"/>
          <w:color w:val="201F35"/>
          <w:lang w:eastAsia="zh-CN"/>
        </w:rPr>
        <w:t>: 2994-3009 [PMID: 27974212 DOI: 10.1016/j.celrep.2016.11.056]</w:t>
      </w:r>
    </w:p>
    <w:p w14:paraId="6D1F3F18"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177 </w:t>
      </w:r>
      <w:r w:rsidRPr="00F91674">
        <w:rPr>
          <w:rFonts w:ascii="Book Antiqua" w:eastAsia="宋体" w:hAnsi="Book Antiqua" w:cs="宋体"/>
          <w:b/>
          <w:bCs/>
          <w:color w:val="201F35"/>
          <w:lang w:eastAsia="zh-CN"/>
        </w:rPr>
        <w:t>Auffinger B</w:t>
      </w:r>
      <w:r w:rsidRPr="00F91674">
        <w:rPr>
          <w:rFonts w:ascii="Book Antiqua" w:eastAsia="宋体" w:hAnsi="Book Antiqua" w:cs="宋体"/>
          <w:color w:val="201F35"/>
          <w:lang w:eastAsia="zh-CN"/>
        </w:rPr>
        <w:t xml:space="preserve">, Tobias AL, Han Y, Lee G, Guo D, Dey M, Lesniak MS, Ahmed AU. Conversion of differentiated cancer cells into cancer stem-like cells in a glioblastoma </w:t>
      </w:r>
      <w:r w:rsidRPr="00F91674">
        <w:rPr>
          <w:rFonts w:ascii="Book Antiqua" w:eastAsia="宋体" w:hAnsi="Book Antiqua" w:cs="宋体"/>
          <w:color w:val="201F35"/>
          <w:lang w:eastAsia="zh-CN"/>
        </w:rPr>
        <w:lastRenderedPageBreak/>
        <w:t>model after primary chemotherapy. </w:t>
      </w:r>
      <w:r w:rsidRPr="00F91674">
        <w:rPr>
          <w:rFonts w:ascii="Book Antiqua" w:eastAsia="宋体" w:hAnsi="Book Antiqua" w:cs="宋体"/>
          <w:i/>
          <w:iCs/>
          <w:color w:val="201F35"/>
          <w:lang w:eastAsia="zh-CN"/>
        </w:rPr>
        <w:t>Cell Death Differ</w:t>
      </w:r>
      <w:r w:rsidRPr="00F91674">
        <w:rPr>
          <w:rFonts w:ascii="Book Antiqua" w:eastAsia="宋体" w:hAnsi="Book Antiqua" w:cs="宋体"/>
          <w:color w:val="201F35"/>
          <w:lang w:eastAsia="zh-CN"/>
        </w:rPr>
        <w:t> 2014; </w:t>
      </w:r>
      <w:r w:rsidRPr="00F91674">
        <w:rPr>
          <w:rFonts w:ascii="Book Antiqua" w:eastAsia="宋体" w:hAnsi="Book Antiqua" w:cs="宋体"/>
          <w:b/>
          <w:bCs/>
          <w:color w:val="201F35"/>
          <w:lang w:eastAsia="zh-CN"/>
        </w:rPr>
        <w:t>21</w:t>
      </w:r>
      <w:r w:rsidRPr="00F91674">
        <w:rPr>
          <w:rFonts w:ascii="Book Antiqua" w:eastAsia="宋体" w:hAnsi="Book Antiqua" w:cs="宋体"/>
          <w:color w:val="201F35"/>
          <w:lang w:eastAsia="zh-CN"/>
        </w:rPr>
        <w:t>: 1119-1131 [PMID: 24608791 DOI: 10.1038/cdd.2014.31]</w:t>
      </w:r>
    </w:p>
    <w:p w14:paraId="62C45C86"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178 </w:t>
      </w:r>
      <w:r w:rsidRPr="00F91674">
        <w:rPr>
          <w:rFonts w:ascii="Book Antiqua" w:eastAsia="宋体" w:hAnsi="Book Antiqua" w:cs="宋体"/>
          <w:b/>
          <w:bCs/>
          <w:color w:val="201F35"/>
          <w:lang w:eastAsia="zh-CN"/>
        </w:rPr>
        <w:t>Dahan P</w:t>
      </w:r>
      <w:r w:rsidRPr="00F91674">
        <w:rPr>
          <w:rFonts w:ascii="Book Antiqua" w:eastAsia="宋体" w:hAnsi="Book Antiqua" w:cs="宋体"/>
          <w:color w:val="201F35"/>
          <w:lang w:eastAsia="zh-CN"/>
        </w:rPr>
        <w:t>, Martinez Gala J, Delmas C, Monferran S, Malric L, Zentkowski D, Lubrano V, Toulas C, Cohen-Jonathan Moyal E, Lemarie A. Ionizing radiations sustain glioblastoma cell dedifferentiation to a stem-like phenotype through survivin: possible involvement in radioresistance. </w:t>
      </w:r>
      <w:r w:rsidRPr="00F91674">
        <w:rPr>
          <w:rFonts w:ascii="Book Antiqua" w:eastAsia="宋体" w:hAnsi="Book Antiqua" w:cs="宋体"/>
          <w:i/>
          <w:iCs/>
          <w:color w:val="201F35"/>
          <w:lang w:eastAsia="zh-CN"/>
        </w:rPr>
        <w:t>Cell Death Dis</w:t>
      </w:r>
      <w:r w:rsidRPr="00F91674">
        <w:rPr>
          <w:rFonts w:ascii="Book Antiqua" w:eastAsia="宋体" w:hAnsi="Book Antiqua" w:cs="宋体"/>
          <w:color w:val="201F35"/>
          <w:lang w:eastAsia="zh-CN"/>
        </w:rPr>
        <w:t> 2014; </w:t>
      </w:r>
      <w:r w:rsidRPr="00F91674">
        <w:rPr>
          <w:rFonts w:ascii="Book Antiqua" w:eastAsia="宋体" w:hAnsi="Book Antiqua" w:cs="宋体"/>
          <w:b/>
          <w:bCs/>
          <w:color w:val="201F35"/>
          <w:lang w:eastAsia="zh-CN"/>
        </w:rPr>
        <w:t>5</w:t>
      </w:r>
      <w:r w:rsidRPr="00F91674">
        <w:rPr>
          <w:rFonts w:ascii="Book Antiqua" w:eastAsia="宋体" w:hAnsi="Book Antiqua" w:cs="宋体"/>
          <w:color w:val="201F35"/>
          <w:lang w:eastAsia="zh-CN"/>
        </w:rPr>
        <w:t>: e1543 [PMID: 25429620 DOI: 10.1038/cddis.2014.509]</w:t>
      </w:r>
    </w:p>
    <w:p w14:paraId="221E7499"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179 </w:t>
      </w:r>
      <w:r w:rsidRPr="00F91674">
        <w:rPr>
          <w:rFonts w:ascii="Book Antiqua" w:eastAsia="宋体" w:hAnsi="Book Antiqua" w:cs="宋体"/>
          <w:b/>
          <w:bCs/>
          <w:color w:val="201F35"/>
          <w:lang w:eastAsia="zh-CN"/>
        </w:rPr>
        <w:t>Chen J</w:t>
      </w:r>
      <w:r w:rsidRPr="00F91674">
        <w:rPr>
          <w:rFonts w:ascii="Book Antiqua" w:eastAsia="宋体" w:hAnsi="Book Antiqua" w:cs="宋体"/>
          <w:color w:val="201F35"/>
          <w:lang w:eastAsia="zh-CN"/>
        </w:rPr>
        <w:t>, Li Y, Yu TS, McKay RM, Burns DK, Kernie SG, Parada LF. A restricted cell population propagates glioblastoma growth after chemotherapy. </w:t>
      </w:r>
      <w:r w:rsidRPr="00F91674">
        <w:rPr>
          <w:rFonts w:ascii="Book Antiqua" w:eastAsia="宋体" w:hAnsi="Book Antiqua" w:cs="宋体"/>
          <w:i/>
          <w:iCs/>
          <w:color w:val="201F35"/>
          <w:lang w:eastAsia="zh-CN"/>
        </w:rPr>
        <w:t>Nature</w:t>
      </w:r>
      <w:r w:rsidRPr="00F91674">
        <w:rPr>
          <w:rFonts w:ascii="Book Antiqua" w:eastAsia="宋体" w:hAnsi="Book Antiqua" w:cs="宋体"/>
          <w:color w:val="201F35"/>
          <w:lang w:eastAsia="zh-CN"/>
        </w:rPr>
        <w:t> 2012; </w:t>
      </w:r>
      <w:r w:rsidRPr="00F91674">
        <w:rPr>
          <w:rFonts w:ascii="Book Antiqua" w:eastAsia="宋体" w:hAnsi="Book Antiqua" w:cs="宋体"/>
          <w:b/>
          <w:bCs/>
          <w:color w:val="201F35"/>
          <w:lang w:eastAsia="zh-CN"/>
        </w:rPr>
        <w:t>488</w:t>
      </w:r>
      <w:r w:rsidRPr="00F91674">
        <w:rPr>
          <w:rFonts w:ascii="Book Antiqua" w:eastAsia="宋体" w:hAnsi="Book Antiqua" w:cs="宋体"/>
          <w:color w:val="201F35"/>
          <w:lang w:eastAsia="zh-CN"/>
        </w:rPr>
        <w:t>: 522-526 [PMID: 22854781 DOI: 10.1038/nature11287]</w:t>
      </w:r>
    </w:p>
    <w:p w14:paraId="056BC4FD"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180 </w:t>
      </w:r>
      <w:r w:rsidRPr="00F91674">
        <w:rPr>
          <w:rFonts w:ascii="Book Antiqua" w:eastAsia="宋体" w:hAnsi="Book Antiqua" w:cs="宋体"/>
          <w:b/>
          <w:bCs/>
          <w:color w:val="201F35"/>
          <w:lang w:eastAsia="zh-CN"/>
        </w:rPr>
        <w:t>Qazi MA</w:t>
      </w:r>
      <w:r w:rsidRPr="00F91674">
        <w:rPr>
          <w:rFonts w:ascii="Book Antiqua" w:eastAsia="宋体" w:hAnsi="Book Antiqua" w:cs="宋体"/>
          <w:color w:val="201F35"/>
          <w:lang w:eastAsia="zh-CN"/>
        </w:rPr>
        <w:t>, Vora P, Venugopal C, McFarlane N, Subapanditha MK, Murty NK, Hassell JA, Hallett RM, Singh SK. A novel stem cell culture model of recurrent glioblastoma. </w:t>
      </w:r>
      <w:r w:rsidRPr="00F91674">
        <w:rPr>
          <w:rFonts w:ascii="Book Antiqua" w:eastAsia="宋体" w:hAnsi="Book Antiqua" w:cs="宋体"/>
          <w:i/>
          <w:iCs/>
          <w:color w:val="201F35"/>
          <w:lang w:eastAsia="zh-CN"/>
        </w:rPr>
        <w:t>J Neurooncol</w:t>
      </w:r>
      <w:r w:rsidRPr="00F91674">
        <w:rPr>
          <w:rFonts w:ascii="Book Antiqua" w:eastAsia="宋体" w:hAnsi="Book Antiqua" w:cs="宋体"/>
          <w:color w:val="201F35"/>
          <w:lang w:eastAsia="zh-CN"/>
        </w:rPr>
        <w:t> 2016; </w:t>
      </w:r>
      <w:r w:rsidRPr="00F91674">
        <w:rPr>
          <w:rFonts w:ascii="Book Antiqua" w:eastAsia="宋体" w:hAnsi="Book Antiqua" w:cs="宋体"/>
          <w:b/>
          <w:bCs/>
          <w:color w:val="201F35"/>
          <w:lang w:eastAsia="zh-CN"/>
        </w:rPr>
        <w:t>126</w:t>
      </w:r>
      <w:r w:rsidRPr="00F91674">
        <w:rPr>
          <w:rFonts w:ascii="Book Antiqua" w:eastAsia="宋体" w:hAnsi="Book Antiqua" w:cs="宋体"/>
          <w:color w:val="201F35"/>
          <w:lang w:eastAsia="zh-CN"/>
        </w:rPr>
        <w:t>: 57-67 [PMID: 26498281 DOI: 10.1007/s11060-015-1951-6]</w:t>
      </w:r>
    </w:p>
    <w:p w14:paraId="1270C241"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181 </w:t>
      </w:r>
      <w:r w:rsidRPr="00F91674">
        <w:rPr>
          <w:rFonts w:ascii="Book Antiqua" w:eastAsia="宋体" w:hAnsi="Book Antiqua" w:cs="宋体"/>
          <w:b/>
          <w:bCs/>
          <w:color w:val="201F35"/>
          <w:lang w:eastAsia="zh-CN"/>
        </w:rPr>
        <w:t>Yang YP</w:t>
      </w:r>
      <w:r w:rsidRPr="00F91674">
        <w:rPr>
          <w:rFonts w:ascii="Book Antiqua" w:eastAsia="宋体" w:hAnsi="Book Antiqua" w:cs="宋体"/>
          <w:color w:val="201F35"/>
          <w:lang w:eastAsia="zh-CN"/>
        </w:rPr>
        <w:t>, Chien Y, Chiou GY, Cherng JY, Wang ML, Lo WL, Chang YL, Huang PI, Chen YW, Shih YH, Chen MT, Chiou SH. Inhibition of cancer stem cell-like properties and reduced chemoradioresistance of glioblastoma using microRNA145 with cationic polyurethane-short branch PEI. </w:t>
      </w:r>
      <w:r w:rsidRPr="00F91674">
        <w:rPr>
          <w:rFonts w:ascii="Book Antiqua" w:eastAsia="宋体" w:hAnsi="Book Antiqua" w:cs="宋体"/>
          <w:i/>
          <w:iCs/>
          <w:color w:val="201F35"/>
          <w:lang w:eastAsia="zh-CN"/>
        </w:rPr>
        <w:t>Biomaterials</w:t>
      </w:r>
      <w:r w:rsidRPr="00F91674">
        <w:rPr>
          <w:rFonts w:ascii="Book Antiqua" w:eastAsia="宋体" w:hAnsi="Book Antiqua" w:cs="宋体"/>
          <w:color w:val="201F35"/>
          <w:lang w:eastAsia="zh-CN"/>
        </w:rPr>
        <w:t> 2012; </w:t>
      </w:r>
      <w:r w:rsidRPr="00F91674">
        <w:rPr>
          <w:rFonts w:ascii="Book Antiqua" w:eastAsia="宋体" w:hAnsi="Book Antiqua" w:cs="宋体"/>
          <w:b/>
          <w:bCs/>
          <w:color w:val="201F35"/>
          <w:lang w:eastAsia="zh-CN"/>
        </w:rPr>
        <w:t>33</w:t>
      </w:r>
      <w:r w:rsidRPr="00F91674">
        <w:rPr>
          <w:rFonts w:ascii="Book Antiqua" w:eastAsia="宋体" w:hAnsi="Book Antiqua" w:cs="宋体"/>
          <w:color w:val="201F35"/>
          <w:lang w:eastAsia="zh-CN"/>
        </w:rPr>
        <w:t>: 1462-1476 [PMID: 22098779 DOI: 10.1016/j.biomaterials.2011.10.071]</w:t>
      </w:r>
    </w:p>
    <w:p w14:paraId="0AD8EEC4"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182 </w:t>
      </w:r>
      <w:r w:rsidRPr="00F91674">
        <w:rPr>
          <w:rFonts w:ascii="Book Antiqua" w:eastAsia="宋体" w:hAnsi="Book Antiqua" w:cs="宋体"/>
          <w:b/>
          <w:bCs/>
          <w:color w:val="201F35"/>
          <w:lang w:eastAsia="zh-CN"/>
        </w:rPr>
        <w:t>Jeon HM</w:t>
      </w:r>
      <w:r w:rsidRPr="00F91674">
        <w:rPr>
          <w:rFonts w:ascii="Book Antiqua" w:eastAsia="宋体" w:hAnsi="Book Antiqua" w:cs="宋体"/>
          <w:color w:val="201F35"/>
          <w:lang w:eastAsia="zh-CN"/>
        </w:rPr>
        <w:t>, Sohn YW, Oh SY, Kim SH, Beck S, Kim S, Kim H. ID4 imparts chemoresistance and cancer stemness to glioma cells by derepressing miR-9*-mediated suppression of SOX2. </w:t>
      </w:r>
      <w:r w:rsidRPr="00F91674">
        <w:rPr>
          <w:rFonts w:ascii="Book Antiqua" w:eastAsia="宋体" w:hAnsi="Book Antiqua" w:cs="宋体"/>
          <w:i/>
          <w:iCs/>
          <w:color w:val="201F35"/>
          <w:lang w:eastAsia="zh-CN"/>
        </w:rPr>
        <w:t>Cancer Res</w:t>
      </w:r>
      <w:r w:rsidRPr="00F91674">
        <w:rPr>
          <w:rFonts w:ascii="Book Antiqua" w:eastAsia="宋体" w:hAnsi="Book Antiqua" w:cs="宋体"/>
          <w:color w:val="201F35"/>
          <w:lang w:eastAsia="zh-CN"/>
        </w:rPr>
        <w:t> 2011; </w:t>
      </w:r>
      <w:r w:rsidRPr="00F91674">
        <w:rPr>
          <w:rFonts w:ascii="Book Antiqua" w:eastAsia="宋体" w:hAnsi="Book Antiqua" w:cs="宋体"/>
          <w:b/>
          <w:bCs/>
          <w:color w:val="201F35"/>
          <w:lang w:eastAsia="zh-CN"/>
        </w:rPr>
        <w:t>71</w:t>
      </w:r>
      <w:r w:rsidRPr="00F91674">
        <w:rPr>
          <w:rFonts w:ascii="Book Antiqua" w:eastAsia="宋体" w:hAnsi="Book Antiqua" w:cs="宋体"/>
          <w:color w:val="201F35"/>
          <w:lang w:eastAsia="zh-CN"/>
        </w:rPr>
        <w:t>: 3410-3421 [PMID: 21531766 DOI: 10.1158/0008-5472.CAN-10-3340]</w:t>
      </w:r>
    </w:p>
    <w:p w14:paraId="3F4C7CB1"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183 </w:t>
      </w:r>
      <w:r w:rsidRPr="00F91674">
        <w:rPr>
          <w:rFonts w:ascii="Book Antiqua" w:eastAsia="宋体" w:hAnsi="Book Antiqua" w:cs="宋体"/>
          <w:b/>
          <w:bCs/>
          <w:color w:val="201F35"/>
          <w:lang w:eastAsia="zh-CN"/>
        </w:rPr>
        <w:t>Lee Y</w:t>
      </w:r>
      <w:r w:rsidRPr="00F91674">
        <w:rPr>
          <w:rFonts w:ascii="Book Antiqua" w:eastAsia="宋体" w:hAnsi="Book Antiqua" w:cs="宋体"/>
          <w:color w:val="201F35"/>
          <w:lang w:eastAsia="zh-CN"/>
        </w:rPr>
        <w:t>, Kim KH, Kim DG, Cho HJ, Kim Y, Rheey J, Shin K, Seo YJ, Choi YS, Lee JI, Lee J, Joo KM, Nam DH. FoxM1 Promotes Stemness and Radio-Resistance of Glioblastoma by Regulating the Master Stem Cell Regulator Sox2. </w:t>
      </w:r>
      <w:r w:rsidRPr="00F91674">
        <w:rPr>
          <w:rFonts w:ascii="Book Antiqua" w:eastAsia="宋体" w:hAnsi="Book Antiqua" w:cs="宋体"/>
          <w:i/>
          <w:iCs/>
          <w:color w:val="201F35"/>
          <w:lang w:eastAsia="zh-CN"/>
        </w:rPr>
        <w:t>PLoS One</w:t>
      </w:r>
      <w:r w:rsidRPr="00F91674">
        <w:rPr>
          <w:rFonts w:ascii="Book Antiqua" w:eastAsia="宋体" w:hAnsi="Book Antiqua" w:cs="宋体"/>
          <w:color w:val="201F35"/>
          <w:lang w:eastAsia="zh-CN"/>
        </w:rPr>
        <w:t> 2015; </w:t>
      </w:r>
      <w:r w:rsidRPr="00F91674">
        <w:rPr>
          <w:rFonts w:ascii="Book Antiqua" w:eastAsia="宋体" w:hAnsi="Book Antiqua" w:cs="宋体"/>
          <w:b/>
          <w:bCs/>
          <w:color w:val="201F35"/>
          <w:lang w:eastAsia="zh-CN"/>
        </w:rPr>
        <w:t>10</w:t>
      </w:r>
      <w:r w:rsidRPr="00F91674">
        <w:rPr>
          <w:rFonts w:ascii="Book Antiqua" w:eastAsia="宋体" w:hAnsi="Book Antiqua" w:cs="宋体"/>
          <w:color w:val="201F35"/>
          <w:lang w:eastAsia="zh-CN"/>
        </w:rPr>
        <w:t>: e0137703 [PMID: 26444992 DOI: 10.1371/journal.pone.0137703]</w:t>
      </w:r>
    </w:p>
    <w:p w14:paraId="74586192"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184 </w:t>
      </w:r>
      <w:r w:rsidRPr="00F91674">
        <w:rPr>
          <w:rFonts w:ascii="Book Antiqua" w:eastAsia="宋体" w:hAnsi="Book Antiqua" w:cs="宋体"/>
          <w:b/>
          <w:bCs/>
          <w:color w:val="201F35"/>
          <w:lang w:eastAsia="zh-CN"/>
        </w:rPr>
        <w:t>Sabelström H,</w:t>
      </w:r>
      <w:r w:rsidRPr="00F91674">
        <w:rPr>
          <w:rFonts w:ascii="Book Antiqua" w:eastAsia="宋体" w:hAnsi="Book Antiqua" w:cs="宋体"/>
          <w:color w:val="201F35"/>
          <w:lang w:eastAsia="zh-CN"/>
        </w:rPr>
        <w:t xml:space="preserve"> Petri R, Shchors K, Jandial R, Schmidt C, Sacheva R, Masic S, Yuan E, Fenster T, Martinez M, Saxena S, Nicolaides TP, Ilkhanizadeh S, Berger MS, Snyder EY, </w:t>
      </w:r>
      <w:r w:rsidRPr="00F91674">
        <w:rPr>
          <w:rFonts w:ascii="Book Antiqua" w:eastAsia="宋体" w:hAnsi="Book Antiqua" w:cs="宋体"/>
          <w:color w:val="201F35"/>
          <w:lang w:eastAsia="zh-CN"/>
        </w:rPr>
        <w:lastRenderedPageBreak/>
        <w:t>Weiss WA, Jakobsson J, Persson AI. Driving Neuronal Differentiation through Reversal of an ERK1/2-miR-124-SOX9 Axis Abrogates Glioblastoma Aggressiveness. Cell Rep 2019; 28: 2064-2079, e11 [PMID: 31433983 DOI: 10.1016/j.celrep.2019.07.071]</w:t>
      </w:r>
    </w:p>
    <w:p w14:paraId="7DA424FB"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185 </w:t>
      </w:r>
      <w:r w:rsidRPr="00F91674">
        <w:rPr>
          <w:rFonts w:ascii="Book Antiqua" w:eastAsia="宋体" w:hAnsi="Book Antiqua" w:cs="宋体"/>
          <w:b/>
          <w:bCs/>
          <w:color w:val="201F35"/>
          <w:lang w:eastAsia="zh-CN"/>
        </w:rPr>
        <w:t>Yool AJ</w:t>
      </w:r>
      <w:r w:rsidRPr="00F91674">
        <w:rPr>
          <w:rFonts w:ascii="Book Antiqua" w:eastAsia="宋体" w:hAnsi="Book Antiqua" w:cs="宋体"/>
          <w:color w:val="201F35"/>
          <w:lang w:eastAsia="zh-CN"/>
        </w:rPr>
        <w:t>, Ramesh S. Molecular Targets for Combined Therapeutic Strategies to Limit Glioblastoma Cell Migration and Invasion. </w:t>
      </w:r>
      <w:r w:rsidRPr="00F91674">
        <w:rPr>
          <w:rFonts w:ascii="Book Antiqua" w:eastAsia="宋体" w:hAnsi="Book Antiqua" w:cs="宋体"/>
          <w:i/>
          <w:iCs/>
          <w:color w:val="201F35"/>
          <w:lang w:eastAsia="zh-CN"/>
        </w:rPr>
        <w:t>Front Pharmacol</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11</w:t>
      </w:r>
      <w:r w:rsidRPr="00F91674">
        <w:rPr>
          <w:rFonts w:ascii="Book Antiqua" w:eastAsia="宋体" w:hAnsi="Book Antiqua" w:cs="宋体"/>
          <w:color w:val="201F35"/>
          <w:lang w:eastAsia="zh-CN"/>
        </w:rPr>
        <w:t>: 358 [PMID: 32292341 DOI: 10.3389/fphar.2020.00358]</w:t>
      </w:r>
    </w:p>
    <w:p w14:paraId="1D2BB6A2"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186 </w:t>
      </w:r>
      <w:r w:rsidRPr="00F91674">
        <w:rPr>
          <w:rFonts w:ascii="Book Antiqua" w:eastAsia="宋体" w:hAnsi="Book Antiqua" w:cs="宋体"/>
          <w:b/>
          <w:bCs/>
          <w:color w:val="201F35"/>
          <w:lang w:eastAsia="zh-CN"/>
        </w:rPr>
        <w:t>Patel AP</w:t>
      </w:r>
      <w:r w:rsidRPr="00F91674">
        <w:rPr>
          <w:rFonts w:ascii="Book Antiqua" w:eastAsia="宋体" w:hAnsi="Book Antiqua" w:cs="宋体"/>
          <w:color w:val="201F35"/>
          <w:lang w:eastAsia="zh-CN"/>
        </w:rPr>
        <w:t>, Tirosh I, Trombetta JJ, Shalek AK, Gillespie SM, Wakimoto H, Cahill DP, Nahed BV, Curry WT, Martuza RL, Louis DN, Rozenblatt-Rosen O, Suvà ML, Regev A, Bernstein BE. Single-cell RNA-seq highlights intratumoral heterogeneity in primary glioblastoma. </w:t>
      </w:r>
      <w:r w:rsidRPr="00F91674">
        <w:rPr>
          <w:rFonts w:ascii="Book Antiqua" w:eastAsia="宋体" w:hAnsi="Book Antiqua" w:cs="宋体"/>
          <w:i/>
          <w:iCs/>
          <w:color w:val="201F35"/>
          <w:lang w:eastAsia="zh-CN"/>
        </w:rPr>
        <w:t>Science</w:t>
      </w:r>
      <w:r w:rsidRPr="00F91674">
        <w:rPr>
          <w:rFonts w:ascii="Book Antiqua" w:eastAsia="宋体" w:hAnsi="Book Antiqua" w:cs="宋体"/>
          <w:color w:val="201F35"/>
          <w:lang w:eastAsia="zh-CN"/>
        </w:rPr>
        <w:t> 2014; </w:t>
      </w:r>
      <w:r w:rsidRPr="00F91674">
        <w:rPr>
          <w:rFonts w:ascii="Book Antiqua" w:eastAsia="宋体" w:hAnsi="Book Antiqua" w:cs="宋体"/>
          <w:b/>
          <w:bCs/>
          <w:color w:val="201F35"/>
          <w:lang w:eastAsia="zh-CN"/>
        </w:rPr>
        <w:t>344</w:t>
      </w:r>
      <w:r w:rsidRPr="00F91674">
        <w:rPr>
          <w:rFonts w:ascii="Book Antiqua" w:eastAsia="宋体" w:hAnsi="Book Antiqua" w:cs="宋体"/>
          <w:color w:val="201F35"/>
          <w:lang w:eastAsia="zh-CN"/>
        </w:rPr>
        <w:t>: 1396-1401 [PMID: 24925914 DOI: 10.1126/science.1254257]</w:t>
      </w:r>
    </w:p>
    <w:p w14:paraId="310A2BA9"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187 </w:t>
      </w:r>
      <w:r w:rsidRPr="00F91674">
        <w:rPr>
          <w:rFonts w:ascii="Book Antiqua" w:eastAsia="宋体" w:hAnsi="Book Antiqua" w:cs="宋体"/>
          <w:b/>
          <w:bCs/>
          <w:color w:val="201F35"/>
          <w:lang w:eastAsia="zh-CN"/>
        </w:rPr>
        <w:t>Neftel C</w:t>
      </w:r>
      <w:r w:rsidRPr="00F91674">
        <w:rPr>
          <w:rFonts w:ascii="Book Antiqua" w:eastAsia="宋体" w:hAnsi="Book Antiqua" w:cs="宋体"/>
          <w:color w:val="201F35"/>
          <w:lang w:eastAsia="zh-CN"/>
        </w:rPr>
        <w:t>, Laffy J, Filbin MG, Hara T, Shore ME, Rahme GJ, Richman AR, Silverbush D, Shaw ML, Hebert CM, Dewitt J, Gritsch S, Perez EM, Gonzalez Castro LN, Lan X, Druck N, Rodman C, Dionne D, Kaplan A, Bertalan MS, Small J, Pelton K, Becker S, Bonal D, Nguyen QD, Servis RL, Fung JM, Mylvaganam R, Mayr L, Gojo J, Haberler C, Geyeregger R, Czech T, Slavc I, Nahed BV, Curry WT, Carter BS, Wakimoto H, Brastianos PK, Batchelor TT, Stemmer-Rachamimov A, Martinez-Lage M, Frosch MP, Stamenkovic I, Riggi N, Rheinbay E, Monje M, Rozenblatt-Rosen O, Cahill DP, Patel AP, Hunter T, Verma IM, Ligon KL, Louis DN, Regev A, Bernstein BE, Tirosh I, Suvà ML. An Integrative Model of Cellular States, Plasticity, and Genetics for Glioblastoma. </w:t>
      </w:r>
      <w:r w:rsidRPr="00F91674">
        <w:rPr>
          <w:rFonts w:ascii="Book Antiqua" w:eastAsia="宋体" w:hAnsi="Book Antiqua" w:cs="宋体"/>
          <w:i/>
          <w:iCs/>
          <w:color w:val="201F35"/>
          <w:lang w:eastAsia="zh-CN"/>
        </w:rPr>
        <w:t>Cell</w:t>
      </w:r>
      <w:r w:rsidRPr="00F91674">
        <w:rPr>
          <w:rFonts w:ascii="Book Antiqua" w:eastAsia="宋体" w:hAnsi="Book Antiqua" w:cs="宋体"/>
          <w:color w:val="201F35"/>
          <w:lang w:eastAsia="zh-CN"/>
        </w:rPr>
        <w:t> 2019; </w:t>
      </w:r>
      <w:r w:rsidRPr="00F91674">
        <w:rPr>
          <w:rFonts w:ascii="Book Antiqua" w:eastAsia="宋体" w:hAnsi="Book Antiqua" w:cs="宋体"/>
          <w:b/>
          <w:bCs/>
          <w:color w:val="201F35"/>
          <w:lang w:eastAsia="zh-CN"/>
        </w:rPr>
        <w:t>178</w:t>
      </w:r>
      <w:r w:rsidRPr="00F91674">
        <w:rPr>
          <w:rFonts w:ascii="Book Antiqua" w:eastAsia="宋体" w:hAnsi="Book Antiqua" w:cs="宋体"/>
          <w:color w:val="201F35"/>
          <w:lang w:eastAsia="zh-CN"/>
        </w:rPr>
        <w:t>: 835-849.e21 [PMID: 31327527 DOI: 10.1016/j.cell.2019.06.024]</w:t>
      </w:r>
    </w:p>
    <w:p w14:paraId="6E39BED2"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188 </w:t>
      </w:r>
      <w:r w:rsidRPr="00F91674">
        <w:rPr>
          <w:rFonts w:ascii="Book Antiqua" w:eastAsia="宋体" w:hAnsi="Book Antiqua" w:cs="宋体"/>
          <w:b/>
          <w:bCs/>
          <w:color w:val="201F35"/>
          <w:lang w:eastAsia="zh-CN"/>
        </w:rPr>
        <w:t>Johnson BE</w:t>
      </w:r>
      <w:r w:rsidRPr="00F91674">
        <w:rPr>
          <w:rFonts w:ascii="Book Antiqua" w:eastAsia="宋体" w:hAnsi="Book Antiqua" w:cs="宋体"/>
          <w:color w:val="201F35"/>
          <w:lang w:eastAsia="zh-CN"/>
        </w:rPr>
        <w:t>, Mazor T, Hong C, Barnes M, Aihara K, McLean CY, Fouse SD, Yamamoto S, Ueda H, Tatsuno K, Asthana S, Jalbert LE, Nelson SJ, Bollen AW, Gustafson WC, Charron E, Weiss WA, Smirnov IV, Song JS, Olshen AB, Cha S, Zhao Y, Moore RA, Mungall AJ, Jones SJM, Hirst M, Marra MA, Saito N, Aburatani H, Mukasa A, Berger MS, Chang SM, Taylor BS, Costello JF. Mutational analysis reveals the origin and therapy-driven evolution of recurrent glioma. </w:t>
      </w:r>
      <w:r w:rsidRPr="00F91674">
        <w:rPr>
          <w:rFonts w:ascii="Book Antiqua" w:eastAsia="宋体" w:hAnsi="Book Antiqua" w:cs="宋体"/>
          <w:i/>
          <w:iCs/>
          <w:color w:val="201F35"/>
          <w:lang w:eastAsia="zh-CN"/>
        </w:rPr>
        <w:t>Science</w:t>
      </w:r>
      <w:r w:rsidRPr="00F91674">
        <w:rPr>
          <w:rFonts w:ascii="Book Antiqua" w:eastAsia="宋体" w:hAnsi="Book Antiqua" w:cs="宋体"/>
          <w:color w:val="201F35"/>
          <w:lang w:eastAsia="zh-CN"/>
        </w:rPr>
        <w:t> 2014; </w:t>
      </w:r>
      <w:r w:rsidRPr="00F91674">
        <w:rPr>
          <w:rFonts w:ascii="Book Antiqua" w:eastAsia="宋体" w:hAnsi="Book Antiqua" w:cs="宋体"/>
          <w:b/>
          <w:bCs/>
          <w:color w:val="201F35"/>
          <w:lang w:eastAsia="zh-CN"/>
        </w:rPr>
        <w:t>343</w:t>
      </w:r>
      <w:r w:rsidRPr="00F91674">
        <w:rPr>
          <w:rFonts w:ascii="Book Antiqua" w:eastAsia="宋体" w:hAnsi="Book Antiqua" w:cs="宋体"/>
          <w:color w:val="201F35"/>
          <w:lang w:eastAsia="zh-CN"/>
        </w:rPr>
        <w:t>: 189-193 [PMID: 24336570 DOI: 10.1126/science.1239947]</w:t>
      </w:r>
    </w:p>
    <w:p w14:paraId="385A629E"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lastRenderedPageBreak/>
        <w:t>189 </w:t>
      </w:r>
      <w:r w:rsidRPr="00F91674">
        <w:rPr>
          <w:rFonts w:ascii="Book Antiqua" w:eastAsia="宋体" w:hAnsi="Book Antiqua" w:cs="宋体"/>
          <w:b/>
          <w:bCs/>
          <w:color w:val="201F35"/>
          <w:lang w:eastAsia="zh-CN"/>
        </w:rPr>
        <w:t>Barthel FP</w:t>
      </w:r>
      <w:r w:rsidRPr="00F91674">
        <w:rPr>
          <w:rFonts w:ascii="Book Antiqua" w:eastAsia="宋体" w:hAnsi="Book Antiqua" w:cs="宋体"/>
          <w:color w:val="201F35"/>
          <w:lang w:eastAsia="zh-CN"/>
        </w:rPr>
        <w:t>, Johnson KC, Varn FS, Moskalik AD, Tanner G, Kocakavuk E, Anderson KJ, Abiola O, Aldape K, Alfaro KD, Alpar D, Amin SB, Ashley DM, Bandopadhayay P, Barnholtz-Sloan JS, Beroukhim R, Bock C, Brastianos PK, Brat DJ, Brodbelt AR, Bruns AF, Bulsara KR, Chakrabarty A, Chakravarti A, Chuang JH, Claus EB, Cochran EJ, Connelly J, Costello JF, Finocchiaro G, Fletcher MN, French PJ, Gan HK, Gilbert MR, Gould PV, Grimmer MR, Iavarone A, Ismail A, Jenkinson MD, Khasraw M, Kim H, Kouwenhoven MCM, LaViolette PS, Li M, Lichter P, Ligon KL, Lowman AK, Malta TM, Mazor T, McDonald KL, Molinaro AM, Nam DH, Nayyar N, Ng HK, Ngan CY, Niclou SP, Niers JM, Noushmehr H, Noorbakhsh J, Ormond DR, Park CK, Poisson LM, Rabadan R, Radlwimmer B, Rao G, Reifenberger G, Sa JK, Schuster M, Shaw BL, Short SC, Smitt PAS, Sloan AE, Smits M, Suzuki H, Tabatabai G, Van Meir EG, Watts C, Weller M, Wesseling P, Westerman BA, Widhalm G, Woehrer A, Yung WKA, Zadeh G, Huse JT, De Groot JF, Stead LF, Verhaak RGW; GLASS Consortium. Longitudinal molecular trajectories of diffuse glioma in adults. </w:t>
      </w:r>
      <w:r w:rsidRPr="00F91674">
        <w:rPr>
          <w:rFonts w:ascii="Book Antiqua" w:eastAsia="宋体" w:hAnsi="Book Antiqua" w:cs="宋体"/>
          <w:i/>
          <w:iCs/>
          <w:color w:val="201F35"/>
          <w:lang w:eastAsia="zh-CN"/>
        </w:rPr>
        <w:t>Nature</w:t>
      </w:r>
      <w:r w:rsidRPr="00F91674">
        <w:rPr>
          <w:rFonts w:ascii="Book Antiqua" w:eastAsia="宋体" w:hAnsi="Book Antiqua" w:cs="宋体"/>
          <w:color w:val="201F35"/>
          <w:lang w:eastAsia="zh-CN"/>
        </w:rPr>
        <w:t> 2019; </w:t>
      </w:r>
      <w:r w:rsidRPr="00F91674">
        <w:rPr>
          <w:rFonts w:ascii="Book Antiqua" w:eastAsia="宋体" w:hAnsi="Book Antiqua" w:cs="宋体"/>
          <w:b/>
          <w:bCs/>
          <w:color w:val="201F35"/>
          <w:lang w:eastAsia="zh-CN"/>
        </w:rPr>
        <w:t>576</w:t>
      </w:r>
      <w:r w:rsidRPr="00F91674">
        <w:rPr>
          <w:rFonts w:ascii="Book Antiqua" w:eastAsia="宋体" w:hAnsi="Book Antiqua" w:cs="宋体"/>
          <w:color w:val="201F35"/>
          <w:lang w:eastAsia="zh-CN"/>
        </w:rPr>
        <w:t>: 112-120 [PMID: 31748746 DOI: 10.1038/s41586-019-1775-1]</w:t>
      </w:r>
    </w:p>
    <w:p w14:paraId="7E8629A0"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190 </w:t>
      </w:r>
      <w:r w:rsidRPr="00F91674">
        <w:rPr>
          <w:rFonts w:ascii="Book Antiqua" w:eastAsia="宋体" w:hAnsi="Book Antiqua" w:cs="宋体"/>
          <w:b/>
          <w:bCs/>
          <w:color w:val="201F35"/>
          <w:lang w:eastAsia="zh-CN"/>
        </w:rPr>
        <w:t>Steinbichler TB</w:t>
      </w:r>
      <w:r w:rsidRPr="00F91674">
        <w:rPr>
          <w:rFonts w:ascii="Book Antiqua" w:eastAsia="宋体" w:hAnsi="Book Antiqua" w:cs="宋体"/>
          <w:color w:val="201F35"/>
          <w:lang w:eastAsia="zh-CN"/>
        </w:rPr>
        <w:t>, Dudás J, Skvortsov S, Ganswindt U, Riechelmann H, Skvortsova II. Therapy resistance mediated by cancer stem cells. </w:t>
      </w:r>
      <w:r w:rsidRPr="00F91674">
        <w:rPr>
          <w:rFonts w:ascii="Book Antiqua" w:eastAsia="宋体" w:hAnsi="Book Antiqua" w:cs="宋体"/>
          <w:i/>
          <w:iCs/>
          <w:color w:val="201F35"/>
          <w:lang w:eastAsia="zh-CN"/>
        </w:rPr>
        <w:t>Semin Cancer Biol</w:t>
      </w:r>
      <w:r w:rsidRPr="00F91674">
        <w:rPr>
          <w:rFonts w:ascii="Book Antiqua" w:eastAsia="宋体" w:hAnsi="Book Antiqua" w:cs="宋体"/>
          <w:color w:val="201F35"/>
          <w:lang w:eastAsia="zh-CN"/>
        </w:rPr>
        <w:t> 2018; </w:t>
      </w:r>
      <w:r w:rsidRPr="00F91674">
        <w:rPr>
          <w:rFonts w:ascii="Book Antiqua" w:eastAsia="宋体" w:hAnsi="Book Antiqua" w:cs="宋体"/>
          <w:b/>
          <w:bCs/>
          <w:color w:val="201F35"/>
          <w:lang w:eastAsia="zh-CN"/>
        </w:rPr>
        <w:t>53</w:t>
      </w:r>
      <w:r w:rsidRPr="00F91674">
        <w:rPr>
          <w:rFonts w:ascii="Book Antiqua" w:eastAsia="宋体" w:hAnsi="Book Antiqua" w:cs="宋体"/>
          <w:color w:val="201F35"/>
          <w:lang w:eastAsia="zh-CN"/>
        </w:rPr>
        <w:t>: 156-167 [PMID: 30471331 DOI: 10.1016/j.semcancer.2018.11.006]</w:t>
      </w:r>
    </w:p>
    <w:p w14:paraId="7BF7E458"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val="it-IT" w:eastAsia="zh-CN"/>
        </w:rPr>
        <w:t>191 </w:t>
      </w:r>
      <w:r w:rsidRPr="00F91674">
        <w:rPr>
          <w:rFonts w:ascii="Book Antiqua" w:eastAsia="宋体" w:hAnsi="Book Antiqua" w:cs="宋体"/>
          <w:b/>
          <w:bCs/>
          <w:color w:val="201F35"/>
          <w:lang w:val="it-IT" w:eastAsia="zh-CN"/>
        </w:rPr>
        <w:t>Fidoamore A</w:t>
      </w:r>
      <w:r w:rsidRPr="00F91674">
        <w:rPr>
          <w:rFonts w:ascii="Book Antiqua" w:eastAsia="宋体" w:hAnsi="Book Antiqua" w:cs="宋体"/>
          <w:color w:val="201F35"/>
          <w:lang w:val="it-IT" w:eastAsia="zh-CN"/>
        </w:rPr>
        <w:t>, Cristiano L, Antonosante A, d'Angelo M, Di Giacomo E, Astarita C, Giordano A, Ippoliti R, Benedetti E, Cimini A. Glioblastoma Stem Cells Microenvironment: The Paracrine Roles of the Niche in Drug and Radioresistance. </w:t>
      </w:r>
      <w:r w:rsidRPr="00F91674">
        <w:rPr>
          <w:rFonts w:ascii="Book Antiqua" w:eastAsia="宋体" w:hAnsi="Book Antiqua" w:cs="宋体"/>
          <w:i/>
          <w:iCs/>
          <w:color w:val="201F35"/>
          <w:lang w:eastAsia="zh-CN"/>
        </w:rPr>
        <w:t>Stem Cells Int</w:t>
      </w:r>
      <w:r w:rsidRPr="00F91674">
        <w:rPr>
          <w:rFonts w:ascii="Book Antiqua" w:eastAsia="宋体" w:hAnsi="Book Antiqua" w:cs="宋体"/>
          <w:color w:val="201F35"/>
          <w:lang w:eastAsia="zh-CN"/>
        </w:rPr>
        <w:t> 2016; </w:t>
      </w:r>
      <w:r w:rsidRPr="00F91674">
        <w:rPr>
          <w:rFonts w:ascii="Book Antiqua" w:eastAsia="宋体" w:hAnsi="Book Antiqua" w:cs="宋体"/>
          <w:b/>
          <w:bCs/>
          <w:color w:val="201F35"/>
          <w:lang w:eastAsia="zh-CN"/>
        </w:rPr>
        <w:t>2016</w:t>
      </w:r>
      <w:r w:rsidRPr="00F91674">
        <w:rPr>
          <w:rFonts w:ascii="Book Antiqua" w:eastAsia="宋体" w:hAnsi="Book Antiqua" w:cs="宋体"/>
          <w:color w:val="201F35"/>
          <w:lang w:eastAsia="zh-CN"/>
        </w:rPr>
        <w:t>: 6809105 [PMID: 26880981 DOI: 10.1155/2016/6809105]</w:t>
      </w:r>
    </w:p>
    <w:p w14:paraId="700002AB"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192 </w:t>
      </w:r>
      <w:r w:rsidRPr="00F91674">
        <w:rPr>
          <w:rFonts w:ascii="Book Antiqua" w:eastAsia="宋体" w:hAnsi="Book Antiqua" w:cs="宋体"/>
          <w:b/>
          <w:bCs/>
          <w:color w:val="201F35"/>
          <w:lang w:eastAsia="zh-CN"/>
        </w:rPr>
        <w:t>Garnier D</w:t>
      </w:r>
      <w:r w:rsidRPr="00F91674">
        <w:rPr>
          <w:rFonts w:ascii="Book Antiqua" w:eastAsia="宋体" w:hAnsi="Book Antiqua" w:cs="宋体"/>
          <w:color w:val="201F35"/>
          <w:lang w:eastAsia="zh-CN"/>
        </w:rPr>
        <w:t>, Renoult O, Alves-Guerra MC, Paris F, Pecqueur C. Glioblastoma Stem-</w:t>
      </w:r>
      <w:r w:rsidRPr="00F91674">
        <w:rPr>
          <w:rFonts w:ascii="Book Antiqua" w:eastAsia="宋体" w:hAnsi="Book Antiqua" w:cs="宋体"/>
          <w:i/>
          <w:iCs/>
          <w:color w:val="201F35"/>
          <w:lang w:eastAsia="zh-CN"/>
        </w:rPr>
        <w:t>Like</w:t>
      </w:r>
      <w:r w:rsidRPr="00F91674">
        <w:rPr>
          <w:rFonts w:ascii="Book Antiqua" w:eastAsia="宋体" w:hAnsi="Book Antiqua" w:cs="宋体"/>
          <w:color w:val="201F35"/>
          <w:lang w:eastAsia="zh-CN"/>
        </w:rPr>
        <w:t> Cells, Metabolic Strategy to Kill a Challenging Target. </w:t>
      </w:r>
      <w:r w:rsidRPr="00F91674">
        <w:rPr>
          <w:rFonts w:ascii="Book Antiqua" w:eastAsia="宋体" w:hAnsi="Book Antiqua" w:cs="宋体"/>
          <w:i/>
          <w:iCs/>
          <w:color w:val="201F35"/>
          <w:lang w:eastAsia="zh-CN"/>
        </w:rPr>
        <w:t>Front Oncol</w:t>
      </w:r>
      <w:r w:rsidRPr="00F91674">
        <w:rPr>
          <w:rFonts w:ascii="Book Antiqua" w:eastAsia="宋体" w:hAnsi="Book Antiqua" w:cs="宋体"/>
          <w:color w:val="201F35"/>
          <w:lang w:eastAsia="zh-CN"/>
        </w:rPr>
        <w:t> 2019; </w:t>
      </w:r>
      <w:r w:rsidRPr="00F91674">
        <w:rPr>
          <w:rFonts w:ascii="Book Antiqua" w:eastAsia="宋体" w:hAnsi="Book Antiqua" w:cs="宋体"/>
          <w:b/>
          <w:bCs/>
          <w:color w:val="201F35"/>
          <w:lang w:eastAsia="zh-CN"/>
        </w:rPr>
        <w:t>9</w:t>
      </w:r>
      <w:r w:rsidRPr="00F91674">
        <w:rPr>
          <w:rFonts w:ascii="Book Antiqua" w:eastAsia="宋体" w:hAnsi="Book Antiqua" w:cs="宋体"/>
          <w:color w:val="201F35"/>
          <w:lang w:eastAsia="zh-CN"/>
        </w:rPr>
        <w:t>: 118 [PMID: 30895167 DOI: 10.3389/fonc.2019.00118]</w:t>
      </w:r>
    </w:p>
    <w:p w14:paraId="4B736051"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193 </w:t>
      </w:r>
      <w:r w:rsidRPr="00F91674">
        <w:rPr>
          <w:rFonts w:ascii="Book Antiqua" w:eastAsia="宋体" w:hAnsi="Book Antiqua" w:cs="宋体"/>
          <w:b/>
          <w:bCs/>
          <w:color w:val="201F35"/>
          <w:lang w:eastAsia="zh-CN"/>
        </w:rPr>
        <w:t>Bindra RS</w:t>
      </w:r>
      <w:r w:rsidRPr="00F91674">
        <w:rPr>
          <w:rFonts w:ascii="Book Antiqua" w:eastAsia="宋体" w:hAnsi="Book Antiqua" w:cs="宋体"/>
          <w:color w:val="201F35"/>
          <w:lang w:eastAsia="zh-CN"/>
        </w:rPr>
        <w:t>, Chalmers AJ, Evans S, Dewhirst M. GBM radiosensitizers: dead in the water…or just the beginning? </w:t>
      </w:r>
      <w:r w:rsidRPr="00F91674">
        <w:rPr>
          <w:rFonts w:ascii="Book Antiqua" w:eastAsia="宋体" w:hAnsi="Book Antiqua" w:cs="宋体"/>
          <w:i/>
          <w:iCs/>
          <w:color w:val="201F35"/>
          <w:lang w:eastAsia="zh-CN"/>
        </w:rPr>
        <w:t>J Neurooncol</w:t>
      </w:r>
      <w:r w:rsidRPr="00F91674">
        <w:rPr>
          <w:rFonts w:ascii="Book Antiqua" w:eastAsia="宋体" w:hAnsi="Book Antiqua" w:cs="宋体"/>
          <w:color w:val="201F35"/>
          <w:lang w:eastAsia="zh-CN"/>
        </w:rPr>
        <w:t> 2017; </w:t>
      </w:r>
      <w:r w:rsidRPr="00F91674">
        <w:rPr>
          <w:rFonts w:ascii="Book Antiqua" w:eastAsia="宋体" w:hAnsi="Book Antiqua" w:cs="宋体"/>
          <w:b/>
          <w:bCs/>
          <w:color w:val="201F35"/>
          <w:lang w:eastAsia="zh-CN"/>
        </w:rPr>
        <w:t>134</w:t>
      </w:r>
      <w:r w:rsidRPr="00F91674">
        <w:rPr>
          <w:rFonts w:ascii="Book Antiqua" w:eastAsia="宋体" w:hAnsi="Book Antiqua" w:cs="宋体"/>
          <w:color w:val="201F35"/>
          <w:lang w:eastAsia="zh-CN"/>
        </w:rPr>
        <w:t>: 513-521 [PMID: 28762004 DOI: 10.1007/s11060-017-2427-7]</w:t>
      </w:r>
    </w:p>
    <w:p w14:paraId="2442E98E"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lastRenderedPageBreak/>
        <w:t>194 </w:t>
      </w:r>
      <w:r w:rsidRPr="00F91674">
        <w:rPr>
          <w:rFonts w:ascii="Book Antiqua" w:eastAsia="宋体" w:hAnsi="Book Antiqua" w:cs="宋体"/>
          <w:b/>
          <w:bCs/>
          <w:color w:val="201F35"/>
          <w:lang w:eastAsia="zh-CN"/>
        </w:rPr>
        <w:t>Cho Y</w:t>
      </w:r>
      <w:r w:rsidRPr="00F91674">
        <w:rPr>
          <w:rFonts w:ascii="Book Antiqua" w:eastAsia="宋体" w:hAnsi="Book Antiqua" w:cs="宋体"/>
          <w:color w:val="201F35"/>
          <w:lang w:eastAsia="zh-CN"/>
        </w:rPr>
        <w:t>, Kim YK. Cancer Stem Cells as a Potential Target to Overcome Multidrug Resistance. </w:t>
      </w:r>
      <w:r w:rsidRPr="00F91674">
        <w:rPr>
          <w:rFonts w:ascii="Book Antiqua" w:eastAsia="宋体" w:hAnsi="Book Antiqua" w:cs="宋体"/>
          <w:i/>
          <w:iCs/>
          <w:color w:val="201F35"/>
          <w:lang w:eastAsia="zh-CN"/>
        </w:rPr>
        <w:t>Front Oncol</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10</w:t>
      </w:r>
      <w:r w:rsidRPr="00F91674">
        <w:rPr>
          <w:rFonts w:ascii="Book Antiqua" w:eastAsia="宋体" w:hAnsi="Book Antiqua" w:cs="宋体"/>
          <w:color w:val="201F35"/>
          <w:lang w:eastAsia="zh-CN"/>
        </w:rPr>
        <w:t>: 764 [PMID: 32582535 DOI: 10.3389/fonc.2020.00764]</w:t>
      </w:r>
    </w:p>
    <w:p w14:paraId="3606B62B"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195 </w:t>
      </w:r>
      <w:r w:rsidRPr="00F91674">
        <w:rPr>
          <w:rFonts w:ascii="Book Antiqua" w:eastAsia="宋体" w:hAnsi="Book Antiqua" w:cs="宋体"/>
          <w:b/>
          <w:bCs/>
          <w:color w:val="201F35"/>
          <w:lang w:eastAsia="zh-CN"/>
        </w:rPr>
        <w:t>Ghosh D</w:t>
      </w:r>
      <w:r w:rsidRPr="00F91674">
        <w:rPr>
          <w:rFonts w:ascii="Book Antiqua" w:eastAsia="宋体" w:hAnsi="Book Antiqua" w:cs="宋体"/>
          <w:color w:val="201F35"/>
          <w:lang w:eastAsia="zh-CN"/>
        </w:rPr>
        <w:t>, Nandi S, Bhattacharjee S. Combination therapy to checkmate Glioblastoma: clinical challenges and advances. </w:t>
      </w:r>
      <w:r w:rsidRPr="00F91674">
        <w:rPr>
          <w:rFonts w:ascii="Book Antiqua" w:eastAsia="宋体" w:hAnsi="Book Antiqua" w:cs="宋体"/>
          <w:i/>
          <w:iCs/>
          <w:color w:val="201F35"/>
          <w:lang w:eastAsia="zh-CN"/>
        </w:rPr>
        <w:t>Clin Transl Med</w:t>
      </w:r>
      <w:r w:rsidRPr="00F91674">
        <w:rPr>
          <w:rFonts w:ascii="Book Antiqua" w:eastAsia="宋体" w:hAnsi="Book Antiqua" w:cs="宋体"/>
          <w:color w:val="201F35"/>
          <w:lang w:eastAsia="zh-CN"/>
        </w:rPr>
        <w:t> 2018; </w:t>
      </w:r>
      <w:r w:rsidRPr="00F91674">
        <w:rPr>
          <w:rFonts w:ascii="Book Antiqua" w:eastAsia="宋体" w:hAnsi="Book Antiqua" w:cs="宋体"/>
          <w:b/>
          <w:bCs/>
          <w:color w:val="201F35"/>
          <w:lang w:eastAsia="zh-CN"/>
        </w:rPr>
        <w:t>7</w:t>
      </w:r>
      <w:r w:rsidRPr="00F91674">
        <w:rPr>
          <w:rFonts w:ascii="Book Antiqua" w:eastAsia="宋体" w:hAnsi="Book Antiqua" w:cs="宋体"/>
          <w:color w:val="201F35"/>
          <w:lang w:eastAsia="zh-CN"/>
        </w:rPr>
        <w:t>: 33 [PMID: 30327965 DOI: 10.1186/s40169-018-0211-8]</w:t>
      </w:r>
    </w:p>
    <w:p w14:paraId="3A875155"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196 </w:t>
      </w:r>
      <w:r w:rsidRPr="00F91674">
        <w:rPr>
          <w:rFonts w:ascii="Book Antiqua" w:eastAsia="宋体" w:hAnsi="Book Antiqua" w:cs="宋体"/>
          <w:b/>
          <w:bCs/>
          <w:color w:val="201F35"/>
          <w:lang w:eastAsia="zh-CN"/>
        </w:rPr>
        <w:t>Weenink B</w:t>
      </w:r>
      <w:r w:rsidRPr="00F91674">
        <w:rPr>
          <w:rFonts w:ascii="Book Antiqua" w:eastAsia="宋体" w:hAnsi="Book Antiqua" w:cs="宋体"/>
          <w:color w:val="201F35"/>
          <w:lang w:eastAsia="zh-CN"/>
        </w:rPr>
        <w:t>, French PJ, Sillevis Smitt PAE, Debets R, Geurts M. Immunotherapy in Glioblastoma: Current Shortcomings and Future Perspectives. </w:t>
      </w:r>
      <w:r w:rsidRPr="00F91674">
        <w:rPr>
          <w:rFonts w:ascii="Book Antiqua" w:eastAsia="宋体" w:hAnsi="Book Antiqua" w:cs="宋体"/>
          <w:i/>
          <w:iCs/>
          <w:color w:val="201F35"/>
          <w:lang w:eastAsia="zh-CN"/>
        </w:rPr>
        <w:t>Cancers (Basel)</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12</w:t>
      </w:r>
      <w:r w:rsidRPr="00F91674">
        <w:rPr>
          <w:rFonts w:ascii="Book Antiqua" w:eastAsia="宋体" w:hAnsi="Book Antiqua" w:cs="宋体"/>
          <w:color w:val="201F35"/>
          <w:lang w:eastAsia="zh-CN"/>
        </w:rPr>
        <w:t>: 751 [PMID: 32235752 DOI: 10.3390/cancers12030751]</w:t>
      </w:r>
    </w:p>
    <w:p w14:paraId="74480F2E"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197 </w:t>
      </w:r>
      <w:r w:rsidRPr="00F91674">
        <w:rPr>
          <w:rFonts w:ascii="Book Antiqua" w:eastAsia="宋体" w:hAnsi="Book Antiqua" w:cs="宋体"/>
          <w:b/>
          <w:bCs/>
          <w:color w:val="201F35"/>
          <w:lang w:eastAsia="zh-CN"/>
        </w:rPr>
        <w:t>Suvà ML</w:t>
      </w:r>
      <w:r w:rsidRPr="00F91674">
        <w:rPr>
          <w:rFonts w:ascii="Book Antiqua" w:eastAsia="宋体" w:hAnsi="Book Antiqua" w:cs="宋体"/>
          <w:color w:val="201F35"/>
          <w:lang w:eastAsia="zh-CN"/>
        </w:rPr>
        <w:t>, Riggi N, Bernstein BE. Epigenetic reprogramming in cancer. </w:t>
      </w:r>
      <w:r w:rsidRPr="00F91674">
        <w:rPr>
          <w:rFonts w:ascii="Book Antiqua" w:eastAsia="宋体" w:hAnsi="Book Antiqua" w:cs="宋体"/>
          <w:i/>
          <w:iCs/>
          <w:color w:val="201F35"/>
          <w:lang w:eastAsia="zh-CN"/>
        </w:rPr>
        <w:t>Science</w:t>
      </w:r>
      <w:r w:rsidRPr="00F91674">
        <w:rPr>
          <w:rFonts w:ascii="Book Antiqua" w:eastAsia="宋体" w:hAnsi="Book Antiqua" w:cs="宋体"/>
          <w:color w:val="201F35"/>
          <w:lang w:eastAsia="zh-CN"/>
        </w:rPr>
        <w:t> 2013; </w:t>
      </w:r>
      <w:r w:rsidRPr="00F91674">
        <w:rPr>
          <w:rFonts w:ascii="Book Antiqua" w:eastAsia="宋体" w:hAnsi="Book Antiqua" w:cs="宋体"/>
          <w:b/>
          <w:bCs/>
          <w:color w:val="201F35"/>
          <w:lang w:eastAsia="zh-CN"/>
        </w:rPr>
        <w:t>339</w:t>
      </w:r>
      <w:r w:rsidRPr="00F91674">
        <w:rPr>
          <w:rFonts w:ascii="Book Antiqua" w:eastAsia="宋体" w:hAnsi="Book Antiqua" w:cs="宋体"/>
          <w:color w:val="201F35"/>
          <w:lang w:eastAsia="zh-CN"/>
        </w:rPr>
        <w:t>: 1567-1570 [PMID: 23539597 DOI: 10.1126/science.1230184]</w:t>
      </w:r>
    </w:p>
    <w:p w14:paraId="0B7B47BB"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198 </w:t>
      </w:r>
      <w:r w:rsidRPr="00F91674">
        <w:rPr>
          <w:rFonts w:ascii="Book Antiqua" w:eastAsia="宋体" w:hAnsi="Book Antiqua" w:cs="宋体"/>
          <w:b/>
          <w:bCs/>
          <w:color w:val="201F35"/>
          <w:lang w:eastAsia="zh-CN"/>
        </w:rPr>
        <w:t>Garros-Regulez L</w:t>
      </w:r>
      <w:r w:rsidRPr="00F91674">
        <w:rPr>
          <w:rFonts w:ascii="Book Antiqua" w:eastAsia="宋体" w:hAnsi="Book Antiqua" w:cs="宋体"/>
          <w:color w:val="201F35"/>
          <w:lang w:eastAsia="zh-CN"/>
        </w:rPr>
        <w:t>, Garcia I, Carrasco-Garcia E, Lantero A, Aldaz P, Moreno-Cugnon L, Arrizabalaga O, Undabeitia J, Torres-Bayona S, Villanua J, Ruiz I, Egaña L, Sampron N, Matheu A. Targeting SOX2 as a Therapeutic Strategy in Glioblastoma. </w:t>
      </w:r>
      <w:r w:rsidRPr="00F91674">
        <w:rPr>
          <w:rFonts w:ascii="Book Antiqua" w:eastAsia="宋体" w:hAnsi="Book Antiqua" w:cs="宋体"/>
          <w:i/>
          <w:iCs/>
          <w:color w:val="201F35"/>
          <w:lang w:eastAsia="zh-CN"/>
        </w:rPr>
        <w:t>Front Oncol</w:t>
      </w:r>
      <w:r w:rsidRPr="00F91674">
        <w:rPr>
          <w:rFonts w:ascii="Book Antiqua" w:eastAsia="宋体" w:hAnsi="Book Antiqua" w:cs="宋体"/>
          <w:color w:val="201F35"/>
          <w:lang w:eastAsia="zh-CN"/>
        </w:rPr>
        <w:t> 2016; </w:t>
      </w:r>
      <w:r w:rsidRPr="00F91674">
        <w:rPr>
          <w:rFonts w:ascii="Book Antiqua" w:eastAsia="宋体" w:hAnsi="Book Antiqua" w:cs="宋体"/>
          <w:b/>
          <w:bCs/>
          <w:color w:val="201F35"/>
          <w:lang w:eastAsia="zh-CN"/>
        </w:rPr>
        <w:t>6</w:t>
      </w:r>
      <w:r w:rsidRPr="00F91674">
        <w:rPr>
          <w:rFonts w:ascii="Book Antiqua" w:eastAsia="宋体" w:hAnsi="Book Antiqua" w:cs="宋体"/>
          <w:color w:val="201F35"/>
          <w:lang w:eastAsia="zh-CN"/>
        </w:rPr>
        <w:t>: 222 [PMID: 27822457 DOI: 10.3389/fonc.2016.00222]</w:t>
      </w:r>
    </w:p>
    <w:p w14:paraId="137B99B1"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199 </w:t>
      </w:r>
      <w:r w:rsidRPr="00F91674">
        <w:rPr>
          <w:rFonts w:ascii="Book Antiqua" w:eastAsia="宋体" w:hAnsi="Book Antiqua" w:cs="宋体"/>
          <w:b/>
          <w:bCs/>
          <w:color w:val="201F35"/>
          <w:lang w:eastAsia="zh-CN"/>
        </w:rPr>
        <w:t>Hägerstrand D</w:t>
      </w:r>
      <w:r w:rsidRPr="00F91674">
        <w:rPr>
          <w:rFonts w:ascii="Book Antiqua" w:eastAsia="宋体" w:hAnsi="Book Antiqua" w:cs="宋体"/>
          <w:color w:val="201F35"/>
          <w:lang w:eastAsia="zh-CN"/>
        </w:rPr>
        <w:t>, He X, Bradic Lindh M, Hoefs S, Hesselager G, Ostman A, Nistér M. Identification of a SOX2-dependent subset of tumor- and sphere-forming glioblastoma cells with a distinct tyrosine kinase inhibitor sensitivity profile. </w:t>
      </w:r>
      <w:r w:rsidRPr="00F91674">
        <w:rPr>
          <w:rFonts w:ascii="Book Antiqua" w:eastAsia="宋体" w:hAnsi="Book Antiqua" w:cs="宋体"/>
          <w:i/>
          <w:iCs/>
          <w:color w:val="201F35"/>
          <w:lang w:eastAsia="zh-CN"/>
        </w:rPr>
        <w:t>Neuro Oncol</w:t>
      </w:r>
      <w:r w:rsidRPr="00F91674">
        <w:rPr>
          <w:rFonts w:ascii="Book Antiqua" w:eastAsia="宋体" w:hAnsi="Book Antiqua" w:cs="宋体"/>
          <w:color w:val="201F35"/>
          <w:lang w:eastAsia="zh-CN"/>
        </w:rPr>
        <w:t> 2011; </w:t>
      </w:r>
      <w:r w:rsidRPr="00F91674">
        <w:rPr>
          <w:rFonts w:ascii="Book Antiqua" w:eastAsia="宋体" w:hAnsi="Book Antiqua" w:cs="宋体"/>
          <w:b/>
          <w:bCs/>
          <w:color w:val="201F35"/>
          <w:lang w:eastAsia="zh-CN"/>
        </w:rPr>
        <w:t>13</w:t>
      </w:r>
      <w:r w:rsidRPr="00F91674">
        <w:rPr>
          <w:rFonts w:ascii="Book Antiqua" w:eastAsia="宋体" w:hAnsi="Book Antiqua" w:cs="宋体"/>
          <w:color w:val="201F35"/>
          <w:lang w:eastAsia="zh-CN"/>
        </w:rPr>
        <w:t>: 1178-1191 [PMID: 21940738 DOI: 10.1093/neuonc/nor113]</w:t>
      </w:r>
    </w:p>
    <w:p w14:paraId="07C3DD17"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200 </w:t>
      </w:r>
      <w:r w:rsidRPr="00F91674">
        <w:rPr>
          <w:rFonts w:ascii="Book Antiqua" w:eastAsia="宋体" w:hAnsi="Book Antiqua" w:cs="宋体"/>
          <w:b/>
          <w:bCs/>
          <w:color w:val="201F35"/>
          <w:lang w:eastAsia="zh-CN"/>
        </w:rPr>
        <w:t>Singh S</w:t>
      </w:r>
      <w:r w:rsidRPr="00F91674">
        <w:rPr>
          <w:rFonts w:ascii="Book Antiqua" w:eastAsia="宋体" w:hAnsi="Book Antiqua" w:cs="宋体"/>
          <w:color w:val="201F35"/>
          <w:lang w:eastAsia="zh-CN"/>
        </w:rPr>
        <w:t>, Trevino J, Bora-Singhal N, Coppola D, Haura E, Altiok S, Chellappan SP. EGFR/Src/Akt signaling modulates Sox2 expression and self-renewal of stem-like side-population cells in non-small cell lung cancer. </w:t>
      </w:r>
      <w:r w:rsidRPr="00F91674">
        <w:rPr>
          <w:rFonts w:ascii="Book Antiqua" w:eastAsia="宋体" w:hAnsi="Book Antiqua" w:cs="宋体"/>
          <w:i/>
          <w:iCs/>
          <w:color w:val="201F35"/>
          <w:lang w:eastAsia="zh-CN"/>
        </w:rPr>
        <w:t>Mol Cancer</w:t>
      </w:r>
      <w:r w:rsidRPr="00F91674">
        <w:rPr>
          <w:rFonts w:ascii="Book Antiqua" w:eastAsia="宋体" w:hAnsi="Book Antiqua" w:cs="宋体"/>
          <w:color w:val="201F35"/>
          <w:lang w:eastAsia="zh-CN"/>
        </w:rPr>
        <w:t> 2012; </w:t>
      </w:r>
      <w:r w:rsidRPr="00F91674">
        <w:rPr>
          <w:rFonts w:ascii="Book Antiqua" w:eastAsia="宋体" w:hAnsi="Book Antiqua" w:cs="宋体"/>
          <w:b/>
          <w:bCs/>
          <w:color w:val="201F35"/>
          <w:lang w:eastAsia="zh-CN"/>
        </w:rPr>
        <w:t>11</w:t>
      </w:r>
      <w:r w:rsidRPr="00F91674">
        <w:rPr>
          <w:rFonts w:ascii="Book Antiqua" w:eastAsia="宋体" w:hAnsi="Book Antiqua" w:cs="宋体"/>
          <w:color w:val="201F35"/>
          <w:lang w:eastAsia="zh-CN"/>
        </w:rPr>
        <w:t>: 73 [PMID: 23009336 DOI: 10.1186/1476-4598-11-73]</w:t>
      </w:r>
    </w:p>
    <w:p w14:paraId="00058145"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201 </w:t>
      </w:r>
      <w:r w:rsidRPr="00F91674">
        <w:rPr>
          <w:rFonts w:ascii="Book Antiqua" w:eastAsia="宋体" w:hAnsi="Book Antiqua" w:cs="宋体"/>
          <w:b/>
          <w:bCs/>
          <w:color w:val="201F35"/>
          <w:lang w:eastAsia="zh-CN"/>
        </w:rPr>
        <w:t>Li Z</w:t>
      </w:r>
      <w:r w:rsidRPr="00F91674">
        <w:rPr>
          <w:rFonts w:ascii="Book Antiqua" w:eastAsia="宋体" w:hAnsi="Book Antiqua" w:cs="宋体"/>
          <w:color w:val="201F35"/>
          <w:lang w:eastAsia="zh-CN"/>
        </w:rPr>
        <w:t>, Chen Y, An T, Liu P, Zhu J, Yang H, Zhang W, Dong T, Jiang J, Zhang Y, Jiang M, Yang X. Nuciferine inhibits the progression of glioblastoma by suppressing the SOX2-AKT/STAT3-Slug signaling pathway. </w:t>
      </w:r>
      <w:r w:rsidRPr="00F91674">
        <w:rPr>
          <w:rFonts w:ascii="Book Antiqua" w:eastAsia="宋体" w:hAnsi="Book Antiqua" w:cs="宋体"/>
          <w:i/>
          <w:iCs/>
          <w:color w:val="201F35"/>
          <w:lang w:eastAsia="zh-CN"/>
        </w:rPr>
        <w:t>J Exp Clin Cancer Res</w:t>
      </w:r>
      <w:r w:rsidRPr="00F91674">
        <w:rPr>
          <w:rFonts w:ascii="Book Antiqua" w:eastAsia="宋体" w:hAnsi="Book Antiqua" w:cs="宋体"/>
          <w:color w:val="201F35"/>
          <w:lang w:eastAsia="zh-CN"/>
        </w:rPr>
        <w:t> 2019; </w:t>
      </w:r>
      <w:r w:rsidRPr="00F91674">
        <w:rPr>
          <w:rFonts w:ascii="Book Antiqua" w:eastAsia="宋体" w:hAnsi="Book Antiqua" w:cs="宋体"/>
          <w:b/>
          <w:bCs/>
          <w:color w:val="201F35"/>
          <w:lang w:eastAsia="zh-CN"/>
        </w:rPr>
        <w:t>38</w:t>
      </w:r>
      <w:r w:rsidRPr="00F91674">
        <w:rPr>
          <w:rFonts w:ascii="Book Antiqua" w:eastAsia="宋体" w:hAnsi="Book Antiqua" w:cs="宋体"/>
          <w:color w:val="201F35"/>
          <w:lang w:eastAsia="zh-CN"/>
        </w:rPr>
        <w:t>: 139 [PMID: 30922391 DOI: 10.1186/s13046-019-1134-y]</w:t>
      </w:r>
    </w:p>
    <w:p w14:paraId="6E3CD33C"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202 </w:t>
      </w:r>
      <w:r w:rsidRPr="00F91674">
        <w:rPr>
          <w:rFonts w:ascii="Book Antiqua" w:eastAsia="宋体" w:hAnsi="Book Antiqua" w:cs="宋体"/>
          <w:b/>
          <w:bCs/>
          <w:color w:val="201F35"/>
          <w:lang w:eastAsia="zh-CN"/>
        </w:rPr>
        <w:t>Magrath JW</w:t>
      </w:r>
      <w:r w:rsidRPr="00F91674">
        <w:rPr>
          <w:rFonts w:ascii="Book Antiqua" w:eastAsia="宋体" w:hAnsi="Book Antiqua" w:cs="宋体"/>
          <w:color w:val="201F35"/>
          <w:lang w:eastAsia="zh-CN"/>
        </w:rPr>
        <w:t>, Raney WR, Kim Y. In vitro demonstration of salinomycin as a novel chemotherapeutic agent for the treatment of SOX2</w:t>
      </w:r>
      <w:r w:rsidRPr="00F91674">
        <w:rPr>
          <w:rFonts w:ascii="Book Antiqua" w:eastAsia="宋体" w:hAnsi="Book Antiqua" w:cs="宋体"/>
          <w:color w:val="201F35"/>
          <w:lang w:eastAsia="zh-CN"/>
        </w:rPr>
        <w:noBreakHyphen/>
        <w:t>positive glioblastoma cancer stem cells. </w:t>
      </w:r>
      <w:r w:rsidRPr="00F91674">
        <w:rPr>
          <w:rFonts w:ascii="Book Antiqua" w:eastAsia="宋体" w:hAnsi="Book Antiqua" w:cs="宋体"/>
          <w:i/>
          <w:iCs/>
          <w:color w:val="201F35"/>
          <w:lang w:eastAsia="zh-CN"/>
        </w:rPr>
        <w:t>Oncol Rep</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44</w:t>
      </w:r>
      <w:r w:rsidRPr="00F91674">
        <w:rPr>
          <w:rFonts w:ascii="Book Antiqua" w:eastAsia="宋体" w:hAnsi="Book Antiqua" w:cs="宋体"/>
          <w:color w:val="201F35"/>
          <w:lang w:eastAsia="zh-CN"/>
        </w:rPr>
        <w:t>: 777-785 [PMID: 32627023 DOI: 10.3892/or.2020.7642]</w:t>
      </w:r>
    </w:p>
    <w:p w14:paraId="2E809438"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lastRenderedPageBreak/>
        <w:t>203 </w:t>
      </w:r>
      <w:r w:rsidRPr="00F91674">
        <w:rPr>
          <w:rFonts w:ascii="Book Antiqua" w:eastAsia="宋体" w:hAnsi="Book Antiqua" w:cs="宋体"/>
          <w:b/>
          <w:bCs/>
          <w:color w:val="201F35"/>
          <w:lang w:eastAsia="zh-CN"/>
        </w:rPr>
        <w:t>Shi L</w:t>
      </w:r>
      <w:r w:rsidRPr="00F91674">
        <w:rPr>
          <w:rFonts w:ascii="Book Antiqua" w:eastAsia="宋体" w:hAnsi="Book Antiqua" w:cs="宋体"/>
          <w:color w:val="201F35"/>
          <w:lang w:eastAsia="zh-CN"/>
        </w:rPr>
        <w:t>, Wang Z, Sun G. Curcumin induces glioma stem-like cell formation. </w:t>
      </w:r>
      <w:r w:rsidRPr="00F91674">
        <w:rPr>
          <w:rFonts w:ascii="Book Antiqua" w:eastAsia="宋体" w:hAnsi="Book Antiqua" w:cs="宋体"/>
          <w:i/>
          <w:iCs/>
          <w:color w:val="201F35"/>
          <w:lang w:eastAsia="zh-CN"/>
        </w:rPr>
        <w:t>Neuroreport</w:t>
      </w:r>
      <w:r w:rsidRPr="00F91674">
        <w:rPr>
          <w:rFonts w:ascii="Book Antiqua" w:eastAsia="宋体" w:hAnsi="Book Antiqua" w:cs="宋体"/>
          <w:color w:val="201F35"/>
          <w:lang w:eastAsia="zh-CN"/>
        </w:rPr>
        <w:t> 2015; </w:t>
      </w:r>
      <w:r w:rsidRPr="00F91674">
        <w:rPr>
          <w:rFonts w:ascii="Book Antiqua" w:eastAsia="宋体" w:hAnsi="Book Antiqua" w:cs="宋体"/>
          <w:b/>
          <w:bCs/>
          <w:color w:val="201F35"/>
          <w:lang w:eastAsia="zh-CN"/>
        </w:rPr>
        <w:t>26</w:t>
      </w:r>
      <w:r w:rsidRPr="00F91674">
        <w:rPr>
          <w:rFonts w:ascii="Book Antiqua" w:eastAsia="宋体" w:hAnsi="Book Antiqua" w:cs="宋体"/>
          <w:color w:val="201F35"/>
          <w:lang w:eastAsia="zh-CN"/>
        </w:rPr>
        <w:t>: 167-172 [PMID: 25602852 DOI: 10.1097/WNR.0000000000000320]</w:t>
      </w:r>
    </w:p>
    <w:p w14:paraId="15C2ED81"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204 </w:t>
      </w:r>
      <w:r w:rsidRPr="00F91674">
        <w:rPr>
          <w:rFonts w:ascii="Book Antiqua" w:eastAsia="宋体" w:hAnsi="Book Antiqua" w:cs="宋体"/>
          <w:b/>
          <w:bCs/>
          <w:color w:val="201F35"/>
          <w:lang w:eastAsia="zh-CN"/>
        </w:rPr>
        <w:t>Taylor JT</w:t>
      </w:r>
      <w:r w:rsidRPr="00F91674">
        <w:rPr>
          <w:rFonts w:ascii="Book Antiqua" w:eastAsia="宋体" w:hAnsi="Book Antiqua" w:cs="宋体"/>
          <w:color w:val="201F35"/>
          <w:lang w:eastAsia="zh-CN"/>
        </w:rPr>
        <w:t>, Ellison S, Pandele A, Wood S, Nathan E, Forte G, Parker H, Zindy E, Elvin M, Dickson A, Williams KJ, Karabatsou K, McCabe M, McBain C, Bigger BW. Actinomycin D downregulates Sox2 and improves survival in preclinical models of recurrent glioblastoma. </w:t>
      </w:r>
      <w:r w:rsidRPr="00F91674">
        <w:rPr>
          <w:rFonts w:ascii="Book Antiqua" w:eastAsia="宋体" w:hAnsi="Book Antiqua" w:cs="宋体"/>
          <w:i/>
          <w:iCs/>
          <w:color w:val="201F35"/>
          <w:lang w:eastAsia="zh-CN"/>
        </w:rPr>
        <w:t>Neuro Oncol</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22</w:t>
      </w:r>
      <w:r w:rsidRPr="00F91674">
        <w:rPr>
          <w:rFonts w:ascii="Book Antiqua" w:eastAsia="宋体" w:hAnsi="Book Antiqua" w:cs="宋体"/>
          <w:color w:val="201F35"/>
          <w:lang w:eastAsia="zh-CN"/>
        </w:rPr>
        <w:t>: 1289-1301 [PMID: 32227096 DOI: 10.1093/neuonc/noaa051]</w:t>
      </w:r>
    </w:p>
    <w:p w14:paraId="721E3A70"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205 </w:t>
      </w:r>
      <w:r w:rsidRPr="00F91674">
        <w:rPr>
          <w:rFonts w:ascii="Book Antiqua" w:eastAsia="宋体" w:hAnsi="Book Antiqua" w:cs="宋体"/>
          <w:b/>
          <w:bCs/>
          <w:color w:val="201F35"/>
          <w:lang w:eastAsia="zh-CN"/>
        </w:rPr>
        <w:t>Taniguchi J</w:t>
      </w:r>
      <w:r w:rsidRPr="00F91674">
        <w:rPr>
          <w:rFonts w:ascii="Book Antiqua" w:eastAsia="宋体" w:hAnsi="Book Antiqua" w:cs="宋体"/>
          <w:color w:val="201F35"/>
          <w:lang w:eastAsia="zh-CN"/>
        </w:rPr>
        <w:t>, Pandian GN, Hidaka T, Hashiya K, Bando T, Kim KK, Sugiyama H. A synthetic DNA-binding inhibitor of SOX2 guides human induced pluripotent stem cells to differentiate into mesoderm. </w:t>
      </w:r>
      <w:r w:rsidRPr="00F91674">
        <w:rPr>
          <w:rFonts w:ascii="Book Antiqua" w:eastAsia="宋体" w:hAnsi="Book Antiqua" w:cs="宋体"/>
          <w:i/>
          <w:iCs/>
          <w:color w:val="201F35"/>
          <w:lang w:eastAsia="zh-CN"/>
        </w:rPr>
        <w:t>Nucleic Acids Res</w:t>
      </w:r>
      <w:r w:rsidRPr="00F91674">
        <w:rPr>
          <w:rFonts w:ascii="Book Antiqua" w:eastAsia="宋体" w:hAnsi="Book Antiqua" w:cs="宋体"/>
          <w:color w:val="201F35"/>
          <w:lang w:eastAsia="zh-CN"/>
        </w:rPr>
        <w:t> 2017; </w:t>
      </w:r>
      <w:r w:rsidRPr="00F91674">
        <w:rPr>
          <w:rFonts w:ascii="Book Antiqua" w:eastAsia="宋体" w:hAnsi="Book Antiqua" w:cs="宋体"/>
          <w:b/>
          <w:bCs/>
          <w:color w:val="201F35"/>
          <w:lang w:eastAsia="zh-CN"/>
        </w:rPr>
        <w:t>45</w:t>
      </w:r>
      <w:r w:rsidRPr="00F91674">
        <w:rPr>
          <w:rFonts w:ascii="Book Antiqua" w:eastAsia="宋体" w:hAnsi="Book Antiqua" w:cs="宋体"/>
          <w:color w:val="201F35"/>
          <w:lang w:eastAsia="zh-CN"/>
        </w:rPr>
        <w:t>: 9219-9228 [PMID: 28934500 DOI: 10.1093/nar/gkx693]</w:t>
      </w:r>
    </w:p>
    <w:p w14:paraId="0CB4CCF5"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206 </w:t>
      </w:r>
      <w:r w:rsidRPr="00F91674">
        <w:rPr>
          <w:rFonts w:ascii="Book Antiqua" w:hAnsi="Book Antiqua"/>
          <w:b/>
          <w:bCs/>
          <w:color w:val="201F35"/>
          <w:shd w:val="clear" w:color="auto" w:fill="FFFFFF"/>
        </w:rPr>
        <w:t>Yin Y</w:t>
      </w:r>
      <w:r w:rsidRPr="00F91674">
        <w:rPr>
          <w:rFonts w:ascii="Book Antiqua" w:hAnsi="Book Antiqua"/>
          <w:color w:val="201F35"/>
          <w:shd w:val="clear" w:color="auto" w:fill="FFFFFF"/>
        </w:rPr>
        <w:t>, Xie CM, Li H, Tan M, Chen G, Schiff R, Xiong X, Sun Y. The FBXW2-MSX2-SOX2 axis regulates stem cell property and drug resistance of cancer cells. </w:t>
      </w:r>
      <w:r w:rsidRPr="00F91674">
        <w:rPr>
          <w:rFonts w:ascii="Book Antiqua" w:hAnsi="Book Antiqua"/>
          <w:i/>
          <w:iCs/>
          <w:color w:val="201F35"/>
          <w:shd w:val="clear" w:color="auto" w:fill="FFFFFF"/>
        </w:rPr>
        <w:t>Proc Natl Acad Sci U S A</w:t>
      </w:r>
      <w:r w:rsidRPr="00F91674">
        <w:rPr>
          <w:rFonts w:ascii="Book Antiqua" w:hAnsi="Book Antiqua"/>
          <w:color w:val="201F35"/>
          <w:shd w:val="clear" w:color="auto" w:fill="FFFFFF"/>
        </w:rPr>
        <w:t> 2019; </w:t>
      </w:r>
      <w:r w:rsidRPr="00F91674">
        <w:rPr>
          <w:rFonts w:ascii="Book Antiqua" w:hAnsi="Book Antiqua"/>
          <w:b/>
          <w:bCs/>
          <w:color w:val="201F35"/>
          <w:shd w:val="clear" w:color="auto" w:fill="FFFFFF"/>
        </w:rPr>
        <w:t>116</w:t>
      </w:r>
      <w:r w:rsidRPr="00F91674">
        <w:rPr>
          <w:rFonts w:ascii="Book Antiqua" w:hAnsi="Book Antiqua"/>
          <w:color w:val="201F35"/>
          <w:shd w:val="clear" w:color="auto" w:fill="FFFFFF"/>
        </w:rPr>
        <w:t>: 20528-20538 [PMID: 31548378 DOI: 10.1073/pnas.1905973116]</w:t>
      </w:r>
    </w:p>
    <w:p w14:paraId="0F2786A2"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207 </w:t>
      </w:r>
      <w:r w:rsidRPr="00F91674">
        <w:rPr>
          <w:rFonts w:ascii="Book Antiqua" w:eastAsia="宋体" w:hAnsi="Book Antiqua" w:cs="宋体"/>
          <w:b/>
          <w:bCs/>
          <w:color w:val="201F35"/>
          <w:lang w:eastAsia="zh-CN"/>
        </w:rPr>
        <w:t>Favaro R</w:t>
      </w:r>
      <w:r w:rsidRPr="00F91674">
        <w:rPr>
          <w:rFonts w:ascii="Book Antiqua" w:eastAsia="宋体" w:hAnsi="Book Antiqua" w:cs="宋体"/>
          <w:color w:val="201F35"/>
          <w:lang w:eastAsia="zh-CN"/>
        </w:rPr>
        <w:t>, Appolloni I, Pellegatta S, Sanga AB, Pagella P, Gambini E, Pisati F, Ottolenghi S, Foti M, Finocchiaro G, Malatesta P, Nicolis SK. Sox2 is required to maintain cancer stem cells in a mouse model of high-grade oligodendroglioma. </w:t>
      </w:r>
      <w:r w:rsidRPr="00F91674">
        <w:rPr>
          <w:rFonts w:ascii="Book Antiqua" w:eastAsia="宋体" w:hAnsi="Book Antiqua" w:cs="宋体"/>
          <w:i/>
          <w:iCs/>
          <w:color w:val="201F35"/>
          <w:lang w:eastAsia="zh-CN"/>
        </w:rPr>
        <w:t>Cancer Res</w:t>
      </w:r>
      <w:r w:rsidRPr="00F91674">
        <w:rPr>
          <w:rFonts w:ascii="Book Antiqua" w:eastAsia="宋体" w:hAnsi="Book Antiqua" w:cs="宋体"/>
          <w:color w:val="201F35"/>
          <w:lang w:eastAsia="zh-CN"/>
        </w:rPr>
        <w:t> 2014; </w:t>
      </w:r>
      <w:r w:rsidRPr="00F91674">
        <w:rPr>
          <w:rFonts w:ascii="Book Antiqua" w:eastAsia="宋体" w:hAnsi="Book Antiqua" w:cs="宋体"/>
          <w:b/>
          <w:bCs/>
          <w:color w:val="201F35"/>
          <w:lang w:eastAsia="zh-CN"/>
        </w:rPr>
        <w:t>74</w:t>
      </w:r>
      <w:r w:rsidRPr="00F91674">
        <w:rPr>
          <w:rFonts w:ascii="Book Antiqua" w:eastAsia="宋体" w:hAnsi="Book Antiqua" w:cs="宋体"/>
          <w:color w:val="201F35"/>
          <w:lang w:eastAsia="zh-CN"/>
        </w:rPr>
        <w:t>: 1833-1844 [PMID: 24599129 DOI: 10.1158/0008-5472.CAN-13-1942]</w:t>
      </w:r>
    </w:p>
    <w:p w14:paraId="7A64AE18"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208 </w:t>
      </w:r>
      <w:r w:rsidRPr="00F91674">
        <w:rPr>
          <w:rFonts w:ascii="Book Antiqua" w:eastAsia="宋体" w:hAnsi="Book Antiqua" w:cs="宋体"/>
          <w:b/>
          <w:bCs/>
          <w:color w:val="201F35"/>
          <w:lang w:eastAsia="zh-CN"/>
        </w:rPr>
        <w:t>Ueda R</w:t>
      </w:r>
      <w:r w:rsidRPr="00F91674">
        <w:rPr>
          <w:rFonts w:ascii="Book Antiqua" w:eastAsia="宋体" w:hAnsi="Book Antiqua" w:cs="宋体"/>
          <w:color w:val="201F35"/>
          <w:lang w:eastAsia="zh-CN"/>
        </w:rPr>
        <w:t>, Ohkusu-Tsukada K, Fusaki N, Soeda A, Kawase T, Kawakami Y, Toda M. Identification of HLA-A2- and A24-restricted T-cell epitopes derived from SOX6 expressed in glioma stem cells for immunotherapy. </w:t>
      </w:r>
      <w:r w:rsidRPr="00F91674">
        <w:rPr>
          <w:rFonts w:ascii="Book Antiqua" w:eastAsia="宋体" w:hAnsi="Book Antiqua" w:cs="宋体"/>
          <w:i/>
          <w:iCs/>
          <w:color w:val="201F35"/>
          <w:lang w:eastAsia="zh-CN"/>
        </w:rPr>
        <w:t>Int J Cancer</w:t>
      </w:r>
      <w:r w:rsidRPr="00F91674">
        <w:rPr>
          <w:rFonts w:ascii="Book Antiqua" w:eastAsia="宋体" w:hAnsi="Book Antiqua" w:cs="宋体"/>
          <w:color w:val="201F35"/>
          <w:lang w:eastAsia="zh-CN"/>
        </w:rPr>
        <w:t> 2010; </w:t>
      </w:r>
      <w:r w:rsidRPr="00F91674">
        <w:rPr>
          <w:rFonts w:ascii="Book Antiqua" w:eastAsia="宋体" w:hAnsi="Book Antiqua" w:cs="宋体"/>
          <w:b/>
          <w:bCs/>
          <w:color w:val="201F35"/>
          <w:lang w:eastAsia="zh-CN"/>
        </w:rPr>
        <w:t>126</w:t>
      </w:r>
      <w:r w:rsidRPr="00F91674">
        <w:rPr>
          <w:rFonts w:ascii="Book Antiqua" w:eastAsia="宋体" w:hAnsi="Book Antiqua" w:cs="宋体"/>
          <w:color w:val="201F35"/>
          <w:lang w:eastAsia="zh-CN"/>
        </w:rPr>
        <w:t>: 919-929 [PMID: 19728337 DOI: 10.1002/ijc.24851]</w:t>
      </w:r>
    </w:p>
    <w:p w14:paraId="0377C63C"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209 </w:t>
      </w:r>
      <w:r w:rsidRPr="00F91674">
        <w:rPr>
          <w:rFonts w:ascii="Book Antiqua" w:eastAsia="宋体" w:hAnsi="Book Antiqua" w:cs="宋体"/>
          <w:b/>
          <w:bCs/>
          <w:color w:val="201F35"/>
          <w:lang w:eastAsia="zh-CN"/>
        </w:rPr>
        <w:t>Liu K</w:t>
      </w:r>
      <w:r w:rsidRPr="00F91674">
        <w:rPr>
          <w:rFonts w:ascii="Book Antiqua" w:eastAsia="宋体" w:hAnsi="Book Antiqua" w:cs="宋体"/>
          <w:color w:val="201F35"/>
          <w:lang w:eastAsia="zh-CN"/>
        </w:rPr>
        <w:t>, Xie F, Zhao T, Zhang R, Gao A, Chen Y, Li H, Zhang S, Xiao Z, Li J, Hong X, Shang L, Huang W, Wang J, El-Rifai W, Zaika A, Chen X, Que J, Lan X. Targeting SOX2 Protein with Peptide Aptamers for Therapeutic Gains against Esophageal Squamous Cell Carcinoma. </w:t>
      </w:r>
      <w:r w:rsidRPr="00F91674">
        <w:rPr>
          <w:rFonts w:ascii="Book Antiqua" w:eastAsia="宋体" w:hAnsi="Book Antiqua" w:cs="宋体"/>
          <w:i/>
          <w:iCs/>
          <w:color w:val="201F35"/>
          <w:lang w:eastAsia="zh-CN"/>
        </w:rPr>
        <w:t>Mol Ther</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28</w:t>
      </w:r>
      <w:r w:rsidRPr="00F91674">
        <w:rPr>
          <w:rFonts w:ascii="Book Antiqua" w:eastAsia="宋体" w:hAnsi="Book Antiqua" w:cs="宋体"/>
          <w:color w:val="201F35"/>
          <w:lang w:eastAsia="zh-CN"/>
        </w:rPr>
        <w:t>: 901-913 [PMID: 31991109 DOI: 10.1016/j.ymthe.2020.01.012]</w:t>
      </w:r>
    </w:p>
    <w:p w14:paraId="24FC947C"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lastRenderedPageBreak/>
        <w:t>210 </w:t>
      </w:r>
      <w:r w:rsidRPr="00F91674">
        <w:rPr>
          <w:rFonts w:ascii="Book Antiqua" w:eastAsia="宋体" w:hAnsi="Book Antiqua" w:cs="宋体"/>
          <w:b/>
          <w:bCs/>
          <w:color w:val="201F35"/>
          <w:lang w:eastAsia="zh-CN"/>
        </w:rPr>
        <w:t>Stolzenburg S</w:t>
      </w:r>
      <w:r w:rsidRPr="00F91674">
        <w:rPr>
          <w:rFonts w:ascii="Book Antiqua" w:eastAsia="宋体" w:hAnsi="Book Antiqua" w:cs="宋体"/>
          <w:color w:val="201F35"/>
          <w:lang w:eastAsia="zh-CN"/>
        </w:rPr>
        <w:t>, Rots MG, Beltran AS, Rivenbark AG, Yuan X, Qian H, Strahl BD, Blancafort P. Targeted silencing of the oncogenic transcription factor SOX2 in breast cancer. </w:t>
      </w:r>
      <w:r w:rsidRPr="00F91674">
        <w:rPr>
          <w:rFonts w:ascii="Book Antiqua" w:eastAsia="宋体" w:hAnsi="Book Antiqua" w:cs="宋体"/>
          <w:i/>
          <w:iCs/>
          <w:color w:val="201F35"/>
          <w:lang w:eastAsia="zh-CN"/>
        </w:rPr>
        <w:t>Nucleic Acids Res</w:t>
      </w:r>
      <w:r w:rsidRPr="00F91674">
        <w:rPr>
          <w:rFonts w:ascii="Book Antiqua" w:eastAsia="宋体" w:hAnsi="Book Antiqua" w:cs="宋体"/>
          <w:color w:val="201F35"/>
          <w:lang w:eastAsia="zh-CN"/>
        </w:rPr>
        <w:t> 2012; </w:t>
      </w:r>
      <w:r w:rsidRPr="00F91674">
        <w:rPr>
          <w:rFonts w:ascii="Book Antiqua" w:eastAsia="宋体" w:hAnsi="Book Antiqua" w:cs="宋体"/>
          <w:b/>
          <w:bCs/>
          <w:color w:val="201F35"/>
          <w:lang w:eastAsia="zh-CN"/>
        </w:rPr>
        <w:t>40</w:t>
      </w:r>
      <w:r w:rsidRPr="00F91674">
        <w:rPr>
          <w:rFonts w:ascii="Book Antiqua" w:eastAsia="宋体" w:hAnsi="Book Antiqua" w:cs="宋体"/>
          <w:color w:val="201F35"/>
          <w:lang w:eastAsia="zh-CN"/>
        </w:rPr>
        <w:t>: 6725-6740 [PMID: 22561374 DOI: 10.1093/nar/gks360]</w:t>
      </w:r>
    </w:p>
    <w:p w14:paraId="08D924BA"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211 </w:t>
      </w:r>
      <w:r w:rsidRPr="00F91674">
        <w:rPr>
          <w:rFonts w:ascii="Book Antiqua" w:eastAsia="宋体" w:hAnsi="Book Antiqua" w:cs="宋体"/>
          <w:b/>
          <w:bCs/>
          <w:color w:val="201F35"/>
          <w:lang w:eastAsia="zh-CN"/>
        </w:rPr>
        <w:t>Abbas MN</w:t>
      </w:r>
      <w:r w:rsidRPr="00F91674">
        <w:rPr>
          <w:rFonts w:ascii="Book Antiqua" w:eastAsia="宋体" w:hAnsi="Book Antiqua" w:cs="宋体"/>
          <w:color w:val="201F35"/>
          <w:lang w:eastAsia="zh-CN"/>
        </w:rPr>
        <w:t>, Kausar S, Cui H. Therapeutic potential of natural products in glioblastoma treatment: targeting key glioblastoma signaling pathways and epigenetic alterations. </w:t>
      </w:r>
      <w:r w:rsidRPr="00F91674">
        <w:rPr>
          <w:rFonts w:ascii="Book Antiqua" w:eastAsia="宋体" w:hAnsi="Book Antiqua" w:cs="宋体"/>
          <w:i/>
          <w:iCs/>
          <w:color w:val="201F35"/>
          <w:lang w:eastAsia="zh-CN"/>
        </w:rPr>
        <w:t>Clin Transl Oncol</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22</w:t>
      </w:r>
      <w:r w:rsidRPr="00F91674">
        <w:rPr>
          <w:rFonts w:ascii="Book Antiqua" w:eastAsia="宋体" w:hAnsi="Book Antiqua" w:cs="宋体"/>
          <w:color w:val="201F35"/>
          <w:lang w:eastAsia="zh-CN"/>
        </w:rPr>
        <w:t>: 963-977 [PMID: 31630356 DOI: 10.1007/s12094-019-02227-3]</w:t>
      </w:r>
    </w:p>
    <w:p w14:paraId="0D62B895"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212 </w:t>
      </w:r>
      <w:r w:rsidRPr="00F91674">
        <w:rPr>
          <w:rFonts w:ascii="Book Antiqua" w:eastAsia="宋体" w:hAnsi="Book Antiqua" w:cs="宋体"/>
          <w:b/>
          <w:bCs/>
          <w:color w:val="201F35"/>
          <w:lang w:eastAsia="zh-CN"/>
        </w:rPr>
        <w:t>Kuete V</w:t>
      </w:r>
      <w:r w:rsidRPr="00F91674">
        <w:rPr>
          <w:rFonts w:ascii="Book Antiqua" w:eastAsia="宋体" w:hAnsi="Book Antiqua" w:cs="宋体"/>
          <w:color w:val="201F35"/>
          <w:lang w:eastAsia="zh-CN"/>
        </w:rPr>
        <w:t>, Sandjo LP, Ouete JL, Fouotsa H, Wiench B, Efferth T. Cytotoxicity and modes of action of three naturally occurring xanthones (8-hydroxycudraxanthone G, morusignin I and cudraxanthone I) against sensitive and multidrug-resistant cancer cell lines. </w:t>
      </w:r>
      <w:r w:rsidRPr="00F91674">
        <w:rPr>
          <w:rFonts w:ascii="Book Antiqua" w:eastAsia="宋体" w:hAnsi="Book Antiqua" w:cs="宋体"/>
          <w:i/>
          <w:iCs/>
          <w:color w:val="201F35"/>
          <w:lang w:eastAsia="zh-CN"/>
        </w:rPr>
        <w:t>Phytomedicine</w:t>
      </w:r>
      <w:r w:rsidRPr="00F91674">
        <w:rPr>
          <w:rFonts w:ascii="Book Antiqua" w:eastAsia="宋体" w:hAnsi="Book Antiqua" w:cs="宋体"/>
          <w:color w:val="201F35"/>
          <w:lang w:eastAsia="zh-CN"/>
        </w:rPr>
        <w:t> 2014; </w:t>
      </w:r>
      <w:r w:rsidRPr="00F91674">
        <w:rPr>
          <w:rFonts w:ascii="Book Antiqua" w:eastAsia="宋体" w:hAnsi="Book Antiqua" w:cs="宋体"/>
          <w:b/>
          <w:bCs/>
          <w:color w:val="201F35"/>
          <w:lang w:eastAsia="zh-CN"/>
        </w:rPr>
        <w:t>21</w:t>
      </w:r>
      <w:r w:rsidRPr="00F91674">
        <w:rPr>
          <w:rFonts w:ascii="Book Antiqua" w:eastAsia="宋体" w:hAnsi="Book Antiqua" w:cs="宋体"/>
          <w:color w:val="201F35"/>
          <w:lang w:eastAsia="zh-CN"/>
        </w:rPr>
        <w:t>: 315-322 [PMID: 24075210 DOI: 10.1016/j.phymed.2013.08.018]</w:t>
      </w:r>
    </w:p>
    <w:p w14:paraId="1F4FEAC5"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213 </w:t>
      </w:r>
      <w:r w:rsidRPr="00F91674">
        <w:rPr>
          <w:rFonts w:ascii="Book Antiqua" w:eastAsia="宋体" w:hAnsi="Book Antiqua" w:cs="宋体"/>
          <w:b/>
          <w:bCs/>
          <w:color w:val="201F35"/>
          <w:lang w:eastAsia="zh-CN"/>
        </w:rPr>
        <w:t>Ramachandran C</w:t>
      </w:r>
      <w:r w:rsidRPr="00F91674">
        <w:rPr>
          <w:rFonts w:ascii="Book Antiqua" w:eastAsia="宋体" w:hAnsi="Book Antiqua" w:cs="宋体"/>
          <w:color w:val="201F35"/>
          <w:lang w:eastAsia="zh-CN"/>
        </w:rPr>
        <w:t>, Portalatin G, Quirin KW, Escalon E, Khatib Z, Melnick SJ. Inhibition of AKT signaling by supercritical CO2 extract of mango ginger (Curcuma amada Roxb.) in human glioblastoma cells. </w:t>
      </w:r>
      <w:r w:rsidRPr="00F91674">
        <w:rPr>
          <w:rFonts w:ascii="Book Antiqua" w:eastAsia="宋体" w:hAnsi="Book Antiqua" w:cs="宋体"/>
          <w:i/>
          <w:iCs/>
          <w:color w:val="201F35"/>
          <w:lang w:eastAsia="zh-CN"/>
        </w:rPr>
        <w:t>J Complement Integr Med</w:t>
      </w:r>
      <w:r w:rsidRPr="00F91674">
        <w:rPr>
          <w:rFonts w:ascii="Book Antiqua" w:eastAsia="宋体" w:hAnsi="Book Antiqua" w:cs="宋体"/>
          <w:color w:val="201F35"/>
          <w:lang w:eastAsia="zh-CN"/>
        </w:rPr>
        <w:t> 2015; </w:t>
      </w:r>
      <w:r w:rsidRPr="00F91674">
        <w:rPr>
          <w:rFonts w:ascii="Book Antiqua" w:eastAsia="宋体" w:hAnsi="Book Antiqua" w:cs="宋体"/>
          <w:b/>
          <w:bCs/>
          <w:color w:val="201F35"/>
          <w:lang w:eastAsia="zh-CN"/>
        </w:rPr>
        <w:t>12</w:t>
      </w:r>
      <w:r w:rsidRPr="00F91674">
        <w:rPr>
          <w:rFonts w:ascii="Book Antiqua" w:eastAsia="宋体" w:hAnsi="Book Antiqua" w:cs="宋体"/>
          <w:color w:val="201F35"/>
          <w:lang w:eastAsia="zh-CN"/>
        </w:rPr>
        <w:t>: 307-315 [PMID: 26439597 DOI: 10.1515/jcim-2015-0005]</w:t>
      </w:r>
    </w:p>
    <w:p w14:paraId="57EE5BB6"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214 </w:t>
      </w:r>
      <w:r w:rsidRPr="00F91674">
        <w:rPr>
          <w:rFonts w:ascii="Book Antiqua" w:eastAsia="宋体" w:hAnsi="Book Antiqua" w:cs="宋体"/>
          <w:b/>
          <w:bCs/>
          <w:color w:val="201F35"/>
          <w:lang w:eastAsia="zh-CN"/>
        </w:rPr>
        <w:t>Suresh D</w:t>
      </w:r>
      <w:r w:rsidRPr="00F91674">
        <w:rPr>
          <w:rFonts w:ascii="Book Antiqua" w:eastAsia="宋体" w:hAnsi="Book Antiqua" w:cs="宋体"/>
          <w:color w:val="201F35"/>
          <w:lang w:eastAsia="zh-CN"/>
        </w:rPr>
        <w:t>, Srinivasan K. Tissue distribution &amp; elimination of capsaicin, piperine &amp; curcumin following oral intake in rats. </w:t>
      </w:r>
      <w:r w:rsidRPr="00F91674">
        <w:rPr>
          <w:rFonts w:ascii="Book Antiqua" w:eastAsia="宋体" w:hAnsi="Book Antiqua" w:cs="宋体"/>
          <w:i/>
          <w:iCs/>
          <w:color w:val="201F35"/>
          <w:lang w:eastAsia="zh-CN"/>
        </w:rPr>
        <w:t>Indian J Med Res</w:t>
      </w:r>
      <w:r w:rsidRPr="00F91674">
        <w:rPr>
          <w:rFonts w:ascii="Book Antiqua" w:eastAsia="宋体" w:hAnsi="Book Antiqua" w:cs="宋体"/>
          <w:color w:val="201F35"/>
          <w:lang w:eastAsia="zh-CN"/>
        </w:rPr>
        <w:t> 2010; </w:t>
      </w:r>
      <w:r w:rsidRPr="00F91674">
        <w:rPr>
          <w:rFonts w:ascii="Book Antiqua" w:eastAsia="宋体" w:hAnsi="Book Antiqua" w:cs="宋体"/>
          <w:b/>
          <w:bCs/>
          <w:color w:val="201F35"/>
          <w:lang w:eastAsia="zh-CN"/>
        </w:rPr>
        <w:t>131</w:t>
      </w:r>
      <w:r w:rsidRPr="00F91674">
        <w:rPr>
          <w:rFonts w:ascii="Book Antiqua" w:eastAsia="宋体" w:hAnsi="Book Antiqua" w:cs="宋体"/>
          <w:color w:val="201F35"/>
          <w:lang w:eastAsia="zh-CN"/>
        </w:rPr>
        <w:t>: 682-691 [PMID: 20516541]</w:t>
      </w:r>
    </w:p>
    <w:p w14:paraId="6E412E48"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215 </w:t>
      </w:r>
      <w:r w:rsidRPr="00F91674">
        <w:rPr>
          <w:rFonts w:ascii="Book Antiqua" w:eastAsia="宋体" w:hAnsi="Book Antiqua" w:cs="宋体"/>
          <w:b/>
          <w:bCs/>
          <w:color w:val="201F35"/>
          <w:lang w:eastAsia="zh-CN"/>
        </w:rPr>
        <w:t>Stojković D</w:t>
      </w:r>
      <w:r w:rsidRPr="00F91674">
        <w:rPr>
          <w:rFonts w:ascii="Book Antiqua" w:eastAsia="宋体" w:hAnsi="Book Antiqua" w:cs="宋体"/>
          <w:color w:val="201F35"/>
          <w:lang w:eastAsia="zh-CN"/>
        </w:rPr>
        <w:t>, Drakulić D, Gašić U, Zengin G, Stevanović M, Rajčević N, Soković M. Ononis spinosa L, an edible and medicinal plant: UHPLC-LTQ-Orbitrap/MS chemical profiling and biological activities of the herbal extract. </w:t>
      </w:r>
      <w:r w:rsidRPr="00F91674">
        <w:rPr>
          <w:rFonts w:ascii="Book Antiqua" w:eastAsia="宋体" w:hAnsi="Book Antiqua" w:cs="宋体"/>
          <w:i/>
          <w:iCs/>
          <w:color w:val="201F35"/>
          <w:lang w:eastAsia="zh-CN"/>
        </w:rPr>
        <w:t>Food Funct</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11</w:t>
      </w:r>
      <w:r w:rsidRPr="00F91674">
        <w:rPr>
          <w:rFonts w:ascii="Book Antiqua" w:eastAsia="宋体" w:hAnsi="Book Antiqua" w:cs="宋体"/>
          <w:color w:val="201F35"/>
          <w:lang w:eastAsia="zh-CN"/>
        </w:rPr>
        <w:t>: 7138-7151 [PMID: 32749435 DOI: 10.1039/d0fo01595d]</w:t>
      </w:r>
    </w:p>
    <w:p w14:paraId="55995FD7"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216 </w:t>
      </w:r>
      <w:r w:rsidRPr="00F91674">
        <w:rPr>
          <w:rFonts w:ascii="Book Antiqua" w:eastAsia="宋体" w:hAnsi="Book Antiqua" w:cs="宋体"/>
          <w:b/>
          <w:bCs/>
          <w:color w:val="201F35"/>
          <w:lang w:eastAsia="zh-CN"/>
        </w:rPr>
        <w:t>Stojković D</w:t>
      </w:r>
      <w:r w:rsidRPr="00F91674">
        <w:rPr>
          <w:rFonts w:ascii="Book Antiqua" w:eastAsia="宋体" w:hAnsi="Book Antiqua" w:cs="宋体"/>
          <w:color w:val="201F35"/>
          <w:lang w:eastAsia="zh-CN"/>
        </w:rPr>
        <w:t>, Drakulić D, Schwirtlich M, Rajčević N, Stevanović M, Soković MD, Gašić U. Extract of </w:t>
      </w:r>
      <w:r w:rsidRPr="00F91674">
        <w:rPr>
          <w:rFonts w:ascii="Book Antiqua" w:eastAsia="宋体" w:hAnsi="Book Antiqua" w:cs="宋体"/>
          <w:i/>
          <w:iCs/>
          <w:color w:val="201F35"/>
          <w:lang w:eastAsia="zh-CN"/>
        </w:rPr>
        <w:t>Herba Anthrisci cerefolii</w:t>
      </w:r>
      <w:r w:rsidRPr="00F91674">
        <w:rPr>
          <w:rFonts w:ascii="Book Antiqua" w:eastAsia="宋体" w:hAnsi="Book Antiqua" w:cs="宋体"/>
          <w:color w:val="201F35"/>
          <w:lang w:eastAsia="zh-CN"/>
        </w:rPr>
        <w:t>: Chemical Profiling and Insights into Its Anti-Glioblastoma and Antimicrobial Mechanism of Actions. </w:t>
      </w:r>
      <w:r w:rsidRPr="00F91674">
        <w:rPr>
          <w:rFonts w:ascii="Book Antiqua" w:eastAsia="宋体" w:hAnsi="Book Antiqua" w:cs="宋体"/>
          <w:i/>
          <w:iCs/>
          <w:color w:val="201F35"/>
          <w:lang w:eastAsia="zh-CN"/>
        </w:rPr>
        <w:t>Pharmaceuticals (Basel)</w:t>
      </w:r>
      <w:r w:rsidRPr="00F91674">
        <w:rPr>
          <w:rFonts w:ascii="Book Antiqua" w:eastAsia="宋体" w:hAnsi="Book Antiqua" w:cs="宋体"/>
          <w:color w:val="201F35"/>
          <w:lang w:eastAsia="zh-CN"/>
        </w:rPr>
        <w:t> 2021; </w:t>
      </w:r>
      <w:r w:rsidRPr="00F91674">
        <w:rPr>
          <w:rFonts w:ascii="Book Antiqua" w:eastAsia="宋体" w:hAnsi="Book Antiqua" w:cs="宋体"/>
          <w:b/>
          <w:bCs/>
          <w:color w:val="201F35"/>
          <w:lang w:eastAsia="zh-CN"/>
        </w:rPr>
        <w:t>14</w:t>
      </w:r>
      <w:r w:rsidRPr="00F91674">
        <w:rPr>
          <w:rFonts w:ascii="Book Antiqua" w:eastAsia="宋体" w:hAnsi="Book Antiqua" w:cs="宋体"/>
          <w:color w:val="201F35"/>
          <w:lang w:eastAsia="zh-CN"/>
        </w:rPr>
        <w:t>: 55 [PMID: 33445425 DOI: 10.3390/ph14010055]</w:t>
      </w:r>
    </w:p>
    <w:p w14:paraId="77FE934B"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lastRenderedPageBreak/>
        <w:t>217 </w:t>
      </w:r>
      <w:r w:rsidRPr="00F91674">
        <w:rPr>
          <w:rFonts w:ascii="Book Antiqua" w:eastAsia="宋体" w:hAnsi="Book Antiqua" w:cs="宋体"/>
          <w:b/>
          <w:bCs/>
          <w:color w:val="201F35"/>
          <w:lang w:eastAsia="zh-CN"/>
        </w:rPr>
        <w:t>Sayed-Ahmed MZ MH,</w:t>
      </w:r>
      <w:r w:rsidRPr="00F91674">
        <w:rPr>
          <w:rFonts w:ascii="Book Antiqua" w:eastAsia="宋体" w:hAnsi="Book Antiqua" w:cs="宋体"/>
          <w:color w:val="201F35"/>
          <w:lang w:eastAsia="zh-CN"/>
        </w:rPr>
        <w:t xml:space="preserve"> Elsherbini MM, Syed NK, Shoeib SM. Oncolytic Viruses: A gene Therapy for Treatment of Cancer in Companion Animals. </w:t>
      </w:r>
      <w:r w:rsidRPr="00F91674">
        <w:rPr>
          <w:rFonts w:ascii="Book Antiqua" w:eastAsia="宋体" w:hAnsi="Book Antiqua" w:cs="宋体"/>
          <w:i/>
          <w:iCs/>
          <w:color w:val="201F35"/>
          <w:lang w:eastAsia="zh-CN"/>
        </w:rPr>
        <w:t>Health Sci J</w:t>
      </w:r>
      <w:r w:rsidRPr="00F91674">
        <w:rPr>
          <w:rFonts w:ascii="Book Antiqua" w:eastAsia="宋体" w:hAnsi="Book Antiqua" w:cs="宋体"/>
          <w:color w:val="201F35"/>
          <w:lang w:eastAsia="zh-CN"/>
        </w:rPr>
        <w:t xml:space="preserve"> 2018; </w:t>
      </w:r>
      <w:r w:rsidRPr="00F91674">
        <w:rPr>
          <w:rFonts w:ascii="Book Antiqua" w:eastAsia="宋体" w:hAnsi="Book Antiqua" w:cs="宋体"/>
          <w:b/>
          <w:bCs/>
          <w:color w:val="201F35"/>
          <w:lang w:eastAsia="zh-CN"/>
        </w:rPr>
        <w:t>12</w:t>
      </w:r>
      <w:r w:rsidRPr="00F91674">
        <w:rPr>
          <w:rFonts w:ascii="Book Antiqua" w:eastAsia="宋体" w:hAnsi="Book Antiqua" w:cs="宋体"/>
          <w:color w:val="201F35"/>
          <w:lang w:eastAsia="zh-CN"/>
        </w:rPr>
        <w:t>: 579 [DOI: 10.21767/1791-809X.1000579]</w:t>
      </w:r>
    </w:p>
    <w:p w14:paraId="7C659C6D"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218 </w:t>
      </w:r>
      <w:r w:rsidRPr="00F91674">
        <w:rPr>
          <w:rFonts w:ascii="Book Antiqua" w:eastAsia="宋体" w:hAnsi="Book Antiqua" w:cs="宋体"/>
          <w:b/>
          <w:bCs/>
          <w:color w:val="201F35"/>
          <w:lang w:eastAsia="zh-CN"/>
        </w:rPr>
        <w:t>Sostoa J</w:t>
      </w:r>
      <w:r w:rsidRPr="00F91674">
        <w:rPr>
          <w:rFonts w:ascii="Book Antiqua" w:eastAsia="宋体" w:hAnsi="Book Antiqua" w:cs="宋体"/>
          <w:color w:val="201F35"/>
          <w:lang w:eastAsia="zh-CN"/>
        </w:rPr>
        <w:t>, Dutoit V, Migliorini D. Oncolytic Viruses as a Platform for the Treatment of Malignant Brain Tumors. </w:t>
      </w:r>
      <w:r w:rsidRPr="00F91674">
        <w:rPr>
          <w:rFonts w:ascii="Book Antiqua" w:eastAsia="宋体" w:hAnsi="Book Antiqua" w:cs="宋体"/>
          <w:i/>
          <w:iCs/>
          <w:color w:val="201F35"/>
          <w:lang w:eastAsia="zh-CN"/>
        </w:rPr>
        <w:t>Int J Mol Sci</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21</w:t>
      </w:r>
      <w:r w:rsidRPr="00F91674">
        <w:rPr>
          <w:rFonts w:ascii="Book Antiqua" w:eastAsia="宋体" w:hAnsi="Book Antiqua" w:cs="宋体"/>
          <w:color w:val="201F35"/>
          <w:lang w:eastAsia="zh-CN"/>
        </w:rPr>
        <w:t>: 7449 [PMID: 33050329 DOI: 10.3390/ijms21207449]</w:t>
      </w:r>
    </w:p>
    <w:p w14:paraId="612F0F49"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219 </w:t>
      </w:r>
      <w:r w:rsidRPr="00F91674">
        <w:rPr>
          <w:rFonts w:ascii="Book Antiqua" w:eastAsia="宋体" w:hAnsi="Book Antiqua" w:cs="宋体"/>
          <w:b/>
          <w:bCs/>
          <w:color w:val="201F35"/>
          <w:lang w:eastAsia="zh-CN"/>
        </w:rPr>
        <w:t>Stavrakaki E</w:t>
      </w:r>
      <w:r w:rsidRPr="00F91674">
        <w:rPr>
          <w:rFonts w:ascii="Book Antiqua" w:eastAsia="宋体" w:hAnsi="Book Antiqua" w:cs="宋体"/>
          <w:color w:val="201F35"/>
          <w:lang w:eastAsia="zh-CN"/>
        </w:rPr>
        <w:t>, Dirven CMF, Lamfers MLM. Personalizing Oncolytic Virotherapy for Glioblastoma: In Search of Biomarkers for Response. </w:t>
      </w:r>
      <w:r w:rsidRPr="00F91674">
        <w:rPr>
          <w:rFonts w:ascii="Book Antiqua" w:eastAsia="宋体" w:hAnsi="Book Antiqua" w:cs="宋体"/>
          <w:i/>
          <w:iCs/>
          <w:color w:val="201F35"/>
          <w:lang w:eastAsia="zh-CN"/>
        </w:rPr>
        <w:t>Cancers (Basel)</w:t>
      </w:r>
      <w:r w:rsidRPr="00F91674">
        <w:rPr>
          <w:rFonts w:ascii="Book Antiqua" w:eastAsia="宋体" w:hAnsi="Book Antiqua" w:cs="宋体"/>
          <w:color w:val="201F35"/>
          <w:lang w:eastAsia="zh-CN"/>
        </w:rPr>
        <w:t> 2021; </w:t>
      </w:r>
      <w:r w:rsidRPr="00F91674">
        <w:rPr>
          <w:rFonts w:ascii="Book Antiqua" w:eastAsia="宋体" w:hAnsi="Book Antiqua" w:cs="宋体"/>
          <w:b/>
          <w:bCs/>
          <w:color w:val="201F35"/>
          <w:lang w:eastAsia="zh-CN"/>
        </w:rPr>
        <w:t>13</w:t>
      </w:r>
      <w:r w:rsidRPr="00F91674">
        <w:rPr>
          <w:rFonts w:ascii="Book Antiqua" w:eastAsia="宋体" w:hAnsi="Book Antiqua" w:cs="宋体"/>
          <w:color w:val="201F35"/>
          <w:lang w:eastAsia="zh-CN"/>
        </w:rPr>
        <w:t>: 614 [PMID: 33557101 DOI: 10.3390/cancers13040614]</w:t>
      </w:r>
    </w:p>
    <w:p w14:paraId="656A4FF0"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220 </w:t>
      </w:r>
      <w:r w:rsidRPr="00F91674">
        <w:rPr>
          <w:rFonts w:ascii="Book Antiqua" w:eastAsia="宋体" w:hAnsi="Book Antiqua" w:cs="宋体"/>
          <w:b/>
          <w:bCs/>
          <w:color w:val="201F35"/>
          <w:lang w:eastAsia="zh-CN"/>
        </w:rPr>
        <w:t>Zhu Z</w:t>
      </w:r>
      <w:r w:rsidRPr="00F91674">
        <w:rPr>
          <w:rFonts w:ascii="Book Antiqua" w:eastAsia="宋体" w:hAnsi="Book Antiqua" w:cs="宋体"/>
          <w:color w:val="201F35"/>
          <w:lang w:eastAsia="zh-CN"/>
        </w:rPr>
        <w:t>, Gorman MJ, McKenzie LD, Chai JN, Hubert CG, Prager BC, Fernandez E, Richner JM, Zhang R, Shan C, Tycksen E, Wang X, Shi PY, Diamond MS, Rich JN, Chheda MG. Zika virus has oncolytic activity against glioblastoma stem cells. </w:t>
      </w:r>
      <w:r w:rsidRPr="00F91674">
        <w:rPr>
          <w:rFonts w:ascii="Book Antiqua" w:eastAsia="宋体" w:hAnsi="Book Antiqua" w:cs="宋体"/>
          <w:i/>
          <w:iCs/>
          <w:color w:val="201F35"/>
          <w:lang w:eastAsia="zh-CN"/>
        </w:rPr>
        <w:t>J Exp Med</w:t>
      </w:r>
      <w:r w:rsidRPr="00F91674">
        <w:rPr>
          <w:rFonts w:ascii="Book Antiqua" w:eastAsia="宋体" w:hAnsi="Book Antiqua" w:cs="宋体"/>
          <w:color w:val="201F35"/>
          <w:lang w:eastAsia="zh-CN"/>
        </w:rPr>
        <w:t> 2017; </w:t>
      </w:r>
      <w:r w:rsidRPr="00F91674">
        <w:rPr>
          <w:rFonts w:ascii="Book Antiqua" w:eastAsia="宋体" w:hAnsi="Book Antiqua" w:cs="宋体"/>
          <w:b/>
          <w:bCs/>
          <w:color w:val="201F35"/>
          <w:lang w:eastAsia="zh-CN"/>
        </w:rPr>
        <w:t>214</w:t>
      </w:r>
      <w:r w:rsidRPr="00F91674">
        <w:rPr>
          <w:rFonts w:ascii="Book Antiqua" w:eastAsia="宋体" w:hAnsi="Book Antiqua" w:cs="宋体"/>
          <w:color w:val="201F35"/>
          <w:lang w:eastAsia="zh-CN"/>
        </w:rPr>
        <w:t>: 2843-2857 [PMID: 28874392 DOI: 10.1084/jem.20171093]</w:t>
      </w:r>
    </w:p>
    <w:p w14:paraId="3A89A406"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221 </w:t>
      </w:r>
      <w:r w:rsidRPr="00F91674">
        <w:rPr>
          <w:rFonts w:ascii="Book Antiqua" w:eastAsia="宋体" w:hAnsi="Book Antiqua" w:cs="宋体"/>
          <w:b/>
          <w:bCs/>
          <w:color w:val="201F35"/>
          <w:lang w:eastAsia="zh-CN"/>
        </w:rPr>
        <w:t>Cockle JV</w:t>
      </w:r>
      <w:r w:rsidRPr="00F91674">
        <w:rPr>
          <w:rFonts w:ascii="Book Antiqua" w:eastAsia="宋体" w:hAnsi="Book Antiqua" w:cs="宋体"/>
          <w:color w:val="201F35"/>
          <w:lang w:eastAsia="zh-CN"/>
        </w:rPr>
        <w:t>, Rajani K, Zaidi S, Kottke T, Thompson J, Diaz RM, Shim K, Peterson T, Parney IF, Short S, Selby P, Ilett E, Melcher A, Vile R. Combination viroimmunotherapy with checkpoint inhibition to treat glioma, based on location-specific tumor profiling. </w:t>
      </w:r>
      <w:r w:rsidRPr="00F91674">
        <w:rPr>
          <w:rFonts w:ascii="Book Antiqua" w:eastAsia="宋体" w:hAnsi="Book Antiqua" w:cs="宋体"/>
          <w:i/>
          <w:iCs/>
          <w:color w:val="201F35"/>
          <w:lang w:eastAsia="zh-CN"/>
        </w:rPr>
        <w:t>Neuro Oncol</w:t>
      </w:r>
      <w:r w:rsidRPr="00F91674">
        <w:rPr>
          <w:rFonts w:ascii="Book Antiqua" w:eastAsia="宋体" w:hAnsi="Book Antiqua" w:cs="宋体"/>
          <w:color w:val="201F35"/>
          <w:lang w:eastAsia="zh-CN"/>
        </w:rPr>
        <w:t> 2016; </w:t>
      </w:r>
      <w:r w:rsidRPr="00F91674">
        <w:rPr>
          <w:rFonts w:ascii="Book Antiqua" w:eastAsia="宋体" w:hAnsi="Book Antiqua" w:cs="宋体"/>
          <w:b/>
          <w:bCs/>
          <w:color w:val="201F35"/>
          <w:lang w:eastAsia="zh-CN"/>
        </w:rPr>
        <w:t>18</w:t>
      </w:r>
      <w:r w:rsidRPr="00F91674">
        <w:rPr>
          <w:rFonts w:ascii="Book Antiqua" w:eastAsia="宋体" w:hAnsi="Book Antiqua" w:cs="宋体"/>
          <w:color w:val="201F35"/>
          <w:lang w:eastAsia="zh-CN"/>
        </w:rPr>
        <w:t>: 518-527 [PMID: 26409567 DOI: 10.1093/neuonc/nov173]</w:t>
      </w:r>
    </w:p>
    <w:p w14:paraId="4D663AFE"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222 </w:t>
      </w:r>
      <w:r w:rsidRPr="00F91674">
        <w:rPr>
          <w:rFonts w:ascii="Book Antiqua" w:eastAsia="宋体" w:hAnsi="Book Antiqua" w:cs="宋体"/>
          <w:b/>
          <w:bCs/>
          <w:color w:val="201F35"/>
          <w:lang w:eastAsia="zh-CN"/>
        </w:rPr>
        <w:t>Perry J</w:t>
      </w:r>
      <w:r w:rsidRPr="00F91674">
        <w:rPr>
          <w:rFonts w:ascii="Book Antiqua" w:eastAsia="宋体" w:hAnsi="Book Antiqua" w:cs="宋体"/>
          <w:color w:val="201F35"/>
          <w:lang w:eastAsia="zh-CN"/>
        </w:rPr>
        <w:t>, Okamoto M, Guiou M, Shirai K, Errett A, Chakravarti A. Novel therapies in glioblastoma. </w:t>
      </w:r>
      <w:r w:rsidRPr="00F91674">
        <w:rPr>
          <w:rFonts w:ascii="Book Antiqua" w:eastAsia="宋体" w:hAnsi="Book Antiqua" w:cs="宋体"/>
          <w:i/>
          <w:iCs/>
          <w:color w:val="201F35"/>
          <w:lang w:eastAsia="zh-CN"/>
        </w:rPr>
        <w:t>Neurol Res Int</w:t>
      </w:r>
      <w:r w:rsidRPr="00F91674">
        <w:rPr>
          <w:rFonts w:ascii="Book Antiqua" w:eastAsia="宋体" w:hAnsi="Book Antiqua" w:cs="宋体"/>
          <w:color w:val="201F35"/>
          <w:lang w:eastAsia="zh-CN"/>
        </w:rPr>
        <w:t> 2012; </w:t>
      </w:r>
      <w:r w:rsidRPr="00F91674">
        <w:rPr>
          <w:rFonts w:ascii="Book Antiqua" w:eastAsia="宋体" w:hAnsi="Book Antiqua" w:cs="宋体"/>
          <w:b/>
          <w:bCs/>
          <w:color w:val="201F35"/>
          <w:lang w:eastAsia="zh-CN"/>
        </w:rPr>
        <w:t>2012</w:t>
      </w:r>
      <w:r w:rsidRPr="00F91674">
        <w:rPr>
          <w:rFonts w:ascii="Book Antiqua" w:eastAsia="宋体" w:hAnsi="Book Antiqua" w:cs="宋体"/>
          <w:color w:val="201F35"/>
          <w:lang w:eastAsia="zh-CN"/>
        </w:rPr>
        <w:t>: 428565 [PMID: 22530121 DOI: 10.1155/2012/428565]</w:t>
      </w:r>
    </w:p>
    <w:p w14:paraId="65F200AE"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223 </w:t>
      </w:r>
      <w:r w:rsidRPr="00F91674">
        <w:rPr>
          <w:rFonts w:ascii="Book Antiqua" w:eastAsia="宋体" w:hAnsi="Book Antiqua" w:cs="宋体"/>
          <w:b/>
          <w:bCs/>
          <w:color w:val="201F35"/>
          <w:lang w:eastAsia="zh-CN"/>
        </w:rPr>
        <w:t>Schaefer T</w:t>
      </w:r>
      <w:r w:rsidRPr="00F91674">
        <w:rPr>
          <w:rFonts w:ascii="Book Antiqua" w:eastAsia="宋体" w:hAnsi="Book Antiqua" w:cs="宋体"/>
          <w:color w:val="201F35"/>
          <w:lang w:eastAsia="zh-CN"/>
        </w:rPr>
        <w:t>, Lengerke C. SOX2 protein biochemistry in stemness, reprogramming, and cancer: the PI3K/AKT/SOX2 axis and beyond. </w:t>
      </w:r>
      <w:r w:rsidRPr="00F91674">
        <w:rPr>
          <w:rFonts w:ascii="Book Antiqua" w:eastAsia="宋体" w:hAnsi="Book Antiqua" w:cs="宋体"/>
          <w:i/>
          <w:iCs/>
          <w:color w:val="201F35"/>
          <w:lang w:eastAsia="zh-CN"/>
        </w:rPr>
        <w:t>Oncogene</w:t>
      </w:r>
      <w:r w:rsidRPr="00F91674">
        <w:rPr>
          <w:rFonts w:ascii="Book Antiqua" w:eastAsia="宋体" w:hAnsi="Book Antiqua" w:cs="宋体"/>
          <w:color w:val="201F35"/>
          <w:lang w:eastAsia="zh-CN"/>
        </w:rPr>
        <w:t> 2020; </w:t>
      </w:r>
      <w:r w:rsidRPr="00F91674">
        <w:rPr>
          <w:rFonts w:ascii="Book Antiqua" w:eastAsia="宋体" w:hAnsi="Book Antiqua" w:cs="宋体"/>
          <w:b/>
          <w:bCs/>
          <w:color w:val="201F35"/>
          <w:lang w:eastAsia="zh-CN"/>
        </w:rPr>
        <w:t>39</w:t>
      </w:r>
      <w:r w:rsidRPr="00F91674">
        <w:rPr>
          <w:rFonts w:ascii="Book Antiqua" w:eastAsia="宋体" w:hAnsi="Book Antiqua" w:cs="宋体"/>
          <w:color w:val="201F35"/>
          <w:lang w:eastAsia="zh-CN"/>
        </w:rPr>
        <w:t>: 278-292 [PMID: 31477842 DOI: 10.1038/s41388-019-0997-x]</w:t>
      </w:r>
    </w:p>
    <w:p w14:paraId="10110E52" w14:textId="77777777" w:rsidR="00D51910" w:rsidRPr="00F91674" w:rsidRDefault="00D51910" w:rsidP="00D51910">
      <w:pPr>
        <w:shd w:val="clear" w:color="auto" w:fill="FFFFFF"/>
        <w:adjustRightInd w:val="0"/>
        <w:snapToGrid w:val="0"/>
        <w:spacing w:line="360" w:lineRule="auto"/>
        <w:jc w:val="both"/>
        <w:rPr>
          <w:rFonts w:ascii="Book Antiqua" w:eastAsia="宋体" w:hAnsi="Book Antiqua" w:cs="宋体"/>
          <w:color w:val="201F35"/>
          <w:lang w:eastAsia="zh-CN"/>
        </w:rPr>
      </w:pPr>
      <w:r w:rsidRPr="00F91674">
        <w:rPr>
          <w:rFonts w:ascii="Book Antiqua" w:eastAsia="宋体" w:hAnsi="Book Antiqua" w:cs="宋体"/>
          <w:color w:val="201F35"/>
          <w:lang w:eastAsia="zh-CN"/>
        </w:rPr>
        <w:t>224 </w:t>
      </w:r>
      <w:r w:rsidRPr="00F91674">
        <w:rPr>
          <w:rFonts w:ascii="Book Antiqua" w:eastAsia="宋体" w:hAnsi="Book Antiqua" w:cs="宋体"/>
          <w:b/>
          <w:bCs/>
          <w:color w:val="201F35"/>
          <w:lang w:eastAsia="zh-CN"/>
        </w:rPr>
        <w:t>Agnihotri S</w:t>
      </w:r>
      <w:r w:rsidRPr="00F91674">
        <w:rPr>
          <w:rFonts w:ascii="Book Antiqua" w:eastAsia="宋体" w:hAnsi="Book Antiqua" w:cs="宋体"/>
          <w:color w:val="201F35"/>
          <w:lang w:eastAsia="zh-CN"/>
        </w:rPr>
        <w:t>, Burrell KE, Wolf A, Jalali S, Hawkins C, Rutka JT, Zadeh G. Glioblastoma, a brief review of history, molecular genetics, animal models and novel therapeutic strategies. </w:t>
      </w:r>
      <w:r w:rsidRPr="00F91674">
        <w:rPr>
          <w:rFonts w:ascii="Book Antiqua" w:eastAsia="宋体" w:hAnsi="Book Antiqua" w:cs="宋体"/>
          <w:i/>
          <w:iCs/>
          <w:color w:val="201F35"/>
          <w:lang w:eastAsia="zh-CN"/>
        </w:rPr>
        <w:t>Arch Immunol Ther Exp (Warsz)</w:t>
      </w:r>
      <w:r w:rsidRPr="00F91674">
        <w:rPr>
          <w:rFonts w:ascii="Book Antiqua" w:eastAsia="宋体" w:hAnsi="Book Antiqua" w:cs="宋体"/>
          <w:color w:val="201F35"/>
          <w:lang w:eastAsia="zh-CN"/>
        </w:rPr>
        <w:t> 2013; </w:t>
      </w:r>
      <w:r w:rsidRPr="00F91674">
        <w:rPr>
          <w:rFonts w:ascii="Book Antiqua" w:eastAsia="宋体" w:hAnsi="Book Antiqua" w:cs="宋体"/>
          <w:b/>
          <w:bCs/>
          <w:color w:val="201F35"/>
          <w:lang w:eastAsia="zh-CN"/>
        </w:rPr>
        <w:t>61</w:t>
      </w:r>
      <w:r w:rsidRPr="00F91674">
        <w:rPr>
          <w:rFonts w:ascii="Book Antiqua" w:eastAsia="宋体" w:hAnsi="Book Antiqua" w:cs="宋体"/>
          <w:color w:val="201F35"/>
          <w:lang w:eastAsia="zh-CN"/>
        </w:rPr>
        <w:t>: 25-41 [PMID: 23224339 DOI: 10.1007/s00005-012-0203-0]</w:t>
      </w:r>
    </w:p>
    <w:p w14:paraId="795F23F8" w14:textId="77777777" w:rsidR="00D51910" w:rsidRPr="00F91674" w:rsidRDefault="00D51910" w:rsidP="00D51910">
      <w:pPr>
        <w:adjustRightInd w:val="0"/>
        <w:snapToGrid w:val="0"/>
        <w:spacing w:line="360" w:lineRule="auto"/>
        <w:jc w:val="both"/>
        <w:rPr>
          <w:rFonts w:ascii="Book Antiqua" w:hAnsi="Book Antiqua"/>
        </w:rPr>
        <w:sectPr w:rsidR="00D51910" w:rsidRPr="00F91674">
          <w:pgSz w:w="12240" w:h="15840"/>
          <w:pgMar w:top="1440" w:right="1440" w:bottom="1440" w:left="1440" w:header="720" w:footer="720" w:gutter="0"/>
          <w:cols w:space="720"/>
          <w:docGrid w:linePitch="360"/>
        </w:sectPr>
      </w:pPr>
    </w:p>
    <w:p w14:paraId="51F3EC89"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color w:val="000000"/>
        </w:rPr>
        <w:lastRenderedPageBreak/>
        <w:t>Footnotes</w:t>
      </w:r>
    </w:p>
    <w:p w14:paraId="15C61EF6"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bCs/>
          <w:color w:val="000000"/>
        </w:rPr>
        <w:t xml:space="preserve">Conflict-of-interest statement: </w:t>
      </w:r>
      <w:r w:rsidRPr="00F91674">
        <w:rPr>
          <w:rFonts w:ascii="Book Antiqua" w:eastAsia="Book Antiqua" w:hAnsi="Book Antiqua" w:cs="Book Antiqua"/>
          <w:color w:val="000000"/>
        </w:rPr>
        <w:t>The authors declare no conflict of interest for this article.</w:t>
      </w:r>
      <w:r w:rsidRPr="00F91674">
        <w:rPr>
          <w:rFonts w:ascii="Book Antiqua" w:eastAsia="Book Antiqua" w:hAnsi="Book Antiqua" w:cs="Book Antiqua"/>
          <w:b/>
          <w:bCs/>
          <w:color w:val="000000"/>
        </w:rPr>
        <w:t xml:space="preserve"> </w:t>
      </w:r>
    </w:p>
    <w:p w14:paraId="6C9E7903" w14:textId="77777777" w:rsidR="00D51910" w:rsidRPr="00F91674" w:rsidRDefault="00D51910" w:rsidP="00D51910">
      <w:pPr>
        <w:adjustRightInd w:val="0"/>
        <w:snapToGrid w:val="0"/>
        <w:spacing w:line="360" w:lineRule="auto"/>
        <w:jc w:val="both"/>
        <w:rPr>
          <w:rFonts w:ascii="Book Antiqua" w:hAnsi="Book Antiqua"/>
        </w:rPr>
      </w:pPr>
    </w:p>
    <w:p w14:paraId="16956A65"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bCs/>
          <w:color w:val="000000"/>
        </w:rPr>
        <w:t xml:space="preserve">Open-Access: </w:t>
      </w:r>
      <w:r w:rsidRPr="00F9167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D1F535E" w14:textId="77777777" w:rsidR="00D51910" w:rsidRPr="00F91674" w:rsidRDefault="00D51910" w:rsidP="00D51910">
      <w:pPr>
        <w:adjustRightInd w:val="0"/>
        <w:snapToGrid w:val="0"/>
        <w:spacing w:line="360" w:lineRule="auto"/>
        <w:jc w:val="both"/>
        <w:rPr>
          <w:rFonts w:ascii="Book Antiqua" w:hAnsi="Book Antiqua"/>
        </w:rPr>
      </w:pPr>
    </w:p>
    <w:p w14:paraId="35CE4392"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color w:val="000000"/>
        </w:rPr>
        <w:t xml:space="preserve">Manuscript source: </w:t>
      </w:r>
      <w:r w:rsidRPr="00F91674">
        <w:rPr>
          <w:rFonts w:ascii="Book Antiqua" w:eastAsia="Book Antiqua" w:hAnsi="Book Antiqua" w:cs="Book Antiqua"/>
          <w:color w:val="000000"/>
        </w:rPr>
        <w:t>Invited manuscript</w:t>
      </w:r>
    </w:p>
    <w:p w14:paraId="45030CC8"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color w:val="000000"/>
        </w:rPr>
        <w:t xml:space="preserve">Corresponding Author's Membership in Professional Societies: </w:t>
      </w:r>
      <w:r w:rsidRPr="00F91674">
        <w:rPr>
          <w:rFonts w:ascii="Book Antiqua" w:eastAsia="Book Antiqua" w:hAnsi="Book Antiqua" w:cs="Book Antiqua"/>
          <w:color w:val="000000"/>
        </w:rPr>
        <w:t>Serbian Academy of Sciences and Arts, Full member; National Council for Scientific and Technological Development of the Republic of Serbia, Vice-president; Serbian Society for Molecular Biology, Steering Committee member; Serbian Neuroscience Society, Steering Committee member</w:t>
      </w:r>
    </w:p>
    <w:p w14:paraId="210E3F35" w14:textId="77777777" w:rsidR="00D51910" w:rsidRPr="00F91674" w:rsidRDefault="00D51910" w:rsidP="00D51910">
      <w:pPr>
        <w:adjustRightInd w:val="0"/>
        <w:snapToGrid w:val="0"/>
        <w:spacing w:line="360" w:lineRule="auto"/>
        <w:jc w:val="both"/>
        <w:rPr>
          <w:rFonts w:ascii="Book Antiqua" w:hAnsi="Book Antiqua"/>
        </w:rPr>
      </w:pPr>
    </w:p>
    <w:p w14:paraId="3A9B92F8"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color w:val="000000"/>
        </w:rPr>
        <w:t xml:space="preserve">Peer-review started: </w:t>
      </w:r>
      <w:r w:rsidRPr="00F91674">
        <w:rPr>
          <w:rFonts w:ascii="Book Antiqua" w:eastAsia="Book Antiqua" w:hAnsi="Book Antiqua" w:cs="Book Antiqua"/>
          <w:color w:val="000000"/>
        </w:rPr>
        <w:t>March 26, 2021</w:t>
      </w:r>
    </w:p>
    <w:p w14:paraId="7D620F34"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color w:val="000000"/>
        </w:rPr>
        <w:t xml:space="preserve">First decision: </w:t>
      </w:r>
      <w:r w:rsidRPr="00F91674">
        <w:rPr>
          <w:rFonts w:ascii="Book Antiqua" w:eastAsia="Book Antiqua" w:hAnsi="Book Antiqua" w:cs="Book Antiqua"/>
          <w:color w:val="000000"/>
        </w:rPr>
        <w:t>July 4, 2021</w:t>
      </w:r>
    </w:p>
    <w:p w14:paraId="35EE394C"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color w:val="000000"/>
        </w:rPr>
        <w:t xml:space="preserve">Article in press: </w:t>
      </w:r>
      <w:r w:rsidRPr="00F91674">
        <w:rPr>
          <w:rFonts w:ascii="Book Antiqua" w:eastAsia="Book Antiqua" w:hAnsi="Book Antiqua" w:cs="Book Antiqua"/>
          <w:color w:val="000000"/>
        </w:rPr>
        <w:t>September 16, 2021</w:t>
      </w:r>
    </w:p>
    <w:p w14:paraId="0F18F8BF" w14:textId="77777777" w:rsidR="00D51910" w:rsidRPr="00F91674" w:rsidRDefault="00D51910" w:rsidP="00D51910">
      <w:pPr>
        <w:adjustRightInd w:val="0"/>
        <w:snapToGrid w:val="0"/>
        <w:spacing w:line="360" w:lineRule="auto"/>
        <w:jc w:val="both"/>
        <w:rPr>
          <w:rFonts w:ascii="Book Antiqua" w:hAnsi="Book Antiqua"/>
        </w:rPr>
      </w:pPr>
    </w:p>
    <w:p w14:paraId="4C0B6C96"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color w:val="000000"/>
        </w:rPr>
        <w:t xml:space="preserve">Specialty type: </w:t>
      </w:r>
      <w:r w:rsidRPr="00F91674">
        <w:rPr>
          <w:rFonts w:ascii="Book Antiqua" w:eastAsia="Book Antiqua" w:hAnsi="Book Antiqua" w:cs="Book Antiqua"/>
          <w:color w:val="000000"/>
        </w:rPr>
        <w:t>Biochemistry and molecular biology</w:t>
      </w:r>
    </w:p>
    <w:p w14:paraId="6D518EFB"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color w:val="000000"/>
        </w:rPr>
        <w:t xml:space="preserve">Country/Territory of origin: </w:t>
      </w:r>
      <w:r w:rsidRPr="00F91674">
        <w:rPr>
          <w:rFonts w:ascii="Book Antiqua" w:eastAsia="Book Antiqua" w:hAnsi="Book Antiqua" w:cs="Book Antiqua"/>
          <w:color w:val="000000"/>
        </w:rPr>
        <w:t>Serbia</w:t>
      </w:r>
    </w:p>
    <w:p w14:paraId="6CE720E0"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b/>
          <w:color w:val="000000"/>
        </w:rPr>
        <w:t>Peer-review report’s scientific quality classification</w:t>
      </w:r>
    </w:p>
    <w:p w14:paraId="79E52E94"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color w:val="000000"/>
        </w:rPr>
        <w:t>Grade A (Excellent): A</w:t>
      </w:r>
    </w:p>
    <w:p w14:paraId="6838D1AF"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color w:val="000000"/>
        </w:rPr>
        <w:t>Grade B (Very good): 0</w:t>
      </w:r>
    </w:p>
    <w:p w14:paraId="66D11265"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color w:val="000000"/>
        </w:rPr>
        <w:t>Grade C (Good): 0</w:t>
      </w:r>
    </w:p>
    <w:p w14:paraId="7DBB9523"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color w:val="000000"/>
        </w:rPr>
        <w:t>Grade D (Fair): 0</w:t>
      </w:r>
    </w:p>
    <w:p w14:paraId="205567DD"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eastAsia="Book Antiqua" w:hAnsi="Book Antiqua" w:cs="Book Antiqua"/>
          <w:color w:val="000000"/>
        </w:rPr>
        <w:lastRenderedPageBreak/>
        <w:t>Grade E (Poor): 0</w:t>
      </w:r>
    </w:p>
    <w:p w14:paraId="077E3E6A" w14:textId="77777777" w:rsidR="00D51910" w:rsidRPr="00F91674" w:rsidRDefault="00D51910" w:rsidP="00D51910">
      <w:pPr>
        <w:adjustRightInd w:val="0"/>
        <w:snapToGrid w:val="0"/>
        <w:spacing w:line="360" w:lineRule="auto"/>
        <w:jc w:val="both"/>
        <w:rPr>
          <w:rFonts w:ascii="Book Antiqua" w:hAnsi="Book Antiqua"/>
        </w:rPr>
      </w:pPr>
    </w:p>
    <w:p w14:paraId="4861870D" w14:textId="1C64A7DF" w:rsidR="00BE0143" w:rsidRPr="00F91674" w:rsidRDefault="00D51910" w:rsidP="00264ED0">
      <w:pPr>
        <w:adjustRightInd w:val="0"/>
        <w:snapToGrid w:val="0"/>
        <w:spacing w:line="360" w:lineRule="auto"/>
        <w:jc w:val="both"/>
        <w:rPr>
          <w:rFonts w:ascii="Book Antiqua" w:eastAsia="Book Antiqua" w:hAnsi="Book Antiqua" w:cs="Book Antiqua"/>
          <w:b/>
          <w:color w:val="000000"/>
        </w:rPr>
      </w:pPr>
      <w:r w:rsidRPr="00F91674">
        <w:rPr>
          <w:rFonts w:ascii="Book Antiqua" w:eastAsia="Book Antiqua" w:hAnsi="Book Antiqua" w:cs="Book Antiqua"/>
          <w:b/>
          <w:color w:val="000000"/>
        </w:rPr>
        <w:t xml:space="preserve">P-Reviewer: </w:t>
      </w:r>
      <w:r w:rsidRPr="00F91674">
        <w:rPr>
          <w:rFonts w:ascii="Book Antiqua" w:eastAsia="Book Antiqua" w:hAnsi="Book Antiqua" w:cs="Book Antiqua"/>
          <w:color w:val="000000"/>
        </w:rPr>
        <w:t>Cenciarelli C</w:t>
      </w:r>
      <w:r w:rsidRPr="00F91674">
        <w:rPr>
          <w:rFonts w:ascii="Book Antiqua" w:eastAsia="Book Antiqua" w:hAnsi="Book Antiqua" w:cs="Book Antiqua"/>
          <w:b/>
          <w:color w:val="000000"/>
        </w:rPr>
        <w:t xml:space="preserve"> S-Editor: </w:t>
      </w:r>
      <w:r w:rsidRPr="00F91674">
        <w:rPr>
          <w:rFonts w:ascii="Book Antiqua" w:eastAsia="Book Antiqua" w:hAnsi="Book Antiqua" w:cs="Book Antiqua"/>
          <w:color w:val="000000"/>
        </w:rPr>
        <w:t>L</w:t>
      </w:r>
      <w:r w:rsidRPr="00F91674">
        <w:rPr>
          <w:rFonts w:asciiTheme="minorEastAsia" w:hAnsiTheme="minorEastAsia" w:cs="Book Antiqua" w:hint="eastAsia"/>
          <w:color w:val="000000"/>
          <w:lang w:eastAsia="zh-CN"/>
        </w:rPr>
        <w:t>iu</w:t>
      </w:r>
      <w:r w:rsidRPr="00F91674">
        <w:rPr>
          <w:rFonts w:asciiTheme="minorEastAsia" w:hAnsiTheme="minorEastAsia" w:cs="Book Antiqua"/>
          <w:color w:val="000000"/>
          <w:lang w:eastAsia="zh-CN"/>
        </w:rPr>
        <w:t xml:space="preserve"> </w:t>
      </w:r>
      <w:r w:rsidRPr="00F91674">
        <w:rPr>
          <w:rFonts w:ascii="Book Antiqua" w:eastAsia="Book Antiqua" w:hAnsi="Book Antiqua" w:cs="Book Antiqua"/>
          <w:color w:val="000000"/>
        </w:rPr>
        <w:t>M</w:t>
      </w:r>
      <w:r w:rsidRPr="00F91674">
        <w:rPr>
          <w:rFonts w:ascii="Book Antiqua" w:eastAsia="Book Antiqua" w:hAnsi="Book Antiqua" w:cs="Book Antiqua"/>
          <w:b/>
          <w:color w:val="000000"/>
        </w:rPr>
        <w:t xml:space="preserve"> L-Editor: </w:t>
      </w:r>
      <w:r w:rsidRPr="00F91674">
        <w:rPr>
          <w:rFonts w:ascii="Book Antiqua" w:eastAsia="Book Antiqua" w:hAnsi="Book Antiqua" w:cs="Book Antiqua"/>
          <w:bCs/>
          <w:color w:val="000000"/>
        </w:rPr>
        <w:t>A</w:t>
      </w:r>
      <w:r w:rsidRPr="00F91674">
        <w:rPr>
          <w:rFonts w:ascii="Book Antiqua" w:eastAsia="Book Antiqua" w:hAnsi="Book Antiqua" w:cs="Book Antiqua"/>
          <w:b/>
          <w:color w:val="000000"/>
        </w:rPr>
        <w:t xml:space="preserve"> P-Editor: </w:t>
      </w:r>
      <w:r w:rsidRPr="00F91674">
        <w:rPr>
          <w:rFonts w:ascii="Book Antiqua" w:eastAsia="Book Antiqua" w:hAnsi="Book Antiqua" w:cs="Book Antiqua"/>
          <w:bCs/>
          <w:color w:val="000000"/>
        </w:rPr>
        <w:t>Yu HG</w:t>
      </w:r>
    </w:p>
    <w:p w14:paraId="0334DE10" w14:textId="77777777" w:rsidR="00D51910" w:rsidRPr="00F91674" w:rsidRDefault="00D51910" w:rsidP="00264ED0">
      <w:pPr>
        <w:adjustRightInd w:val="0"/>
        <w:snapToGrid w:val="0"/>
        <w:spacing w:line="360" w:lineRule="auto"/>
        <w:jc w:val="both"/>
        <w:rPr>
          <w:rFonts w:ascii="Book Antiqua" w:eastAsia="Book Antiqua" w:hAnsi="Book Antiqua" w:cs="Book Antiqua"/>
          <w:b/>
          <w:color w:val="000000"/>
        </w:rPr>
      </w:pPr>
    </w:p>
    <w:p w14:paraId="46A55938" w14:textId="1B849554" w:rsidR="00A77B3E" w:rsidRPr="00F91674" w:rsidRDefault="000B753E" w:rsidP="00264ED0">
      <w:pPr>
        <w:adjustRightInd w:val="0"/>
        <w:snapToGrid w:val="0"/>
        <w:spacing w:line="360" w:lineRule="auto"/>
        <w:jc w:val="both"/>
        <w:rPr>
          <w:rFonts w:ascii="Book Antiqua" w:hAnsi="Book Antiqua"/>
        </w:rPr>
      </w:pPr>
      <w:r w:rsidRPr="00F91674">
        <w:rPr>
          <w:rFonts w:ascii="Book Antiqua" w:eastAsia="Book Antiqua" w:hAnsi="Book Antiqua" w:cs="Book Antiqua"/>
          <w:b/>
          <w:color w:val="000000"/>
        </w:rPr>
        <w:t>Figure Legends</w:t>
      </w:r>
    </w:p>
    <w:p w14:paraId="505C9E6C" w14:textId="146DE7AC" w:rsidR="00A77B3E" w:rsidRPr="00F91674" w:rsidRDefault="00F93612" w:rsidP="00264ED0">
      <w:pPr>
        <w:adjustRightInd w:val="0"/>
        <w:snapToGrid w:val="0"/>
        <w:spacing w:line="360" w:lineRule="auto"/>
        <w:jc w:val="both"/>
        <w:rPr>
          <w:rFonts w:ascii="Book Antiqua" w:hAnsi="Book Antiqua"/>
        </w:rPr>
      </w:pPr>
      <w:r w:rsidRPr="00F91674">
        <w:rPr>
          <w:rFonts w:ascii="Book Antiqua" w:hAnsi="Book Antiqua"/>
          <w:noProof/>
          <w:lang w:eastAsia="zh-CN"/>
        </w:rPr>
        <w:drawing>
          <wp:inline distT="0" distB="0" distL="0" distR="0" wp14:anchorId="03C95F9A" wp14:editId="4C1EAAE6">
            <wp:extent cx="3702306" cy="36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2306" cy="3600000"/>
                    </a:xfrm>
                    <a:prstGeom prst="rect">
                      <a:avLst/>
                    </a:prstGeom>
                    <a:noFill/>
                  </pic:spPr>
                </pic:pic>
              </a:graphicData>
            </a:graphic>
          </wp:inline>
        </w:drawing>
      </w:r>
    </w:p>
    <w:p w14:paraId="0C36705A" w14:textId="1B384584" w:rsidR="00A77B3E" w:rsidRPr="00F91674" w:rsidRDefault="000B753E" w:rsidP="00264ED0">
      <w:pPr>
        <w:adjustRightInd w:val="0"/>
        <w:snapToGrid w:val="0"/>
        <w:spacing w:line="360" w:lineRule="auto"/>
        <w:jc w:val="both"/>
        <w:rPr>
          <w:rFonts w:ascii="Book Antiqua" w:hAnsi="Book Antiqua"/>
        </w:rPr>
      </w:pPr>
      <w:r w:rsidRPr="00F91674">
        <w:rPr>
          <w:rFonts w:ascii="Book Antiqua" w:eastAsia="Book Antiqua" w:hAnsi="Book Antiqua" w:cs="Book Antiqua"/>
          <w:b/>
          <w:bCs/>
          <w:color w:val="000000"/>
        </w:rPr>
        <w:t xml:space="preserve">Figure 1 Historical overview of the hallmarks of cancer. </w:t>
      </w:r>
      <w:r w:rsidRPr="00F91674">
        <w:rPr>
          <w:rFonts w:ascii="Book Antiqua" w:eastAsia="Book Antiqua" w:hAnsi="Book Antiqua" w:cs="Book Antiqua"/>
          <w:color w:val="000000"/>
        </w:rPr>
        <w:t xml:space="preserve">Hallmarks of cancer proposed by Hanahan and </w:t>
      </w:r>
      <w:proofErr w:type="gramStart"/>
      <w:r w:rsidRPr="00F91674">
        <w:rPr>
          <w:rFonts w:ascii="Book Antiqua" w:eastAsia="Book Antiqua" w:hAnsi="Book Antiqua" w:cs="Book Antiqua"/>
          <w:color w:val="000000"/>
        </w:rPr>
        <w:t>Weinberg</w:t>
      </w:r>
      <w:r w:rsidR="00F93612" w:rsidRPr="00F91674">
        <w:rPr>
          <w:rFonts w:ascii="Book Antiqua" w:eastAsia="Book Antiqua" w:hAnsi="Book Antiqua" w:cs="Book Antiqua"/>
          <w:color w:val="000000"/>
          <w:vertAlign w:val="superscript"/>
        </w:rPr>
        <w:t>[</w:t>
      </w:r>
      <w:proofErr w:type="gramEnd"/>
      <w:r w:rsidR="00F93612" w:rsidRPr="00F91674">
        <w:rPr>
          <w:rFonts w:ascii="Book Antiqua" w:eastAsia="Book Antiqua" w:hAnsi="Book Antiqua" w:cs="Book Antiqua"/>
          <w:color w:val="000000"/>
          <w:vertAlign w:val="superscript"/>
        </w:rPr>
        <w:t>1,2]</w:t>
      </w:r>
      <w:r w:rsidRPr="00F91674">
        <w:rPr>
          <w:rFonts w:ascii="Book Antiqua" w:eastAsia="Book Antiqua" w:hAnsi="Book Antiqua" w:cs="Book Antiqua"/>
          <w:color w:val="000000"/>
        </w:rPr>
        <w:t xml:space="preserve"> in 2000 and 2011 are presented in yellow and blue colors, respectively. Additional hallmarks of cancer proposed by Senga and </w:t>
      </w:r>
      <w:proofErr w:type="gramStart"/>
      <w:r w:rsidRPr="00F91674">
        <w:rPr>
          <w:rFonts w:ascii="Book Antiqua" w:eastAsia="Book Antiqua" w:hAnsi="Book Antiqua" w:cs="Book Antiqua"/>
          <w:color w:val="000000"/>
        </w:rPr>
        <w:t>Grose</w:t>
      </w:r>
      <w:r w:rsidR="00F93612" w:rsidRPr="00F91674">
        <w:rPr>
          <w:rFonts w:ascii="Book Antiqua" w:eastAsia="Book Antiqua" w:hAnsi="Book Antiqua" w:cs="Book Antiqua"/>
          <w:color w:val="000000"/>
          <w:vertAlign w:val="superscript"/>
        </w:rPr>
        <w:t>[</w:t>
      </w:r>
      <w:proofErr w:type="gramEnd"/>
      <w:r w:rsidR="00F93612" w:rsidRPr="00F91674">
        <w:rPr>
          <w:rFonts w:ascii="Book Antiqua" w:eastAsia="Book Antiqua" w:hAnsi="Book Antiqua" w:cs="Book Antiqua"/>
          <w:color w:val="000000"/>
          <w:vertAlign w:val="superscript"/>
        </w:rPr>
        <w:t>3]</w:t>
      </w:r>
      <w:r w:rsidRPr="00F91674">
        <w:rPr>
          <w:rFonts w:ascii="Book Antiqua" w:eastAsia="Book Antiqua" w:hAnsi="Book Antiqua" w:cs="Book Antiqua"/>
          <w:color w:val="000000"/>
        </w:rPr>
        <w:t xml:space="preserve"> in 2021 are presented in pink.</w:t>
      </w:r>
    </w:p>
    <w:p w14:paraId="1F80DB61" w14:textId="2BCA2EBA" w:rsidR="00A77B3E" w:rsidRPr="00F91674" w:rsidRDefault="00F93612" w:rsidP="00264ED0">
      <w:pPr>
        <w:adjustRightInd w:val="0"/>
        <w:snapToGrid w:val="0"/>
        <w:spacing w:line="360" w:lineRule="auto"/>
        <w:jc w:val="both"/>
        <w:rPr>
          <w:rFonts w:ascii="Book Antiqua" w:hAnsi="Book Antiqua"/>
        </w:rPr>
      </w:pPr>
      <w:r w:rsidRPr="00F91674">
        <w:rPr>
          <w:rFonts w:ascii="Book Antiqua" w:hAnsi="Book Antiqua"/>
        </w:rPr>
        <w:br w:type="page"/>
      </w:r>
      <w:r w:rsidRPr="00F91674">
        <w:rPr>
          <w:rFonts w:ascii="Book Antiqua" w:hAnsi="Book Antiqua"/>
          <w:noProof/>
          <w:lang w:eastAsia="zh-CN"/>
        </w:rPr>
        <w:lastRenderedPageBreak/>
        <w:drawing>
          <wp:inline distT="0" distB="0" distL="0" distR="0" wp14:anchorId="271B524D" wp14:editId="7ACFEF4C">
            <wp:extent cx="3536805" cy="36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6805" cy="3600000"/>
                    </a:xfrm>
                    <a:prstGeom prst="rect">
                      <a:avLst/>
                    </a:prstGeom>
                    <a:noFill/>
                  </pic:spPr>
                </pic:pic>
              </a:graphicData>
            </a:graphic>
          </wp:inline>
        </w:drawing>
      </w:r>
    </w:p>
    <w:p w14:paraId="2D6CD1EF" w14:textId="77777777" w:rsidR="00A77B3E" w:rsidRPr="00F91674" w:rsidRDefault="000B753E" w:rsidP="00264ED0">
      <w:pPr>
        <w:adjustRightInd w:val="0"/>
        <w:snapToGrid w:val="0"/>
        <w:spacing w:line="360" w:lineRule="auto"/>
        <w:jc w:val="both"/>
        <w:rPr>
          <w:rFonts w:ascii="Book Antiqua" w:hAnsi="Book Antiqua"/>
        </w:rPr>
      </w:pPr>
      <w:r w:rsidRPr="00F91674">
        <w:rPr>
          <w:rFonts w:ascii="Book Antiqua" w:eastAsia="Book Antiqua" w:hAnsi="Book Antiqua" w:cs="Book Antiqua"/>
          <w:b/>
          <w:bCs/>
          <w:color w:val="000000"/>
        </w:rPr>
        <w:t>Figure 2</w:t>
      </w:r>
      <w:r w:rsidRPr="00F91674">
        <w:rPr>
          <w:rFonts w:ascii="Book Antiqua" w:eastAsia="Book Antiqua" w:hAnsi="Book Antiqua" w:cs="Book Antiqua"/>
          <w:color w:val="000000"/>
        </w:rPr>
        <w:t xml:space="preserve"> </w:t>
      </w:r>
      <w:r w:rsidRPr="00F91674">
        <w:rPr>
          <w:rFonts w:ascii="Book Antiqua" w:eastAsia="Book Antiqua" w:hAnsi="Book Antiqua" w:cs="Book Antiqua"/>
          <w:b/>
          <w:bCs/>
          <w:color w:val="000000"/>
        </w:rPr>
        <w:t>The roles of the SOX2 transcription factor in cancer.</w:t>
      </w:r>
      <w:r w:rsidRPr="00F91674">
        <w:rPr>
          <w:rFonts w:ascii="Book Antiqua" w:eastAsia="Book Antiqua" w:hAnsi="Book Antiqua" w:cs="Book Antiqua"/>
          <w:color w:val="000000"/>
        </w:rPr>
        <w:t xml:space="preserve"> Modified </w:t>
      </w:r>
      <w:proofErr w:type="gramStart"/>
      <w:r w:rsidRPr="00F91674">
        <w:rPr>
          <w:rFonts w:ascii="Book Antiqua" w:eastAsia="Book Antiqua" w:hAnsi="Book Antiqua" w:cs="Book Antiqua"/>
          <w:color w:val="000000"/>
        </w:rPr>
        <w:t>from</w:t>
      </w:r>
      <w:r w:rsidRPr="00F91674">
        <w:rPr>
          <w:rFonts w:ascii="Book Antiqua" w:eastAsia="Book Antiqua" w:hAnsi="Book Antiqua" w:cs="Book Antiqua"/>
          <w:color w:val="000000"/>
          <w:vertAlign w:val="superscript"/>
        </w:rPr>
        <w:t>[</w:t>
      </w:r>
      <w:proofErr w:type="gramEnd"/>
      <w:r w:rsidR="00BC0B14" w:rsidRPr="00F91674">
        <w:fldChar w:fldCharType="begin"/>
      </w:r>
      <w:r w:rsidR="00BC0B14" w:rsidRPr="00F91674">
        <w:instrText xml:space="preserve"> HYPERLINK \l "_ENREF_223" \o "Schaefer, 2020 #54" </w:instrText>
      </w:r>
      <w:r w:rsidR="00BC0B14" w:rsidRPr="00F91674">
        <w:fldChar w:fldCharType="separate"/>
      </w:r>
      <w:r w:rsidRPr="00F91674">
        <w:rPr>
          <w:rFonts w:ascii="Book Antiqua" w:eastAsia="Book Antiqua" w:hAnsi="Book Antiqua" w:cs="Book Antiqua"/>
          <w:color w:val="000000"/>
          <w:u w:val="single" w:color="0000EE"/>
          <w:vertAlign w:val="superscript"/>
        </w:rPr>
        <w:t>223</w:t>
      </w:r>
      <w:r w:rsidR="00BC0B14" w:rsidRPr="00F91674">
        <w:rPr>
          <w:rFonts w:ascii="Book Antiqua" w:eastAsia="Book Antiqua" w:hAnsi="Book Antiqua" w:cs="Book Antiqua"/>
          <w:color w:val="000000"/>
          <w:u w:val="single" w:color="0000EE"/>
          <w:vertAlign w:val="superscript"/>
        </w:rPr>
        <w:fldChar w:fldCharType="end"/>
      </w:r>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w:t>
      </w:r>
    </w:p>
    <w:p w14:paraId="42BE926B" w14:textId="1F26A6B4" w:rsidR="00A77B3E" w:rsidRPr="00F91674" w:rsidRDefault="00F93612" w:rsidP="00264ED0">
      <w:pPr>
        <w:adjustRightInd w:val="0"/>
        <w:snapToGrid w:val="0"/>
        <w:spacing w:line="360" w:lineRule="auto"/>
        <w:jc w:val="both"/>
        <w:rPr>
          <w:rFonts w:ascii="Book Antiqua" w:hAnsi="Book Antiqua"/>
        </w:rPr>
      </w:pPr>
      <w:r w:rsidRPr="00F91674">
        <w:rPr>
          <w:rFonts w:ascii="Book Antiqua" w:hAnsi="Book Antiqua"/>
        </w:rPr>
        <w:br w:type="page"/>
      </w:r>
      <w:r w:rsidR="00D3626A" w:rsidRPr="00F91674">
        <w:rPr>
          <w:rFonts w:ascii="Book Antiqua" w:hAnsi="Book Antiqua"/>
          <w:noProof/>
          <w:lang w:eastAsia="zh-CN"/>
        </w:rPr>
        <w:lastRenderedPageBreak/>
        <w:drawing>
          <wp:inline distT="0" distB="0" distL="0" distR="0" wp14:anchorId="13FAAAC7" wp14:editId="374A62B0">
            <wp:extent cx="2740729" cy="36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0729" cy="3600000"/>
                    </a:xfrm>
                    <a:prstGeom prst="rect">
                      <a:avLst/>
                    </a:prstGeom>
                    <a:noFill/>
                  </pic:spPr>
                </pic:pic>
              </a:graphicData>
            </a:graphic>
          </wp:inline>
        </w:drawing>
      </w:r>
    </w:p>
    <w:p w14:paraId="2403EF7C" w14:textId="1C04C7C8" w:rsidR="00F93612" w:rsidRPr="00F91674" w:rsidRDefault="000B753E" w:rsidP="00264ED0">
      <w:pPr>
        <w:adjustRightInd w:val="0"/>
        <w:snapToGrid w:val="0"/>
        <w:spacing w:line="360" w:lineRule="auto"/>
        <w:jc w:val="both"/>
        <w:rPr>
          <w:rFonts w:ascii="Book Antiqua" w:eastAsia="Book Antiqua" w:hAnsi="Book Antiqua" w:cs="Book Antiqua"/>
          <w:color w:val="000000"/>
        </w:rPr>
      </w:pPr>
      <w:r w:rsidRPr="00F91674">
        <w:rPr>
          <w:rFonts w:ascii="Book Antiqua" w:eastAsia="Book Antiqua" w:hAnsi="Book Antiqua" w:cs="Book Antiqua"/>
          <w:b/>
          <w:bCs/>
          <w:color w:val="000000"/>
        </w:rPr>
        <w:t>Figure 3 Potential cells of origin of glioblastoma.</w:t>
      </w:r>
      <w:r w:rsidRPr="00F91674">
        <w:rPr>
          <w:rFonts w:ascii="Book Antiqua" w:eastAsia="Book Antiqua" w:hAnsi="Book Antiqua" w:cs="Book Antiqua"/>
          <w:color w:val="000000"/>
        </w:rPr>
        <w:t xml:space="preserve"> During the neural differentiation process (black arrows), neural stem cells differentiate into fate-restricted precursors that are capable of differentiating into neurons, astrocytes or oligodendrocytes. Glioblastoma cells can arise due to the accumulation of cancer driver mutations in different cell types or due to the dedifferentiation of mature cells (</w:t>
      </w:r>
      <w:r w:rsidR="007517A7" w:rsidRPr="00F91674">
        <w:rPr>
          <w:rFonts w:ascii="Book Antiqua" w:eastAsia="Book Antiqua" w:hAnsi="Book Antiqua" w:cs="Book Antiqua" w:hint="eastAsia"/>
          <w:color w:val="000000"/>
        </w:rPr>
        <w:t>orange</w:t>
      </w:r>
      <w:r w:rsidRPr="00F91674">
        <w:rPr>
          <w:rFonts w:ascii="Book Antiqua" w:eastAsia="Book Antiqua" w:hAnsi="Book Antiqua" w:cs="Book Antiqua"/>
          <w:color w:val="000000"/>
        </w:rPr>
        <w:t xml:space="preserve"> arrows). Modified </w:t>
      </w:r>
      <w:proofErr w:type="gramStart"/>
      <w:r w:rsidRPr="00F91674">
        <w:rPr>
          <w:rFonts w:ascii="Book Antiqua" w:eastAsia="Book Antiqua" w:hAnsi="Book Antiqua" w:cs="Book Antiqua"/>
          <w:color w:val="000000"/>
        </w:rPr>
        <w:t>from</w:t>
      </w:r>
      <w:r w:rsidRPr="00F91674">
        <w:rPr>
          <w:rFonts w:ascii="Book Antiqua" w:eastAsia="Book Antiqua" w:hAnsi="Book Antiqua" w:cs="Book Antiqua"/>
          <w:color w:val="000000"/>
          <w:vertAlign w:val="superscript"/>
        </w:rPr>
        <w:t>[</w:t>
      </w:r>
      <w:proofErr w:type="gramEnd"/>
      <w:hyperlink w:anchor="_ENREF_224" w:tooltip="Agnihotri, 2013 #81" w:history="1">
        <w:r w:rsidRPr="00F91674">
          <w:rPr>
            <w:rFonts w:ascii="Book Antiqua" w:eastAsia="Book Antiqua" w:hAnsi="Book Antiqua" w:cs="Book Antiqua"/>
            <w:color w:val="000000"/>
            <w:u w:val="single" w:color="0000EE"/>
            <w:vertAlign w:val="superscript"/>
          </w:rPr>
          <w:t>224</w:t>
        </w:r>
      </w:hyperlink>
      <w:r w:rsidRPr="00F91674">
        <w:rPr>
          <w:rFonts w:ascii="Book Antiqua" w:eastAsia="Book Antiqua" w:hAnsi="Book Antiqua" w:cs="Book Antiqua"/>
          <w:color w:val="000000"/>
          <w:vertAlign w:val="superscript"/>
        </w:rPr>
        <w:t>]</w:t>
      </w:r>
      <w:r w:rsidRPr="00F91674">
        <w:rPr>
          <w:rFonts w:ascii="Book Antiqua" w:eastAsia="Book Antiqua" w:hAnsi="Book Antiqua" w:cs="Book Antiqua"/>
          <w:color w:val="000000"/>
        </w:rPr>
        <w:t>. References are included in the main text.</w:t>
      </w:r>
    </w:p>
    <w:p w14:paraId="21096424" w14:textId="524322EF" w:rsidR="00A77B3E" w:rsidRPr="00F91674" w:rsidRDefault="00F93612" w:rsidP="00264ED0">
      <w:pPr>
        <w:adjustRightInd w:val="0"/>
        <w:snapToGrid w:val="0"/>
        <w:spacing w:line="360" w:lineRule="auto"/>
        <w:jc w:val="both"/>
        <w:rPr>
          <w:rFonts w:ascii="Book Antiqua" w:hAnsi="Book Antiqua"/>
        </w:rPr>
      </w:pPr>
      <w:r w:rsidRPr="00F91674">
        <w:rPr>
          <w:rFonts w:ascii="Book Antiqua" w:eastAsia="Book Antiqua" w:hAnsi="Book Antiqua" w:cs="Book Antiqua"/>
          <w:color w:val="000000"/>
        </w:rPr>
        <w:br w:type="page"/>
      </w:r>
      <w:r w:rsidR="00D3626A" w:rsidRPr="00F91674">
        <w:rPr>
          <w:rFonts w:ascii="Book Antiqua" w:eastAsia="Book Antiqua" w:hAnsi="Book Antiqua" w:cs="Book Antiqua"/>
          <w:noProof/>
          <w:color w:val="000000"/>
          <w:lang w:eastAsia="zh-CN"/>
        </w:rPr>
        <w:lastRenderedPageBreak/>
        <w:drawing>
          <wp:inline distT="0" distB="0" distL="0" distR="0" wp14:anchorId="3B11BCF1" wp14:editId="3C49C3A0">
            <wp:extent cx="3600672" cy="36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672" cy="3600000"/>
                    </a:xfrm>
                    <a:prstGeom prst="rect">
                      <a:avLst/>
                    </a:prstGeom>
                    <a:noFill/>
                  </pic:spPr>
                </pic:pic>
              </a:graphicData>
            </a:graphic>
          </wp:inline>
        </w:drawing>
      </w:r>
    </w:p>
    <w:p w14:paraId="46072F01" w14:textId="5C47D1DB" w:rsidR="00D3626A" w:rsidRPr="00F91674" w:rsidRDefault="000B753E" w:rsidP="00264ED0">
      <w:pPr>
        <w:adjustRightInd w:val="0"/>
        <w:snapToGrid w:val="0"/>
        <w:spacing w:line="360" w:lineRule="auto"/>
        <w:jc w:val="both"/>
        <w:rPr>
          <w:rFonts w:ascii="Book Antiqua" w:eastAsia="Book Antiqua" w:hAnsi="Book Antiqua" w:cs="Book Antiqua"/>
          <w:color w:val="000000"/>
        </w:rPr>
      </w:pPr>
      <w:r w:rsidRPr="00F91674">
        <w:rPr>
          <w:rFonts w:ascii="Book Antiqua" w:eastAsia="Book Antiqua" w:hAnsi="Book Antiqua" w:cs="Book Antiqua"/>
          <w:b/>
          <w:bCs/>
          <w:color w:val="000000"/>
        </w:rPr>
        <w:t xml:space="preserve">Figure 4 Signaling pathways involved in the maintenance of </w:t>
      </w:r>
      <w:bookmarkStart w:id="2" w:name="_Hlk81471493"/>
      <w:r w:rsidRPr="00F91674">
        <w:rPr>
          <w:rFonts w:ascii="Book Antiqua" w:eastAsia="Book Antiqua" w:hAnsi="Book Antiqua" w:cs="Book Antiqua"/>
          <w:b/>
          <w:bCs/>
          <w:color w:val="000000"/>
        </w:rPr>
        <w:t xml:space="preserve">glioma stem cell </w:t>
      </w:r>
      <w:bookmarkEnd w:id="2"/>
      <w:r w:rsidRPr="00F91674">
        <w:rPr>
          <w:rFonts w:ascii="Book Antiqua" w:eastAsia="Book Antiqua" w:hAnsi="Book Antiqua" w:cs="Book Antiqua"/>
          <w:b/>
          <w:bCs/>
          <w:color w:val="000000"/>
        </w:rPr>
        <w:t>properties.</w:t>
      </w:r>
      <w:r w:rsidRPr="00F91674">
        <w:rPr>
          <w:rFonts w:ascii="Book Antiqua" w:eastAsia="Book Antiqua" w:hAnsi="Book Antiqua" w:cs="Book Antiqua"/>
          <w:color w:val="000000"/>
        </w:rPr>
        <w:t xml:space="preserve"> The main signaling pathways involved in the maintenance of </w:t>
      </w:r>
      <w:r w:rsidR="00D3626A" w:rsidRPr="00F91674">
        <w:rPr>
          <w:rFonts w:ascii="Book Antiqua" w:eastAsia="Book Antiqua" w:hAnsi="Book Antiqua" w:cs="Book Antiqua"/>
          <w:color w:val="000000"/>
        </w:rPr>
        <w:t xml:space="preserve">glioma stem cell </w:t>
      </w:r>
      <w:r w:rsidRPr="00F91674">
        <w:rPr>
          <w:rFonts w:ascii="Book Antiqua" w:eastAsia="Book Antiqua" w:hAnsi="Book Antiqua" w:cs="Book Antiqua"/>
          <w:color w:val="000000"/>
        </w:rPr>
        <w:t xml:space="preserve">properties include </w:t>
      </w:r>
      <w:r w:rsidR="00D1642E" w:rsidRPr="00F91674">
        <w:rPr>
          <w:rFonts w:ascii="Book Antiqua" w:eastAsia="Book Antiqua" w:hAnsi="Book Antiqua" w:cs="Book Antiqua"/>
          <w:color w:val="000000"/>
        </w:rPr>
        <w:t>H</w:t>
      </w:r>
      <w:r w:rsidRPr="00F91674">
        <w:rPr>
          <w:rFonts w:ascii="Book Antiqua" w:eastAsia="Book Antiqua" w:hAnsi="Book Antiqua" w:cs="Book Antiqua"/>
          <w:color w:val="000000"/>
        </w:rPr>
        <w:t>edgehog, Wnt/</w:t>
      </w:r>
      <w:r w:rsidRPr="00F91674">
        <w:rPr>
          <w:rFonts w:ascii="Cambria Math" w:eastAsia="Book Antiqua" w:hAnsi="Cambria Math" w:cs="Cambria Math"/>
          <w:color w:val="000000"/>
        </w:rPr>
        <w:t>𝛽</w:t>
      </w:r>
      <w:r w:rsidRPr="00F91674">
        <w:rPr>
          <w:rFonts w:ascii="Book Antiqua" w:eastAsia="Book Antiqua" w:hAnsi="Book Antiqua" w:cs="Book Antiqua"/>
          <w:color w:val="000000"/>
        </w:rPr>
        <w:t xml:space="preserve">-catenin, NOTCH, </w:t>
      </w:r>
      <w:r w:rsidR="00D1642E" w:rsidRPr="00F91674">
        <w:rPr>
          <w:rFonts w:ascii="Book Antiqua" w:eastAsia="Book Antiqua" w:hAnsi="Book Antiqua" w:cs="Book Antiqua"/>
          <w:color w:val="000000"/>
        </w:rPr>
        <w:t>E</w:t>
      </w:r>
      <w:r w:rsidRPr="00F91674">
        <w:rPr>
          <w:rFonts w:ascii="Book Antiqua" w:eastAsia="Book Antiqua" w:hAnsi="Book Antiqua" w:cs="Book Antiqua"/>
          <w:color w:val="000000"/>
        </w:rPr>
        <w:t>pidermal growth factor receptor, Phosphatidylinositol-3-phosphate kinase/AKT/Mammalian target of rapamycin, Mitogen-activated protein kinase, Inhibitory kappa B kinase/Nuclear factor-kappa</w:t>
      </w:r>
      <w:r w:rsidR="00D1642E" w:rsidRPr="00F91674">
        <w:rPr>
          <w:rFonts w:ascii="Book Antiqua" w:eastAsia="Book Antiqua" w:hAnsi="Book Antiqua" w:cs="Book Antiqua"/>
          <w:color w:val="000000"/>
        </w:rPr>
        <w:t xml:space="preserve"> B</w:t>
      </w:r>
      <w:r w:rsidRPr="00F91674">
        <w:rPr>
          <w:rFonts w:ascii="Book Antiqua" w:eastAsia="Book Antiqua" w:hAnsi="Book Antiqua" w:cs="Book Antiqua"/>
          <w:color w:val="000000"/>
        </w:rPr>
        <w:t>, T</w:t>
      </w:r>
      <w:r w:rsidRPr="00F91674">
        <w:rPr>
          <w:rFonts w:ascii="Book Antiqua" w:eastAsia="Book Antiqua" w:hAnsi="Book Antiqua" w:cs="Book Antiqua"/>
          <w:color w:val="000000"/>
          <w:shd w:val="clear" w:color="auto" w:fill="FFFFFF"/>
        </w:rPr>
        <w:t>ransforming growth factor-beta/Small mothers against decapentaplegic</w:t>
      </w:r>
      <w:r w:rsidRPr="00F91674">
        <w:rPr>
          <w:rFonts w:ascii="Book Antiqua" w:eastAsia="Book Antiqua" w:hAnsi="Book Antiqua" w:cs="Book Antiqua"/>
          <w:color w:val="000000"/>
        </w:rPr>
        <w:t xml:space="preserve"> and Janus kinase/Signal transducers and activators of transcription. References are included in the main text. </w:t>
      </w:r>
      <w:r w:rsidR="00D3626A" w:rsidRPr="00F91674">
        <w:rPr>
          <w:rFonts w:ascii="Book Antiqua" w:eastAsia="Book Antiqua" w:hAnsi="Book Antiqua" w:cs="Book Antiqua"/>
          <w:color w:val="000000"/>
        </w:rPr>
        <w:t>MAPK: Mitogen-activated protein kinase; JAK/STAT: Janus kinase/</w:t>
      </w:r>
      <w:r w:rsidR="00D1642E" w:rsidRPr="00F91674">
        <w:rPr>
          <w:rFonts w:ascii="Book Antiqua" w:eastAsia="Book Antiqua" w:hAnsi="Book Antiqua" w:cs="Book Antiqua"/>
          <w:color w:val="000000"/>
        </w:rPr>
        <w:t>S</w:t>
      </w:r>
      <w:r w:rsidR="00D3626A" w:rsidRPr="00F91674">
        <w:rPr>
          <w:rFonts w:ascii="Book Antiqua" w:eastAsia="Book Antiqua" w:hAnsi="Book Antiqua" w:cs="Book Antiqua"/>
          <w:color w:val="000000"/>
        </w:rPr>
        <w:t>ignal transducers and activators of transcription; EGFR: Epidermal growth factor receptor; PI3K/AKT/mTOR: Phosphatidylinositol-3-phosphate kinase/AKT/Mammalian target of rapamycin; IKK/NF-</w:t>
      </w:r>
      <w:r w:rsidR="00D3626A" w:rsidRPr="00F91674">
        <w:rPr>
          <w:rFonts w:ascii="Cambria Math" w:eastAsia="Book Antiqua" w:hAnsi="Cambria Math" w:cs="Cambria Math"/>
          <w:color w:val="000000"/>
        </w:rPr>
        <w:t>𝜅</w:t>
      </w:r>
      <w:r w:rsidR="00D3626A" w:rsidRPr="00F91674">
        <w:rPr>
          <w:rFonts w:ascii="Book Antiqua" w:eastAsia="Book Antiqua" w:hAnsi="Book Antiqua" w:cs="Book Antiqua"/>
          <w:color w:val="000000"/>
        </w:rPr>
        <w:t>B: Inhibitory kappa B kinase/</w:t>
      </w:r>
      <w:r w:rsidR="00D1642E" w:rsidRPr="00F91674">
        <w:rPr>
          <w:rFonts w:ascii="Book Antiqua" w:eastAsia="Book Antiqua" w:hAnsi="Book Antiqua" w:cs="Book Antiqua"/>
          <w:color w:val="000000"/>
        </w:rPr>
        <w:t>N</w:t>
      </w:r>
      <w:r w:rsidR="00D3626A" w:rsidRPr="00F91674">
        <w:rPr>
          <w:rFonts w:ascii="Book Antiqua" w:eastAsia="Book Antiqua" w:hAnsi="Book Antiqua" w:cs="Book Antiqua"/>
          <w:color w:val="000000"/>
        </w:rPr>
        <w:t>uclear factor-kappa</w:t>
      </w:r>
      <w:r w:rsidR="00D1642E" w:rsidRPr="00F91674">
        <w:rPr>
          <w:rFonts w:ascii="Book Antiqua" w:eastAsia="Book Antiqua" w:hAnsi="Book Antiqua" w:cs="Book Antiqua"/>
          <w:color w:val="000000"/>
        </w:rPr>
        <w:t xml:space="preserve"> B</w:t>
      </w:r>
      <w:r w:rsidR="00D3626A" w:rsidRPr="00F91674">
        <w:rPr>
          <w:rFonts w:ascii="Book Antiqua" w:eastAsia="Book Antiqua" w:hAnsi="Book Antiqua" w:cs="Book Antiqua"/>
          <w:color w:val="000000"/>
        </w:rPr>
        <w:t>; TGF-β/SMAD: T</w:t>
      </w:r>
      <w:r w:rsidR="00D3626A" w:rsidRPr="00F91674">
        <w:rPr>
          <w:rFonts w:ascii="Book Antiqua" w:eastAsia="Book Antiqua" w:hAnsi="Book Antiqua" w:cs="Book Antiqua"/>
          <w:color w:val="000000"/>
          <w:shd w:val="clear" w:color="auto" w:fill="FFFFFF"/>
        </w:rPr>
        <w:t xml:space="preserve">ransforming growth factor-beta/Small mothers against decapentaplegic; GSCs: </w:t>
      </w:r>
      <w:r w:rsidR="00D3626A" w:rsidRPr="00F91674">
        <w:rPr>
          <w:rFonts w:ascii="Book Antiqua" w:eastAsia="Book Antiqua" w:hAnsi="Book Antiqua" w:cs="Book Antiqua"/>
          <w:color w:val="000000"/>
        </w:rPr>
        <w:t>Glioma stem cells</w:t>
      </w:r>
      <w:r w:rsidR="00D3626A" w:rsidRPr="00F91674">
        <w:rPr>
          <w:rFonts w:ascii="Book Antiqua" w:eastAsia="Book Antiqua" w:hAnsi="Book Antiqua" w:cs="Book Antiqua"/>
          <w:color w:val="000000"/>
          <w:shd w:val="clear" w:color="auto" w:fill="FFFFFF"/>
        </w:rPr>
        <w:t>.</w:t>
      </w:r>
    </w:p>
    <w:p w14:paraId="4BF82648" w14:textId="6089E35F" w:rsidR="00A77B3E" w:rsidRPr="00F91674" w:rsidRDefault="00D3626A" w:rsidP="00264ED0">
      <w:pPr>
        <w:adjustRightInd w:val="0"/>
        <w:snapToGrid w:val="0"/>
        <w:spacing w:line="360" w:lineRule="auto"/>
        <w:jc w:val="both"/>
        <w:rPr>
          <w:rFonts w:ascii="Book Antiqua" w:hAnsi="Book Antiqua"/>
        </w:rPr>
      </w:pPr>
      <w:r w:rsidRPr="00F91674">
        <w:rPr>
          <w:rFonts w:ascii="Book Antiqua" w:eastAsia="Book Antiqua" w:hAnsi="Book Antiqua" w:cs="Book Antiqua"/>
          <w:color w:val="000000"/>
        </w:rPr>
        <w:br w:type="page"/>
      </w:r>
      <w:r w:rsidRPr="00F91674">
        <w:rPr>
          <w:rFonts w:ascii="Book Antiqua" w:eastAsia="Book Antiqua" w:hAnsi="Book Antiqua" w:cs="Book Antiqua"/>
          <w:noProof/>
          <w:color w:val="000000"/>
          <w:lang w:eastAsia="zh-CN"/>
        </w:rPr>
        <w:lastRenderedPageBreak/>
        <w:drawing>
          <wp:inline distT="0" distB="0" distL="0" distR="0" wp14:anchorId="301E8E6D" wp14:editId="756F31CA">
            <wp:extent cx="3567054" cy="36970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0550" cy="3700695"/>
                    </a:xfrm>
                    <a:prstGeom prst="rect">
                      <a:avLst/>
                    </a:prstGeom>
                    <a:noFill/>
                  </pic:spPr>
                </pic:pic>
              </a:graphicData>
            </a:graphic>
          </wp:inline>
        </w:drawing>
      </w:r>
    </w:p>
    <w:p w14:paraId="1CA313BB" w14:textId="78DE78F7" w:rsidR="003A296D" w:rsidRPr="00F91674" w:rsidRDefault="000B753E" w:rsidP="00264ED0">
      <w:pPr>
        <w:adjustRightInd w:val="0"/>
        <w:snapToGrid w:val="0"/>
        <w:spacing w:line="360" w:lineRule="auto"/>
        <w:jc w:val="both"/>
        <w:rPr>
          <w:rFonts w:ascii="Book Antiqua" w:eastAsia="Book Antiqua" w:hAnsi="Book Antiqua" w:cs="Book Antiqua"/>
          <w:color w:val="000000"/>
          <w:shd w:val="clear" w:color="auto" w:fill="FFFFFF"/>
        </w:rPr>
      </w:pPr>
      <w:r w:rsidRPr="00F91674">
        <w:rPr>
          <w:rFonts w:ascii="Book Antiqua" w:eastAsia="Book Antiqua" w:hAnsi="Book Antiqua" w:cs="Book Antiqua"/>
          <w:b/>
          <w:bCs/>
          <w:color w:val="000000"/>
        </w:rPr>
        <w:t xml:space="preserve">Figure 5 The roles of SOX </w:t>
      </w:r>
      <w:bookmarkStart w:id="3" w:name="_Hlk81471864"/>
      <w:r w:rsidRPr="00F91674">
        <w:rPr>
          <w:rFonts w:ascii="Book Antiqua" w:eastAsia="Book Antiqua" w:hAnsi="Book Antiqua" w:cs="Book Antiqua"/>
          <w:b/>
          <w:bCs/>
          <w:color w:val="000000"/>
        </w:rPr>
        <w:t>transcription factors</w:t>
      </w:r>
      <w:bookmarkEnd w:id="3"/>
      <w:r w:rsidRPr="00F91674">
        <w:rPr>
          <w:rFonts w:ascii="Book Antiqua" w:eastAsia="Book Antiqua" w:hAnsi="Book Antiqua" w:cs="Book Antiqua"/>
          <w:b/>
          <w:bCs/>
          <w:color w:val="000000"/>
        </w:rPr>
        <w:t xml:space="preserve"> in glioma stem cells.</w:t>
      </w:r>
      <w:r w:rsidRPr="00F91674">
        <w:rPr>
          <w:rFonts w:ascii="Book Antiqua" w:eastAsia="Book Antiqua" w:hAnsi="Book Antiqua" w:cs="Book Antiqua"/>
          <w:color w:val="000000"/>
        </w:rPr>
        <w:t xml:space="preserve"> SOX </w:t>
      </w:r>
      <w:r w:rsidR="003A296D" w:rsidRPr="00F91674">
        <w:rPr>
          <w:rFonts w:ascii="Book Antiqua" w:eastAsia="Book Antiqua" w:hAnsi="Book Antiqua" w:cs="Book Antiqua"/>
          <w:color w:val="000000"/>
        </w:rPr>
        <w:t xml:space="preserve">transcription factors </w:t>
      </w:r>
      <w:r w:rsidRPr="00F91674">
        <w:rPr>
          <w:rFonts w:ascii="Book Antiqua" w:eastAsia="Book Antiqua" w:hAnsi="Book Antiqua" w:cs="Book Antiqua"/>
          <w:color w:val="000000"/>
        </w:rPr>
        <w:t xml:space="preserve">exert numerous functions in </w:t>
      </w:r>
      <w:r w:rsidR="003A296D" w:rsidRPr="00F91674">
        <w:rPr>
          <w:rFonts w:ascii="Book Antiqua" w:eastAsia="Book Antiqua" w:hAnsi="Book Antiqua" w:cs="Book Antiqua"/>
          <w:color w:val="000000"/>
        </w:rPr>
        <w:t>glioma stem cells (GSCs)</w:t>
      </w:r>
      <w:r w:rsidRPr="00F91674">
        <w:rPr>
          <w:rFonts w:ascii="Book Antiqua" w:eastAsia="Book Antiqua" w:hAnsi="Book Antiqua" w:cs="Book Antiqua"/>
          <w:color w:val="000000"/>
        </w:rPr>
        <w:t xml:space="preserve">. They influence GSC self-renewal, stemness, tumorigenicity, sphere-forming capacity, proliferation rate, viability, migration and invasion capacities, and apoptosis. Some of the members of the </w:t>
      </w:r>
      <w:r w:rsidRPr="00F91674">
        <w:rPr>
          <w:rFonts w:ascii="Book Antiqua" w:eastAsia="Book Antiqua" w:hAnsi="Book Antiqua" w:cs="Book Antiqua"/>
          <w:i/>
          <w:iCs/>
          <w:color w:val="000000"/>
        </w:rPr>
        <w:t>SOX</w:t>
      </w:r>
      <w:r w:rsidRPr="00F91674">
        <w:rPr>
          <w:rFonts w:ascii="Book Antiqua" w:eastAsia="Book Antiqua" w:hAnsi="Book Antiqua" w:cs="Book Antiqua"/>
          <w:color w:val="000000"/>
        </w:rPr>
        <w:t xml:space="preserve"> gene family are involved in the resistance of GSCs to therapy. </w:t>
      </w:r>
      <w:r w:rsidR="00FE5586" w:rsidRPr="00F91674">
        <w:rPr>
          <w:rFonts w:ascii="Book Antiqua" w:eastAsia="Book Antiqua" w:hAnsi="Book Antiqua" w:cs="Book Antiqua"/>
          <w:color w:val="000000"/>
        </w:rPr>
        <w:t>Blue</w:t>
      </w:r>
      <w:r w:rsidRPr="00F91674">
        <w:rPr>
          <w:rFonts w:ascii="Book Antiqua" w:eastAsia="Book Antiqua" w:hAnsi="Book Antiqua" w:cs="Book Antiqua"/>
          <w:color w:val="000000"/>
        </w:rPr>
        <w:t xml:space="preserve"> arrows represent stimulation, and </w:t>
      </w:r>
      <w:r w:rsidR="00FE5586" w:rsidRPr="00F91674">
        <w:rPr>
          <w:rFonts w:ascii="Book Antiqua" w:eastAsia="Book Antiqua" w:hAnsi="Book Antiqua" w:cs="Book Antiqua"/>
          <w:color w:val="000000"/>
        </w:rPr>
        <w:t>orange</w:t>
      </w:r>
      <w:r w:rsidRPr="00F91674">
        <w:rPr>
          <w:rFonts w:ascii="Book Antiqua" w:eastAsia="Book Antiqua" w:hAnsi="Book Antiqua" w:cs="Book Antiqua"/>
          <w:color w:val="000000"/>
        </w:rPr>
        <w:t xml:space="preserve"> bars represent inhibition. References are included in the main text. </w:t>
      </w:r>
      <w:r w:rsidR="00D3626A" w:rsidRPr="00F91674">
        <w:rPr>
          <w:rFonts w:ascii="Book Antiqua" w:eastAsia="Book Antiqua" w:hAnsi="Book Antiqua" w:cs="Book Antiqua"/>
          <w:color w:val="000000"/>
          <w:shd w:val="clear" w:color="auto" w:fill="FFFFFF"/>
        </w:rPr>
        <w:t xml:space="preserve">GSCs: </w:t>
      </w:r>
      <w:r w:rsidR="00D3626A" w:rsidRPr="00F91674">
        <w:rPr>
          <w:rFonts w:ascii="Book Antiqua" w:eastAsia="Book Antiqua" w:hAnsi="Book Antiqua" w:cs="Book Antiqua"/>
          <w:color w:val="000000"/>
        </w:rPr>
        <w:t>Glioma stem cells</w:t>
      </w:r>
      <w:r w:rsidR="00D3626A" w:rsidRPr="00F91674">
        <w:rPr>
          <w:rFonts w:ascii="Book Antiqua" w:eastAsia="Book Antiqua" w:hAnsi="Book Antiqua" w:cs="Book Antiqua"/>
          <w:color w:val="000000"/>
          <w:shd w:val="clear" w:color="auto" w:fill="FFFFFF"/>
        </w:rPr>
        <w:t>.</w:t>
      </w:r>
    </w:p>
    <w:p w14:paraId="1B9BE5F1" w14:textId="214ECCAB" w:rsidR="00A77B3E" w:rsidRPr="00F91674" w:rsidRDefault="003A296D" w:rsidP="00264ED0">
      <w:pPr>
        <w:adjustRightInd w:val="0"/>
        <w:snapToGrid w:val="0"/>
        <w:spacing w:line="360" w:lineRule="auto"/>
        <w:jc w:val="both"/>
        <w:rPr>
          <w:rFonts w:ascii="Book Antiqua" w:hAnsi="Book Antiqua"/>
        </w:rPr>
      </w:pPr>
      <w:r w:rsidRPr="00F91674">
        <w:rPr>
          <w:rFonts w:ascii="Book Antiqua" w:eastAsia="Book Antiqua" w:hAnsi="Book Antiqua" w:cs="Book Antiqua"/>
          <w:color w:val="000000"/>
          <w:shd w:val="clear" w:color="auto" w:fill="FFFFFF"/>
        </w:rPr>
        <w:br w:type="page"/>
      </w:r>
      <w:r w:rsidRPr="00F91674">
        <w:rPr>
          <w:rFonts w:ascii="Book Antiqua" w:eastAsia="Book Antiqua" w:hAnsi="Book Antiqua" w:cs="Book Antiqua"/>
          <w:noProof/>
          <w:color w:val="000000"/>
          <w:shd w:val="clear" w:color="auto" w:fill="FFFFFF"/>
          <w:lang w:eastAsia="zh-CN"/>
        </w:rPr>
        <w:lastRenderedPageBreak/>
        <w:drawing>
          <wp:inline distT="0" distB="0" distL="0" distR="0" wp14:anchorId="6D81A94C" wp14:editId="189CE585">
            <wp:extent cx="5870216" cy="288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0216" cy="2880000"/>
                    </a:xfrm>
                    <a:prstGeom prst="rect">
                      <a:avLst/>
                    </a:prstGeom>
                    <a:noFill/>
                  </pic:spPr>
                </pic:pic>
              </a:graphicData>
            </a:graphic>
          </wp:inline>
        </w:drawing>
      </w:r>
    </w:p>
    <w:p w14:paraId="3738A2A8" w14:textId="5DCB9E1C" w:rsidR="003A296D" w:rsidRPr="00F91674" w:rsidRDefault="000B753E" w:rsidP="00264ED0">
      <w:pPr>
        <w:adjustRightInd w:val="0"/>
        <w:snapToGrid w:val="0"/>
        <w:spacing w:line="360" w:lineRule="auto"/>
        <w:jc w:val="both"/>
        <w:rPr>
          <w:rFonts w:ascii="Book Antiqua" w:eastAsia="Book Antiqua" w:hAnsi="Book Antiqua" w:cs="Book Antiqua"/>
          <w:b/>
          <w:bCs/>
          <w:color w:val="000000"/>
        </w:rPr>
      </w:pPr>
      <w:r w:rsidRPr="00F91674">
        <w:rPr>
          <w:rFonts w:ascii="Book Antiqua" w:eastAsia="Book Antiqua" w:hAnsi="Book Antiqua" w:cs="Book Antiqua"/>
          <w:b/>
          <w:bCs/>
          <w:color w:val="000000"/>
        </w:rPr>
        <w:t xml:space="preserve">Figure 6 SOX transcription factors involved in the maintenance of stemness and differentiation of glioma stem cells. </w:t>
      </w:r>
      <w:r w:rsidRPr="00F91674">
        <w:rPr>
          <w:rFonts w:ascii="Book Antiqua" w:eastAsia="Book Antiqua" w:hAnsi="Book Antiqua" w:cs="Book Antiqua"/>
          <w:color w:val="000000"/>
        </w:rPr>
        <w:t>References are included in the main text.</w:t>
      </w:r>
      <w:r w:rsidRPr="00F91674">
        <w:rPr>
          <w:rFonts w:ascii="Book Antiqua" w:eastAsia="Book Antiqua" w:hAnsi="Book Antiqua" w:cs="Book Antiqua"/>
          <w:b/>
          <w:bCs/>
          <w:color w:val="000000"/>
        </w:rPr>
        <w:t xml:space="preserve"> </w:t>
      </w:r>
    </w:p>
    <w:p w14:paraId="3441DD18" w14:textId="6C26DA25" w:rsidR="00A77B3E" w:rsidRPr="00F91674" w:rsidRDefault="003A296D" w:rsidP="00264ED0">
      <w:pPr>
        <w:adjustRightInd w:val="0"/>
        <w:snapToGrid w:val="0"/>
        <w:spacing w:line="360" w:lineRule="auto"/>
        <w:jc w:val="both"/>
        <w:rPr>
          <w:rFonts w:ascii="Book Antiqua" w:hAnsi="Book Antiqua"/>
          <w:b/>
          <w:bCs/>
        </w:rPr>
      </w:pPr>
      <w:r w:rsidRPr="00F91674">
        <w:rPr>
          <w:rFonts w:ascii="Book Antiqua" w:eastAsia="Book Antiqua" w:hAnsi="Book Antiqua" w:cs="Book Antiqua"/>
          <w:b/>
          <w:bCs/>
          <w:color w:val="000000"/>
        </w:rPr>
        <w:br w:type="page"/>
      </w:r>
    </w:p>
    <w:p w14:paraId="5882CFEF" w14:textId="484E3EC4" w:rsidR="00774E85" w:rsidRPr="00F91674" w:rsidRDefault="00774E85" w:rsidP="00264ED0">
      <w:pPr>
        <w:adjustRightInd w:val="0"/>
        <w:snapToGrid w:val="0"/>
        <w:spacing w:line="360" w:lineRule="auto"/>
        <w:jc w:val="both"/>
        <w:rPr>
          <w:rFonts w:ascii="Book Antiqua" w:eastAsia="Book Antiqua" w:hAnsi="Book Antiqua" w:cs="Book Antiqua"/>
          <w:b/>
          <w:bCs/>
          <w:color w:val="000000"/>
          <w:shd w:val="clear" w:color="auto" w:fill="FFFFFF"/>
        </w:rPr>
      </w:pPr>
      <w:r w:rsidRPr="00F91674">
        <w:rPr>
          <w:rFonts w:ascii="Book Antiqua" w:eastAsia="Book Antiqua" w:hAnsi="Book Antiqua" w:cs="Book Antiqua"/>
          <w:b/>
          <w:bCs/>
          <w:noProof/>
          <w:color w:val="000000"/>
          <w:shd w:val="clear" w:color="auto" w:fill="FFFFFF"/>
          <w:lang w:eastAsia="zh-CN"/>
        </w:rPr>
        <w:lastRenderedPageBreak/>
        <w:drawing>
          <wp:inline distT="0" distB="0" distL="0" distR="0" wp14:anchorId="09FCFD55" wp14:editId="601358F5">
            <wp:extent cx="3963659" cy="288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3659" cy="2880000"/>
                    </a:xfrm>
                    <a:prstGeom prst="rect">
                      <a:avLst/>
                    </a:prstGeom>
                    <a:noFill/>
                  </pic:spPr>
                </pic:pic>
              </a:graphicData>
            </a:graphic>
          </wp:inline>
        </w:drawing>
      </w:r>
    </w:p>
    <w:p w14:paraId="274F6D09" w14:textId="5D2466A6" w:rsidR="003A296D" w:rsidRPr="00F91674" w:rsidRDefault="000B753E" w:rsidP="00264ED0">
      <w:pPr>
        <w:adjustRightInd w:val="0"/>
        <w:snapToGrid w:val="0"/>
        <w:spacing w:line="360" w:lineRule="auto"/>
        <w:jc w:val="both"/>
        <w:rPr>
          <w:rFonts w:ascii="Book Antiqua" w:eastAsia="Book Antiqua" w:hAnsi="Book Antiqua" w:cs="Book Antiqua"/>
          <w:color w:val="000000"/>
          <w:shd w:val="clear" w:color="auto" w:fill="FFFFFF"/>
        </w:rPr>
      </w:pPr>
      <w:r w:rsidRPr="00F91674">
        <w:rPr>
          <w:rFonts w:ascii="Book Antiqua" w:eastAsia="Book Antiqua" w:hAnsi="Book Antiqua" w:cs="Book Antiqua"/>
          <w:b/>
          <w:bCs/>
          <w:color w:val="000000"/>
          <w:shd w:val="clear" w:color="auto" w:fill="FFFFFF"/>
        </w:rPr>
        <w:t>Figure 7 Mechanisms of chemo- and radioresistance of glioma stem cells.</w:t>
      </w:r>
      <w:r w:rsidRPr="00F91674">
        <w:rPr>
          <w:rFonts w:ascii="Book Antiqua" w:eastAsia="Book Antiqua" w:hAnsi="Book Antiqua" w:cs="Book Antiqua"/>
          <w:color w:val="000000"/>
          <w:shd w:val="clear" w:color="auto" w:fill="FFFFFF"/>
        </w:rPr>
        <w:t xml:space="preserve"> </w:t>
      </w:r>
      <w:r w:rsidR="003A296D" w:rsidRPr="00F91674" w:rsidDel="00702E4A">
        <w:rPr>
          <w:rFonts w:ascii="Book Antiqua" w:eastAsia="Book Antiqua" w:hAnsi="Book Antiqua" w:cs="Book Antiqua"/>
          <w:color w:val="000000"/>
          <w:shd w:val="clear" w:color="auto" w:fill="FFFFFF"/>
        </w:rPr>
        <w:t xml:space="preserve">A: </w:t>
      </w:r>
      <w:r w:rsidR="003A296D" w:rsidRPr="00F91674" w:rsidDel="00702E4A">
        <w:rPr>
          <w:rFonts w:ascii="Book Antiqua" w:eastAsia="Book Antiqua" w:hAnsi="Book Antiqua" w:cs="Book Antiqua"/>
          <w:color w:val="000000"/>
        </w:rPr>
        <w:t>O</w:t>
      </w:r>
      <w:r w:rsidR="003A296D" w:rsidRPr="00F91674" w:rsidDel="00702E4A">
        <w:rPr>
          <w:rFonts w:ascii="Book Antiqua" w:eastAsia="Book Antiqua" w:hAnsi="Book Antiqua" w:cs="Book Antiqua"/>
          <w:color w:val="000000"/>
          <w:vertAlign w:val="superscript"/>
        </w:rPr>
        <w:t>6</w:t>
      </w:r>
      <w:r w:rsidR="003A296D" w:rsidRPr="00F91674" w:rsidDel="00702E4A">
        <w:rPr>
          <w:rFonts w:ascii="Book Antiqua" w:eastAsia="Book Antiqua" w:hAnsi="Book Antiqua" w:cs="Book Antiqua"/>
          <w:color w:val="000000"/>
        </w:rPr>
        <w:t xml:space="preserve">-methylguanine-DNA methyltransferase </w:t>
      </w:r>
      <w:r w:rsidR="003A296D" w:rsidRPr="00F91674" w:rsidDel="00702E4A">
        <w:rPr>
          <w:rFonts w:ascii="Book Antiqua" w:eastAsia="Book Antiqua" w:hAnsi="Book Antiqua" w:cs="Book Antiqua"/>
          <w:color w:val="000000"/>
          <w:shd w:val="clear" w:color="auto" w:fill="FFFFFF"/>
        </w:rPr>
        <w:t>(MGMT) repair; B: Overexpression of drug efflux transporters; C: Enhanced antiapoptotic pathway; D: Increased replicative stress</w:t>
      </w:r>
      <w:r w:rsidR="003A296D" w:rsidRPr="00F91674" w:rsidDel="00702E4A">
        <w:rPr>
          <w:rFonts w:ascii="Book Antiqua" w:hAnsi="Book Antiqua" w:cs="Book Antiqua"/>
          <w:color w:val="000000"/>
          <w:shd w:val="clear" w:color="auto" w:fill="FFFFFF"/>
          <w:lang w:eastAsia="zh-CN"/>
        </w:rPr>
        <w:t xml:space="preserve"> </w:t>
      </w:r>
      <w:r w:rsidR="003A296D" w:rsidRPr="00F91674" w:rsidDel="00702E4A">
        <w:rPr>
          <w:rFonts w:ascii="Book Antiqua" w:eastAsia="Book Antiqua" w:hAnsi="Book Antiqua" w:cs="Book Antiqua"/>
          <w:color w:val="000000"/>
          <w:shd w:val="clear" w:color="auto" w:fill="FFFFFF"/>
        </w:rPr>
        <w:t>and DNA damage response</w:t>
      </w:r>
      <w:r w:rsidR="003A296D" w:rsidRPr="00F91674" w:rsidDel="00702E4A">
        <w:rPr>
          <w:rFonts w:ascii="Book Antiqua" w:hAnsi="Book Antiqua" w:cs="Book Antiqua"/>
          <w:color w:val="000000"/>
          <w:shd w:val="clear" w:color="auto" w:fill="FFFFFF"/>
          <w:lang w:eastAsia="zh-CN"/>
        </w:rPr>
        <w:t xml:space="preserve">. </w:t>
      </w:r>
      <w:r w:rsidR="003A296D" w:rsidRPr="00F91674" w:rsidDel="00702E4A">
        <w:rPr>
          <w:rFonts w:ascii="Book Antiqua" w:eastAsia="Book Antiqua" w:hAnsi="Book Antiqua" w:cs="Book Antiqua"/>
          <w:color w:val="000000"/>
          <w:shd w:val="clear" w:color="auto" w:fill="FFFFFF"/>
        </w:rPr>
        <w:t>Efficient DNA repair; E: Dy</w:t>
      </w:r>
      <w:r w:rsidR="003A296D" w:rsidRPr="00F91674" w:rsidDel="00702E4A">
        <w:rPr>
          <w:rFonts w:ascii="Book Antiqua" w:eastAsia="Book Antiqua" w:hAnsi="Book Antiqua" w:cs="Book Antiqua"/>
          <w:color w:val="000000"/>
          <w:shd w:val="clear" w:color="auto" w:fill="FFFFFF"/>
          <w:lang w:val="sr-Latn-RS"/>
        </w:rPr>
        <w:t>s</w:t>
      </w:r>
      <w:r w:rsidR="003A296D" w:rsidRPr="00F91674" w:rsidDel="00702E4A">
        <w:rPr>
          <w:rFonts w:ascii="Book Antiqua" w:eastAsia="Book Antiqua" w:hAnsi="Book Antiqua" w:cs="Book Antiqua"/>
          <w:color w:val="000000"/>
          <w:shd w:val="clear" w:color="auto" w:fill="FFFFFF"/>
        </w:rPr>
        <w:t xml:space="preserve">regulated </w:t>
      </w:r>
      <w:r w:rsidR="003A296D" w:rsidRPr="00F91674" w:rsidDel="00702E4A">
        <w:rPr>
          <w:rFonts w:ascii="Book Antiqua" w:eastAsia="Book Antiqua" w:hAnsi="Book Antiqua" w:cs="Book Antiqua"/>
          <w:color w:val="000000"/>
          <w:shd w:val="clear" w:color="auto" w:fill="FFFFFF"/>
          <w:lang w:val="sr-Latn-RS"/>
        </w:rPr>
        <w:t xml:space="preserve">signaling </w:t>
      </w:r>
      <w:r w:rsidR="003A296D" w:rsidRPr="00F91674" w:rsidDel="00702E4A">
        <w:rPr>
          <w:rFonts w:ascii="Book Antiqua" w:eastAsia="Book Antiqua" w:hAnsi="Book Antiqua" w:cs="Book Antiqua"/>
          <w:color w:val="000000"/>
          <w:shd w:val="clear" w:color="auto" w:fill="FFFFFF"/>
        </w:rPr>
        <w:t>pathways</w:t>
      </w:r>
      <w:r w:rsidR="003A296D" w:rsidRPr="00F91674" w:rsidDel="00702E4A">
        <w:rPr>
          <w:rFonts w:ascii="Book Antiqua" w:hAnsi="Book Antiqua" w:cs="Book Antiqua"/>
          <w:color w:val="000000"/>
          <w:shd w:val="clear" w:color="auto" w:fill="FFFFFF"/>
          <w:lang w:eastAsia="zh-CN"/>
        </w:rPr>
        <w:t xml:space="preserve">; F: </w:t>
      </w:r>
      <w:r w:rsidR="003A296D" w:rsidRPr="00F91674" w:rsidDel="00702E4A">
        <w:rPr>
          <w:rFonts w:ascii="Book Antiqua" w:hAnsi="Book Antiqua" w:cs="Book Antiqua"/>
          <w:color w:val="000000"/>
          <w:shd w:val="clear" w:color="auto" w:fill="FFFFFF"/>
        </w:rPr>
        <w:t xml:space="preserve">Proneural-to-mesenchymal transition; G: Dedifferentiation to GSC; H: </w:t>
      </w:r>
      <w:r w:rsidR="003A296D" w:rsidRPr="00F91674" w:rsidDel="00702E4A">
        <w:rPr>
          <w:rFonts w:ascii="Book Antiqua" w:eastAsia="Book Antiqua" w:hAnsi="Book Antiqua" w:cs="Book Antiqua"/>
          <w:color w:val="000000"/>
          <w:shd w:val="clear" w:color="auto" w:fill="FFFFFF"/>
        </w:rPr>
        <w:t>Glioma stem cells</w:t>
      </w:r>
      <w:r w:rsidR="003A296D" w:rsidRPr="00F91674" w:rsidDel="00702E4A">
        <w:rPr>
          <w:rFonts w:ascii="Book Antiqua" w:hAnsi="Book Antiqua" w:cs="Book Antiqua"/>
          <w:color w:val="000000"/>
          <w:shd w:val="clear" w:color="auto" w:fill="FFFFFF"/>
        </w:rPr>
        <w:t xml:space="preserve"> (GSC) quiescence. </w:t>
      </w:r>
      <w:r w:rsidRPr="00F91674">
        <w:rPr>
          <w:rFonts w:ascii="Book Antiqua" w:eastAsia="Book Antiqua" w:hAnsi="Book Antiqua" w:cs="Book Antiqua"/>
          <w:color w:val="000000"/>
          <w:shd w:val="clear" w:color="auto" w:fill="FFFFFF"/>
        </w:rPr>
        <w:t>Resistance of GSCs to temozolomide is achieved through increased expression of MGMT, drug efflux transporters and antiapoptotic proteins. Replicative stress, constitutively active DNA damage response and efficient DNA repair confer radioresistance to GSCs. Aberrantly activated signaling pathways, the ability of non-GSC tumor cells to dedifferentiate, proneural-to-</w:t>
      </w:r>
      <w:r w:rsidRPr="00F91674">
        <w:rPr>
          <w:rFonts w:ascii="Book Antiqua" w:eastAsia="Book Antiqua" w:hAnsi="Book Antiqua" w:cs="Book Antiqua"/>
          <w:color w:val="000000"/>
        </w:rPr>
        <w:t>mesenchymal</w:t>
      </w:r>
      <w:r w:rsidRPr="00F91674">
        <w:rPr>
          <w:rFonts w:ascii="Book Antiqua" w:eastAsia="Book Antiqua" w:hAnsi="Book Antiqua" w:cs="Book Antiqua"/>
          <w:color w:val="000000"/>
          <w:shd w:val="clear" w:color="auto" w:fill="FFFFFF"/>
        </w:rPr>
        <w:t xml:space="preserve"> transition and the capacity of GSCs to become quiescent contribute to the chemo- and radioresistance of glioblastoma. </w:t>
      </w:r>
      <w:r w:rsidR="00702E4A" w:rsidRPr="00F91674">
        <w:rPr>
          <w:rFonts w:ascii="Book Antiqua" w:eastAsia="Book Antiqua" w:hAnsi="Book Antiqua" w:cs="Book Antiqua"/>
          <w:color w:val="000000"/>
        </w:rPr>
        <w:t xml:space="preserve">References are included in the main text. </w:t>
      </w:r>
      <w:r w:rsidRPr="00F91674">
        <w:rPr>
          <w:rFonts w:ascii="Book Antiqua" w:eastAsia="Book Antiqua" w:hAnsi="Book Antiqua" w:cs="Book Antiqua"/>
          <w:color w:val="000000"/>
          <w:shd w:val="clear" w:color="auto" w:fill="FFFFFF"/>
        </w:rPr>
        <w:t>RT</w:t>
      </w:r>
      <w:r w:rsidR="00EC6B56" w:rsidRPr="00F91674">
        <w:rPr>
          <w:rFonts w:ascii="Book Antiqua" w:eastAsia="Book Antiqua" w:hAnsi="Book Antiqua" w:cs="Book Antiqua"/>
          <w:color w:val="000000"/>
          <w:shd w:val="clear" w:color="auto" w:fill="FFFFFF"/>
        </w:rPr>
        <w:t xml:space="preserve">: </w:t>
      </w:r>
      <w:r w:rsidRPr="00F91674">
        <w:rPr>
          <w:rFonts w:ascii="Book Antiqua" w:eastAsia="Book Antiqua" w:hAnsi="Book Antiqua" w:cs="Book Antiqua"/>
          <w:color w:val="000000"/>
          <w:shd w:val="clear" w:color="auto" w:fill="FFFFFF"/>
        </w:rPr>
        <w:t>radiation; O6-MeG</w:t>
      </w:r>
      <w:r w:rsidR="00EC6B56" w:rsidRPr="00F91674">
        <w:rPr>
          <w:rFonts w:ascii="Book Antiqua" w:eastAsia="Book Antiqua" w:hAnsi="Book Antiqua" w:cs="Book Antiqua"/>
          <w:color w:val="000000"/>
          <w:shd w:val="clear" w:color="auto" w:fill="FFFFFF"/>
        </w:rPr>
        <w:t xml:space="preserve">: </w:t>
      </w:r>
      <w:r w:rsidRPr="00F91674">
        <w:rPr>
          <w:rFonts w:ascii="Book Antiqua" w:eastAsia="Book Antiqua" w:hAnsi="Book Antiqua" w:cs="Book Antiqua"/>
          <w:color w:val="000000"/>
        </w:rPr>
        <w:t xml:space="preserve">O-6-methylguanine; </w:t>
      </w:r>
      <w:r w:rsidR="003A296D" w:rsidRPr="00F91674">
        <w:rPr>
          <w:rFonts w:ascii="Book Antiqua" w:eastAsia="Book Antiqua" w:hAnsi="Book Antiqua" w:cs="Book Antiqua"/>
          <w:color w:val="000000"/>
          <w:shd w:val="clear" w:color="auto" w:fill="FFFFFF"/>
        </w:rPr>
        <w:t xml:space="preserve">GSC: </w:t>
      </w:r>
      <w:r w:rsidR="003A296D" w:rsidRPr="00F91674">
        <w:rPr>
          <w:rFonts w:ascii="Book Antiqua" w:eastAsia="Book Antiqua" w:hAnsi="Book Antiqua" w:cs="Book Antiqua"/>
          <w:color w:val="000000"/>
        </w:rPr>
        <w:t>Glioma stem cell</w:t>
      </w:r>
      <w:r w:rsidR="003A296D" w:rsidRPr="00F91674">
        <w:rPr>
          <w:rFonts w:ascii="Book Antiqua" w:eastAsia="Book Antiqua" w:hAnsi="Book Antiqua" w:cs="Book Antiqua"/>
          <w:color w:val="000000"/>
          <w:shd w:val="clear" w:color="auto" w:fill="FFFFFF"/>
        </w:rPr>
        <w:t>; TMZ: Temozolomide.</w:t>
      </w:r>
    </w:p>
    <w:p w14:paraId="6EF776DE" w14:textId="283C2046" w:rsidR="00A77B3E" w:rsidRPr="00F91674" w:rsidRDefault="003A296D" w:rsidP="00264ED0">
      <w:pPr>
        <w:adjustRightInd w:val="0"/>
        <w:snapToGrid w:val="0"/>
        <w:spacing w:line="360" w:lineRule="auto"/>
        <w:jc w:val="both"/>
        <w:rPr>
          <w:rFonts w:ascii="Book Antiqua" w:eastAsia="Book Antiqua" w:hAnsi="Book Antiqua" w:cs="Book Antiqua"/>
          <w:color w:val="000000"/>
          <w:shd w:val="clear" w:color="auto" w:fill="FFFFFF"/>
        </w:rPr>
      </w:pPr>
      <w:r w:rsidRPr="00F91674">
        <w:rPr>
          <w:rFonts w:ascii="Book Antiqua" w:eastAsia="Book Antiqua" w:hAnsi="Book Antiqua" w:cs="Book Antiqua"/>
          <w:color w:val="000000"/>
          <w:shd w:val="clear" w:color="auto" w:fill="FFFFFF"/>
        </w:rPr>
        <w:br w:type="page"/>
      </w:r>
      <w:r w:rsidR="00802FE0" w:rsidRPr="00F91674">
        <w:rPr>
          <w:rFonts w:ascii="Book Antiqua" w:eastAsia="Book Antiqua" w:hAnsi="Book Antiqua" w:cs="Book Antiqua"/>
          <w:noProof/>
          <w:color w:val="000000"/>
          <w:shd w:val="clear" w:color="auto" w:fill="FFFFFF"/>
          <w:lang w:eastAsia="zh-CN"/>
        </w:rPr>
        <w:lastRenderedPageBreak/>
        <w:drawing>
          <wp:inline distT="0" distB="0" distL="0" distR="0" wp14:anchorId="1A240BC4" wp14:editId="43624E79">
            <wp:extent cx="5503919" cy="360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03919" cy="3600000"/>
                    </a:xfrm>
                    <a:prstGeom prst="rect">
                      <a:avLst/>
                    </a:prstGeom>
                    <a:noFill/>
                  </pic:spPr>
                </pic:pic>
              </a:graphicData>
            </a:graphic>
          </wp:inline>
        </w:drawing>
      </w:r>
    </w:p>
    <w:p w14:paraId="5E92C07D" w14:textId="2D587327" w:rsidR="00802FE0" w:rsidRPr="00F91674" w:rsidRDefault="000B753E" w:rsidP="00264ED0">
      <w:pPr>
        <w:adjustRightInd w:val="0"/>
        <w:snapToGrid w:val="0"/>
        <w:spacing w:line="360" w:lineRule="auto"/>
        <w:jc w:val="both"/>
        <w:rPr>
          <w:rFonts w:ascii="Book Antiqua" w:eastAsia="Book Antiqua" w:hAnsi="Book Antiqua" w:cs="Book Antiqua"/>
          <w:color w:val="000000"/>
        </w:rPr>
      </w:pPr>
      <w:r w:rsidRPr="00F91674">
        <w:rPr>
          <w:rFonts w:ascii="Book Antiqua" w:eastAsia="Book Antiqua" w:hAnsi="Book Antiqua" w:cs="Book Antiqua"/>
          <w:b/>
          <w:bCs/>
          <w:color w:val="000000"/>
          <w:shd w:val="clear" w:color="auto" w:fill="FFFFFF"/>
        </w:rPr>
        <w:t>Figure 8</w:t>
      </w:r>
      <w:r w:rsidRPr="00F91674">
        <w:rPr>
          <w:rFonts w:ascii="Book Antiqua" w:eastAsia="Book Antiqua" w:hAnsi="Book Antiqua" w:cs="Book Antiqua"/>
          <w:color w:val="000000"/>
          <w:shd w:val="clear" w:color="auto" w:fill="FFFFFF"/>
        </w:rPr>
        <w:t xml:space="preserve"> </w:t>
      </w:r>
      <w:r w:rsidRPr="00F91674">
        <w:rPr>
          <w:rFonts w:ascii="Book Antiqua" w:eastAsia="Book Antiqua" w:hAnsi="Book Antiqua" w:cs="Book Antiqua"/>
          <w:b/>
          <w:bCs/>
          <w:color w:val="000000"/>
          <w:shd w:val="clear" w:color="auto" w:fill="FFFFFF"/>
        </w:rPr>
        <w:t>Schematic illustration of the involvement of SOX2 and SOX9</w:t>
      </w:r>
      <w:r w:rsidRPr="00F91674">
        <w:rPr>
          <w:rFonts w:ascii="Book Antiqua" w:eastAsia="Book Antiqua" w:hAnsi="Book Antiqua" w:cs="Book Antiqua"/>
          <w:b/>
          <w:bCs/>
          <w:color w:val="000000"/>
        </w:rPr>
        <w:t xml:space="preserve"> in the chemoresistance and radioresistance of glioma stem cells. </w:t>
      </w:r>
      <w:r w:rsidRPr="00F91674">
        <w:rPr>
          <w:rFonts w:ascii="Book Antiqua" w:eastAsia="Book Antiqua" w:hAnsi="Book Antiqua" w:cs="Book Antiqua"/>
          <w:color w:val="000000"/>
        </w:rPr>
        <w:t xml:space="preserve">The expression of stemness-related transcription factor SOX2 is elevated in </w:t>
      </w:r>
      <w:r w:rsidR="00802FE0" w:rsidRPr="00F91674">
        <w:rPr>
          <w:rFonts w:ascii="Book Antiqua" w:eastAsia="Book Antiqua" w:hAnsi="Book Antiqua" w:cs="Book Antiqua"/>
          <w:color w:val="000000"/>
        </w:rPr>
        <w:t>glioma stem cells (GSCs)</w:t>
      </w:r>
      <w:r w:rsidRPr="00F91674">
        <w:rPr>
          <w:rFonts w:ascii="Book Antiqua" w:eastAsia="Book Antiqua" w:hAnsi="Book Antiqua" w:cs="Book Antiqua"/>
          <w:color w:val="000000"/>
        </w:rPr>
        <w:t xml:space="preserve"> through various mechanisms (decreased expression of miR-145 and miR-9* that directly target </w:t>
      </w:r>
      <w:r w:rsidRPr="00F91674">
        <w:rPr>
          <w:rFonts w:ascii="Book Antiqua" w:eastAsia="Book Antiqua" w:hAnsi="Book Antiqua" w:cs="Book Antiqua"/>
          <w:i/>
          <w:iCs/>
          <w:color w:val="000000"/>
        </w:rPr>
        <w:t>SOX2</w:t>
      </w:r>
      <w:r w:rsidRPr="00F91674">
        <w:rPr>
          <w:rFonts w:ascii="Book Antiqua" w:eastAsia="Book Antiqua" w:hAnsi="Book Antiqua" w:cs="Book Antiqua"/>
          <w:color w:val="000000"/>
        </w:rPr>
        <w:t xml:space="preserve">, direct transcriptional activation by </w:t>
      </w:r>
      <w:r w:rsidR="00802FE0" w:rsidRPr="00F91674">
        <w:rPr>
          <w:rFonts w:ascii="Book Antiqua" w:eastAsia="Book Antiqua" w:hAnsi="Book Antiqua" w:cs="Book Antiqua"/>
          <w:color w:val="000000"/>
        </w:rPr>
        <w:t xml:space="preserve">Forkhead box M1 </w:t>
      </w:r>
      <w:r w:rsidRPr="00F91674">
        <w:rPr>
          <w:rFonts w:ascii="Book Antiqua" w:eastAsia="Book Antiqua" w:hAnsi="Book Antiqua" w:cs="Book Antiqua"/>
          <w:color w:val="000000"/>
        </w:rPr>
        <w:t xml:space="preserve">and through </w:t>
      </w:r>
      <w:r w:rsidR="00802FE0" w:rsidRPr="00F91674">
        <w:rPr>
          <w:rFonts w:ascii="Book Antiqua" w:eastAsia="Book Antiqua" w:hAnsi="Book Antiqua" w:cs="Book Antiqua"/>
          <w:color w:val="000000"/>
        </w:rPr>
        <w:t>mammalian target of rapamycin</w:t>
      </w:r>
      <w:r w:rsidRPr="00F91674">
        <w:rPr>
          <w:rFonts w:ascii="Book Antiqua" w:eastAsia="Book Antiqua" w:hAnsi="Book Antiqua" w:cs="Book Antiqua"/>
          <w:color w:val="000000"/>
        </w:rPr>
        <w:t xml:space="preserve"> signaling</w:t>
      </w:r>
      <w:r w:rsidR="00802FE0" w:rsidRPr="00F91674">
        <w:rPr>
          <w:rFonts w:ascii="Book Antiqua" w:eastAsia="Book Antiqua" w:hAnsi="Book Antiqua" w:cs="Book Antiqua"/>
          <w:color w:val="000000"/>
        </w:rPr>
        <w:t>)</w:t>
      </w:r>
      <w:r w:rsidRPr="00F91674">
        <w:rPr>
          <w:rFonts w:ascii="Book Antiqua" w:eastAsia="Book Antiqua" w:hAnsi="Book Antiqua" w:cs="Book Antiqua"/>
          <w:color w:val="000000"/>
        </w:rPr>
        <w:t xml:space="preserve"> contributing to chemo- and radioresistance of GSCs. SOX2 directly activates the expression of ABCC3 and ABCC6 transporters. mTOR signaling affects the SOX2/SOX9 axis, contributing to chemoresistance. The ERK1/2/miR-124/SOX9 axis and direct targeting of </w:t>
      </w:r>
      <w:r w:rsidR="00802FE0" w:rsidRPr="00F91674">
        <w:rPr>
          <w:rFonts w:ascii="Book Antiqua" w:eastAsia="Book Antiqua" w:hAnsi="Book Antiqua" w:cs="Book Antiqua"/>
          <w:i/>
          <w:iCs/>
          <w:color w:val="000000"/>
        </w:rPr>
        <w:t>PDK1</w:t>
      </w:r>
      <w:r w:rsidR="00802FE0" w:rsidRPr="00F91674">
        <w:rPr>
          <w:rFonts w:ascii="Book Antiqua" w:eastAsia="Book Antiqua" w:hAnsi="Book Antiqua" w:cs="Book Antiqua"/>
          <w:b/>
          <w:bCs/>
          <w:i/>
          <w:iCs/>
          <w:color w:val="000000"/>
        </w:rPr>
        <w:t xml:space="preserve"> (</w:t>
      </w:r>
      <w:r w:rsidR="00802FE0" w:rsidRPr="00F91674">
        <w:rPr>
          <w:rFonts w:ascii="Book Antiqua" w:eastAsia="Book Antiqua" w:hAnsi="Book Antiqua" w:cs="Book Antiqua"/>
          <w:color w:val="000000"/>
        </w:rPr>
        <w:t>pyruvate dehydrogenase kinase 1</w:t>
      </w:r>
      <w:r w:rsidRPr="00F91674">
        <w:rPr>
          <w:rFonts w:ascii="Book Antiqua" w:eastAsia="Book Antiqua" w:hAnsi="Book Antiqua" w:cs="Book Antiqua"/>
          <w:color w:val="000000"/>
        </w:rPr>
        <w:t>)</w:t>
      </w:r>
      <w:r w:rsidRPr="00F91674">
        <w:rPr>
          <w:rFonts w:ascii="Book Antiqua" w:eastAsia="Book Antiqua" w:hAnsi="Book Antiqua" w:cs="Book Antiqua"/>
          <w:i/>
          <w:iCs/>
          <w:color w:val="000000"/>
        </w:rPr>
        <w:t xml:space="preserve"> </w:t>
      </w:r>
      <w:r w:rsidRPr="00F91674">
        <w:rPr>
          <w:rFonts w:ascii="Book Antiqua" w:eastAsia="Book Antiqua" w:hAnsi="Book Antiqua" w:cs="Book Antiqua"/>
          <w:color w:val="000000"/>
        </w:rPr>
        <w:t>by SOX9 have a role in resistance to radiation and temozolomide, respectively. References are included in the main text.</w:t>
      </w:r>
      <w:r w:rsidR="00802FE0" w:rsidRPr="00F91674">
        <w:rPr>
          <w:rFonts w:ascii="Book Antiqua" w:eastAsia="Book Antiqua" w:hAnsi="Book Antiqua" w:cs="Book Antiqua"/>
          <w:color w:val="000000"/>
        </w:rPr>
        <w:t xml:space="preserve"> </w:t>
      </w:r>
      <w:r w:rsidR="00802FE0" w:rsidRPr="00F91674">
        <w:rPr>
          <w:rFonts w:ascii="Book Antiqua" w:eastAsia="Book Antiqua" w:hAnsi="Book Antiqua" w:cs="Book Antiqua"/>
          <w:color w:val="000000"/>
          <w:shd w:val="clear" w:color="auto" w:fill="FFFFFF"/>
        </w:rPr>
        <w:t>GSC</w:t>
      </w:r>
      <w:r w:rsidR="00FA61F3" w:rsidRPr="00F91674">
        <w:rPr>
          <w:rFonts w:ascii="Book Antiqua" w:eastAsia="Book Antiqua" w:hAnsi="Book Antiqua" w:cs="Book Antiqua"/>
          <w:color w:val="000000"/>
          <w:shd w:val="clear" w:color="auto" w:fill="FFFFFF"/>
        </w:rPr>
        <w:t>s</w:t>
      </w:r>
      <w:r w:rsidR="00802FE0" w:rsidRPr="00F91674">
        <w:rPr>
          <w:rFonts w:ascii="Book Antiqua" w:eastAsia="Book Antiqua" w:hAnsi="Book Antiqua" w:cs="Book Antiqua"/>
          <w:color w:val="000000"/>
          <w:shd w:val="clear" w:color="auto" w:fill="FFFFFF"/>
        </w:rPr>
        <w:t xml:space="preserve">: </w:t>
      </w:r>
      <w:r w:rsidR="00802FE0" w:rsidRPr="00F91674">
        <w:rPr>
          <w:rFonts w:ascii="Book Antiqua" w:eastAsia="Book Antiqua" w:hAnsi="Book Antiqua" w:cs="Book Antiqua"/>
          <w:color w:val="000000"/>
        </w:rPr>
        <w:t>Glioma stem cell</w:t>
      </w:r>
      <w:r w:rsidR="00FA61F3" w:rsidRPr="00F91674">
        <w:rPr>
          <w:rFonts w:ascii="Book Antiqua" w:eastAsia="Book Antiqua" w:hAnsi="Book Antiqua" w:cs="Book Antiqua"/>
          <w:color w:val="000000"/>
        </w:rPr>
        <w:t>s</w:t>
      </w:r>
      <w:r w:rsidR="00802FE0" w:rsidRPr="00F91674">
        <w:rPr>
          <w:rFonts w:ascii="Book Antiqua" w:eastAsia="Book Antiqua" w:hAnsi="Book Antiqua" w:cs="Book Antiqua"/>
          <w:color w:val="000000"/>
        </w:rPr>
        <w:t>; FOXM1: Forkhead box M1; mTOR: Mammalian target of rapamycin; PDK1: Pyruvate dehydrogenase kinase 1.</w:t>
      </w:r>
    </w:p>
    <w:p w14:paraId="62EA1140" w14:textId="2F437325" w:rsidR="00A77B3E" w:rsidRPr="00F91674" w:rsidRDefault="00802FE0" w:rsidP="00264ED0">
      <w:pPr>
        <w:adjustRightInd w:val="0"/>
        <w:snapToGrid w:val="0"/>
        <w:spacing w:line="360" w:lineRule="auto"/>
        <w:jc w:val="both"/>
        <w:rPr>
          <w:rFonts w:ascii="Book Antiqua" w:hAnsi="Book Antiqua"/>
        </w:rPr>
      </w:pPr>
      <w:r w:rsidRPr="00F91674">
        <w:rPr>
          <w:rFonts w:ascii="Book Antiqua" w:eastAsia="Book Antiqua" w:hAnsi="Book Antiqua" w:cs="Book Antiqua"/>
          <w:color w:val="000000"/>
        </w:rPr>
        <w:br w:type="page"/>
      </w:r>
      <w:r w:rsidRPr="00F91674">
        <w:rPr>
          <w:rFonts w:ascii="Book Antiqua" w:eastAsia="Book Antiqua" w:hAnsi="Book Antiqua" w:cs="Book Antiqua"/>
          <w:noProof/>
          <w:color w:val="000000"/>
          <w:lang w:eastAsia="zh-CN"/>
        </w:rPr>
        <w:lastRenderedPageBreak/>
        <w:drawing>
          <wp:inline distT="0" distB="0" distL="0" distR="0" wp14:anchorId="075B8BD3" wp14:editId="301B5444">
            <wp:extent cx="3609298" cy="36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9298" cy="3600000"/>
                    </a:xfrm>
                    <a:prstGeom prst="rect">
                      <a:avLst/>
                    </a:prstGeom>
                    <a:noFill/>
                  </pic:spPr>
                </pic:pic>
              </a:graphicData>
            </a:graphic>
          </wp:inline>
        </w:drawing>
      </w:r>
    </w:p>
    <w:p w14:paraId="3EEF6968" w14:textId="1129605F" w:rsidR="00264ED0" w:rsidRPr="00F91674" w:rsidRDefault="000B753E" w:rsidP="00264ED0">
      <w:pPr>
        <w:adjustRightInd w:val="0"/>
        <w:snapToGrid w:val="0"/>
        <w:spacing w:line="360" w:lineRule="auto"/>
        <w:jc w:val="both"/>
        <w:rPr>
          <w:rFonts w:ascii="Book Antiqua" w:eastAsia="Book Antiqua" w:hAnsi="Book Antiqua" w:cs="Book Antiqua"/>
          <w:color w:val="000000"/>
        </w:rPr>
      </w:pPr>
      <w:r w:rsidRPr="00F91674">
        <w:rPr>
          <w:rFonts w:ascii="Book Antiqua" w:eastAsia="Book Antiqua" w:hAnsi="Book Antiqua" w:cs="Book Antiqua"/>
          <w:b/>
          <w:bCs/>
          <w:color w:val="000000"/>
        </w:rPr>
        <w:t xml:space="preserve">Figure 9 Overview of the therapeutic strategies for targeting </w:t>
      </w:r>
      <w:r w:rsidRPr="00F91674">
        <w:rPr>
          <w:rFonts w:ascii="Book Antiqua" w:eastAsia="Book Antiqua" w:hAnsi="Book Antiqua" w:cs="Book Antiqua"/>
          <w:b/>
          <w:bCs/>
          <w:i/>
          <w:iCs/>
          <w:color w:val="000000"/>
        </w:rPr>
        <w:t>SOX</w:t>
      </w:r>
      <w:r w:rsidRPr="00F91674">
        <w:rPr>
          <w:rFonts w:ascii="Book Antiqua" w:eastAsia="Book Antiqua" w:hAnsi="Book Antiqua" w:cs="Book Antiqua"/>
          <w:b/>
          <w:bCs/>
          <w:color w:val="000000"/>
        </w:rPr>
        <w:t xml:space="preserve"> in glioma stem cells. </w:t>
      </w:r>
      <w:r w:rsidRPr="00F91674">
        <w:rPr>
          <w:rFonts w:ascii="Book Antiqua" w:eastAsia="Book Antiqua" w:hAnsi="Book Antiqua" w:cs="Book Antiqua"/>
          <w:color w:val="000000"/>
        </w:rPr>
        <w:t>References are included in the main text.</w:t>
      </w:r>
      <w:r w:rsidR="00802FE0" w:rsidRPr="00F91674">
        <w:rPr>
          <w:rFonts w:ascii="Book Antiqua" w:eastAsia="Book Antiqua" w:hAnsi="Book Antiqua" w:cs="Book Antiqua"/>
          <w:color w:val="000000"/>
          <w:shd w:val="clear" w:color="auto" w:fill="FFFFFF"/>
        </w:rPr>
        <w:t xml:space="preserve"> GSC</w:t>
      </w:r>
      <w:r w:rsidR="00F3405A" w:rsidRPr="00F91674">
        <w:rPr>
          <w:rFonts w:ascii="Book Antiqua" w:eastAsia="Book Antiqua" w:hAnsi="Book Antiqua" w:cs="Book Antiqua"/>
          <w:color w:val="000000"/>
          <w:shd w:val="clear" w:color="auto" w:fill="FFFFFF"/>
        </w:rPr>
        <w:t>s</w:t>
      </w:r>
      <w:r w:rsidR="00802FE0" w:rsidRPr="00F91674">
        <w:rPr>
          <w:rFonts w:ascii="Book Antiqua" w:eastAsia="Book Antiqua" w:hAnsi="Book Antiqua" w:cs="Book Antiqua"/>
          <w:color w:val="000000"/>
          <w:shd w:val="clear" w:color="auto" w:fill="FFFFFF"/>
        </w:rPr>
        <w:t xml:space="preserve">: </w:t>
      </w:r>
      <w:r w:rsidR="00802FE0" w:rsidRPr="00F91674">
        <w:rPr>
          <w:rFonts w:ascii="Book Antiqua" w:eastAsia="Book Antiqua" w:hAnsi="Book Antiqua" w:cs="Book Antiqua"/>
          <w:color w:val="000000"/>
        </w:rPr>
        <w:t>Glioma stem cell</w:t>
      </w:r>
      <w:r w:rsidR="00F3405A" w:rsidRPr="00F91674">
        <w:rPr>
          <w:rFonts w:ascii="Book Antiqua" w:eastAsia="Book Antiqua" w:hAnsi="Book Antiqua" w:cs="Book Antiqua"/>
          <w:color w:val="000000"/>
        </w:rPr>
        <w:t>s</w:t>
      </w:r>
      <w:r w:rsidR="00802FE0" w:rsidRPr="00F91674">
        <w:rPr>
          <w:rFonts w:ascii="Book Antiqua" w:eastAsia="Book Antiqua" w:hAnsi="Book Antiqua" w:cs="Book Antiqua"/>
          <w:color w:val="000000"/>
        </w:rPr>
        <w:t>.</w:t>
      </w:r>
    </w:p>
    <w:p w14:paraId="6A20F8B9" w14:textId="77777777" w:rsidR="00D51910" w:rsidRPr="00F91674" w:rsidRDefault="00264ED0" w:rsidP="00D51910">
      <w:pPr>
        <w:adjustRightInd w:val="0"/>
        <w:snapToGrid w:val="0"/>
        <w:spacing w:line="360" w:lineRule="auto"/>
        <w:jc w:val="both"/>
        <w:rPr>
          <w:rFonts w:ascii="Book Antiqua" w:hAnsi="Book Antiqua"/>
          <w:b/>
        </w:rPr>
      </w:pPr>
      <w:r w:rsidRPr="00F91674">
        <w:rPr>
          <w:rFonts w:ascii="Book Antiqua" w:eastAsia="Book Antiqua" w:hAnsi="Book Antiqua" w:cs="Book Antiqua"/>
          <w:color w:val="000000"/>
        </w:rPr>
        <w:br w:type="page"/>
      </w:r>
      <w:commentRangeStart w:id="4"/>
      <w:r w:rsidR="00D51910" w:rsidRPr="00F91674">
        <w:rPr>
          <w:rFonts w:ascii="Book Antiqua" w:hAnsi="Book Antiqua"/>
          <w:b/>
        </w:rPr>
        <w:lastRenderedPageBreak/>
        <w:t xml:space="preserve">Table 1 Classification of the human </w:t>
      </w:r>
      <w:r w:rsidR="00D51910" w:rsidRPr="00F91674">
        <w:rPr>
          <w:rFonts w:ascii="Book Antiqua" w:hAnsi="Book Antiqua"/>
          <w:b/>
          <w:i/>
          <w:iCs/>
        </w:rPr>
        <w:t>SOX</w:t>
      </w:r>
      <w:r w:rsidR="00D51910" w:rsidRPr="00F91674">
        <w:rPr>
          <w:rFonts w:ascii="Book Antiqua" w:hAnsi="Book Antiqua"/>
          <w:b/>
        </w:rPr>
        <w:t xml:space="preserve"> genes</w:t>
      </w:r>
      <w:r w:rsidR="00D51910" w:rsidRPr="00F91674">
        <w:rPr>
          <w:rFonts w:ascii="Book Antiqua" w:hAnsi="Book Antiqua"/>
          <w:b/>
        </w:rPr>
        <w:fldChar w:fldCharType="begin"/>
      </w:r>
      <w:r w:rsidR="00D51910" w:rsidRPr="00F91674">
        <w:rPr>
          <w:rFonts w:ascii="Book Antiqua" w:hAnsi="Book Antiqua"/>
          <w:b/>
        </w:rPr>
        <w:instrText xml:space="preserve"> ADDIN EN.CITE &lt;EndNote&gt;&lt;Cite&gt;&lt;Author&gt;Bowles&lt;/Author&gt;&lt;Year&gt;2000&lt;/Year&gt;&lt;RecNum&gt;178&lt;/RecNum&gt;&lt;DisplayText&gt;&lt;style face="superscript"&gt;[35]&lt;/style&gt;&lt;/DisplayText&gt;&lt;record&gt;&lt;rec-number&gt;178&lt;/rec-number&gt;&lt;foreign-keys&gt;&lt;key app="EN" db-id="ze9p2zsdnxsf59esf07xpdpd9e9xvzws0szz"&gt;178&lt;/key&gt;&lt;/foreign-keys&gt;&lt;ref-type name="Journal Article"&gt;17&lt;/ref-type&gt;&lt;contributors&gt;&lt;authors&gt;&lt;author&gt;Bowles, J.&lt;/author&gt;&lt;author&gt;Schepers, G.&lt;/author&gt;&lt;author&gt;Koopman, P.&lt;/author&gt;&lt;/authors&gt;&lt;/contributors&gt;&lt;auth-address&gt;Institute for Molecular Bioscience, University of Queensland, Brisbane, 4072, Australia.&lt;/auth-address&gt;&lt;titles&gt;&lt;title&gt;Phylogeny of the SOX family of developmental transcription factors based on sequence and structural indicators&lt;/title&gt;&lt;secondary-title&gt;Dev Biol&lt;/secondary-title&gt;&lt;alt-title&gt;Developmental biology&lt;/alt-title&gt;&lt;/titles&gt;&lt;pages&gt;239-55&lt;/pages&gt;&lt;volume&gt;227&lt;/volume&gt;&lt;number&gt;2&lt;/number&gt;&lt;keywords&gt;&lt;keyword&gt;Amino Acid Sequence&lt;/keyword&gt;&lt;keyword&gt;Animals&lt;/keyword&gt;&lt;keyword&gt;Conserved Sequence&lt;/keyword&gt;&lt;keyword&gt;DNA-Binding Proteins/genetics&lt;/keyword&gt;&lt;keyword&gt;Evolution, Molecular&lt;/keyword&gt;&lt;keyword&gt;Gene Duplication&lt;/keyword&gt;&lt;keyword&gt;High Mobility Group Proteins/chemistry/genetics&lt;/keyword&gt;&lt;keyword&gt;Humans&lt;/keyword&gt;&lt;keyword&gt;Introns&lt;/keyword&gt;&lt;keyword&gt;Invertebrates/genetics/growth &amp;amp; development&lt;/keyword&gt;&lt;keyword&gt;Models, Genetic&lt;/keyword&gt;&lt;keyword&gt;*Nuclear Proteins&lt;/keyword&gt;&lt;keyword&gt;*Phylogeny&lt;/keyword&gt;&lt;keyword&gt;Protein Structure, Tertiary&lt;/keyword&gt;&lt;keyword&gt;Sex-Determining Region Y Protein&lt;/keyword&gt;&lt;keyword&gt;Transcription Factors/*chemistry/*genetics&lt;/keyword&gt;&lt;keyword&gt;Vertebrates/genetics/growth &amp;amp; development&lt;/keyword&gt;&lt;/keywords&gt;&lt;dates&gt;&lt;year&gt;2000&lt;/year&gt;&lt;pub-dates&gt;&lt;date&gt;Nov 15&lt;/date&gt;&lt;/pub-dates&gt;&lt;/dates&gt;&lt;isbn&gt;0012-1606 (Print)&amp;#xD;0012-1606 (Linking)&lt;/isbn&gt;&lt;accession-num&gt;11071752&lt;/accession-num&gt;&lt;urls&gt;&lt;related-urls&gt;&lt;url&gt;http://www.ncbi.nlm.nih.gov/pubmed/11071752&lt;/url&gt;&lt;/related-urls&gt;&lt;/urls&gt;&lt;electronic-resource-num&gt;10.1006/dbio.2000.9883&lt;/electronic-resource-num&gt;&lt;/record&gt;&lt;/Cite&gt;&lt;/EndNote&gt;</w:instrText>
      </w:r>
      <w:r w:rsidR="00D51910" w:rsidRPr="00F91674">
        <w:rPr>
          <w:rFonts w:ascii="Book Antiqua" w:hAnsi="Book Antiqua"/>
          <w:b/>
        </w:rPr>
        <w:fldChar w:fldCharType="separate"/>
      </w:r>
      <w:r w:rsidR="00D51910" w:rsidRPr="00F91674">
        <w:rPr>
          <w:rFonts w:ascii="Book Antiqua" w:hAnsi="Book Antiqua"/>
          <w:b/>
          <w:noProof/>
          <w:vertAlign w:val="superscript"/>
        </w:rPr>
        <w:t>[</w:t>
      </w:r>
      <w:hyperlink w:anchor="_ENREF_35" w:tooltip="Bowles, 2000 #178" w:history="1">
        <w:r w:rsidR="00D51910" w:rsidRPr="00F91674">
          <w:rPr>
            <w:rFonts w:ascii="Book Antiqua" w:hAnsi="Book Antiqua"/>
            <w:b/>
            <w:noProof/>
            <w:vertAlign w:val="superscript"/>
          </w:rPr>
          <w:t>35</w:t>
        </w:r>
      </w:hyperlink>
      <w:r w:rsidR="00D51910" w:rsidRPr="00F91674">
        <w:rPr>
          <w:rFonts w:ascii="Book Antiqua" w:hAnsi="Book Antiqua"/>
          <w:b/>
          <w:noProof/>
          <w:vertAlign w:val="superscript"/>
        </w:rPr>
        <w:t>]</w:t>
      </w:r>
      <w:r w:rsidR="00D51910" w:rsidRPr="00F91674">
        <w:rPr>
          <w:rFonts w:ascii="Book Antiqua" w:hAnsi="Book Antiqua"/>
          <w:b/>
        </w:rPr>
        <w:fldChar w:fldCharType="end"/>
      </w:r>
      <w:commentRangeEnd w:id="4"/>
      <w:r w:rsidR="00D51910" w:rsidRPr="00F91674">
        <w:rPr>
          <w:rStyle w:val="a3"/>
        </w:rPr>
        <w:commentReference w:id="4"/>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5"/>
        <w:gridCol w:w="1182"/>
        <w:gridCol w:w="1085"/>
        <w:gridCol w:w="1038"/>
        <w:gridCol w:w="1095"/>
        <w:gridCol w:w="975"/>
        <w:gridCol w:w="999"/>
        <w:gridCol w:w="1055"/>
        <w:gridCol w:w="1052"/>
      </w:tblGrid>
      <w:tr w:rsidR="00D51910" w:rsidRPr="00F91674" w14:paraId="3884CC13" w14:textId="77777777" w:rsidTr="00580507">
        <w:trPr>
          <w:trHeight w:val="408"/>
        </w:trPr>
        <w:tc>
          <w:tcPr>
            <w:tcW w:w="1095" w:type="dxa"/>
            <w:tcBorders>
              <w:top w:val="single" w:sz="4" w:space="0" w:color="auto"/>
            </w:tcBorders>
          </w:tcPr>
          <w:p w14:paraId="0DF2B397" w14:textId="77777777" w:rsidR="00D51910" w:rsidRPr="00F91674" w:rsidRDefault="00D51910" w:rsidP="00580507">
            <w:pPr>
              <w:adjustRightInd w:val="0"/>
              <w:snapToGrid w:val="0"/>
              <w:spacing w:line="360" w:lineRule="auto"/>
              <w:jc w:val="both"/>
              <w:rPr>
                <w:rFonts w:ascii="Book Antiqua" w:hAnsi="Book Antiqua" w:cs="Times New Roman"/>
                <w:i/>
                <w:iCs/>
              </w:rPr>
            </w:pPr>
            <w:r w:rsidRPr="00F91674">
              <w:rPr>
                <w:rFonts w:ascii="Book Antiqua" w:hAnsi="Book Antiqua" w:cs="Times New Roman"/>
                <w:i/>
                <w:iCs/>
              </w:rPr>
              <w:t>SOXA</w:t>
            </w:r>
          </w:p>
        </w:tc>
        <w:tc>
          <w:tcPr>
            <w:tcW w:w="2267" w:type="dxa"/>
            <w:gridSpan w:val="2"/>
            <w:tcBorders>
              <w:top w:val="single" w:sz="4" w:space="0" w:color="auto"/>
              <w:bottom w:val="single" w:sz="4" w:space="0" w:color="auto"/>
            </w:tcBorders>
          </w:tcPr>
          <w:p w14:paraId="32E06E4A" w14:textId="77777777" w:rsidR="00D51910" w:rsidRPr="00F91674" w:rsidRDefault="00D51910" w:rsidP="00580507">
            <w:pPr>
              <w:adjustRightInd w:val="0"/>
              <w:snapToGrid w:val="0"/>
              <w:spacing w:line="360" w:lineRule="auto"/>
              <w:jc w:val="both"/>
              <w:rPr>
                <w:rFonts w:ascii="Book Antiqua" w:hAnsi="Book Antiqua"/>
                <w:i/>
                <w:iCs/>
              </w:rPr>
            </w:pPr>
            <w:r w:rsidRPr="00F91674">
              <w:rPr>
                <w:rFonts w:ascii="Book Antiqua" w:hAnsi="Book Antiqua" w:cs="Times New Roman"/>
                <w:i/>
                <w:iCs/>
              </w:rPr>
              <w:t>SOXB</w:t>
            </w:r>
          </w:p>
        </w:tc>
        <w:tc>
          <w:tcPr>
            <w:tcW w:w="1038" w:type="dxa"/>
            <w:tcBorders>
              <w:top w:val="single" w:sz="4" w:space="0" w:color="auto"/>
            </w:tcBorders>
          </w:tcPr>
          <w:p w14:paraId="66F3DCD4" w14:textId="77777777" w:rsidR="00D51910" w:rsidRPr="00F91674" w:rsidRDefault="00D51910" w:rsidP="00580507">
            <w:pPr>
              <w:adjustRightInd w:val="0"/>
              <w:snapToGrid w:val="0"/>
              <w:spacing w:line="360" w:lineRule="auto"/>
              <w:jc w:val="both"/>
              <w:rPr>
                <w:rFonts w:ascii="Book Antiqua" w:hAnsi="Book Antiqua"/>
                <w:i/>
                <w:iCs/>
              </w:rPr>
            </w:pPr>
            <w:r w:rsidRPr="00F91674">
              <w:rPr>
                <w:rFonts w:ascii="Book Antiqua" w:hAnsi="Book Antiqua" w:cs="Times New Roman"/>
                <w:i/>
                <w:iCs/>
              </w:rPr>
              <w:t>SOXC</w:t>
            </w:r>
          </w:p>
        </w:tc>
        <w:tc>
          <w:tcPr>
            <w:tcW w:w="1095" w:type="dxa"/>
            <w:tcBorders>
              <w:top w:val="single" w:sz="4" w:space="0" w:color="auto"/>
            </w:tcBorders>
          </w:tcPr>
          <w:p w14:paraId="346BA9F3" w14:textId="77777777" w:rsidR="00D51910" w:rsidRPr="00F91674" w:rsidRDefault="00D51910" w:rsidP="00580507">
            <w:pPr>
              <w:adjustRightInd w:val="0"/>
              <w:snapToGrid w:val="0"/>
              <w:spacing w:line="360" w:lineRule="auto"/>
              <w:jc w:val="both"/>
              <w:rPr>
                <w:rFonts w:ascii="Book Antiqua" w:hAnsi="Book Antiqua"/>
                <w:i/>
                <w:iCs/>
              </w:rPr>
            </w:pPr>
            <w:r w:rsidRPr="00F91674">
              <w:rPr>
                <w:rFonts w:ascii="Book Antiqua" w:hAnsi="Book Antiqua" w:cs="Times New Roman"/>
                <w:i/>
                <w:iCs/>
              </w:rPr>
              <w:t>SOXD</w:t>
            </w:r>
          </w:p>
        </w:tc>
        <w:tc>
          <w:tcPr>
            <w:tcW w:w="975" w:type="dxa"/>
            <w:tcBorders>
              <w:top w:val="single" w:sz="4" w:space="0" w:color="auto"/>
            </w:tcBorders>
          </w:tcPr>
          <w:p w14:paraId="2163AF90" w14:textId="77777777" w:rsidR="00D51910" w:rsidRPr="00F91674" w:rsidRDefault="00D51910" w:rsidP="00580507">
            <w:pPr>
              <w:adjustRightInd w:val="0"/>
              <w:snapToGrid w:val="0"/>
              <w:spacing w:line="360" w:lineRule="auto"/>
              <w:jc w:val="both"/>
              <w:rPr>
                <w:rFonts w:ascii="Book Antiqua" w:hAnsi="Book Antiqua"/>
                <w:i/>
                <w:iCs/>
              </w:rPr>
            </w:pPr>
            <w:r w:rsidRPr="00F91674">
              <w:rPr>
                <w:rFonts w:ascii="Book Antiqua" w:hAnsi="Book Antiqua" w:cs="Times New Roman"/>
                <w:i/>
                <w:iCs/>
              </w:rPr>
              <w:t>SOXE</w:t>
            </w:r>
          </w:p>
        </w:tc>
        <w:tc>
          <w:tcPr>
            <w:tcW w:w="999" w:type="dxa"/>
            <w:tcBorders>
              <w:top w:val="single" w:sz="4" w:space="0" w:color="auto"/>
            </w:tcBorders>
          </w:tcPr>
          <w:p w14:paraId="0852EA74" w14:textId="77777777" w:rsidR="00D51910" w:rsidRPr="00F91674" w:rsidRDefault="00D51910" w:rsidP="00580507">
            <w:pPr>
              <w:adjustRightInd w:val="0"/>
              <w:snapToGrid w:val="0"/>
              <w:spacing w:line="360" w:lineRule="auto"/>
              <w:jc w:val="both"/>
              <w:rPr>
                <w:rFonts w:ascii="Book Antiqua" w:hAnsi="Book Antiqua"/>
                <w:i/>
                <w:iCs/>
              </w:rPr>
            </w:pPr>
            <w:r w:rsidRPr="00F91674">
              <w:rPr>
                <w:rFonts w:ascii="Book Antiqua" w:hAnsi="Book Antiqua" w:cs="Times New Roman"/>
                <w:i/>
                <w:iCs/>
              </w:rPr>
              <w:t>SOXF</w:t>
            </w:r>
          </w:p>
        </w:tc>
        <w:tc>
          <w:tcPr>
            <w:tcW w:w="1055" w:type="dxa"/>
            <w:tcBorders>
              <w:top w:val="single" w:sz="4" w:space="0" w:color="auto"/>
            </w:tcBorders>
          </w:tcPr>
          <w:p w14:paraId="6FF90E06" w14:textId="77777777" w:rsidR="00D51910" w:rsidRPr="00F91674" w:rsidRDefault="00D51910" w:rsidP="00580507">
            <w:pPr>
              <w:adjustRightInd w:val="0"/>
              <w:snapToGrid w:val="0"/>
              <w:spacing w:line="360" w:lineRule="auto"/>
              <w:jc w:val="both"/>
              <w:rPr>
                <w:rFonts w:ascii="Book Antiqua" w:hAnsi="Book Antiqua"/>
                <w:i/>
                <w:iCs/>
              </w:rPr>
            </w:pPr>
            <w:r w:rsidRPr="00F91674">
              <w:rPr>
                <w:rFonts w:ascii="Book Antiqua" w:hAnsi="Book Antiqua" w:cs="Times New Roman"/>
                <w:i/>
                <w:iCs/>
              </w:rPr>
              <w:t>SOXG</w:t>
            </w:r>
          </w:p>
        </w:tc>
        <w:tc>
          <w:tcPr>
            <w:tcW w:w="1052" w:type="dxa"/>
            <w:tcBorders>
              <w:top w:val="single" w:sz="4" w:space="0" w:color="auto"/>
            </w:tcBorders>
          </w:tcPr>
          <w:p w14:paraId="409BEAA0" w14:textId="77777777" w:rsidR="00D51910" w:rsidRPr="00F91674" w:rsidRDefault="00D51910" w:rsidP="00580507">
            <w:pPr>
              <w:adjustRightInd w:val="0"/>
              <w:snapToGrid w:val="0"/>
              <w:spacing w:line="360" w:lineRule="auto"/>
              <w:jc w:val="both"/>
              <w:rPr>
                <w:rFonts w:ascii="Book Antiqua" w:hAnsi="Book Antiqua" w:cs="Times New Roman"/>
                <w:i/>
                <w:iCs/>
              </w:rPr>
            </w:pPr>
            <w:r w:rsidRPr="00F91674">
              <w:rPr>
                <w:rFonts w:ascii="Book Antiqua" w:hAnsi="Book Antiqua" w:cs="Times New Roman"/>
                <w:i/>
                <w:iCs/>
              </w:rPr>
              <w:t>SOXH</w:t>
            </w:r>
          </w:p>
        </w:tc>
      </w:tr>
      <w:tr w:rsidR="00D51910" w:rsidRPr="00F91674" w14:paraId="4FCCE03D" w14:textId="77777777" w:rsidTr="00580507">
        <w:trPr>
          <w:trHeight w:val="386"/>
        </w:trPr>
        <w:tc>
          <w:tcPr>
            <w:tcW w:w="1095" w:type="dxa"/>
            <w:tcBorders>
              <w:bottom w:val="single" w:sz="4" w:space="0" w:color="auto"/>
            </w:tcBorders>
          </w:tcPr>
          <w:p w14:paraId="5995C779" w14:textId="77777777" w:rsidR="00D51910" w:rsidRPr="00F91674" w:rsidRDefault="00D51910" w:rsidP="00580507">
            <w:pPr>
              <w:adjustRightInd w:val="0"/>
              <w:snapToGrid w:val="0"/>
              <w:spacing w:line="360" w:lineRule="auto"/>
              <w:jc w:val="both"/>
              <w:rPr>
                <w:rFonts w:ascii="Book Antiqua" w:hAnsi="Book Antiqua"/>
                <w:i/>
                <w:iCs/>
              </w:rPr>
            </w:pPr>
          </w:p>
        </w:tc>
        <w:tc>
          <w:tcPr>
            <w:tcW w:w="1182" w:type="dxa"/>
            <w:tcBorders>
              <w:top w:val="single" w:sz="4" w:space="0" w:color="auto"/>
              <w:bottom w:val="single" w:sz="4" w:space="0" w:color="auto"/>
            </w:tcBorders>
          </w:tcPr>
          <w:p w14:paraId="62124D3D" w14:textId="77777777" w:rsidR="00D51910" w:rsidRPr="00F91674" w:rsidRDefault="00D51910" w:rsidP="00580507">
            <w:pPr>
              <w:adjustRightInd w:val="0"/>
              <w:snapToGrid w:val="0"/>
              <w:spacing w:line="360" w:lineRule="auto"/>
              <w:jc w:val="both"/>
              <w:rPr>
                <w:rFonts w:ascii="Book Antiqua" w:hAnsi="Book Antiqua"/>
                <w:i/>
                <w:iCs/>
              </w:rPr>
            </w:pPr>
            <w:r w:rsidRPr="00F91674">
              <w:rPr>
                <w:rFonts w:ascii="Book Antiqua" w:hAnsi="Book Antiqua" w:cs="Times New Roman"/>
                <w:i/>
                <w:iCs/>
              </w:rPr>
              <w:t>SOXB1</w:t>
            </w:r>
          </w:p>
        </w:tc>
        <w:tc>
          <w:tcPr>
            <w:tcW w:w="1085" w:type="dxa"/>
            <w:tcBorders>
              <w:top w:val="single" w:sz="4" w:space="0" w:color="auto"/>
              <w:bottom w:val="single" w:sz="4" w:space="0" w:color="auto"/>
            </w:tcBorders>
          </w:tcPr>
          <w:p w14:paraId="732A06A8" w14:textId="77777777" w:rsidR="00D51910" w:rsidRPr="00F91674" w:rsidRDefault="00D51910" w:rsidP="00580507">
            <w:pPr>
              <w:adjustRightInd w:val="0"/>
              <w:snapToGrid w:val="0"/>
              <w:spacing w:line="360" w:lineRule="auto"/>
              <w:jc w:val="both"/>
              <w:rPr>
                <w:rFonts w:ascii="Book Antiqua" w:hAnsi="Book Antiqua"/>
                <w:i/>
                <w:iCs/>
              </w:rPr>
            </w:pPr>
            <w:r w:rsidRPr="00F91674">
              <w:rPr>
                <w:rFonts w:ascii="Book Antiqua" w:hAnsi="Book Antiqua" w:cs="Times New Roman"/>
                <w:i/>
                <w:iCs/>
              </w:rPr>
              <w:t>SOXB2</w:t>
            </w:r>
          </w:p>
        </w:tc>
        <w:tc>
          <w:tcPr>
            <w:tcW w:w="1038" w:type="dxa"/>
            <w:tcBorders>
              <w:bottom w:val="single" w:sz="4" w:space="0" w:color="auto"/>
            </w:tcBorders>
          </w:tcPr>
          <w:p w14:paraId="2E4E51A5" w14:textId="77777777" w:rsidR="00D51910" w:rsidRPr="00F91674" w:rsidRDefault="00D51910" w:rsidP="00580507">
            <w:pPr>
              <w:adjustRightInd w:val="0"/>
              <w:snapToGrid w:val="0"/>
              <w:spacing w:line="360" w:lineRule="auto"/>
              <w:jc w:val="both"/>
              <w:rPr>
                <w:rFonts w:ascii="Book Antiqua" w:hAnsi="Book Antiqua"/>
                <w:i/>
                <w:iCs/>
              </w:rPr>
            </w:pPr>
          </w:p>
        </w:tc>
        <w:tc>
          <w:tcPr>
            <w:tcW w:w="1095" w:type="dxa"/>
            <w:tcBorders>
              <w:bottom w:val="single" w:sz="4" w:space="0" w:color="auto"/>
            </w:tcBorders>
          </w:tcPr>
          <w:p w14:paraId="0D9EEF1A" w14:textId="77777777" w:rsidR="00D51910" w:rsidRPr="00F91674" w:rsidRDefault="00D51910" w:rsidP="00580507">
            <w:pPr>
              <w:adjustRightInd w:val="0"/>
              <w:snapToGrid w:val="0"/>
              <w:spacing w:line="360" w:lineRule="auto"/>
              <w:jc w:val="both"/>
              <w:rPr>
                <w:rFonts w:ascii="Book Antiqua" w:hAnsi="Book Antiqua"/>
                <w:i/>
                <w:iCs/>
              </w:rPr>
            </w:pPr>
          </w:p>
        </w:tc>
        <w:tc>
          <w:tcPr>
            <w:tcW w:w="975" w:type="dxa"/>
            <w:tcBorders>
              <w:bottom w:val="single" w:sz="4" w:space="0" w:color="auto"/>
            </w:tcBorders>
          </w:tcPr>
          <w:p w14:paraId="254768DA" w14:textId="77777777" w:rsidR="00D51910" w:rsidRPr="00F91674" w:rsidRDefault="00D51910" w:rsidP="00580507">
            <w:pPr>
              <w:adjustRightInd w:val="0"/>
              <w:snapToGrid w:val="0"/>
              <w:spacing w:line="360" w:lineRule="auto"/>
              <w:jc w:val="both"/>
              <w:rPr>
                <w:rFonts w:ascii="Book Antiqua" w:hAnsi="Book Antiqua"/>
                <w:i/>
                <w:iCs/>
              </w:rPr>
            </w:pPr>
          </w:p>
        </w:tc>
        <w:tc>
          <w:tcPr>
            <w:tcW w:w="999" w:type="dxa"/>
            <w:tcBorders>
              <w:bottom w:val="single" w:sz="4" w:space="0" w:color="auto"/>
            </w:tcBorders>
          </w:tcPr>
          <w:p w14:paraId="3F8E33B5" w14:textId="77777777" w:rsidR="00D51910" w:rsidRPr="00F91674" w:rsidRDefault="00D51910" w:rsidP="00580507">
            <w:pPr>
              <w:adjustRightInd w:val="0"/>
              <w:snapToGrid w:val="0"/>
              <w:spacing w:line="360" w:lineRule="auto"/>
              <w:jc w:val="both"/>
              <w:rPr>
                <w:rFonts w:ascii="Book Antiqua" w:hAnsi="Book Antiqua"/>
                <w:i/>
                <w:iCs/>
              </w:rPr>
            </w:pPr>
          </w:p>
        </w:tc>
        <w:tc>
          <w:tcPr>
            <w:tcW w:w="1055" w:type="dxa"/>
            <w:tcBorders>
              <w:bottom w:val="single" w:sz="4" w:space="0" w:color="auto"/>
            </w:tcBorders>
          </w:tcPr>
          <w:p w14:paraId="4D628FA7" w14:textId="77777777" w:rsidR="00D51910" w:rsidRPr="00F91674" w:rsidRDefault="00D51910" w:rsidP="00580507">
            <w:pPr>
              <w:adjustRightInd w:val="0"/>
              <w:snapToGrid w:val="0"/>
              <w:spacing w:line="360" w:lineRule="auto"/>
              <w:jc w:val="both"/>
              <w:rPr>
                <w:rFonts w:ascii="Book Antiqua" w:hAnsi="Book Antiqua"/>
                <w:i/>
                <w:iCs/>
              </w:rPr>
            </w:pPr>
          </w:p>
        </w:tc>
        <w:tc>
          <w:tcPr>
            <w:tcW w:w="1052" w:type="dxa"/>
            <w:tcBorders>
              <w:bottom w:val="single" w:sz="4" w:space="0" w:color="auto"/>
            </w:tcBorders>
          </w:tcPr>
          <w:p w14:paraId="592DDEE5" w14:textId="77777777" w:rsidR="00D51910" w:rsidRPr="00F91674" w:rsidRDefault="00D51910" w:rsidP="00580507">
            <w:pPr>
              <w:adjustRightInd w:val="0"/>
              <w:snapToGrid w:val="0"/>
              <w:spacing w:line="360" w:lineRule="auto"/>
              <w:jc w:val="both"/>
              <w:rPr>
                <w:rFonts w:ascii="Book Antiqua" w:hAnsi="Book Antiqua"/>
                <w:i/>
                <w:iCs/>
              </w:rPr>
            </w:pPr>
          </w:p>
        </w:tc>
      </w:tr>
      <w:tr w:rsidR="00D51910" w:rsidRPr="00F91674" w14:paraId="0669A2C9" w14:textId="77777777" w:rsidTr="00580507">
        <w:tc>
          <w:tcPr>
            <w:tcW w:w="1095" w:type="dxa"/>
            <w:tcBorders>
              <w:top w:val="single" w:sz="4" w:space="0" w:color="auto"/>
            </w:tcBorders>
            <w:hideMark/>
          </w:tcPr>
          <w:p w14:paraId="01C37754" w14:textId="77777777" w:rsidR="00D51910" w:rsidRPr="00F91674" w:rsidRDefault="00D51910" w:rsidP="00580507">
            <w:pPr>
              <w:adjustRightInd w:val="0"/>
              <w:snapToGrid w:val="0"/>
              <w:spacing w:line="360" w:lineRule="auto"/>
              <w:jc w:val="both"/>
              <w:rPr>
                <w:rFonts w:ascii="Book Antiqua" w:hAnsi="Book Antiqua" w:cs="Times New Roman"/>
                <w:i/>
                <w:iCs/>
              </w:rPr>
            </w:pPr>
            <w:r w:rsidRPr="00F91674">
              <w:rPr>
                <w:rFonts w:ascii="Book Antiqua" w:hAnsi="Book Antiqua" w:cs="Times New Roman"/>
                <w:i/>
                <w:iCs/>
              </w:rPr>
              <w:t>SRY</w:t>
            </w:r>
          </w:p>
        </w:tc>
        <w:tc>
          <w:tcPr>
            <w:tcW w:w="1182" w:type="dxa"/>
            <w:tcBorders>
              <w:top w:val="single" w:sz="4" w:space="0" w:color="auto"/>
            </w:tcBorders>
            <w:hideMark/>
          </w:tcPr>
          <w:p w14:paraId="42C58BF6" w14:textId="77777777" w:rsidR="00D51910" w:rsidRPr="00F91674" w:rsidRDefault="00D51910" w:rsidP="00580507">
            <w:pPr>
              <w:adjustRightInd w:val="0"/>
              <w:snapToGrid w:val="0"/>
              <w:spacing w:line="360" w:lineRule="auto"/>
              <w:jc w:val="both"/>
              <w:rPr>
                <w:rFonts w:ascii="Book Antiqua" w:hAnsi="Book Antiqua" w:cs="Times New Roman"/>
                <w:i/>
                <w:iCs/>
              </w:rPr>
            </w:pPr>
            <w:r w:rsidRPr="00F91674">
              <w:rPr>
                <w:rFonts w:ascii="Book Antiqua" w:hAnsi="Book Antiqua" w:cs="Times New Roman"/>
                <w:i/>
                <w:iCs/>
              </w:rPr>
              <w:t>SOX1</w:t>
            </w:r>
          </w:p>
        </w:tc>
        <w:tc>
          <w:tcPr>
            <w:tcW w:w="1085" w:type="dxa"/>
            <w:tcBorders>
              <w:top w:val="single" w:sz="4" w:space="0" w:color="auto"/>
            </w:tcBorders>
            <w:hideMark/>
          </w:tcPr>
          <w:p w14:paraId="2F9729EC" w14:textId="77777777" w:rsidR="00D51910" w:rsidRPr="00F91674" w:rsidRDefault="00D51910" w:rsidP="00580507">
            <w:pPr>
              <w:adjustRightInd w:val="0"/>
              <w:snapToGrid w:val="0"/>
              <w:spacing w:line="360" w:lineRule="auto"/>
              <w:jc w:val="both"/>
              <w:rPr>
                <w:rFonts w:ascii="Book Antiqua" w:hAnsi="Book Antiqua" w:cs="Times New Roman"/>
                <w:i/>
                <w:iCs/>
              </w:rPr>
            </w:pPr>
            <w:r w:rsidRPr="00F91674">
              <w:rPr>
                <w:rFonts w:ascii="Book Antiqua" w:hAnsi="Book Antiqua" w:cs="Times New Roman"/>
                <w:i/>
                <w:iCs/>
              </w:rPr>
              <w:t>SOX14</w:t>
            </w:r>
          </w:p>
        </w:tc>
        <w:tc>
          <w:tcPr>
            <w:tcW w:w="1038" w:type="dxa"/>
            <w:tcBorders>
              <w:top w:val="single" w:sz="4" w:space="0" w:color="auto"/>
            </w:tcBorders>
            <w:hideMark/>
          </w:tcPr>
          <w:p w14:paraId="55300D23" w14:textId="77777777" w:rsidR="00D51910" w:rsidRPr="00F91674" w:rsidRDefault="00D51910" w:rsidP="00580507">
            <w:pPr>
              <w:adjustRightInd w:val="0"/>
              <w:snapToGrid w:val="0"/>
              <w:spacing w:line="360" w:lineRule="auto"/>
              <w:jc w:val="both"/>
              <w:rPr>
                <w:rFonts w:ascii="Book Antiqua" w:hAnsi="Book Antiqua" w:cs="Times New Roman"/>
                <w:i/>
                <w:iCs/>
              </w:rPr>
            </w:pPr>
            <w:r w:rsidRPr="00F91674">
              <w:rPr>
                <w:rFonts w:ascii="Book Antiqua" w:hAnsi="Book Antiqua" w:cs="Times New Roman"/>
                <w:i/>
                <w:iCs/>
              </w:rPr>
              <w:t>SOX4</w:t>
            </w:r>
          </w:p>
        </w:tc>
        <w:tc>
          <w:tcPr>
            <w:tcW w:w="1095" w:type="dxa"/>
            <w:tcBorders>
              <w:top w:val="single" w:sz="4" w:space="0" w:color="auto"/>
            </w:tcBorders>
            <w:hideMark/>
          </w:tcPr>
          <w:p w14:paraId="2F74DFB7" w14:textId="77777777" w:rsidR="00D51910" w:rsidRPr="00F91674" w:rsidRDefault="00D51910" w:rsidP="00580507">
            <w:pPr>
              <w:adjustRightInd w:val="0"/>
              <w:snapToGrid w:val="0"/>
              <w:spacing w:line="360" w:lineRule="auto"/>
              <w:jc w:val="both"/>
              <w:rPr>
                <w:rFonts w:ascii="Book Antiqua" w:hAnsi="Book Antiqua" w:cs="Times New Roman"/>
                <w:i/>
                <w:iCs/>
              </w:rPr>
            </w:pPr>
            <w:r w:rsidRPr="00F91674">
              <w:rPr>
                <w:rFonts w:ascii="Book Antiqua" w:hAnsi="Book Antiqua" w:cs="Times New Roman"/>
                <w:i/>
                <w:iCs/>
              </w:rPr>
              <w:t>SOX5</w:t>
            </w:r>
          </w:p>
        </w:tc>
        <w:tc>
          <w:tcPr>
            <w:tcW w:w="975" w:type="dxa"/>
            <w:tcBorders>
              <w:top w:val="single" w:sz="4" w:space="0" w:color="auto"/>
            </w:tcBorders>
            <w:hideMark/>
          </w:tcPr>
          <w:p w14:paraId="31B74DD1" w14:textId="77777777" w:rsidR="00D51910" w:rsidRPr="00F91674" w:rsidRDefault="00D51910" w:rsidP="00580507">
            <w:pPr>
              <w:adjustRightInd w:val="0"/>
              <w:snapToGrid w:val="0"/>
              <w:spacing w:line="360" w:lineRule="auto"/>
              <w:jc w:val="both"/>
              <w:rPr>
                <w:rFonts w:ascii="Book Antiqua" w:hAnsi="Book Antiqua" w:cs="Times New Roman"/>
                <w:i/>
                <w:iCs/>
              </w:rPr>
            </w:pPr>
            <w:r w:rsidRPr="00F91674">
              <w:rPr>
                <w:rFonts w:ascii="Book Antiqua" w:hAnsi="Book Antiqua" w:cs="Times New Roman"/>
                <w:i/>
                <w:iCs/>
              </w:rPr>
              <w:t>SOX8</w:t>
            </w:r>
          </w:p>
        </w:tc>
        <w:tc>
          <w:tcPr>
            <w:tcW w:w="999" w:type="dxa"/>
            <w:tcBorders>
              <w:top w:val="single" w:sz="4" w:space="0" w:color="auto"/>
            </w:tcBorders>
            <w:hideMark/>
          </w:tcPr>
          <w:p w14:paraId="603118B3" w14:textId="77777777" w:rsidR="00D51910" w:rsidRPr="00F91674" w:rsidRDefault="00D51910" w:rsidP="00580507">
            <w:pPr>
              <w:adjustRightInd w:val="0"/>
              <w:snapToGrid w:val="0"/>
              <w:spacing w:line="360" w:lineRule="auto"/>
              <w:jc w:val="both"/>
              <w:rPr>
                <w:rFonts w:ascii="Book Antiqua" w:hAnsi="Book Antiqua" w:cs="Times New Roman"/>
                <w:i/>
                <w:iCs/>
              </w:rPr>
            </w:pPr>
            <w:r w:rsidRPr="00F91674">
              <w:rPr>
                <w:rFonts w:ascii="Book Antiqua" w:hAnsi="Book Antiqua" w:cs="Times New Roman"/>
                <w:i/>
                <w:iCs/>
              </w:rPr>
              <w:t>SOX7</w:t>
            </w:r>
          </w:p>
        </w:tc>
        <w:tc>
          <w:tcPr>
            <w:tcW w:w="1055" w:type="dxa"/>
            <w:tcBorders>
              <w:top w:val="single" w:sz="4" w:space="0" w:color="auto"/>
            </w:tcBorders>
            <w:hideMark/>
          </w:tcPr>
          <w:p w14:paraId="568D79B2" w14:textId="77777777" w:rsidR="00D51910" w:rsidRPr="00F91674" w:rsidRDefault="00D51910" w:rsidP="00580507">
            <w:pPr>
              <w:adjustRightInd w:val="0"/>
              <w:snapToGrid w:val="0"/>
              <w:spacing w:line="360" w:lineRule="auto"/>
              <w:jc w:val="both"/>
              <w:rPr>
                <w:rFonts w:ascii="Book Antiqua" w:hAnsi="Book Antiqua" w:cs="Times New Roman"/>
                <w:i/>
                <w:iCs/>
              </w:rPr>
            </w:pPr>
            <w:r w:rsidRPr="00F91674">
              <w:rPr>
                <w:rFonts w:ascii="Book Antiqua" w:hAnsi="Book Antiqua" w:cs="Times New Roman"/>
                <w:i/>
                <w:iCs/>
              </w:rPr>
              <w:t>SOX15</w:t>
            </w:r>
          </w:p>
        </w:tc>
        <w:tc>
          <w:tcPr>
            <w:tcW w:w="1052" w:type="dxa"/>
            <w:tcBorders>
              <w:top w:val="single" w:sz="4" w:space="0" w:color="auto"/>
            </w:tcBorders>
            <w:hideMark/>
          </w:tcPr>
          <w:p w14:paraId="0C82865F" w14:textId="77777777" w:rsidR="00D51910" w:rsidRPr="00F91674" w:rsidRDefault="00D51910" w:rsidP="00580507">
            <w:pPr>
              <w:adjustRightInd w:val="0"/>
              <w:snapToGrid w:val="0"/>
              <w:spacing w:line="360" w:lineRule="auto"/>
              <w:jc w:val="both"/>
              <w:rPr>
                <w:rFonts w:ascii="Book Antiqua" w:hAnsi="Book Antiqua" w:cs="Times New Roman"/>
                <w:i/>
                <w:iCs/>
              </w:rPr>
            </w:pPr>
            <w:r w:rsidRPr="00F91674">
              <w:rPr>
                <w:rFonts w:ascii="Book Antiqua" w:hAnsi="Book Antiqua" w:cs="Times New Roman"/>
                <w:i/>
                <w:iCs/>
              </w:rPr>
              <w:t>SOX30</w:t>
            </w:r>
          </w:p>
        </w:tc>
      </w:tr>
      <w:tr w:rsidR="00D51910" w:rsidRPr="00F91674" w14:paraId="423C2DBD" w14:textId="77777777" w:rsidTr="00580507">
        <w:tc>
          <w:tcPr>
            <w:tcW w:w="1095" w:type="dxa"/>
          </w:tcPr>
          <w:p w14:paraId="1D96BC4F" w14:textId="77777777" w:rsidR="00D51910" w:rsidRPr="00F91674" w:rsidRDefault="00D51910" w:rsidP="00580507">
            <w:pPr>
              <w:adjustRightInd w:val="0"/>
              <w:snapToGrid w:val="0"/>
              <w:spacing w:line="360" w:lineRule="auto"/>
              <w:jc w:val="both"/>
              <w:rPr>
                <w:rFonts w:ascii="Book Antiqua" w:hAnsi="Book Antiqua" w:cs="Times New Roman"/>
                <w:i/>
                <w:iCs/>
              </w:rPr>
            </w:pPr>
          </w:p>
        </w:tc>
        <w:tc>
          <w:tcPr>
            <w:tcW w:w="1182" w:type="dxa"/>
            <w:hideMark/>
          </w:tcPr>
          <w:p w14:paraId="3AC2DA85" w14:textId="77777777" w:rsidR="00D51910" w:rsidRPr="00F91674" w:rsidRDefault="00D51910" w:rsidP="00580507">
            <w:pPr>
              <w:adjustRightInd w:val="0"/>
              <w:snapToGrid w:val="0"/>
              <w:spacing w:line="360" w:lineRule="auto"/>
              <w:jc w:val="both"/>
              <w:rPr>
                <w:rFonts w:ascii="Book Antiqua" w:hAnsi="Book Antiqua" w:cs="Times New Roman"/>
                <w:i/>
                <w:iCs/>
              </w:rPr>
            </w:pPr>
            <w:r w:rsidRPr="00F91674">
              <w:rPr>
                <w:rFonts w:ascii="Book Antiqua" w:hAnsi="Book Antiqua" w:cs="Times New Roman"/>
                <w:i/>
                <w:iCs/>
              </w:rPr>
              <w:t>SOX2</w:t>
            </w:r>
          </w:p>
        </w:tc>
        <w:tc>
          <w:tcPr>
            <w:tcW w:w="1085" w:type="dxa"/>
            <w:hideMark/>
          </w:tcPr>
          <w:p w14:paraId="60460684" w14:textId="77777777" w:rsidR="00D51910" w:rsidRPr="00F91674" w:rsidRDefault="00D51910" w:rsidP="00580507">
            <w:pPr>
              <w:adjustRightInd w:val="0"/>
              <w:snapToGrid w:val="0"/>
              <w:spacing w:line="360" w:lineRule="auto"/>
              <w:jc w:val="both"/>
              <w:rPr>
                <w:rFonts w:ascii="Book Antiqua" w:hAnsi="Book Antiqua" w:cs="Times New Roman"/>
                <w:i/>
                <w:iCs/>
              </w:rPr>
            </w:pPr>
            <w:r w:rsidRPr="00F91674">
              <w:rPr>
                <w:rFonts w:ascii="Book Antiqua" w:hAnsi="Book Antiqua" w:cs="Times New Roman"/>
                <w:i/>
                <w:iCs/>
              </w:rPr>
              <w:t>SOX21</w:t>
            </w:r>
          </w:p>
        </w:tc>
        <w:tc>
          <w:tcPr>
            <w:tcW w:w="1038" w:type="dxa"/>
            <w:hideMark/>
          </w:tcPr>
          <w:p w14:paraId="7974ECDC" w14:textId="77777777" w:rsidR="00D51910" w:rsidRPr="00F91674" w:rsidRDefault="00D51910" w:rsidP="00580507">
            <w:pPr>
              <w:adjustRightInd w:val="0"/>
              <w:snapToGrid w:val="0"/>
              <w:spacing w:line="360" w:lineRule="auto"/>
              <w:jc w:val="both"/>
              <w:rPr>
                <w:rFonts w:ascii="Book Antiqua" w:hAnsi="Book Antiqua" w:cs="Times New Roman"/>
                <w:i/>
                <w:iCs/>
              </w:rPr>
            </w:pPr>
            <w:r w:rsidRPr="00F91674">
              <w:rPr>
                <w:rFonts w:ascii="Book Antiqua" w:hAnsi="Book Antiqua" w:cs="Times New Roman"/>
                <w:i/>
                <w:iCs/>
              </w:rPr>
              <w:t>SOX11</w:t>
            </w:r>
          </w:p>
        </w:tc>
        <w:tc>
          <w:tcPr>
            <w:tcW w:w="1095" w:type="dxa"/>
            <w:hideMark/>
          </w:tcPr>
          <w:p w14:paraId="15AFBE3E" w14:textId="77777777" w:rsidR="00D51910" w:rsidRPr="00F91674" w:rsidRDefault="00D51910" w:rsidP="00580507">
            <w:pPr>
              <w:adjustRightInd w:val="0"/>
              <w:snapToGrid w:val="0"/>
              <w:spacing w:line="360" w:lineRule="auto"/>
              <w:jc w:val="both"/>
              <w:rPr>
                <w:rFonts w:ascii="Book Antiqua" w:hAnsi="Book Antiqua" w:cs="Times New Roman"/>
                <w:i/>
                <w:iCs/>
              </w:rPr>
            </w:pPr>
            <w:r w:rsidRPr="00F91674">
              <w:rPr>
                <w:rFonts w:ascii="Book Antiqua" w:hAnsi="Book Antiqua" w:cs="Times New Roman"/>
                <w:i/>
                <w:iCs/>
              </w:rPr>
              <w:t>SOX6</w:t>
            </w:r>
          </w:p>
        </w:tc>
        <w:tc>
          <w:tcPr>
            <w:tcW w:w="975" w:type="dxa"/>
            <w:hideMark/>
          </w:tcPr>
          <w:p w14:paraId="12220FFE" w14:textId="77777777" w:rsidR="00D51910" w:rsidRPr="00F91674" w:rsidRDefault="00D51910" w:rsidP="00580507">
            <w:pPr>
              <w:adjustRightInd w:val="0"/>
              <w:snapToGrid w:val="0"/>
              <w:spacing w:line="360" w:lineRule="auto"/>
              <w:jc w:val="both"/>
              <w:rPr>
                <w:rFonts w:ascii="Book Antiqua" w:hAnsi="Book Antiqua" w:cs="Times New Roman"/>
                <w:i/>
                <w:iCs/>
              </w:rPr>
            </w:pPr>
            <w:r w:rsidRPr="00F91674">
              <w:rPr>
                <w:rFonts w:ascii="Book Antiqua" w:hAnsi="Book Antiqua" w:cs="Times New Roman"/>
                <w:i/>
                <w:iCs/>
              </w:rPr>
              <w:t>SOX9</w:t>
            </w:r>
          </w:p>
        </w:tc>
        <w:tc>
          <w:tcPr>
            <w:tcW w:w="999" w:type="dxa"/>
            <w:hideMark/>
          </w:tcPr>
          <w:p w14:paraId="3FCC30FB" w14:textId="77777777" w:rsidR="00D51910" w:rsidRPr="00F91674" w:rsidRDefault="00D51910" w:rsidP="00580507">
            <w:pPr>
              <w:adjustRightInd w:val="0"/>
              <w:snapToGrid w:val="0"/>
              <w:spacing w:line="360" w:lineRule="auto"/>
              <w:jc w:val="both"/>
              <w:rPr>
                <w:rFonts w:ascii="Book Antiqua" w:hAnsi="Book Antiqua" w:cs="Times New Roman"/>
                <w:i/>
                <w:iCs/>
              </w:rPr>
            </w:pPr>
            <w:r w:rsidRPr="00F91674">
              <w:rPr>
                <w:rFonts w:ascii="Book Antiqua" w:hAnsi="Book Antiqua" w:cs="Times New Roman"/>
                <w:i/>
                <w:iCs/>
              </w:rPr>
              <w:t>SOX17</w:t>
            </w:r>
          </w:p>
        </w:tc>
        <w:tc>
          <w:tcPr>
            <w:tcW w:w="1055" w:type="dxa"/>
          </w:tcPr>
          <w:p w14:paraId="177FDF62" w14:textId="77777777" w:rsidR="00D51910" w:rsidRPr="00F91674" w:rsidRDefault="00D51910" w:rsidP="00580507">
            <w:pPr>
              <w:adjustRightInd w:val="0"/>
              <w:snapToGrid w:val="0"/>
              <w:spacing w:line="360" w:lineRule="auto"/>
              <w:jc w:val="both"/>
              <w:rPr>
                <w:rFonts w:ascii="Book Antiqua" w:hAnsi="Book Antiqua" w:cs="Times New Roman"/>
                <w:i/>
                <w:iCs/>
              </w:rPr>
            </w:pPr>
          </w:p>
        </w:tc>
        <w:tc>
          <w:tcPr>
            <w:tcW w:w="1052" w:type="dxa"/>
          </w:tcPr>
          <w:p w14:paraId="1FA9700C" w14:textId="77777777" w:rsidR="00D51910" w:rsidRPr="00F91674" w:rsidRDefault="00D51910" w:rsidP="00580507">
            <w:pPr>
              <w:adjustRightInd w:val="0"/>
              <w:snapToGrid w:val="0"/>
              <w:spacing w:line="360" w:lineRule="auto"/>
              <w:jc w:val="both"/>
              <w:rPr>
                <w:rFonts w:ascii="Book Antiqua" w:hAnsi="Book Antiqua" w:cs="Times New Roman"/>
                <w:i/>
                <w:iCs/>
              </w:rPr>
            </w:pPr>
          </w:p>
        </w:tc>
      </w:tr>
      <w:tr w:rsidR="00D51910" w:rsidRPr="00F91674" w14:paraId="402D4F70" w14:textId="77777777" w:rsidTr="00580507">
        <w:tc>
          <w:tcPr>
            <w:tcW w:w="1095" w:type="dxa"/>
            <w:tcBorders>
              <w:bottom w:val="single" w:sz="4" w:space="0" w:color="auto"/>
            </w:tcBorders>
          </w:tcPr>
          <w:p w14:paraId="19B37A0A" w14:textId="77777777" w:rsidR="00D51910" w:rsidRPr="00F91674" w:rsidRDefault="00D51910" w:rsidP="00580507">
            <w:pPr>
              <w:adjustRightInd w:val="0"/>
              <w:snapToGrid w:val="0"/>
              <w:spacing w:line="360" w:lineRule="auto"/>
              <w:jc w:val="both"/>
              <w:rPr>
                <w:rFonts w:ascii="Book Antiqua" w:hAnsi="Book Antiqua" w:cs="Times New Roman"/>
                <w:i/>
                <w:iCs/>
              </w:rPr>
            </w:pPr>
          </w:p>
        </w:tc>
        <w:tc>
          <w:tcPr>
            <w:tcW w:w="1182" w:type="dxa"/>
            <w:tcBorders>
              <w:bottom w:val="single" w:sz="4" w:space="0" w:color="auto"/>
            </w:tcBorders>
            <w:hideMark/>
          </w:tcPr>
          <w:p w14:paraId="155D84F6" w14:textId="77777777" w:rsidR="00D51910" w:rsidRPr="00F91674" w:rsidRDefault="00D51910" w:rsidP="00580507">
            <w:pPr>
              <w:adjustRightInd w:val="0"/>
              <w:snapToGrid w:val="0"/>
              <w:spacing w:line="360" w:lineRule="auto"/>
              <w:jc w:val="both"/>
              <w:rPr>
                <w:rFonts w:ascii="Book Antiqua" w:hAnsi="Book Antiqua" w:cs="Times New Roman"/>
                <w:i/>
                <w:iCs/>
              </w:rPr>
            </w:pPr>
            <w:r w:rsidRPr="00F91674">
              <w:rPr>
                <w:rFonts w:ascii="Book Antiqua" w:hAnsi="Book Antiqua" w:cs="Times New Roman"/>
                <w:i/>
                <w:iCs/>
              </w:rPr>
              <w:t>SOX3</w:t>
            </w:r>
          </w:p>
        </w:tc>
        <w:tc>
          <w:tcPr>
            <w:tcW w:w="1085" w:type="dxa"/>
            <w:tcBorders>
              <w:bottom w:val="single" w:sz="4" w:space="0" w:color="auto"/>
            </w:tcBorders>
          </w:tcPr>
          <w:p w14:paraId="3FC2951A" w14:textId="77777777" w:rsidR="00D51910" w:rsidRPr="00F91674" w:rsidRDefault="00D51910" w:rsidP="00580507">
            <w:pPr>
              <w:adjustRightInd w:val="0"/>
              <w:snapToGrid w:val="0"/>
              <w:spacing w:line="360" w:lineRule="auto"/>
              <w:jc w:val="both"/>
              <w:rPr>
                <w:rFonts w:ascii="Book Antiqua" w:hAnsi="Book Antiqua" w:cs="Times New Roman"/>
                <w:i/>
                <w:iCs/>
              </w:rPr>
            </w:pPr>
          </w:p>
        </w:tc>
        <w:tc>
          <w:tcPr>
            <w:tcW w:w="1038" w:type="dxa"/>
            <w:tcBorders>
              <w:bottom w:val="single" w:sz="4" w:space="0" w:color="auto"/>
            </w:tcBorders>
            <w:hideMark/>
          </w:tcPr>
          <w:p w14:paraId="26DEE814" w14:textId="77777777" w:rsidR="00D51910" w:rsidRPr="00F91674" w:rsidRDefault="00D51910" w:rsidP="00580507">
            <w:pPr>
              <w:adjustRightInd w:val="0"/>
              <w:snapToGrid w:val="0"/>
              <w:spacing w:line="360" w:lineRule="auto"/>
              <w:jc w:val="both"/>
              <w:rPr>
                <w:rFonts w:ascii="Book Antiqua" w:hAnsi="Book Antiqua" w:cs="Times New Roman"/>
                <w:i/>
                <w:iCs/>
              </w:rPr>
            </w:pPr>
            <w:r w:rsidRPr="00F91674">
              <w:rPr>
                <w:rFonts w:ascii="Book Antiqua" w:hAnsi="Book Antiqua" w:cs="Times New Roman"/>
                <w:i/>
                <w:iCs/>
              </w:rPr>
              <w:t>SOX12</w:t>
            </w:r>
          </w:p>
        </w:tc>
        <w:tc>
          <w:tcPr>
            <w:tcW w:w="1095" w:type="dxa"/>
            <w:tcBorders>
              <w:bottom w:val="single" w:sz="4" w:space="0" w:color="auto"/>
            </w:tcBorders>
            <w:hideMark/>
          </w:tcPr>
          <w:p w14:paraId="507A14BE" w14:textId="77777777" w:rsidR="00D51910" w:rsidRPr="00F91674" w:rsidRDefault="00D51910" w:rsidP="00580507">
            <w:pPr>
              <w:adjustRightInd w:val="0"/>
              <w:snapToGrid w:val="0"/>
              <w:spacing w:line="360" w:lineRule="auto"/>
              <w:jc w:val="both"/>
              <w:rPr>
                <w:rFonts w:ascii="Book Antiqua" w:hAnsi="Book Antiqua" w:cs="Times New Roman"/>
                <w:i/>
                <w:iCs/>
              </w:rPr>
            </w:pPr>
            <w:r w:rsidRPr="00F91674">
              <w:rPr>
                <w:rFonts w:ascii="Book Antiqua" w:hAnsi="Book Antiqua" w:cs="Times New Roman"/>
                <w:i/>
                <w:iCs/>
              </w:rPr>
              <w:t>SOX13</w:t>
            </w:r>
          </w:p>
        </w:tc>
        <w:tc>
          <w:tcPr>
            <w:tcW w:w="975" w:type="dxa"/>
            <w:tcBorders>
              <w:bottom w:val="single" w:sz="4" w:space="0" w:color="auto"/>
            </w:tcBorders>
            <w:hideMark/>
          </w:tcPr>
          <w:p w14:paraId="767A8FD1" w14:textId="77777777" w:rsidR="00D51910" w:rsidRPr="00F91674" w:rsidRDefault="00D51910" w:rsidP="00580507">
            <w:pPr>
              <w:adjustRightInd w:val="0"/>
              <w:snapToGrid w:val="0"/>
              <w:spacing w:line="360" w:lineRule="auto"/>
              <w:jc w:val="both"/>
              <w:rPr>
                <w:rFonts w:ascii="Book Antiqua" w:hAnsi="Book Antiqua" w:cs="Times New Roman"/>
                <w:i/>
                <w:iCs/>
              </w:rPr>
            </w:pPr>
            <w:r w:rsidRPr="00F91674">
              <w:rPr>
                <w:rFonts w:ascii="Book Antiqua" w:hAnsi="Book Antiqua" w:cs="Times New Roman"/>
                <w:i/>
                <w:iCs/>
              </w:rPr>
              <w:t>SOX10</w:t>
            </w:r>
          </w:p>
        </w:tc>
        <w:tc>
          <w:tcPr>
            <w:tcW w:w="999" w:type="dxa"/>
            <w:tcBorders>
              <w:bottom w:val="single" w:sz="4" w:space="0" w:color="auto"/>
            </w:tcBorders>
            <w:hideMark/>
          </w:tcPr>
          <w:p w14:paraId="56EC3A1D" w14:textId="77777777" w:rsidR="00D51910" w:rsidRPr="00F91674" w:rsidRDefault="00D51910" w:rsidP="00580507">
            <w:pPr>
              <w:adjustRightInd w:val="0"/>
              <w:snapToGrid w:val="0"/>
              <w:spacing w:line="360" w:lineRule="auto"/>
              <w:jc w:val="both"/>
              <w:rPr>
                <w:rFonts w:ascii="Book Antiqua" w:hAnsi="Book Antiqua" w:cs="Times New Roman"/>
                <w:i/>
                <w:iCs/>
              </w:rPr>
            </w:pPr>
            <w:r w:rsidRPr="00F91674">
              <w:rPr>
                <w:rFonts w:ascii="Book Antiqua" w:hAnsi="Book Antiqua" w:cs="Times New Roman"/>
                <w:i/>
                <w:iCs/>
              </w:rPr>
              <w:t>SOX18</w:t>
            </w:r>
          </w:p>
        </w:tc>
        <w:tc>
          <w:tcPr>
            <w:tcW w:w="1055" w:type="dxa"/>
            <w:tcBorders>
              <w:bottom w:val="single" w:sz="4" w:space="0" w:color="auto"/>
            </w:tcBorders>
          </w:tcPr>
          <w:p w14:paraId="3F7E47AC" w14:textId="77777777" w:rsidR="00D51910" w:rsidRPr="00F91674" w:rsidRDefault="00D51910" w:rsidP="00580507">
            <w:pPr>
              <w:adjustRightInd w:val="0"/>
              <w:snapToGrid w:val="0"/>
              <w:spacing w:line="360" w:lineRule="auto"/>
              <w:jc w:val="both"/>
              <w:rPr>
                <w:rFonts w:ascii="Book Antiqua" w:hAnsi="Book Antiqua" w:cs="Times New Roman"/>
                <w:i/>
                <w:iCs/>
              </w:rPr>
            </w:pPr>
          </w:p>
        </w:tc>
        <w:tc>
          <w:tcPr>
            <w:tcW w:w="1052" w:type="dxa"/>
            <w:tcBorders>
              <w:bottom w:val="single" w:sz="4" w:space="0" w:color="auto"/>
            </w:tcBorders>
          </w:tcPr>
          <w:p w14:paraId="6A9062DB" w14:textId="77777777" w:rsidR="00D51910" w:rsidRPr="00F91674" w:rsidRDefault="00D51910" w:rsidP="00580507">
            <w:pPr>
              <w:adjustRightInd w:val="0"/>
              <w:snapToGrid w:val="0"/>
              <w:spacing w:line="360" w:lineRule="auto"/>
              <w:jc w:val="both"/>
              <w:rPr>
                <w:rFonts w:ascii="Book Antiqua" w:hAnsi="Book Antiqua" w:cs="Times New Roman"/>
                <w:i/>
                <w:iCs/>
              </w:rPr>
            </w:pPr>
          </w:p>
        </w:tc>
      </w:tr>
    </w:tbl>
    <w:p w14:paraId="254D5A66" w14:textId="77777777" w:rsidR="00D51910" w:rsidRPr="00F91674" w:rsidRDefault="00D51910" w:rsidP="00D51910">
      <w:pPr>
        <w:adjustRightInd w:val="0"/>
        <w:snapToGrid w:val="0"/>
        <w:spacing w:line="360" w:lineRule="auto"/>
        <w:jc w:val="both"/>
        <w:rPr>
          <w:rFonts w:ascii="Book Antiqua" w:hAnsi="Book Antiqua"/>
        </w:rPr>
      </w:pPr>
      <w:r w:rsidRPr="00F91674">
        <w:rPr>
          <w:rFonts w:ascii="Book Antiqua" w:hAnsi="Book Antiqua"/>
        </w:rPr>
        <w:br w:type="page"/>
      </w:r>
    </w:p>
    <w:p w14:paraId="6E12704A" w14:textId="2391C550" w:rsidR="00264ED0" w:rsidRPr="00F91674" w:rsidRDefault="00264ED0" w:rsidP="00D51910">
      <w:pPr>
        <w:adjustRightInd w:val="0"/>
        <w:snapToGrid w:val="0"/>
        <w:spacing w:line="360" w:lineRule="auto"/>
        <w:jc w:val="both"/>
        <w:rPr>
          <w:rFonts w:ascii="Book Antiqua" w:hAnsi="Book Antiqua"/>
          <w:b/>
          <w:bCs/>
        </w:rPr>
      </w:pPr>
      <w:r w:rsidRPr="00F91674">
        <w:rPr>
          <w:rFonts w:ascii="Book Antiqua" w:hAnsi="Book Antiqua"/>
          <w:b/>
          <w:bCs/>
        </w:rPr>
        <w:lastRenderedPageBreak/>
        <w:t xml:space="preserve">Table 2 </w:t>
      </w:r>
      <w:r w:rsidRPr="00F91674">
        <w:rPr>
          <w:rFonts w:ascii="Book Antiqua" w:hAnsi="Book Antiqua"/>
          <w:b/>
          <w:bCs/>
          <w:i/>
          <w:iCs/>
        </w:rPr>
        <w:t xml:space="preserve">SOX </w:t>
      </w:r>
      <w:r w:rsidRPr="00F91674">
        <w:rPr>
          <w:rFonts w:ascii="Book Antiqua" w:eastAsia="Calibri" w:hAnsi="Book Antiqua"/>
          <w:b/>
          <w:bCs/>
        </w:rPr>
        <w:t>gene</w:t>
      </w:r>
      <w:r w:rsidRPr="00F91674">
        <w:rPr>
          <w:rFonts w:ascii="Book Antiqua" w:hAnsi="Book Antiqua"/>
          <w:b/>
          <w:bCs/>
        </w:rPr>
        <w:t xml:space="preserve"> activity in </w:t>
      </w:r>
      <w:r w:rsidRPr="00F91674">
        <w:rPr>
          <w:rFonts w:ascii="Book Antiqua" w:eastAsia="Book Antiqua" w:hAnsi="Book Antiqua" w:cs="Book Antiqua"/>
          <w:b/>
          <w:bCs/>
          <w:color w:val="000000"/>
        </w:rPr>
        <w:t>glioblastoma</w:t>
      </w:r>
      <w:r w:rsidRPr="00F91674">
        <w:rPr>
          <w:rFonts w:ascii="Book Antiqua" w:hAnsi="Book Antiqua"/>
          <w:b/>
          <w:bCs/>
        </w:rPr>
        <w:t xml:space="preserve"> and correlation with </w:t>
      </w:r>
      <w:r w:rsidRPr="00F91674">
        <w:rPr>
          <w:rFonts w:ascii="Book Antiqua" w:eastAsia="Calibri" w:hAnsi="Book Antiqua"/>
          <w:b/>
          <w:bCs/>
        </w:rPr>
        <w:t>the</w:t>
      </w:r>
      <w:r w:rsidRPr="00F91674">
        <w:rPr>
          <w:rFonts w:ascii="Book Antiqua" w:hAnsi="Book Antiqua"/>
          <w:b/>
          <w:bCs/>
        </w:rPr>
        <w:t xml:space="preserve"> clinical outcome of </w:t>
      </w:r>
      <w:r w:rsidRPr="00F91674">
        <w:rPr>
          <w:rFonts w:ascii="Book Antiqua" w:eastAsia="Book Antiqua" w:hAnsi="Book Antiqua" w:cs="Book Antiqua"/>
          <w:b/>
          <w:bCs/>
          <w:color w:val="000000"/>
        </w:rPr>
        <w:t>glioblastoma</w:t>
      </w:r>
      <w:r w:rsidRPr="00F91674">
        <w:rPr>
          <w:rFonts w:ascii="Book Antiqua" w:hAnsi="Book Antiqua"/>
          <w:b/>
          <w:bCs/>
        </w:rPr>
        <w:t xml:space="preserve"> patients</w:t>
      </w:r>
    </w:p>
    <w:tbl>
      <w:tblPr>
        <w:tblStyle w:val="TableGrid1"/>
        <w:tblW w:w="4444" w:type="pct"/>
        <w:tblBorders>
          <w:bottom w:val="single" w:sz="4" w:space="0" w:color="auto"/>
        </w:tblBorders>
        <w:tblLook w:val="04A0" w:firstRow="1" w:lastRow="0" w:firstColumn="1" w:lastColumn="0" w:noHBand="0" w:noVBand="1"/>
      </w:tblPr>
      <w:tblGrid>
        <w:gridCol w:w="1465"/>
        <w:gridCol w:w="950"/>
        <w:gridCol w:w="3581"/>
        <w:gridCol w:w="2515"/>
      </w:tblGrid>
      <w:tr w:rsidR="00DB69F5" w:rsidRPr="00F91674" w14:paraId="6E45D152" w14:textId="77777777" w:rsidTr="00DB69F5">
        <w:trPr>
          <w:cnfStyle w:val="100000000000" w:firstRow="1" w:lastRow="0" w:firstColumn="0" w:lastColumn="0" w:oddVBand="0" w:evenVBand="0" w:oddHBand="0" w:evenHBand="0" w:firstRowFirstColumn="0" w:firstRowLastColumn="0" w:lastRowFirstColumn="0" w:lastRowLastColumn="0"/>
        </w:trPr>
        <w:tc>
          <w:tcPr>
            <w:tcW w:w="980" w:type="pct"/>
            <w:tcBorders>
              <w:top w:val="single" w:sz="4" w:space="0" w:color="auto"/>
              <w:bottom w:val="single" w:sz="4" w:space="0" w:color="auto"/>
            </w:tcBorders>
          </w:tcPr>
          <w:p w14:paraId="64D49AF9" w14:textId="3162698C" w:rsidR="00DB69F5" w:rsidRPr="00F91674" w:rsidRDefault="00DB69F5" w:rsidP="00DB69F5">
            <w:pPr>
              <w:adjustRightInd w:val="0"/>
              <w:snapToGrid w:val="0"/>
              <w:spacing w:line="360" w:lineRule="auto"/>
              <w:jc w:val="both"/>
              <w:rPr>
                <w:rFonts w:ascii="Book Antiqua" w:eastAsia="Calibri" w:hAnsi="Book Antiqua"/>
                <w:b/>
                <w:bCs/>
              </w:rPr>
            </w:pPr>
            <w:r w:rsidRPr="00F91674">
              <w:rPr>
                <w:rFonts w:ascii="Book Antiqua" w:eastAsia="Calibri" w:hAnsi="Book Antiqua" w:cs="Times New Roman"/>
                <w:b/>
                <w:bCs/>
              </w:rPr>
              <w:t>Ref.</w:t>
            </w:r>
          </w:p>
        </w:tc>
        <w:tc>
          <w:tcPr>
            <w:tcW w:w="200" w:type="pct"/>
            <w:tcBorders>
              <w:top w:val="single" w:sz="4" w:space="0" w:color="auto"/>
              <w:bottom w:val="single" w:sz="4" w:space="0" w:color="auto"/>
            </w:tcBorders>
          </w:tcPr>
          <w:p w14:paraId="546AB6FA" w14:textId="416BEFA0" w:rsidR="00DB69F5" w:rsidRPr="00F91674" w:rsidRDefault="00DB69F5" w:rsidP="00DB69F5">
            <w:pPr>
              <w:adjustRightInd w:val="0"/>
              <w:snapToGrid w:val="0"/>
              <w:spacing w:line="360" w:lineRule="auto"/>
              <w:jc w:val="both"/>
              <w:rPr>
                <w:rFonts w:ascii="Book Antiqua" w:eastAsia="Calibri" w:hAnsi="Book Antiqua" w:cs="Times New Roman"/>
                <w:b/>
                <w:bCs/>
              </w:rPr>
            </w:pPr>
            <w:r w:rsidRPr="00F91674">
              <w:rPr>
                <w:rFonts w:ascii="Book Antiqua" w:eastAsia="Calibri" w:hAnsi="Book Antiqua" w:cs="Times New Roman"/>
                <w:b/>
                <w:bCs/>
              </w:rPr>
              <w:t>Gene</w:t>
            </w:r>
          </w:p>
        </w:tc>
        <w:tc>
          <w:tcPr>
            <w:tcW w:w="2223" w:type="pct"/>
            <w:tcBorders>
              <w:top w:val="single" w:sz="4" w:space="0" w:color="auto"/>
              <w:bottom w:val="single" w:sz="4" w:space="0" w:color="auto"/>
            </w:tcBorders>
          </w:tcPr>
          <w:p w14:paraId="1CFA6479" w14:textId="77777777" w:rsidR="00DB69F5" w:rsidRPr="00F91674" w:rsidRDefault="00DB69F5" w:rsidP="00DB69F5">
            <w:pPr>
              <w:adjustRightInd w:val="0"/>
              <w:snapToGrid w:val="0"/>
              <w:spacing w:line="360" w:lineRule="auto"/>
              <w:jc w:val="both"/>
              <w:rPr>
                <w:rFonts w:ascii="Book Antiqua" w:eastAsia="Calibri" w:hAnsi="Book Antiqua" w:cs="Times New Roman"/>
                <w:b/>
                <w:bCs/>
              </w:rPr>
            </w:pPr>
            <w:r w:rsidRPr="00F91674">
              <w:rPr>
                <w:rFonts w:ascii="Book Antiqua" w:eastAsia="Calibri" w:hAnsi="Book Antiqua" w:cs="Times New Roman"/>
                <w:b/>
                <w:bCs/>
              </w:rPr>
              <w:t>Activity</w:t>
            </w:r>
          </w:p>
        </w:tc>
        <w:tc>
          <w:tcPr>
            <w:tcW w:w="1597" w:type="pct"/>
            <w:tcBorders>
              <w:top w:val="single" w:sz="4" w:space="0" w:color="auto"/>
              <w:bottom w:val="single" w:sz="4" w:space="0" w:color="auto"/>
            </w:tcBorders>
          </w:tcPr>
          <w:p w14:paraId="4CED2CA7" w14:textId="77777777" w:rsidR="00DB69F5" w:rsidRPr="00F91674" w:rsidRDefault="00DB69F5" w:rsidP="00DB69F5">
            <w:pPr>
              <w:adjustRightInd w:val="0"/>
              <w:snapToGrid w:val="0"/>
              <w:spacing w:line="360" w:lineRule="auto"/>
              <w:jc w:val="both"/>
              <w:rPr>
                <w:rFonts w:ascii="Book Antiqua" w:eastAsia="Calibri" w:hAnsi="Book Antiqua" w:cs="Times New Roman"/>
                <w:b/>
                <w:bCs/>
              </w:rPr>
            </w:pPr>
            <w:r w:rsidRPr="00F91674">
              <w:rPr>
                <w:rFonts w:ascii="Book Antiqua" w:eastAsia="Calibri" w:hAnsi="Book Antiqua" w:cs="Times New Roman"/>
                <w:b/>
                <w:bCs/>
              </w:rPr>
              <w:t>Clinical outcome</w:t>
            </w:r>
          </w:p>
        </w:tc>
      </w:tr>
      <w:tr w:rsidR="00DB69F5" w:rsidRPr="00F91674" w14:paraId="769C3068" w14:textId="77777777" w:rsidTr="00DB69F5">
        <w:tc>
          <w:tcPr>
            <w:tcW w:w="980" w:type="pct"/>
            <w:tcBorders>
              <w:top w:val="single" w:sz="4" w:space="0" w:color="auto"/>
            </w:tcBorders>
          </w:tcPr>
          <w:p w14:paraId="7956D14C" w14:textId="2777DB48" w:rsidR="00DB69F5" w:rsidRPr="00F91674" w:rsidRDefault="00DB69F5" w:rsidP="00DB69F5">
            <w:pPr>
              <w:adjustRightInd w:val="0"/>
              <w:snapToGrid w:val="0"/>
              <w:spacing w:line="360" w:lineRule="auto"/>
              <w:jc w:val="both"/>
              <w:rPr>
                <w:rFonts w:ascii="Book Antiqua" w:eastAsia="Calibri" w:hAnsi="Book Antiqua"/>
                <w:bCs/>
              </w:rPr>
            </w:pPr>
            <w:r w:rsidRPr="00F91674">
              <w:rPr>
                <w:rFonts w:ascii="Book Antiqua" w:eastAsia="Calibri" w:hAnsi="Book Antiqua"/>
                <w:bCs/>
              </w:rPr>
              <w:fldChar w:fldCharType="begin">
                <w:fldData xml:space="preserve">PEVuZE5vdGU+PENpdGU+PEF1dGhvcj5HYXJjaWE8L0F1dGhvcj48WWVhcj4yMDE3PC9ZZWFyPjxS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</w:fldData>
              </w:fldChar>
            </w:r>
            <w:r w:rsidRPr="00F91674">
              <w:rPr>
                <w:rFonts w:ascii="Book Antiqua" w:eastAsia="Calibri" w:hAnsi="Book Antiqua" w:cs="Times New Roman"/>
                <w:bCs/>
              </w:rPr>
              <w:instrText xml:space="preserve"> ADDIN EN.CITE </w:instrText>
            </w:r>
            <w:r w:rsidRPr="00F91674">
              <w:rPr>
                <w:rFonts w:ascii="Book Antiqua" w:eastAsia="Calibri" w:hAnsi="Book Antiqua"/>
                <w:bCs/>
              </w:rPr>
              <w:fldChar w:fldCharType="begin">
                <w:fldData xml:space="preserve">PEVuZE5vdGU+PENpdGU+PEF1dGhvcj5HYXJjaWE8L0F1dGhvcj48WWVhcj4yMDE3PC9ZZWFyPjxS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</w:fldData>
              </w:fldChar>
            </w:r>
            <w:r w:rsidRPr="00F91674">
              <w:rPr>
                <w:rFonts w:ascii="Book Antiqua" w:eastAsia="Calibri" w:hAnsi="Book Antiqua" w:cs="Times New Roman"/>
                <w:bCs/>
              </w:rPr>
              <w:instrText xml:space="preserve"> ADDIN EN.CITE.DATA </w:instrText>
            </w:r>
            <w:r w:rsidRPr="00F91674">
              <w:rPr>
                <w:rFonts w:ascii="Book Antiqua" w:eastAsia="Calibri" w:hAnsi="Book Antiqua"/>
                <w:bCs/>
              </w:rPr>
            </w:r>
            <w:r w:rsidRPr="00F91674">
              <w:rPr>
                <w:rFonts w:ascii="Book Antiqua" w:eastAsia="Calibri" w:hAnsi="Book Antiqua"/>
                <w:bCs/>
              </w:rPr>
              <w:fldChar w:fldCharType="end"/>
            </w:r>
            <w:r w:rsidRPr="00F91674">
              <w:rPr>
                <w:rFonts w:ascii="Book Antiqua" w:eastAsia="Calibri" w:hAnsi="Book Antiqua"/>
                <w:bCs/>
              </w:rPr>
            </w:r>
            <w:r w:rsidRPr="00F91674">
              <w:rPr>
                <w:rFonts w:ascii="Book Antiqua" w:eastAsia="Calibri" w:hAnsi="Book Antiqua"/>
                <w:bCs/>
              </w:rPr>
              <w:fldChar w:fldCharType="separate"/>
            </w:r>
            <w:r w:rsidRPr="00F91674">
              <w:rPr>
                <w:rFonts w:ascii="Book Antiqua" w:eastAsia="Calibri" w:hAnsi="Book Antiqua" w:cs="Times New Roman"/>
                <w:bCs/>
                <w:noProof/>
              </w:rPr>
              <w:t>[</w:t>
            </w:r>
            <w:hyperlink w:anchor="_ENREF_94" w:tooltip="Garcia, 2017 #11" w:history="1">
              <w:r w:rsidRPr="00F91674">
                <w:rPr>
                  <w:rFonts w:ascii="Book Antiqua" w:eastAsia="Calibri" w:hAnsi="Book Antiqua" w:cs="Times New Roman"/>
                  <w:bCs/>
                  <w:noProof/>
                </w:rPr>
                <w:t>94</w:t>
              </w:r>
            </w:hyperlink>
            <w:r w:rsidRPr="00F91674">
              <w:rPr>
                <w:rFonts w:ascii="Book Antiqua" w:eastAsia="Calibri" w:hAnsi="Book Antiqua" w:cs="Times New Roman"/>
                <w:bCs/>
                <w:noProof/>
              </w:rPr>
              <w:t>]</w:t>
            </w:r>
            <w:r w:rsidRPr="00F91674">
              <w:rPr>
                <w:rFonts w:ascii="Book Antiqua" w:eastAsia="Calibri" w:hAnsi="Book Antiqua"/>
                <w:bCs/>
              </w:rPr>
              <w:fldChar w:fldCharType="end"/>
            </w:r>
          </w:p>
        </w:tc>
        <w:tc>
          <w:tcPr>
            <w:tcW w:w="200" w:type="pct"/>
            <w:tcBorders>
              <w:top w:val="single" w:sz="4" w:space="0" w:color="auto"/>
            </w:tcBorders>
          </w:tcPr>
          <w:p w14:paraId="077C3B7E" w14:textId="4B4A3818" w:rsidR="00DB69F5" w:rsidRPr="00F91674" w:rsidRDefault="00DB69F5" w:rsidP="00DB69F5">
            <w:pPr>
              <w:adjustRightInd w:val="0"/>
              <w:snapToGrid w:val="0"/>
              <w:spacing w:line="360" w:lineRule="auto"/>
              <w:jc w:val="both"/>
              <w:rPr>
                <w:rFonts w:ascii="Book Antiqua" w:eastAsia="Calibri" w:hAnsi="Book Antiqua" w:cs="Times New Roman"/>
                <w:bCs/>
                <w:i/>
                <w:iCs/>
              </w:rPr>
            </w:pPr>
            <w:r w:rsidRPr="00F91674">
              <w:rPr>
                <w:rFonts w:ascii="Book Antiqua" w:eastAsia="Calibri" w:hAnsi="Book Antiqua" w:cs="Times New Roman"/>
                <w:bCs/>
                <w:i/>
                <w:iCs/>
              </w:rPr>
              <w:t>SOX1</w:t>
            </w:r>
          </w:p>
        </w:tc>
        <w:tc>
          <w:tcPr>
            <w:tcW w:w="2223" w:type="pct"/>
            <w:tcBorders>
              <w:top w:val="single" w:sz="4" w:space="0" w:color="auto"/>
            </w:tcBorders>
          </w:tcPr>
          <w:p w14:paraId="4402F843" w14:textId="3DF876D1" w:rsidR="00DB69F5" w:rsidRPr="00F91674" w:rsidRDefault="00DB69F5" w:rsidP="00DB69F5">
            <w:pPr>
              <w:adjustRightInd w:val="0"/>
              <w:snapToGrid w:val="0"/>
              <w:spacing w:line="360" w:lineRule="auto"/>
              <w:jc w:val="both"/>
              <w:rPr>
                <w:rFonts w:ascii="Book Antiqua" w:eastAsia="Calibri" w:hAnsi="Book Antiqua" w:cs="Times New Roman"/>
                <w:bCs/>
              </w:rPr>
            </w:pPr>
            <w:r w:rsidRPr="00F91674">
              <w:rPr>
                <w:rFonts w:ascii="Book Antiqua" w:eastAsia="Calibri" w:hAnsi="Book Antiqua" w:cs="Times New Roman"/>
                <w:bCs/>
                <w:color w:val="000000"/>
              </w:rPr>
              <w:t>Oncogenic</w:t>
            </w:r>
          </w:p>
        </w:tc>
        <w:tc>
          <w:tcPr>
            <w:tcW w:w="1597" w:type="pct"/>
            <w:tcBorders>
              <w:top w:val="single" w:sz="4" w:space="0" w:color="auto"/>
            </w:tcBorders>
          </w:tcPr>
          <w:p w14:paraId="40FAF19D" w14:textId="692152C1" w:rsidR="00DB69F5" w:rsidRPr="00F91674" w:rsidRDefault="00DB69F5" w:rsidP="00DB69F5">
            <w:pPr>
              <w:adjustRightInd w:val="0"/>
              <w:snapToGrid w:val="0"/>
              <w:spacing w:line="360" w:lineRule="auto"/>
              <w:jc w:val="both"/>
              <w:rPr>
                <w:rFonts w:ascii="Book Antiqua" w:eastAsia="Calibri" w:hAnsi="Book Antiqua" w:cs="Times New Roman"/>
                <w:bCs/>
              </w:rPr>
            </w:pPr>
            <w:r w:rsidRPr="00F91674">
              <w:rPr>
                <w:rFonts w:ascii="Book Antiqua" w:eastAsia="Calibri" w:hAnsi="Book Antiqua"/>
                <w:bCs/>
                <w:color w:val="000000"/>
              </w:rPr>
              <w:t>Poor</w:t>
            </w:r>
          </w:p>
        </w:tc>
      </w:tr>
      <w:tr w:rsidR="00DB69F5" w:rsidRPr="00F91674" w14:paraId="4308E0F7" w14:textId="77777777" w:rsidTr="00DB69F5">
        <w:tc>
          <w:tcPr>
            <w:tcW w:w="980" w:type="pct"/>
          </w:tcPr>
          <w:p w14:paraId="5EF7644F" w14:textId="3C240E35" w:rsidR="00DB69F5" w:rsidRPr="00F91674" w:rsidRDefault="00DB69F5" w:rsidP="00DB69F5">
            <w:pPr>
              <w:adjustRightInd w:val="0"/>
              <w:snapToGrid w:val="0"/>
              <w:spacing w:line="360" w:lineRule="auto"/>
              <w:jc w:val="both"/>
              <w:rPr>
                <w:rFonts w:ascii="Book Antiqua" w:eastAsia="Calibri" w:hAnsi="Book Antiqua"/>
                <w:bCs/>
              </w:rPr>
            </w:pPr>
            <w:r w:rsidRPr="00F91674">
              <w:rPr>
                <w:rFonts w:ascii="Book Antiqua" w:eastAsia="Calibri" w:hAnsi="Book Antiqua"/>
                <w:bCs/>
                <w:color w:val="000000" w:themeColor="text1"/>
              </w:rPr>
              <w:fldChar w:fldCharType="begin">
                <w:fldData xml:space="preserve">PEVuZE5vdGU+PENpdGU+PEF1dGhvcj5CZW4tUG9yYXRoPC9BdXRob3I+PFllYXI+MjAwODwvWWVh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</w:fldData>
              </w:fldChar>
            </w:r>
            <w:r w:rsidRPr="00F91674">
              <w:rPr>
                <w:rFonts w:ascii="Book Antiqua" w:eastAsia="Calibri" w:hAnsi="Book Antiqua" w:cs="Times New Roman"/>
                <w:bCs/>
                <w:color w:val="000000" w:themeColor="text1"/>
              </w:rPr>
              <w:instrText xml:space="preserve"> ADDIN EN.CITE </w:instrText>
            </w:r>
            <w:r w:rsidRPr="00F91674">
              <w:rPr>
                <w:rFonts w:ascii="Book Antiqua" w:eastAsia="Calibri" w:hAnsi="Book Antiqua"/>
                <w:bCs/>
                <w:color w:val="000000" w:themeColor="text1"/>
              </w:rPr>
              <w:fldChar w:fldCharType="begin">
                <w:fldData xml:space="preserve">PEVuZE5vdGU+PENpdGU+PEF1dGhvcj5CZW4tUG9yYXRoPC9BdXRob3I+PFllYXI+MjAwODwvWWVh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</w:fldData>
              </w:fldChar>
            </w:r>
            <w:r w:rsidRPr="00F91674">
              <w:rPr>
                <w:rFonts w:ascii="Book Antiqua" w:eastAsia="Calibri" w:hAnsi="Book Antiqua" w:cs="Times New Roman"/>
                <w:bCs/>
                <w:color w:val="000000" w:themeColor="text1"/>
              </w:rPr>
              <w:instrText xml:space="preserve"> ADDIN EN.CITE.DATA </w:instrText>
            </w:r>
            <w:r w:rsidRPr="00F91674">
              <w:rPr>
                <w:rFonts w:ascii="Book Antiqua" w:eastAsia="Calibri" w:hAnsi="Book Antiqua"/>
                <w:bCs/>
                <w:color w:val="000000" w:themeColor="text1"/>
              </w:rPr>
            </w:r>
            <w:r w:rsidRPr="00F91674">
              <w:rPr>
                <w:rFonts w:ascii="Book Antiqua" w:eastAsia="Calibri" w:hAnsi="Book Antiqua"/>
                <w:bCs/>
                <w:color w:val="000000" w:themeColor="text1"/>
              </w:rPr>
              <w:fldChar w:fldCharType="end"/>
            </w:r>
            <w:r w:rsidRPr="00F91674">
              <w:rPr>
                <w:rFonts w:ascii="Book Antiqua" w:eastAsia="Calibri" w:hAnsi="Book Antiqua"/>
                <w:bCs/>
                <w:color w:val="000000" w:themeColor="text1"/>
              </w:rPr>
            </w:r>
            <w:r w:rsidRPr="00F91674">
              <w:rPr>
                <w:rFonts w:ascii="Book Antiqua" w:eastAsia="Calibri" w:hAnsi="Book Antiqua"/>
                <w:bCs/>
                <w:color w:val="000000" w:themeColor="text1"/>
              </w:rPr>
              <w:fldChar w:fldCharType="separate"/>
            </w:r>
            <w:r w:rsidRPr="00F91674">
              <w:rPr>
                <w:rFonts w:ascii="Book Antiqua" w:eastAsia="Calibri" w:hAnsi="Book Antiqua" w:cs="Times New Roman"/>
                <w:bCs/>
                <w:noProof/>
                <w:color w:val="000000" w:themeColor="text1"/>
              </w:rPr>
              <w:t>[</w:t>
            </w:r>
            <w:hyperlink w:anchor="_ENREF_98" w:tooltip="Alonso, 2011 #125" w:history="1">
              <w:r w:rsidRPr="00F91674">
                <w:rPr>
                  <w:rFonts w:ascii="Book Antiqua" w:eastAsia="Calibri" w:hAnsi="Book Antiqua" w:cs="Times New Roman"/>
                  <w:bCs/>
                  <w:noProof/>
                  <w:color w:val="000000" w:themeColor="text1"/>
                </w:rPr>
                <w:t>98-101</w:t>
              </w:r>
            </w:hyperlink>
            <w:r w:rsidRPr="00F91674">
              <w:rPr>
                <w:rFonts w:ascii="Book Antiqua" w:eastAsia="Calibri" w:hAnsi="Book Antiqua" w:cs="Times New Roman"/>
                <w:bCs/>
                <w:noProof/>
                <w:color w:val="000000" w:themeColor="text1"/>
              </w:rPr>
              <w:t>]</w:t>
            </w:r>
            <w:r w:rsidRPr="00F91674">
              <w:rPr>
                <w:rFonts w:ascii="Book Antiqua" w:eastAsia="Calibri" w:hAnsi="Book Antiqua"/>
                <w:bCs/>
                <w:color w:val="000000" w:themeColor="text1"/>
              </w:rPr>
              <w:fldChar w:fldCharType="end"/>
            </w:r>
          </w:p>
        </w:tc>
        <w:tc>
          <w:tcPr>
            <w:tcW w:w="200" w:type="pct"/>
          </w:tcPr>
          <w:p w14:paraId="60F9EBE8" w14:textId="12A855FC" w:rsidR="00DB69F5" w:rsidRPr="00F91674" w:rsidRDefault="00DB69F5" w:rsidP="00DB69F5">
            <w:pPr>
              <w:adjustRightInd w:val="0"/>
              <w:snapToGrid w:val="0"/>
              <w:spacing w:line="360" w:lineRule="auto"/>
              <w:jc w:val="both"/>
              <w:rPr>
                <w:rFonts w:ascii="Book Antiqua" w:eastAsia="Calibri" w:hAnsi="Book Antiqua" w:cs="Times New Roman"/>
                <w:bCs/>
                <w:i/>
                <w:iCs/>
              </w:rPr>
            </w:pPr>
            <w:r w:rsidRPr="00F91674">
              <w:rPr>
                <w:rFonts w:ascii="Book Antiqua" w:eastAsia="Calibri" w:hAnsi="Book Antiqua" w:cs="Times New Roman"/>
                <w:bCs/>
                <w:i/>
                <w:iCs/>
              </w:rPr>
              <w:t>SOX2</w:t>
            </w:r>
          </w:p>
        </w:tc>
        <w:tc>
          <w:tcPr>
            <w:tcW w:w="2223" w:type="pct"/>
          </w:tcPr>
          <w:p w14:paraId="6EDC134C" w14:textId="28072A2E" w:rsidR="00DB69F5" w:rsidRPr="00F91674" w:rsidRDefault="00DB69F5" w:rsidP="00DB69F5">
            <w:pPr>
              <w:adjustRightInd w:val="0"/>
              <w:snapToGrid w:val="0"/>
              <w:spacing w:line="360" w:lineRule="auto"/>
              <w:jc w:val="both"/>
              <w:rPr>
                <w:rFonts w:ascii="Book Antiqua" w:eastAsia="Calibri" w:hAnsi="Book Antiqua" w:cs="Times New Roman"/>
                <w:bCs/>
              </w:rPr>
            </w:pPr>
            <w:r w:rsidRPr="00F91674">
              <w:rPr>
                <w:rFonts w:ascii="Book Antiqua" w:eastAsia="Calibri" w:hAnsi="Book Antiqua" w:cs="Times New Roman"/>
                <w:bCs/>
              </w:rPr>
              <w:t>Oncogenic</w:t>
            </w:r>
          </w:p>
        </w:tc>
        <w:tc>
          <w:tcPr>
            <w:tcW w:w="1597" w:type="pct"/>
          </w:tcPr>
          <w:p w14:paraId="0BDD39A8" w14:textId="3E70968C" w:rsidR="00DB69F5" w:rsidRPr="00F91674" w:rsidRDefault="00DB69F5" w:rsidP="00DB69F5">
            <w:pPr>
              <w:adjustRightInd w:val="0"/>
              <w:snapToGrid w:val="0"/>
              <w:spacing w:line="360" w:lineRule="auto"/>
              <w:jc w:val="both"/>
              <w:rPr>
                <w:rFonts w:ascii="Book Antiqua" w:eastAsia="Calibri" w:hAnsi="Book Antiqua" w:cs="Times New Roman"/>
                <w:bCs/>
                <w:sz w:val="22"/>
                <w:szCs w:val="22"/>
              </w:rPr>
            </w:pPr>
            <w:r w:rsidRPr="00F91674">
              <w:rPr>
                <w:rFonts w:ascii="Book Antiqua" w:eastAsia="Calibri" w:hAnsi="Book Antiqua"/>
                <w:bCs/>
              </w:rPr>
              <w:t>Poor</w:t>
            </w:r>
          </w:p>
        </w:tc>
      </w:tr>
      <w:tr w:rsidR="00DB69F5" w:rsidRPr="00F91674" w14:paraId="26515163" w14:textId="77777777" w:rsidTr="00DB69F5">
        <w:tc>
          <w:tcPr>
            <w:tcW w:w="980" w:type="pct"/>
          </w:tcPr>
          <w:p w14:paraId="719AEDA7" w14:textId="3F731605" w:rsidR="00DB69F5" w:rsidRPr="00F91674" w:rsidRDefault="00E521E9" w:rsidP="00DB69F5">
            <w:pPr>
              <w:adjustRightInd w:val="0"/>
              <w:snapToGrid w:val="0"/>
              <w:spacing w:line="360" w:lineRule="auto"/>
              <w:jc w:val="both"/>
              <w:rPr>
                <w:rFonts w:ascii="Book Antiqua" w:eastAsia="Calibri" w:hAnsi="Book Antiqua"/>
                <w:bCs/>
              </w:rPr>
            </w:pPr>
            <w:r w:rsidRPr="00F91674">
              <w:rPr>
                <w:rFonts w:ascii="Book Antiqua" w:eastAsia="Calibri" w:hAnsi="Book Antiqua"/>
                <w:bCs/>
              </w:rPr>
              <w:t>[104, 105]</w:t>
            </w:r>
          </w:p>
        </w:tc>
        <w:tc>
          <w:tcPr>
            <w:tcW w:w="200" w:type="pct"/>
          </w:tcPr>
          <w:p w14:paraId="46AB4703" w14:textId="53D01AA4" w:rsidR="00DB69F5" w:rsidRPr="00F91674" w:rsidRDefault="00DB69F5" w:rsidP="00DB69F5">
            <w:pPr>
              <w:adjustRightInd w:val="0"/>
              <w:snapToGrid w:val="0"/>
              <w:spacing w:line="360" w:lineRule="auto"/>
              <w:jc w:val="both"/>
              <w:rPr>
                <w:rFonts w:ascii="Book Antiqua" w:eastAsia="Calibri" w:hAnsi="Book Antiqua" w:cs="Times New Roman"/>
                <w:bCs/>
                <w:i/>
                <w:iCs/>
              </w:rPr>
            </w:pPr>
            <w:r w:rsidRPr="00F91674">
              <w:rPr>
                <w:rFonts w:ascii="Book Antiqua" w:eastAsia="Calibri" w:hAnsi="Book Antiqua" w:cs="Times New Roman"/>
                <w:bCs/>
                <w:i/>
                <w:iCs/>
              </w:rPr>
              <w:t>SOX3</w:t>
            </w:r>
          </w:p>
        </w:tc>
        <w:tc>
          <w:tcPr>
            <w:tcW w:w="2223" w:type="pct"/>
          </w:tcPr>
          <w:p w14:paraId="33D00B6B" w14:textId="6C4F3C76" w:rsidR="00DB69F5" w:rsidRPr="00F91674" w:rsidRDefault="00DB69F5" w:rsidP="00DB69F5">
            <w:pPr>
              <w:adjustRightInd w:val="0"/>
              <w:snapToGrid w:val="0"/>
              <w:spacing w:line="360" w:lineRule="auto"/>
              <w:jc w:val="both"/>
              <w:rPr>
                <w:rFonts w:ascii="Book Antiqua" w:eastAsia="Calibri" w:hAnsi="Book Antiqua" w:cs="Times New Roman"/>
                <w:bCs/>
              </w:rPr>
            </w:pPr>
            <w:r w:rsidRPr="00F91674">
              <w:rPr>
                <w:rFonts w:ascii="Book Antiqua" w:eastAsia="Calibri" w:hAnsi="Book Antiqua" w:cs="Times New Roman"/>
                <w:bCs/>
                <w:color w:val="000000"/>
              </w:rPr>
              <w:t>Possible oncogenic</w:t>
            </w:r>
          </w:p>
        </w:tc>
        <w:tc>
          <w:tcPr>
            <w:tcW w:w="1597" w:type="pct"/>
          </w:tcPr>
          <w:p w14:paraId="4F52CCBB" w14:textId="372E3D36" w:rsidR="00DB69F5" w:rsidRPr="00F91674" w:rsidRDefault="00DB69F5" w:rsidP="00DB69F5">
            <w:pPr>
              <w:adjustRightInd w:val="0"/>
              <w:snapToGrid w:val="0"/>
              <w:spacing w:line="360" w:lineRule="auto"/>
              <w:jc w:val="both"/>
              <w:rPr>
                <w:rFonts w:ascii="Book Antiqua" w:eastAsia="Calibri" w:hAnsi="Book Antiqua" w:cs="Times New Roman"/>
                <w:bCs/>
              </w:rPr>
            </w:pPr>
            <w:r w:rsidRPr="00F91674">
              <w:rPr>
                <w:rFonts w:ascii="Book Antiqua" w:eastAsia="Calibri" w:hAnsi="Book Antiqua" w:cs="Times New Roman"/>
                <w:bCs/>
                <w:color w:val="000000"/>
              </w:rPr>
              <w:t>No correlation /</w:t>
            </w:r>
            <w:r w:rsidRPr="00F91674">
              <w:rPr>
                <w:rFonts w:ascii="Book Antiqua" w:eastAsia="Calibri" w:hAnsi="Book Antiqua"/>
                <w:bCs/>
                <w:color w:val="000000"/>
              </w:rPr>
              <w:t>poor</w:t>
            </w:r>
          </w:p>
        </w:tc>
      </w:tr>
      <w:tr w:rsidR="00DB69F5" w:rsidRPr="00F91674" w14:paraId="573EB8DE" w14:textId="77777777" w:rsidTr="00DB69F5">
        <w:tc>
          <w:tcPr>
            <w:tcW w:w="980" w:type="pct"/>
          </w:tcPr>
          <w:p w14:paraId="7F778E1C" w14:textId="4E1AC1C6" w:rsidR="00DB69F5" w:rsidRPr="00F91674" w:rsidRDefault="00DB69F5" w:rsidP="00DB69F5">
            <w:pPr>
              <w:adjustRightInd w:val="0"/>
              <w:snapToGrid w:val="0"/>
              <w:spacing w:line="360" w:lineRule="auto"/>
              <w:jc w:val="both"/>
              <w:rPr>
                <w:rFonts w:ascii="Book Antiqua" w:eastAsia="Calibri" w:hAnsi="Book Antiqua"/>
                <w:bCs/>
              </w:rPr>
            </w:pPr>
            <w:r w:rsidRPr="00F91674">
              <w:rPr>
                <w:rFonts w:ascii="Book Antiqua" w:eastAsia="Calibri" w:hAnsi="Book Antiqua"/>
                <w:bCs/>
              </w:rPr>
              <w:fldChar w:fldCharType="begin">
                <w:fldData xml:space="preserve">PEVuZE5vdGU+PENpdGU+PEF1dGhvcj5HYWxhdHJvPC9BdXRob3I+PFllYXI+MjAxMzwvWWVhcj48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</w:fldData>
              </w:fldChar>
            </w:r>
            <w:r w:rsidRPr="00F91674">
              <w:rPr>
                <w:rFonts w:ascii="Book Antiqua" w:eastAsia="Calibri" w:hAnsi="Book Antiqua" w:cs="Times New Roman"/>
                <w:bCs/>
              </w:rPr>
              <w:instrText xml:space="preserve"> ADDIN EN.CITE </w:instrText>
            </w:r>
            <w:r w:rsidRPr="00F91674">
              <w:rPr>
                <w:rFonts w:ascii="Book Antiqua" w:eastAsia="Calibri" w:hAnsi="Book Antiqua"/>
                <w:bCs/>
              </w:rPr>
              <w:fldChar w:fldCharType="begin">
                <w:fldData xml:space="preserve">PEVuZE5vdGU+PENpdGU+PEF1dGhvcj5HYWxhdHJvPC9BdXRob3I+PFllYXI+MjAxMzwvWWVhcj48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</w:fldData>
              </w:fldChar>
            </w:r>
            <w:r w:rsidRPr="00F91674">
              <w:rPr>
                <w:rFonts w:ascii="Book Antiqua" w:eastAsia="Calibri" w:hAnsi="Book Antiqua" w:cs="Times New Roman"/>
                <w:bCs/>
              </w:rPr>
              <w:instrText xml:space="preserve"> ADDIN EN.CITE.DATA </w:instrText>
            </w:r>
            <w:r w:rsidRPr="00F91674">
              <w:rPr>
                <w:rFonts w:ascii="Book Antiqua" w:eastAsia="Calibri" w:hAnsi="Book Antiqua"/>
                <w:bCs/>
              </w:rPr>
            </w:r>
            <w:r w:rsidRPr="00F91674">
              <w:rPr>
                <w:rFonts w:ascii="Book Antiqua" w:eastAsia="Calibri" w:hAnsi="Book Antiqua"/>
                <w:bCs/>
              </w:rPr>
              <w:fldChar w:fldCharType="end"/>
            </w:r>
            <w:r w:rsidRPr="00F91674">
              <w:rPr>
                <w:rFonts w:ascii="Book Antiqua" w:eastAsia="Calibri" w:hAnsi="Book Antiqua"/>
                <w:bCs/>
              </w:rPr>
            </w:r>
            <w:r w:rsidRPr="00F91674">
              <w:rPr>
                <w:rFonts w:ascii="Book Antiqua" w:eastAsia="Calibri" w:hAnsi="Book Antiqua"/>
                <w:bCs/>
              </w:rPr>
              <w:fldChar w:fldCharType="separate"/>
            </w:r>
            <w:r w:rsidRPr="00F91674">
              <w:rPr>
                <w:rFonts w:ascii="Book Antiqua" w:eastAsia="Calibri" w:hAnsi="Book Antiqua" w:cs="Times New Roman"/>
                <w:bCs/>
                <w:noProof/>
              </w:rPr>
              <w:t>[</w:t>
            </w:r>
            <w:hyperlink w:anchor="_ENREF_129" w:tooltip="Zhang, 2014 #34" w:history="1">
              <w:r w:rsidRPr="00F91674">
                <w:rPr>
                  <w:rFonts w:ascii="Book Antiqua" w:eastAsia="Calibri" w:hAnsi="Book Antiqua" w:cs="Times New Roman"/>
                  <w:bCs/>
                  <w:noProof/>
                </w:rPr>
                <w:t>129-131</w:t>
              </w:r>
            </w:hyperlink>
            <w:r w:rsidRPr="00F91674">
              <w:rPr>
                <w:rFonts w:ascii="Book Antiqua" w:eastAsia="Calibri" w:hAnsi="Book Antiqua" w:cs="Times New Roman"/>
                <w:bCs/>
                <w:noProof/>
              </w:rPr>
              <w:t>]</w:t>
            </w:r>
            <w:r w:rsidRPr="00F91674">
              <w:rPr>
                <w:rFonts w:ascii="Book Antiqua" w:eastAsia="Calibri" w:hAnsi="Book Antiqua"/>
                <w:bCs/>
              </w:rPr>
              <w:fldChar w:fldCharType="end"/>
            </w:r>
          </w:p>
        </w:tc>
        <w:tc>
          <w:tcPr>
            <w:tcW w:w="200" w:type="pct"/>
          </w:tcPr>
          <w:p w14:paraId="18AC1B62" w14:textId="5F9C04F8" w:rsidR="00DB69F5" w:rsidRPr="00F91674" w:rsidRDefault="00DB69F5" w:rsidP="00DB69F5">
            <w:pPr>
              <w:adjustRightInd w:val="0"/>
              <w:snapToGrid w:val="0"/>
              <w:spacing w:line="360" w:lineRule="auto"/>
              <w:jc w:val="both"/>
              <w:rPr>
                <w:rFonts w:ascii="Book Antiqua" w:eastAsia="Calibri" w:hAnsi="Book Antiqua" w:cs="Times New Roman"/>
                <w:bCs/>
                <w:i/>
                <w:iCs/>
              </w:rPr>
            </w:pPr>
            <w:r w:rsidRPr="00F91674">
              <w:rPr>
                <w:rFonts w:ascii="Book Antiqua" w:eastAsia="Calibri" w:hAnsi="Book Antiqua" w:cs="Times New Roman"/>
                <w:bCs/>
                <w:i/>
                <w:iCs/>
              </w:rPr>
              <w:t>SOX4</w:t>
            </w:r>
          </w:p>
        </w:tc>
        <w:tc>
          <w:tcPr>
            <w:tcW w:w="2223" w:type="pct"/>
          </w:tcPr>
          <w:p w14:paraId="1DA33EF8" w14:textId="03EF17C1" w:rsidR="00DB69F5" w:rsidRPr="00F91674" w:rsidRDefault="00DB69F5" w:rsidP="00DB69F5">
            <w:pPr>
              <w:adjustRightInd w:val="0"/>
              <w:snapToGrid w:val="0"/>
              <w:spacing w:line="360" w:lineRule="auto"/>
              <w:jc w:val="both"/>
              <w:rPr>
                <w:rFonts w:ascii="Book Antiqua" w:eastAsia="Calibri" w:hAnsi="Book Antiqua" w:cs="Times New Roman"/>
                <w:bCs/>
              </w:rPr>
            </w:pPr>
            <w:r w:rsidRPr="00F91674">
              <w:rPr>
                <w:rFonts w:ascii="Book Antiqua" w:eastAsia="Calibri" w:hAnsi="Book Antiqua" w:cs="Times New Roman"/>
                <w:bCs/>
                <w:color w:val="000000"/>
              </w:rPr>
              <w:t>Oncogenic in glioma-</w:t>
            </w:r>
            <w:r w:rsidRPr="00F91674">
              <w:rPr>
                <w:rFonts w:ascii="Book Antiqua" w:eastAsia="Calibri" w:hAnsi="Book Antiqua" w:cs="Times New Roman"/>
                <w:bCs/>
              </w:rPr>
              <w:t xml:space="preserve">initiating cells; </w:t>
            </w:r>
            <w:r w:rsidRPr="00F91674">
              <w:rPr>
                <w:rFonts w:ascii="Book Antiqua" w:eastAsia="Calibri" w:hAnsi="Book Antiqua" w:cs="Times New Roman"/>
                <w:bCs/>
                <w:color w:val="000000"/>
              </w:rPr>
              <w:t>tumor suppressor in GBM</w:t>
            </w:r>
          </w:p>
        </w:tc>
        <w:tc>
          <w:tcPr>
            <w:tcW w:w="1597" w:type="pct"/>
          </w:tcPr>
          <w:p w14:paraId="1AB364B2" w14:textId="1073EEDB" w:rsidR="00DB69F5" w:rsidRPr="00F91674" w:rsidRDefault="00DB69F5" w:rsidP="00DB69F5">
            <w:pPr>
              <w:adjustRightInd w:val="0"/>
              <w:snapToGrid w:val="0"/>
              <w:spacing w:line="360" w:lineRule="auto"/>
              <w:jc w:val="both"/>
              <w:rPr>
                <w:rFonts w:ascii="Book Antiqua" w:eastAsia="Calibri" w:hAnsi="Book Antiqua" w:cs="Times New Roman"/>
                <w:bCs/>
                <w:sz w:val="22"/>
                <w:szCs w:val="22"/>
              </w:rPr>
            </w:pPr>
            <w:r w:rsidRPr="00F91674">
              <w:rPr>
                <w:rFonts w:ascii="Book Antiqua" w:eastAsia="Calibri" w:hAnsi="Book Antiqua"/>
                <w:bCs/>
              </w:rPr>
              <w:t>Poor/good</w:t>
            </w:r>
          </w:p>
        </w:tc>
      </w:tr>
      <w:tr w:rsidR="00DB69F5" w:rsidRPr="00F91674" w14:paraId="774C883A" w14:textId="77777777" w:rsidTr="00DB69F5">
        <w:tc>
          <w:tcPr>
            <w:tcW w:w="980" w:type="pct"/>
          </w:tcPr>
          <w:p w14:paraId="45E89A50" w14:textId="0A91C6A6" w:rsidR="00DB69F5" w:rsidRPr="00F91674" w:rsidRDefault="00E521E9" w:rsidP="00DB69F5">
            <w:pPr>
              <w:adjustRightInd w:val="0"/>
              <w:snapToGrid w:val="0"/>
              <w:spacing w:line="360" w:lineRule="auto"/>
              <w:jc w:val="both"/>
              <w:rPr>
                <w:rFonts w:ascii="Book Antiqua" w:eastAsia="Calibri" w:hAnsi="Book Antiqua"/>
                <w:bCs/>
              </w:rPr>
            </w:pPr>
            <w:r w:rsidRPr="00F91674">
              <w:rPr>
                <w:rFonts w:ascii="Book Antiqua" w:eastAsia="Calibri" w:hAnsi="Book Antiqua"/>
                <w:bCs/>
              </w:rPr>
              <w:t>[115, 125]</w:t>
            </w:r>
          </w:p>
        </w:tc>
        <w:tc>
          <w:tcPr>
            <w:tcW w:w="200" w:type="pct"/>
          </w:tcPr>
          <w:p w14:paraId="1C46F07F" w14:textId="2893B738" w:rsidR="00DB69F5" w:rsidRPr="00F91674" w:rsidRDefault="00DB69F5" w:rsidP="00DB69F5">
            <w:pPr>
              <w:adjustRightInd w:val="0"/>
              <w:snapToGrid w:val="0"/>
              <w:spacing w:line="360" w:lineRule="auto"/>
              <w:jc w:val="both"/>
              <w:rPr>
                <w:rFonts w:ascii="Book Antiqua" w:eastAsia="Calibri" w:hAnsi="Book Antiqua" w:cs="Times New Roman"/>
                <w:bCs/>
                <w:i/>
                <w:iCs/>
              </w:rPr>
            </w:pPr>
            <w:r w:rsidRPr="00F91674">
              <w:rPr>
                <w:rFonts w:ascii="Book Antiqua" w:eastAsia="Calibri" w:hAnsi="Book Antiqua" w:cs="Times New Roman"/>
                <w:bCs/>
                <w:i/>
                <w:iCs/>
              </w:rPr>
              <w:t>SOX5</w:t>
            </w:r>
          </w:p>
        </w:tc>
        <w:tc>
          <w:tcPr>
            <w:tcW w:w="2223" w:type="pct"/>
          </w:tcPr>
          <w:p w14:paraId="6884F56D" w14:textId="4CF3165A" w:rsidR="00DB69F5" w:rsidRPr="00F91674" w:rsidRDefault="00DB69F5" w:rsidP="00DB69F5">
            <w:pPr>
              <w:adjustRightInd w:val="0"/>
              <w:snapToGrid w:val="0"/>
              <w:spacing w:line="360" w:lineRule="auto"/>
              <w:jc w:val="both"/>
              <w:rPr>
                <w:rFonts w:ascii="Book Antiqua" w:eastAsia="Calibri" w:hAnsi="Book Antiqua" w:cs="Times New Roman"/>
                <w:bCs/>
              </w:rPr>
            </w:pPr>
            <w:r w:rsidRPr="00F91674">
              <w:rPr>
                <w:rFonts w:ascii="Book Antiqua" w:eastAsia="Calibri" w:hAnsi="Book Antiqua" w:cs="Times New Roman"/>
                <w:bCs/>
                <w:color w:val="000000"/>
              </w:rPr>
              <w:t>Tumor suppressor</w:t>
            </w:r>
          </w:p>
        </w:tc>
        <w:tc>
          <w:tcPr>
            <w:tcW w:w="1597" w:type="pct"/>
          </w:tcPr>
          <w:p w14:paraId="4FC846C4" w14:textId="4FC0DD90" w:rsidR="00DB69F5" w:rsidRPr="00F91674" w:rsidRDefault="00DB69F5" w:rsidP="00DB69F5">
            <w:pPr>
              <w:adjustRightInd w:val="0"/>
              <w:snapToGrid w:val="0"/>
              <w:spacing w:line="360" w:lineRule="auto"/>
              <w:jc w:val="both"/>
              <w:rPr>
                <w:rFonts w:ascii="Book Antiqua" w:eastAsia="Calibri" w:hAnsi="Book Antiqua" w:cs="Times New Roman"/>
                <w:bCs/>
                <w:sz w:val="22"/>
                <w:szCs w:val="22"/>
              </w:rPr>
            </w:pPr>
            <w:r w:rsidRPr="00F91674">
              <w:rPr>
                <w:rFonts w:ascii="Book Antiqua" w:eastAsia="Calibri" w:hAnsi="Book Antiqua"/>
                <w:bCs/>
              </w:rPr>
              <w:t>Poor</w:t>
            </w:r>
          </w:p>
        </w:tc>
      </w:tr>
      <w:tr w:rsidR="00DB69F5" w:rsidRPr="00F91674" w14:paraId="3B26A216" w14:textId="77777777" w:rsidTr="00DB69F5">
        <w:tc>
          <w:tcPr>
            <w:tcW w:w="980" w:type="pct"/>
          </w:tcPr>
          <w:p w14:paraId="26043AD3" w14:textId="633B7FC9" w:rsidR="00DB69F5" w:rsidRPr="00F91674" w:rsidRDefault="00E521E9" w:rsidP="00DB69F5">
            <w:pPr>
              <w:adjustRightInd w:val="0"/>
              <w:snapToGrid w:val="0"/>
              <w:spacing w:line="360" w:lineRule="auto"/>
              <w:jc w:val="both"/>
              <w:rPr>
                <w:rFonts w:ascii="Book Antiqua" w:eastAsia="Calibri" w:hAnsi="Book Antiqua"/>
                <w:bCs/>
              </w:rPr>
            </w:pPr>
            <w:r w:rsidRPr="00F91674">
              <w:rPr>
                <w:rFonts w:ascii="Book Antiqua" w:eastAsia="Calibri" w:hAnsi="Book Antiqua"/>
                <w:bCs/>
              </w:rPr>
              <w:t>[116, 125]</w:t>
            </w:r>
          </w:p>
        </w:tc>
        <w:tc>
          <w:tcPr>
            <w:tcW w:w="200" w:type="pct"/>
          </w:tcPr>
          <w:p w14:paraId="4E130A36" w14:textId="0774C708" w:rsidR="00DB69F5" w:rsidRPr="00F91674" w:rsidRDefault="00DB69F5" w:rsidP="00DB69F5">
            <w:pPr>
              <w:adjustRightInd w:val="0"/>
              <w:snapToGrid w:val="0"/>
              <w:spacing w:line="360" w:lineRule="auto"/>
              <w:jc w:val="both"/>
              <w:rPr>
                <w:rFonts w:ascii="Book Antiqua" w:eastAsia="Calibri" w:hAnsi="Book Antiqua" w:cs="Times New Roman"/>
                <w:bCs/>
                <w:i/>
                <w:iCs/>
              </w:rPr>
            </w:pPr>
            <w:r w:rsidRPr="00F91674">
              <w:rPr>
                <w:rFonts w:ascii="Book Antiqua" w:eastAsia="Calibri" w:hAnsi="Book Antiqua" w:cs="Times New Roman"/>
                <w:bCs/>
                <w:i/>
                <w:iCs/>
              </w:rPr>
              <w:t>SOX6</w:t>
            </w:r>
          </w:p>
        </w:tc>
        <w:tc>
          <w:tcPr>
            <w:tcW w:w="2223" w:type="pct"/>
          </w:tcPr>
          <w:p w14:paraId="4B7B9E3F" w14:textId="2BE976E7" w:rsidR="00DB69F5" w:rsidRPr="00F91674" w:rsidRDefault="00DB69F5" w:rsidP="00DB69F5">
            <w:pPr>
              <w:adjustRightInd w:val="0"/>
              <w:snapToGrid w:val="0"/>
              <w:spacing w:line="360" w:lineRule="auto"/>
              <w:jc w:val="both"/>
              <w:rPr>
                <w:rFonts w:ascii="Book Antiqua" w:eastAsia="Calibri" w:hAnsi="Book Antiqua" w:cs="Times New Roman"/>
                <w:bCs/>
              </w:rPr>
            </w:pPr>
            <w:r w:rsidRPr="00F91674">
              <w:rPr>
                <w:rFonts w:ascii="Book Antiqua" w:eastAsia="Calibri" w:hAnsi="Book Antiqua" w:cs="Times New Roman"/>
                <w:bCs/>
                <w:color w:val="000000"/>
              </w:rPr>
              <w:t>Tumor suppressor</w:t>
            </w:r>
          </w:p>
        </w:tc>
        <w:tc>
          <w:tcPr>
            <w:tcW w:w="1597" w:type="pct"/>
          </w:tcPr>
          <w:p w14:paraId="6072AE8D" w14:textId="3500B701" w:rsidR="00DB69F5" w:rsidRPr="00F91674" w:rsidRDefault="00DB69F5" w:rsidP="00DB69F5">
            <w:pPr>
              <w:adjustRightInd w:val="0"/>
              <w:snapToGrid w:val="0"/>
              <w:spacing w:line="360" w:lineRule="auto"/>
              <w:jc w:val="both"/>
              <w:rPr>
                <w:rFonts w:ascii="Book Antiqua" w:eastAsia="Calibri" w:hAnsi="Book Antiqua" w:cs="Times New Roman"/>
                <w:bCs/>
              </w:rPr>
            </w:pPr>
            <w:r w:rsidRPr="00F91674">
              <w:rPr>
                <w:rFonts w:ascii="Book Antiqua" w:eastAsia="Calibri" w:hAnsi="Book Antiqua" w:cs="Times New Roman"/>
                <w:bCs/>
              </w:rPr>
              <w:t>Poor</w:t>
            </w:r>
          </w:p>
        </w:tc>
      </w:tr>
      <w:tr w:rsidR="00DB69F5" w:rsidRPr="00F91674" w14:paraId="4E1B7BE5" w14:textId="77777777" w:rsidTr="00DB69F5">
        <w:tc>
          <w:tcPr>
            <w:tcW w:w="980" w:type="pct"/>
          </w:tcPr>
          <w:p w14:paraId="505ACB0B" w14:textId="5BD81B82" w:rsidR="00DB69F5" w:rsidRPr="00F91674" w:rsidRDefault="00E521E9" w:rsidP="00DB69F5">
            <w:pPr>
              <w:adjustRightInd w:val="0"/>
              <w:snapToGrid w:val="0"/>
              <w:spacing w:line="360" w:lineRule="auto"/>
              <w:jc w:val="both"/>
              <w:rPr>
                <w:rFonts w:ascii="Book Antiqua" w:eastAsia="Calibri" w:hAnsi="Book Antiqua"/>
                <w:bCs/>
              </w:rPr>
            </w:pPr>
            <w:r w:rsidRPr="00F91674">
              <w:rPr>
                <w:rFonts w:ascii="Book Antiqua" w:eastAsia="Calibri" w:hAnsi="Book Antiqua"/>
                <w:bCs/>
              </w:rPr>
              <w:t>[117, 127]</w:t>
            </w:r>
          </w:p>
        </w:tc>
        <w:tc>
          <w:tcPr>
            <w:tcW w:w="200" w:type="pct"/>
          </w:tcPr>
          <w:p w14:paraId="5424E95A" w14:textId="0B517DFB" w:rsidR="00DB69F5" w:rsidRPr="00F91674" w:rsidRDefault="00DB69F5" w:rsidP="00DB69F5">
            <w:pPr>
              <w:adjustRightInd w:val="0"/>
              <w:snapToGrid w:val="0"/>
              <w:spacing w:line="360" w:lineRule="auto"/>
              <w:jc w:val="both"/>
              <w:rPr>
                <w:rFonts w:ascii="Book Antiqua" w:eastAsia="Calibri" w:hAnsi="Book Antiqua" w:cs="Times New Roman"/>
                <w:bCs/>
                <w:i/>
                <w:iCs/>
              </w:rPr>
            </w:pPr>
            <w:r w:rsidRPr="00F91674">
              <w:rPr>
                <w:rFonts w:ascii="Book Antiqua" w:eastAsia="Calibri" w:hAnsi="Book Antiqua" w:cs="Times New Roman"/>
                <w:bCs/>
                <w:i/>
                <w:iCs/>
              </w:rPr>
              <w:t>SOX7</w:t>
            </w:r>
          </w:p>
        </w:tc>
        <w:tc>
          <w:tcPr>
            <w:tcW w:w="2223" w:type="pct"/>
          </w:tcPr>
          <w:p w14:paraId="271906DA" w14:textId="675B46B3" w:rsidR="00DB69F5" w:rsidRPr="00F91674" w:rsidRDefault="00DB69F5" w:rsidP="00DB69F5">
            <w:pPr>
              <w:adjustRightInd w:val="0"/>
              <w:snapToGrid w:val="0"/>
              <w:spacing w:line="360" w:lineRule="auto"/>
              <w:jc w:val="both"/>
              <w:rPr>
                <w:rFonts w:ascii="Book Antiqua" w:eastAsia="BSGulliver" w:hAnsi="Book Antiqua" w:cs="Times New Roman"/>
                <w:bCs/>
                <w:color w:val="000000"/>
              </w:rPr>
            </w:pPr>
            <w:r w:rsidRPr="00F91674">
              <w:rPr>
                <w:rFonts w:ascii="Book Antiqua" w:eastAsia="Calibri" w:hAnsi="Book Antiqua" w:cs="Times New Roman"/>
                <w:bCs/>
                <w:color w:val="000000"/>
              </w:rPr>
              <w:t xml:space="preserve">Tumor suppressor; </w:t>
            </w:r>
            <w:r w:rsidRPr="00F91674">
              <w:rPr>
                <w:rFonts w:ascii="Book Antiqua" w:eastAsia="BSGulliver" w:hAnsi="Book Antiqua" w:cs="Times New Roman"/>
                <w:bCs/>
                <w:color w:val="000000"/>
              </w:rPr>
              <w:t>glioma angiogenesis</w:t>
            </w:r>
          </w:p>
        </w:tc>
        <w:tc>
          <w:tcPr>
            <w:tcW w:w="1597" w:type="pct"/>
          </w:tcPr>
          <w:p w14:paraId="062894EB" w14:textId="77796518" w:rsidR="00DB69F5" w:rsidRPr="00F91674" w:rsidRDefault="00DB69F5" w:rsidP="00DB69F5">
            <w:pPr>
              <w:adjustRightInd w:val="0"/>
              <w:snapToGrid w:val="0"/>
              <w:spacing w:line="360" w:lineRule="auto"/>
              <w:jc w:val="both"/>
              <w:rPr>
                <w:rFonts w:ascii="Book Antiqua" w:eastAsia="Calibri" w:hAnsi="Book Antiqua" w:cs="Times New Roman"/>
                <w:bCs/>
              </w:rPr>
            </w:pPr>
            <w:r w:rsidRPr="00F91674">
              <w:rPr>
                <w:rFonts w:ascii="Book Antiqua" w:eastAsia="Calibri" w:hAnsi="Book Antiqua" w:cs="Times New Roman"/>
                <w:bCs/>
              </w:rPr>
              <w:t>Poor</w:t>
            </w:r>
          </w:p>
        </w:tc>
      </w:tr>
      <w:tr w:rsidR="00DB69F5" w:rsidRPr="00F91674" w14:paraId="01691910" w14:textId="77777777" w:rsidTr="00DB69F5">
        <w:tc>
          <w:tcPr>
            <w:tcW w:w="980" w:type="pct"/>
          </w:tcPr>
          <w:p w14:paraId="2A090E33" w14:textId="1679A750" w:rsidR="00DB69F5" w:rsidRPr="00F91674" w:rsidRDefault="00DB69F5" w:rsidP="00DB69F5">
            <w:pPr>
              <w:adjustRightInd w:val="0"/>
              <w:snapToGrid w:val="0"/>
              <w:spacing w:line="360" w:lineRule="auto"/>
              <w:jc w:val="both"/>
              <w:rPr>
                <w:rFonts w:ascii="Book Antiqua" w:eastAsia="Calibri" w:hAnsi="Book Antiqua"/>
                <w:bCs/>
              </w:rPr>
            </w:pPr>
            <w:r w:rsidRPr="00F91674">
              <w:rPr>
                <w:rFonts w:ascii="Book Antiqua" w:eastAsia="Calibri" w:hAnsi="Book Antiqua"/>
                <w:bCs/>
              </w:rPr>
              <w:fldChar w:fldCharType="begin">
                <w:fldData xml:space="preserve">PEVuZE5vdGU+PENpdGU+PEF1dGhvcj5BbGRhejwvQXV0aG9yPjxZZWFyPjIwMjA8L1llYXI+PFJl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</w:fldData>
              </w:fldChar>
            </w:r>
            <w:r w:rsidRPr="00F91674">
              <w:rPr>
                <w:rFonts w:ascii="Book Antiqua" w:eastAsia="Calibri" w:hAnsi="Book Antiqua" w:cs="Times New Roman"/>
                <w:bCs/>
              </w:rPr>
              <w:instrText xml:space="preserve"> ADDIN EN.CITE </w:instrText>
            </w:r>
            <w:r w:rsidRPr="00F91674">
              <w:rPr>
                <w:rFonts w:ascii="Book Antiqua" w:eastAsia="Calibri" w:hAnsi="Book Antiqua"/>
                <w:bCs/>
              </w:rPr>
              <w:fldChar w:fldCharType="begin">
                <w:fldData xml:space="preserve">PEVuZE5vdGU+PENpdGU+PEF1dGhvcj5BbGRhejwvQXV0aG9yPjxZZWFyPjIwMjA8L1llYXI+PFJl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</w:fldData>
              </w:fldChar>
            </w:r>
            <w:r w:rsidRPr="00F91674">
              <w:rPr>
                <w:rFonts w:ascii="Book Antiqua" w:eastAsia="Calibri" w:hAnsi="Book Antiqua" w:cs="Times New Roman"/>
                <w:bCs/>
              </w:rPr>
              <w:instrText xml:space="preserve"> ADDIN EN.CITE.DATA </w:instrText>
            </w:r>
            <w:r w:rsidRPr="00F91674">
              <w:rPr>
                <w:rFonts w:ascii="Book Antiqua" w:eastAsia="Calibri" w:hAnsi="Book Antiqua"/>
                <w:bCs/>
              </w:rPr>
            </w:r>
            <w:r w:rsidRPr="00F91674">
              <w:rPr>
                <w:rFonts w:ascii="Book Antiqua" w:eastAsia="Calibri" w:hAnsi="Book Antiqua"/>
                <w:bCs/>
              </w:rPr>
              <w:fldChar w:fldCharType="end"/>
            </w:r>
            <w:r w:rsidRPr="00F91674">
              <w:rPr>
                <w:rFonts w:ascii="Book Antiqua" w:eastAsia="Calibri" w:hAnsi="Book Antiqua"/>
                <w:bCs/>
              </w:rPr>
            </w:r>
            <w:r w:rsidRPr="00F91674">
              <w:rPr>
                <w:rFonts w:ascii="Book Antiqua" w:eastAsia="Calibri" w:hAnsi="Book Antiqua"/>
                <w:bCs/>
              </w:rPr>
              <w:fldChar w:fldCharType="separate"/>
            </w:r>
            <w:r w:rsidRPr="00F91674">
              <w:rPr>
                <w:rFonts w:ascii="Book Antiqua" w:eastAsia="Calibri" w:hAnsi="Book Antiqua" w:cs="Times New Roman"/>
                <w:bCs/>
                <w:noProof/>
              </w:rPr>
              <w:t>[</w:t>
            </w:r>
            <w:hyperlink w:anchor="_ENREF_106" w:tooltip="Wang, 2012 #27" w:history="1">
              <w:r w:rsidRPr="00F91674">
                <w:rPr>
                  <w:rFonts w:ascii="Book Antiqua" w:eastAsia="Calibri" w:hAnsi="Book Antiqua" w:cs="Times New Roman"/>
                  <w:bCs/>
                  <w:noProof/>
                </w:rPr>
                <w:t>106-108</w:t>
              </w:r>
            </w:hyperlink>
            <w:r w:rsidRPr="00F91674">
              <w:rPr>
                <w:rFonts w:ascii="Book Antiqua" w:eastAsia="Calibri" w:hAnsi="Book Antiqua" w:cs="Times New Roman"/>
                <w:bCs/>
                <w:noProof/>
              </w:rPr>
              <w:t>]</w:t>
            </w:r>
            <w:r w:rsidRPr="00F91674">
              <w:rPr>
                <w:rFonts w:ascii="Book Antiqua" w:eastAsia="Calibri" w:hAnsi="Book Antiqua"/>
                <w:bCs/>
              </w:rPr>
              <w:fldChar w:fldCharType="end"/>
            </w:r>
          </w:p>
        </w:tc>
        <w:tc>
          <w:tcPr>
            <w:tcW w:w="200" w:type="pct"/>
          </w:tcPr>
          <w:p w14:paraId="0F6CD144" w14:textId="462C3C10" w:rsidR="00DB69F5" w:rsidRPr="00F91674" w:rsidRDefault="00DB69F5" w:rsidP="00DB69F5">
            <w:pPr>
              <w:adjustRightInd w:val="0"/>
              <w:snapToGrid w:val="0"/>
              <w:spacing w:line="360" w:lineRule="auto"/>
              <w:jc w:val="both"/>
              <w:rPr>
                <w:rFonts w:ascii="Book Antiqua" w:eastAsia="Calibri" w:hAnsi="Book Antiqua" w:cs="Times New Roman"/>
                <w:bCs/>
                <w:i/>
                <w:iCs/>
              </w:rPr>
            </w:pPr>
            <w:r w:rsidRPr="00F91674">
              <w:rPr>
                <w:rFonts w:ascii="Book Antiqua" w:eastAsia="Calibri" w:hAnsi="Book Antiqua" w:cs="Times New Roman"/>
                <w:bCs/>
                <w:i/>
                <w:iCs/>
              </w:rPr>
              <w:t>SOX9</w:t>
            </w:r>
          </w:p>
        </w:tc>
        <w:tc>
          <w:tcPr>
            <w:tcW w:w="2223" w:type="pct"/>
          </w:tcPr>
          <w:p w14:paraId="5CA4E5B5" w14:textId="210FB5F5" w:rsidR="00DB69F5" w:rsidRPr="00F91674" w:rsidRDefault="00DB69F5" w:rsidP="00DB69F5">
            <w:pPr>
              <w:adjustRightInd w:val="0"/>
              <w:snapToGrid w:val="0"/>
              <w:spacing w:line="360" w:lineRule="auto"/>
              <w:jc w:val="both"/>
              <w:rPr>
                <w:rFonts w:ascii="Book Antiqua" w:eastAsia="Calibri" w:hAnsi="Book Antiqua" w:cs="Times New Roman"/>
                <w:bCs/>
              </w:rPr>
            </w:pPr>
            <w:r w:rsidRPr="00F91674">
              <w:rPr>
                <w:rFonts w:ascii="Book Antiqua" w:eastAsia="Calibri" w:hAnsi="Book Antiqua" w:cs="Times New Roman"/>
                <w:bCs/>
                <w:color w:val="000000"/>
              </w:rPr>
              <w:t>Oncogenic</w:t>
            </w:r>
          </w:p>
        </w:tc>
        <w:tc>
          <w:tcPr>
            <w:tcW w:w="1597" w:type="pct"/>
          </w:tcPr>
          <w:p w14:paraId="3D0D3FF3" w14:textId="072851B8" w:rsidR="00DB69F5" w:rsidRPr="00F91674" w:rsidRDefault="00DB69F5" w:rsidP="00DB69F5">
            <w:pPr>
              <w:adjustRightInd w:val="0"/>
              <w:snapToGrid w:val="0"/>
              <w:spacing w:line="360" w:lineRule="auto"/>
              <w:jc w:val="both"/>
              <w:rPr>
                <w:rFonts w:ascii="Book Antiqua" w:eastAsia="Calibri" w:hAnsi="Book Antiqua" w:cs="Times New Roman"/>
                <w:bCs/>
              </w:rPr>
            </w:pPr>
            <w:r w:rsidRPr="00F91674">
              <w:rPr>
                <w:rFonts w:ascii="Book Antiqua" w:eastAsia="Calibri" w:hAnsi="Book Antiqua" w:cs="Times New Roman"/>
                <w:bCs/>
              </w:rPr>
              <w:t>Poor</w:t>
            </w:r>
          </w:p>
        </w:tc>
      </w:tr>
      <w:tr w:rsidR="00DB69F5" w:rsidRPr="00F91674" w14:paraId="08B2603C" w14:textId="77777777" w:rsidTr="00DB69F5">
        <w:tc>
          <w:tcPr>
            <w:tcW w:w="980" w:type="pct"/>
          </w:tcPr>
          <w:p w14:paraId="1E7C0E48" w14:textId="65DA31FE" w:rsidR="00DB69F5" w:rsidRPr="00F91674" w:rsidRDefault="00E521E9" w:rsidP="00DB69F5">
            <w:pPr>
              <w:adjustRightInd w:val="0"/>
              <w:snapToGrid w:val="0"/>
              <w:spacing w:line="360" w:lineRule="auto"/>
              <w:jc w:val="both"/>
              <w:rPr>
                <w:rFonts w:ascii="Book Antiqua" w:eastAsia="Calibri" w:hAnsi="Book Antiqua"/>
                <w:bCs/>
              </w:rPr>
            </w:pPr>
            <w:r w:rsidRPr="00F91674">
              <w:rPr>
                <w:rFonts w:ascii="Book Antiqua" w:eastAsia="Calibri" w:hAnsi="Book Antiqua"/>
                <w:bCs/>
              </w:rPr>
              <w:t>[110, 111]</w:t>
            </w:r>
          </w:p>
        </w:tc>
        <w:tc>
          <w:tcPr>
            <w:tcW w:w="200" w:type="pct"/>
          </w:tcPr>
          <w:p w14:paraId="37F31A5C" w14:textId="387292F2" w:rsidR="00DB69F5" w:rsidRPr="00F91674" w:rsidRDefault="00DB69F5" w:rsidP="00DB69F5">
            <w:pPr>
              <w:adjustRightInd w:val="0"/>
              <w:snapToGrid w:val="0"/>
              <w:spacing w:line="360" w:lineRule="auto"/>
              <w:jc w:val="both"/>
              <w:rPr>
                <w:rFonts w:ascii="Book Antiqua" w:eastAsia="Calibri" w:hAnsi="Book Antiqua" w:cs="Times New Roman"/>
                <w:bCs/>
                <w:i/>
                <w:iCs/>
              </w:rPr>
            </w:pPr>
            <w:r w:rsidRPr="00F91674">
              <w:rPr>
                <w:rFonts w:ascii="Book Antiqua" w:eastAsia="Calibri" w:hAnsi="Book Antiqua" w:cs="Times New Roman"/>
                <w:bCs/>
                <w:i/>
                <w:iCs/>
              </w:rPr>
              <w:t>SOX10</w:t>
            </w:r>
          </w:p>
        </w:tc>
        <w:tc>
          <w:tcPr>
            <w:tcW w:w="2223" w:type="pct"/>
          </w:tcPr>
          <w:p w14:paraId="044700F6" w14:textId="6EFDAEBA" w:rsidR="00DB69F5" w:rsidRPr="00F91674" w:rsidRDefault="00DB69F5" w:rsidP="00DB69F5">
            <w:pPr>
              <w:adjustRightInd w:val="0"/>
              <w:snapToGrid w:val="0"/>
              <w:spacing w:line="360" w:lineRule="auto"/>
              <w:jc w:val="both"/>
              <w:rPr>
                <w:rFonts w:ascii="Book Antiqua" w:eastAsia="Calibri" w:hAnsi="Book Antiqua" w:cs="Times New Roman"/>
                <w:bCs/>
              </w:rPr>
            </w:pPr>
            <w:r w:rsidRPr="00F91674">
              <w:rPr>
                <w:rFonts w:ascii="Book Antiqua" w:eastAsia="Calibri" w:hAnsi="Book Antiqua" w:cs="Times New Roman"/>
                <w:bCs/>
                <w:color w:val="000000"/>
              </w:rPr>
              <w:t>Possible oncogenic</w:t>
            </w:r>
          </w:p>
        </w:tc>
        <w:tc>
          <w:tcPr>
            <w:tcW w:w="1597" w:type="pct"/>
          </w:tcPr>
          <w:p w14:paraId="32FC8B86" w14:textId="30D3A708" w:rsidR="00DB69F5" w:rsidRPr="00F91674" w:rsidRDefault="00DB69F5" w:rsidP="00DB69F5">
            <w:pPr>
              <w:adjustRightInd w:val="0"/>
              <w:snapToGrid w:val="0"/>
              <w:spacing w:line="360" w:lineRule="auto"/>
              <w:jc w:val="both"/>
              <w:rPr>
                <w:rFonts w:ascii="Book Antiqua" w:eastAsia="Calibri" w:hAnsi="Book Antiqua" w:cs="Times New Roman"/>
                <w:bCs/>
              </w:rPr>
            </w:pPr>
            <w:r w:rsidRPr="00F91674">
              <w:rPr>
                <w:rFonts w:ascii="Book Antiqua" w:eastAsia="Calibri" w:hAnsi="Book Antiqua" w:cs="Times New Roman"/>
                <w:bCs/>
              </w:rPr>
              <w:t>Poor</w:t>
            </w:r>
          </w:p>
        </w:tc>
      </w:tr>
      <w:tr w:rsidR="00DB69F5" w:rsidRPr="00F91674" w14:paraId="2C01C196" w14:textId="77777777" w:rsidTr="00DB69F5">
        <w:tc>
          <w:tcPr>
            <w:tcW w:w="980" w:type="pct"/>
          </w:tcPr>
          <w:p w14:paraId="67239D95" w14:textId="2D504010" w:rsidR="00DB69F5" w:rsidRPr="00F91674" w:rsidRDefault="00DB69F5" w:rsidP="00DB69F5">
            <w:pPr>
              <w:adjustRightInd w:val="0"/>
              <w:snapToGrid w:val="0"/>
              <w:spacing w:line="360" w:lineRule="auto"/>
              <w:jc w:val="both"/>
              <w:rPr>
                <w:rFonts w:ascii="Book Antiqua" w:eastAsia="Calibri" w:hAnsi="Book Antiqua"/>
                <w:bCs/>
              </w:rPr>
            </w:pPr>
            <w:r w:rsidRPr="00F91674">
              <w:rPr>
                <w:rFonts w:ascii="Book Antiqua" w:eastAsia="Calibri" w:hAnsi="Book Antiqua"/>
                <w:bCs/>
              </w:rPr>
              <w:fldChar w:fldCharType="begin">
                <w:fldData xml:space="preserve">PEVuZE5vdGU+PENpdGU+PEF1dGhvcj5IaWRlPC9BdXRob3I+PFllYXI+MjAwOTwvWWVhcj48UmVj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</w:fldData>
              </w:fldChar>
            </w:r>
            <w:r w:rsidRPr="00F91674">
              <w:rPr>
                <w:rFonts w:ascii="Book Antiqua" w:eastAsia="Calibri" w:hAnsi="Book Antiqua" w:cs="Times New Roman"/>
                <w:bCs/>
              </w:rPr>
              <w:instrText xml:space="preserve"> ADDIN EN.CITE </w:instrText>
            </w:r>
            <w:r w:rsidRPr="00F91674">
              <w:rPr>
                <w:rFonts w:ascii="Book Antiqua" w:eastAsia="Calibri" w:hAnsi="Book Antiqua"/>
                <w:bCs/>
              </w:rPr>
              <w:fldChar w:fldCharType="begin">
                <w:fldData xml:space="preserve">PEVuZE5vdGU+PENpdGU+PEF1dGhvcj5IaWRlPC9BdXRob3I+PFllYXI+MjAwOTwvWWVhcj48UmVj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</w:fldData>
              </w:fldChar>
            </w:r>
            <w:r w:rsidRPr="00F91674">
              <w:rPr>
                <w:rFonts w:ascii="Book Antiqua" w:eastAsia="Calibri" w:hAnsi="Book Antiqua" w:cs="Times New Roman"/>
                <w:bCs/>
              </w:rPr>
              <w:instrText xml:space="preserve"> ADDIN EN.CITE.DATA </w:instrText>
            </w:r>
            <w:r w:rsidRPr="00F91674">
              <w:rPr>
                <w:rFonts w:ascii="Book Antiqua" w:eastAsia="Calibri" w:hAnsi="Book Antiqua"/>
                <w:bCs/>
              </w:rPr>
            </w:r>
            <w:r w:rsidRPr="00F91674">
              <w:rPr>
                <w:rFonts w:ascii="Book Antiqua" w:eastAsia="Calibri" w:hAnsi="Book Antiqua"/>
                <w:bCs/>
              </w:rPr>
              <w:fldChar w:fldCharType="end"/>
            </w:r>
            <w:r w:rsidRPr="00F91674">
              <w:rPr>
                <w:rFonts w:ascii="Book Antiqua" w:eastAsia="Calibri" w:hAnsi="Book Antiqua"/>
                <w:bCs/>
              </w:rPr>
            </w:r>
            <w:r w:rsidRPr="00F91674">
              <w:rPr>
                <w:rFonts w:ascii="Book Antiqua" w:eastAsia="Calibri" w:hAnsi="Book Antiqua"/>
                <w:bCs/>
              </w:rPr>
              <w:fldChar w:fldCharType="separate"/>
            </w:r>
            <w:r w:rsidRPr="00F91674">
              <w:rPr>
                <w:rFonts w:ascii="Book Antiqua" w:eastAsia="Calibri" w:hAnsi="Book Antiqua" w:cs="Times New Roman"/>
                <w:bCs/>
                <w:noProof/>
              </w:rPr>
              <w:t>[</w:t>
            </w:r>
            <w:hyperlink w:anchor="_ENREF_119" w:tooltip="Hide, 2009 #136" w:history="1">
              <w:r w:rsidRPr="00F91674">
                <w:rPr>
                  <w:rFonts w:ascii="Book Antiqua" w:eastAsia="Calibri" w:hAnsi="Book Antiqua" w:cs="Times New Roman"/>
                  <w:bCs/>
                  <w:noProof/>
                </w:rPr>
                <w:t>119</w:t>
              </w:r>
            </w:hyperlink>
            <w:r w:rsidRPr="00F91674">
              <w:rPr>
                <w:rFonts w:ascii="Book Antiqua" w:eastAsia="Calibri" w:hAnsi="Book Antiqua" w:cs="Times New Roman"/>
                <w:bCs/>
                <w:noProof/>
              </w:rPr>
              <w:t>]</w:t>
            </w:r>
            <w:r w:rsidRPr="00F91674">
              <w:rPr>
                <w:rFonts w:ascii="Book Antiqua" w:eastAsia="Calibri" w:hAnsi="Book Antiqua"/>
                <w:bCs/>
              </w:rPr>
              <w:fldChar w:fldCharType="end"/>
            </w:r>
          </w:p>
        </w:tc>
        <w:tc>
          <w:tcPr>
            <w:tcW w:w="200" w:type="pct"/>
          </w:tcPr>
          <w:p w14:paraId="3E22916C" w14:textId="183C94C2" w:rsidR="00DB69F5" w:rsidRPr="00F91674" w:rsidRDefault="00DB69F5" w:rsidP="00DB69F5">
            <w:pPr>
              <w:adjustRightInd w:val="0"/>
              <w:snapToGrid w:val="0"/>
              <w:spacing w:line="360" w:lineRule="auto"/>
              <w:jc w:val="both"/>
              <w:rPr>
                <w:rFonts w:ascii="Book Antiqua" w:eastAsia="Calibri" w:hAnsi="Book Antiqua" w:cs="Times New Roman"/>
                <w:bCs/>
                <w:i/>
                <w:iCs/>
              </w:rPr>
            </w:pPr>
            <w:r w:rsidRPr="00F91674">
              <w:rPr>
                <w:rFonts w:ascii="Book Antiqua" w:eastAsia="Calibri" w:hAnsi="Book Antiqua" w:cs="Times New Roman"/>
                <w:bCs/>
                <w:i/>
                <w:iCs/>
              </w:rPr>
              <w:t>SOX11</w:t>
            </w:r>
          </w:p>
        </w:tc>
        <w:tc>
          <w:tcPr>
            <w:tcW w:w="2223" w:type="pct"/>
          </w:tcPr>
          <w:p w14:paraId="4F31BBD8" w14:textId="4876B90F" w:rsidR="00DB69F5" w:rsidRPr="00F91674" w:rsidRDefault="00DB69F5" w:rsidP="00DB69F5">
            <w:pPr>
              <w:adjustRightInd w:val="0"/>
              <w:snapToGrid w:val="0"/>
              <w:spacing w:line="360" w:lineRule="auto"/>
              <w:jc w:val="both"/>
              <w:rPr>
                <w:rFonts w:ascii="Book Antiqua" w:eastAsia="Calibri" w:hAnsi="Book Antiqua" w:cs="Times New Roman"/>
                <w:bCs/>
              </w:rPr>
            </w:pPr>
            <w:r w:rsidRPr="00F91674">
              <w:rPr>
                <w:rFonts w:ascii="Book Antiqua" w:eastAsia="Calibri" w:hAnsi="Book Antiqua" w:cs="Times New Roman"/>
                <w:bCs/>
                <w:color w:val="000000"/>
              </w:rPr>
              <w:t>Tumor suppressor</w:t>
            </w:r>
          </w:p>
        </w:tc>
        <w:tc>
          <w:tcPr>
            <w:tcW w:w="1597" w:type="pct"/>
          </w:tcPr>
          <w:p w14:paraId="42001E9E" w14:textId="42BBB7AC" w:rsidR="00DB69F5" w:rsidRPr="00F91674" w:rsidRDefault="00DB69F5" w:rsidP="00DB69F5">
            <w:pPr>
              <w:adjustRightInd w:val="0"/>
              <w:snapToGrid w:val="0"/>
              <w:spacing w:line="360" w:lineRule="auto"/>
              <w:jc w:val="both"/>
              <w:rPr>
                <w:rFonts w:ascii="Book Antiqua" w:eastAsia="Calibri" w:hAnsi="Book Antiqua" w:cs="Times New Roman"/>
                <w:bCs/>
              </w:rPr>
            </w:pPr>
            <w:r w:rsidRPr="00F91674">
              <w:rPr>
                <w:rFonts w:ascii="Book Antiqua" w:eastAsia="Calibri" w:hAnsi="Book Antiqua" w:cs="Times New Roman"/>
                <w:bCs/>
              </w:rPr>
              <w:t>Good</w:t>
            </w:r>
          </w:p>
        </w:tc>
      </w:tr>
    </w:tbl>
    <w:p w14:paraId="0CBA0BFF" w14:textId="59D03BFD" w:rsidR="00264ED0" w:rsidRPr="00F91674" w:rsidRDefault="00264ED0" w:rsidP="00264ED0">
      <w:pPr>
        <w:adjustRightInd w:val="0"/>
        <w:snapToGrid w:val="0"/>
        <w:spacing w:line="360" w:lineRule="auto"/>
        <w:jc w:val="both"/>
        <w:rPr>
          <w:rFonts w:ascii="Book Antiqua" w:hAnsi="Book Antiqua"/>
        </w:rPr>
      </w:pPr>
      <w:r w:rsidRPr="00F91674">
        <w:rPr>
          <w:rFonts w:ascii="Book Antiqua" w:eastAsia="Book Antiqua" w:hAnsi="Book Antiqua" w:cs="Book Antiqua"/>
          <w:color w:val="000000"/>
        </w:rPr>
        <w:t>Glioblastoma: GBM.</w:t>
      </w:r>
    </w:p>
    <w:p w14:paraId="61032229" w14:textId="4352B624" w:rsidR="00F91674" w:rsidRPr="00F91674" w:rsidRDefault="00F91674" w:rsidP="00264ED0">
      <w:pPr>
        <w:adjustRightInd w:val="0"/>
        <w:snapToGrid w:val="0"/>
        <w:spacing w:line="360" w:lineRule="auto"/>
        <w:jc w:val="both"/>
        <w:rPr>
          <w:rFonts w:ascii="Book Antiqua" w:hAnsi="Book Antiqua"/>
        </w:rPr>
      </w:pPr>
    </w:p>
    <w:p w14:paraId="57225546" w14:textId="77777777" w:rsidR="00F91674" w:rsidRPr="00F91674" w:rsidRDefault="00F91674">
      <w:pPr>
        <w:rPr>
          <w:rFonts w:ascii="Book Antiqua" w:hAnsi="Book Antiqua"/>
        </w:rPr>
      </w:pPr>
      <w:r w:rsidRPr="00F91674">
        <w:rPr>
          <w:rFonts w:ascii="Book Antiqua" w:hAnsi="Book Antiqua"/>
        </w:rPr>
        <w:br w:type="page"/>
      </w:r>
    </w:p>
    <w:p w14:paraId="0B17884B" w14:textId="77777777" w:rsidR="00F91674" w:rsidRPr="00F91674" w:rsidRDefault="00F91674" w:rsidP="00F91674">
      <w:pPr>
        <w:jc w:val="center"/>
        <w:rPr>
          <w:rFonts w:ascii="Book Antiqua" w:hAnsi="Book Antiqua"/>
        </w:rPr>
      </w:pPr>
    </w:p>
    <w:p w14:paraId="20D46F34" w14:textId="77777777" w:rsidR="00F91674" w:rsidRPr="00F91674" w:rsidRDefault="00F91674" w:rsidP="00F91674">
      <w:pPr>
        <w:jc w:val="center"/>
        <w:rPr>
          <w:rFonts w:ascii="Book Antiqua" w:hAnsi="Book Antiqua"/>
        </w:rPr>
      </w:pPr>
    </w:p>
    <w:p w14:paraId="10BADC16" w14:textId="77777777" w:rsidR="00F91674" w:rsidRPr="00F91674" w:rsidRDefault="00F91674" w:rsidP="00F91674">
      <w:pPr>
        <w:jc w:val="center"/>
        <w:rPr>
          <w:rFonts w:ascii="Book Antiqua" w:hAnsi="Book Antiqua"/>
        </w:rPr>
      </w:pPr>
    </w:p>
    <w:p w14:paraId="6B99E253" w14:textId="77777777" w:rsidR="00F91674" w:rsidRPr="00F91674" w:rsidRDefault="00F91674" w:rsidP="00F91674">
      <w:pPr>
        <w:jc w:val="center"/>
        <w:rPr>
          <w:rFonts w:ascii="Book Antiqua" w:hAnsi="Book Antiqua"/>
        </w:rPr>
      </w:pPr>
    </w:p>
    <w:p w14:paraId="098C7C0C" w14:textId="77777777" w:rsidR="00F91674" w:rsidRPr="00F91674" w:rsidRDefault="00F91674" w:rsidP="00F91674">
      <w:pPr>
        <w:jc w:val="center"/>
        <w:rPr>
          <w:rFonts w:ascii="Book Antiqua" w:hAnsi="Book Antiqua"/>
        </w:rPr>
      </w:pPr>
    </w:p>
    <w:p w14:paraId="6D7F8F6E" w14:textId="77777777" w:rsidR="00F91674" w:rsidRPr="00F91674" w:rsidRDefault="00F91674" w:rsidP="00F91674">
      <w:pPr>
        <w:jc w:val="center"/>
        <w:rPr>
          <w:rFonts w:ascii="Book Antiqua" w:hAnsi="Book Antiqua"/>
        </w:rPr>
      </w:pPr>
      <w:r w:rsidRPr="00F91674">
        <w:rPr>
          <w:rFonts w:ascii="Book Antiqua" w:hAnsi="Book Antiqua"/>
          <w:noProof/>
        </w:rPr>
        <w:drawing>
          <wp:inline distT="0" distB="0" distL="0" distR="0" wp14:anchorId="22564B54" wp14:editId="6394986D">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1AE5C35" w14:textId="77777777" w:rsidR="00F91674" w:rsidRPr="00F91674" w:rsidRDefault="00F91674" w:rsidP="00F91674">
      <w:pPr>
        <w:jc w:val="center"/>
        <w:rPr>
          <w:rFonts w:ascii="Book Antiqua" w:hAnsi="Book Antiqua"/>
        </w:rPr>
      </w:pPr>
    </w:p>
    <w:p w14:paraId="291430A7" w14:textId="77777777" w:rsidR="00F91674" w:rsidRPr="00F91674" w:rsidRDefault="00F91674" w:rsidP="00F91674">
      <w:pPr>
        <w:autoSpaceDE w:val="0"/>
        <w:autoSpaceDN w:val="0"/>
        <w:adjustRightInd w:val="0"/>
        <w:jc w:val="center"/>
        <w:rPr>
          <w:rFonts w:ascii="Book Antiqua" w:eastAsia="Garamond-Bold" w:hAnsi="Book Antiqua" w:cs="Garamond-Bold"/>
          <w:b/>
          <w:bCs/>
          <w:color w:val="000000"/>
          <w:sz w:val="28"/>
          <w:szCs w:val="28"/>
        </w:rPr>
      </w:pPr>
      <w:r w:rsidRPr="00F91674">
        <w:rPr>
          <w:rFonts w:ascii="Book Antiqua" w:eastAsia="TimesNewRomanPSMT" w:hAnsi="Book Antiqua" w:cs="TimesNewRomanPSMT"/>
          <w:color w:val="000000"/>
          <w:sz w:val="28"/>
          <w:szCs w:val="28"/>
        </w:rPr>
        <w:t xml:space="preserve">Published by </w:t>
      </w:r>
      <w:r w:rsidRPr="00F91674">
        <w:rPr>
          <w:rFonts w:ascii="Book Antiqua" w:eastAsia="Garamond-Bold" w:hAnsi="Book Antiqua" w:cs="Garamond-Bold"/>
          <w:b/>
          <w:bCs/>
          <w:color w:val="000000"/>
          <w:sz w:val="28"/>
          <w:szCs w:val="28"/>
        </w:rPr>
        <w:t>Baishideng Publishing Group Inc</w:t>
      </w:r>
    </w:p>
    <w:p w14:paraId="069B3084" w14:textId="77777777" w:rsidR="00F91674" w:rsidRPr="00F91674" w:rsidRDefault="00F91674" w:rsidP="00F91674">
      <w:pPr>
        <w:autoSpaceDE w:val="0"/>
        <w:autoSpaceDN w:val="0"/>
        <w:adjustRightInd w:val="0"/>
        <w:jc w:val="center"/>
        <w:rPr>
          <w:rFonts w:ascii="Book Antiqua" w:eastAsia="TimesNewRomanPSMT" w:hAnsi="Book Antiqua" w:cs="Garamond"/>
          <w:color w:val="000000"/>
          <w:sz w:val="28"/>
          <w:szCs w:val="28"/>
        </w:rPr>
      </w:pPr>
      <w:r w:rsidRPr="00F91674">
        <w:rPr>
          <w:rFonts w:ascii="Book Antiqua" w:eastAsia="TimesNewRomanPSMT" w:hAnsi="Book Antiqua" w:cs="Garamond"/>
          <w:color w:val="000000"/>
          <w:sz w:val="28"/>
          <w:szCs w:val="28"/>
        </w:rPr>
        <w:t>7041 Koll Center Parkway, Suite 160, Pleasanton, CA 94566, USA</w:t>
      </w:r>
    </w:p>
    <w:p w14:paraId="0AA0F420" w14:textId="77777777" w:rsidR="00F91674" w:rsidRPr="00F91674" w:rsidRDefault="00F91674" w:rsidP="00F91674">
      <w:pPr>
        <w:autoSpaceDE w:val="0"/>
        <w:autoSpaceDN w:val="0"/>
        <w:adjustRightInd w:val="0"/>
        <w:jc w:val="center"/>
        <w:rPr>
          <w:rFonts w:ascii="Book Antiqua" w:eastAsia="TimesNewRomanPSMT" w:hAnsi="Book Antiqua" w:cs="Garamond"/>
          <w:color w:val="000000"/>
          <w:sz w:val="28"/>
          <w:szCs w:val="28"/>
        </w:rPr>
      </w:pPr>
      <w:r w:rsidRPr="00F91674">
        <w:rPr>
          <w:rFonts w:ascii="Book Antiqua" w:eastAsia="Garamond-Bold" w:hAnsi="Book Antiqua" w:cs="Garamond-Bold"/>
          <w:b/>
          <w:bCs/>
          <w:color w:val="000000"/>
          <w:sz w:val="28"/>
          <w:szCs w:val="28"/>
        </w:rPr>
        <w:t xml:space="preserve">Telephone: </w:t>
      </w:r>
      <w:r w:rsidRPr="00F91674">
        <w:rPr>
          <w:rFonts w:ascii="Book Antiqua" w:eastAsia="TimesNewRomanPSMT" w:hAnsi="Book Antiqua" w:cs="Garamond"/>
          <w:color w:val="000000"/>
          <w:sz w:val="28"/>
          <w:szCs w:val="28"/>
        </w:rPr>
        <w:t>+1-925-3991568</w:t>
      </w:r>
    </w:p>
    <w:p w14:paraId="5BC21DA1" w14:textId="77777777" w:rsidR="00F91674" w:rsidRPr="00F91674" w:rsidRDefault="00F91674" w:rsidP="00F91674">
      <w:pPr>
        <w:autoSpaceDE w:val="0"/>
        <w:autoSpaceDN w:val="0"/>
        <w:adjustRightInd w:val="0"/>
        <w:jc w:val="center"/>
        <w:rPr>
          <w:rFonts w:ascii="Book Antiqua" w:eastAsia="TimesNewRomanPSMT" w:hAnsi="Book Antiqua" w:cs="Garamond"/>
          <w:color w:val="D56400"/>
          <w:sz w:val="28"/>
          <w:szCs w:val="28"/>
        </w:rPr>
      </w:pPr>
      <w:r w:rsidRPr="00F91674">
        <w:rPr>
          <w:rFonts w:ascii="Book Antiqua" w:eastAsia="Garamond-Bold" w:hAnsi="Book Antiqua" w:cs="Garamond-Bold"/>
          <w:b/>
          <w:bCs/>
          <w:color w:val="000000"/>
          <w:sz w:val="28"/>
          <w:szCs w:val="28"/>
        </w:rPr>
        <w:t xml:space="preserve">E-mail: </w:t>
      </w:r>
      <w:r w:rsidRPr="00F91674">
        <w:rPr>
          <w:rFonts w:ascii="Book Antiqua" w:eastAsia="TimesNewRomanPSMT" w:hAnsi="Book Antiqua" w:cs="Garamond"/>
          <w:color w:val="D56400"/>
          <w:sz w:val="28"/>
          <w:szCs w:val="28"/>
        </w:rPr>
        <w:t>bpgoffice@wjgnet.com</w:t>
      </w:r>
    </w:p>
    <w:p w14:paraId="40F7978F" w14:textId="77777777" w:rsidR="00F91674" w:rsidRPr="00F91674" w:rsidRDefault="00F91674" w:rsidP="00F91674">
      <w:pPr>
        <w:autoSpaceDE w:val="0"/>
        <w:autoSpaceDN w:val="0"/>
        <w:adjustRightInd w:val="0"/>
        <w:jc w:val="center"/>
        <w:rPr>
          <w:rFonts w:ascii="Book Antiqua" w:eastAsia="TimesNewRomanPSMT" w:hAnsi="Book Antiqua" w:cs="Garamond"/>
          <w:color w:val="D56400"/>
          <w:sz w:val="28"/>
          <w:szCs w:val="28"/>
        </w:rPr>
      </w:pPr>
      <w:r w:rsidRPr="00F91674">
        <w:rPr>
          <w:rFonts w:ascii="Book Antiqua" w:eastAsia="Garamond-Bold" w:hAnsi="Book Antiqua" w:cs="Garamond-Bold"/>
          <w:b/>
          <w:bCs/>
          <w:color w:val="000000"/>
          <w:sz w:val="28"/>
          <w:szCs w:val="28"/>
        </w:rPr>
        <w:t xml:space="preserve">Help Desk: </w:t>
      </w:r>
      <w:r w:rsidRPr="00F91674">
        <w:rPr>
          <w:rFonts w:ascii="Book Antiqua" w:eastAsia="TimesNewRomanPSMT" w:hAnsi="Book Antiqua" w:cs="Garamond"/>
          <w:color w:val="D56400"/>
          <w:sz w:val="28"/>
          <w:szCs w:val="28"/>
        </w:rPr>
        <w:t>https://www.f6publishing.com/helpdesk</w:t>
      </w:r>
    </w:p>
    <w:p w14:paraId="757E1C44" w14:textId="77777777" w:rsidR="00F91674" w:rsidRPr="00F91674" w:rsidRDefault="00F91674" w:rsidP="00F91674">
      <w:pPr>
        <w:jc w:val="center"/>
        <w:rPr>
          <w:rFonts w:ascii="Book Antiqua" w:hAnsi="Book Antiqua"/>
        </w:rPr>
      </w:pPr>
      <w:r w:rsidRPr="00F91674">
        <w:rPr>
          <w:rFonts w:ascii="Book Antiqua" w:eastAsia="TimesNewRomanPSMT" w:hAnsi="Book Antiqua" w:cs="Garamond"/>
          <w:color w:val="D56400"/>
          <w:sz w:val="28"/>
          <w:szCs w:val="28"/>
        </w:rPr>
        <w:t>https://www.wjgnet.com</w:t>
      </w:r>
    </w:p>
    <w:p w14:paraId="020F5C4F" w14:textId="77777777" w:rsidR="00F91674" w:rsidRPr="00F91674" w:rsidRDefault="00F91674" w:rsidP="00F91674">
      <w:pPr>
        <w:jc w:val="center"/>
        <w:rPr>
          <w:rFonts w:ascii="Book Antiqua" w:hAnsi="Book Antiqua"/>
        </w:rPr>
      </w:pPr>
    </w:p>
    <w:p w14:paraId="22550311" w14:textId="77777777" w:rsidR="00F91674" w:rsidRPr="00F91674" w:rsidRDefault="00F91674" w:rsidP="00F91674">
      <w:pPr>
        <w:jc w:val="center"/>
        <w:rPr>
          <w:rFonts w:ascii="Book Antiqua" w:hAnsi="Book Antiqua"/>
        </w:rPr>
      </w:pPr>
    </w:p>
    <w:p w14:paraId="326357C7" w14:textId="77777777" w:rsidR="00F91674" w:rsidRPr="00F91674" w:rsidRDefault="00F91674" w:rsidP="00F91674">
      <w:pPr>
        <w:jc w:val="center"/>
        <w:rPr>
          <w:rFonts w:ascii="Book Antiqua" w:hAnsi="Book Antiqua"/>
        </w:rPr>
      </w:pPr>
    </w:p>
    <w:p w14:paraId="282B4B68" w14:textId="77777777" w:rsidR="00F91674" w:rsidRPr="00F91674" w:rsidRDefault="00F91674" w:rsidP="00F91674">
      <w:pPr>
        <w:jc w:val="center"/>
        <w:rPr>
          <w:rFonts w:ascii="Book Antiqua" w:hAnsi="Book Antiqua"/>
        </w:rPr>
      </w:pPr>
      <w:r w:rsidRPr="00F91674">
        <w:rPr>
          <w:rFonts w:ascii="Book Antiqua" w:hAnsi="Book Antiqua"/>
          <w:noProof/>
        </w:rPr>
        <w:drawing>
          <wp:inline distT="0" distB="0" distL="0" distR="0" wp14:anchorId="56A86F4E" wp14:editId="16C2D7C8">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FF88DA7" w14:textId="77777777" w:rsidR="00F91674" w:rsidRPr="00F91674" w:rsidRDefault="00F91674" w:rsidP="00F91674">
      <w:pPr>
        <w:jc w:val="center"/>
        <w:rPr>
          <w:rFonts w:ascii="Book Antiqua" w:hAnsi="Book Antiqua"/>
        </w:rPr>
      </w:pPr>
    </w:p>
    <w:p w14:paraId="1D5F1457" w14:textId="77777777" w:rsidR="00F91674" w:rsidRPr="00F91674" w:rsidRDefault="00F91674" w:rsidP="00F91674">
      <w:pPr>
        <w:jc w:val="center"/>
        <w:rPr>
          <w:rFonts w:ascii="Book Antiqua" w:hAnsi="Book Antiqua"/>
        </w:rPr>
      </w:pPr>
    </w:p>
    <w:p w14:paraId="639C0AD2" w14:textId="77777777" w:rsidR="00F91674" w:rsidRPr="00F91674" w:rsidRDefault="00F91674" w:rsidP="00F91674">
      <w:pPr>
        <w:jc w:val="center"/>
        <w:rPr>
          <w:rFonts w:ascii="Book Antiqua" w:hAnsi="Book Antiqua"/>
        </w:rPr>
      </w:pPr>
    </w:p>
    <w:p w14:paraId="7458037C" w14:textId="77777777" w:rsidR="00F91674" w:rsidRPr="00F91674" w:rsidRDefault="00F91674" w:rsidP="00F91674">
      <w:pPr>
        <w:jc w:val="center"/>
        <w:rPr>
          <w:rFonts w:ascii="Book Antiqua" w:hAnsi="Book Antiqua"/>
        </w:rPr>
      </w:pPr>
    </w:p>
    <w:p w14:paraId="6F8AAD25" w14:textId="77777777" w:rsidR="00F91674" w:rsidRPr="00F91674" w:rsidRDefault="00F91674" w:rsidP="00F91674">
      <w:pPr>
        <w:jc w:val="center"/>
        <w:rPr>
          <w:rFonts w:ascii="Book Antiqua" w:hAnsi="Book Antiqua"/>
        </w:rPr>
      </w:pPr>
    </w:p>
    <w:p w14:paraId="36216372" w14:textId="77777777" w:rsidR="00F91674" w:rsidRPr="00F91674" w:rsidRDefault="00F91674" w:rsidP="00F91674">
      <w:pPr>
        <w:jc w:val="center"/>
        <w:rPr>
          <w:rFonts w:ascii="Book Antiqua" w:hAnsi="Book Antiqua"/>
        </w:rPr>
      </w:pPr>
    </w:p>
    <w:p w14:paraId="39F0E1C2" w14:textId="77777777" w:rsidR="00F91674" w:rsidRPr="00F91674" w:rsidRDefault="00F91674" w:rsidP="00F91674">
      <w:pPr>
        <w:jc w:val="center"/>
        <w:rPr>
          <w:rFonts w:ascii="Book Antiqua" w:hAnsi="Book Antiqua"/>
        </w:rPr>
      </w:pPr>
    </w:p>
    <w:p w14:paraId="6911A50B" w14:textId="77777777" w:rsidR="00F91674" w:rsidRPr="00F91674" w:rsidRDefault="00F91674" w:rsidP="00F91674">
      <w:pPr>
        <w:jc w:val="center"/>
        <w:rPr>
          <w:rFonts w:ascii="Book Antiqua" w:hAnsi="Book Antiqua"/>
        </w:rPr>
      </w:pPr>
    </w:p>
    <w:p w14:paraId="64F58178" w14:textId="77777777" w:rsidR="00F91674" w:rsidRPr="00F91674" w:rsidRDefault="00F91674" w:rsidP="00F91674">
      <w:pPr>
        <w:jc w:val="center"/>
        <w:rPr>
          <w:rFonts w:ascii="Book Antiqua" w:hAnsi="Book Antiqua"/>
        </w:rPr>
      </w:pPr>
    </w:p>
    <w:p w14:paraId="3974B6B4" w14:textId="77777777" w:rsidR="00F91674" w:rsidRPr="00F91674" w:rsidRDefault="00F91674" w:rsidP="00F91674">
      <w:pPr>
        <w:jc w:val="right"/>
        <w:rPr>
          <w:rFonts w:ascii="Book Antiqua" w:hAnsi="Book Antiqua"/>
          <w:color w:val="000000" w:themeColor="text1"/>
        </w:rPr>
      </w:pPr>
    </w:p>
    <w:p w14:paraId="4D91F6A0" w14:textId="77777777" w:rsidR="00F91674" w:rsidRPr="00763D22" w:rsidRDefault="00F91674" w:rsidP="00F91674">
      <w:pPr>
        <w:jc w:val="center"/>
        <w:rPr>
          <w:rFonts w:ascii="Book Antiqua" w:hAnsi="Book Antiqua"/>
          <w:color w:val="000000" w:themeColor="text1"/>
        </w:rPr>
      </w:pPr>
      <w:r w:rsidRPr="00F91674">
        <w:rPr>
          <w:rFonts w:ascii="Book Antiqua" w:eastAsia="BookAntiqua-Bold" w:hAnsi="Book Antiqua" w:cs="BookAntiqua-Bold"/>
          <w:b/>
          <w:bCs/>
          <w:color w:val="000000" w:themeColor="text1"/>
        </w:rPr>
        <w:t>© 2021 Baishideng Publishing Group Inc. All rights reserved.</w:t>
      </w:r>
      <w:r w:rsidRPr="00F91674">
        <w:rPr>
          <w:rFonts w:ascii="Book Antiqua" w:hAnsi="Book Antiqua"/>
          <w:color w:val="000000" w:themeColor="text1"/>
        </w:rPr>
        <w:fldChar w:fldCharType="begin"/>
      </w:r>
      <w:r w:rsidRPr="00F91674">
        <w:rPr>
          <w:rFonts w:ascii="Book Antiqua" w:hAnsi="Book Antiqua"/>
          <w:color w:val="000000" w:themeColor="text1"/>
        </w:rPr>
        <w:instrText xml:space="preserve"> ADDIN EN.REFLIST </w:instrText>
      </w:r>
      <w:r w:rsidRPr="00F91674">
        <w:rPr>
          <w:rFonts w:ascii="Book Antiqua" w:hAnsi="Book Antiqua"/>
          <w:color w:val="000000" w:themeColor="text1"/>
        </w:rPr>
        <w:fldChar w:fldCharType="end"/>
      </w:r>
      <w:bookmarkStart w:id="5" w:name="_GoBack"/>
      <w:bookmarkEnd w:id="5"/>
    </w:p>
    <w:p w14:paraId="66DCE539" w14:textId="77777777" w:rsidR="00A77B3E" w:rsidRPr="00264ED0" w:rsidRDefault="00A77B3E" w:rsidP="00264ED0">
      <w:pPr>
        <w:adjustRightInd w:val="0"/>
        <w:snapToGrid w:val="0"/>
        <w:spacing w:line="360" w:lineRule="auto"/>
        <w:jc w:val="both"/>
        <w:rPr>
          <w:rFonts w:ascii="Book Antiqua" w:hAnsi="Book Antiqua" w:hint="eastAsia"/>
          <w:lang w:eastAsia="zh-CN"/>
        </w:rPr>
      </w:pPr>
    </w:p>
    <w:sectPr w:rsidR="00A77B3E" w:rsidRPr="00264ED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Danijela" w:date="2021-10-16T18:02:00Z" w:initials="A">
    <w:p w14:paraId="09585294" w14:textId="77777777" w:rsidR="00D51910" w:rsidRDefault="00D51910" w:rsidP="00D51910">
      <w:pPr>
        <w:pStyle w:val="a4"/>
      </w:pPr>
      <w:r>
        <w:rPr>
          <w:rStyle w:val="a3"/>
        </w:rPr>
        <w:annotationRef/>
      </w:r>
      <w:r>
        <w:t>Make a hyperlink to the article</w:t>
      </w:r>
    </w:p>
  </w:comment>
  <w:comment w:id="4" w:author="korisnik" w:date="2021-10-16T18:51:00Z" w:initials="k">
    <w:p w14:paraId="2A4B41C4" w14:textId="77777777" w:rsidR="00D51910" w:rsidRDefault="00D51910" w:rsidP="00D51910">
      <w:pPr>
        <w:pStyle w:val="a4"/>
      </w:pPr>
      <w:r>
        <w:rPr>
          <w:rStyle w:val="a3"/>
        </w:rPr>
        <w:annotationRef/>
      </w:r>
      <w:r>
        <w:t>In PDF version positions of SOXB1 and SOXB2 genes are mixed up.</w:t>
      </w:r>
    </w:p>
    <w:p w14:paraId="2426BC6B" w14:textId="77777777" w:rsidR="00D51910" w:rsidRDefault="00D51910" w:rsidP="00D51910">
      <w:pPr>
        <w:pStyle w:val="a4"/>
      </w:pPr>
      <w:r>
        <w:t>SOXB1 and SOXB2 should be put below SOXB inTable 1 of PDF version.</w:t>
      </w:r>
    </w:p>
    <w:p w14:paraId="7D1721E5" w14:textId="77777777" w:rsidR="00D51910" w:rsidRDefault="00D51910" w:rsidP="00D51910">
      <w:pPr>
        <w:pStyle w:val="a4"/>
      </w:pPr>
      <w:r>
        <w:t>Also, SOX1, SOX2 and SOX3 should be put below SOXB1 and SOX14 and SOX21 below SOXB2 as it is in original Table 1</w:t>
      </w:r>
    </w:p>
    <w:p w14:paraId="7B7C43E7" w14:textId="77777777" w:rsidR="00D51910" w:rsidRDefault="00D51910" w:rsidP="00D51910">
      <w:pPr>
        <w:pStyle w:val="a4"/>
      </w:pPr>
      <w:r>
        <w:t>Replace with the enclosed version of Table 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585294" w15:done="0"/>
  <w15:commentEx w15:paraId="7B7C43E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585294" w16cid:durableId="25158056"/>
  <w16cid:commentId w16cid:paraId="7B7C43E7" w16cid:durableId="251913E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7096C6" w14:textId="77777777" w:rsidR="00DB1EE1" w:rsidRDefault="00DB1EE1" w:rsidP="00155D7E">
      <w:r>
        <w:separator/>
      </w:r>
    </w:p>
  </w:endnote>
  <w:endnote w:type="continuationSeparator" w:id="0">
    <w:p w14:paraId="107C67EC" w14:textId="77777777" w:rsidR="00DB1EE1" w:rsidRDefault="00DB1EE1" w:rsidP="00155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SGulliver">
    <w:altName w:val="MS Mincho"/>
    <w:panose1 w:val="00000000000000000000"/>
    <w:charset w:val="80"/>
    <w:family w:val="auto"/>
    <w:notTrueType/>
    <w:pitch w:val="default"/>
    <w:sig w:usb0="00000001" w:usb1="08070000" w:usb2="00000010" w:usb3="00000000" w:csb0="0002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EC1C16" w14:textId="77777777" w:rsidR="00DB1EE1" w:rsidRDefault="00DB1EE1" w:rsidP="00155D7E">
      <w:r>
        <w:separator/>
      </w:r>
    </w:p>
  </w:footnote>
  <w:footnote w:type="continuationSeparator" w:id="0">
    <w:p w14:paraId="71AF5AD8" w14:textId="77777777" w:rsidR="00DB1EE1" w:rsidRDefault="00DB1EE1" w:rsidP="00155D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AF7392"/>
    <w:multiLevelType w:val="hybridMultilevel"/>
    <w:tmpl w:val="1C24E53E"/>
    <w:lvl w:ilvl="0" w:tplc="F2F68350">
      <w:start w:val="1"/>
      <w:numFmt w:val="decimal"/>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2893442"/>
    <w:multiLevelType w:val="hybridMultilevel"/>
    <w:tmpl w:val="E2C2B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FFD"/>
    <w:rsid w:val="00023FD5"/>
    <w:rsid w:val="000337F6"/>
    <w:rsid w:val="00045401"/>
    <w:rsid w:val="00077FAA"/>
    <w:rsid w:val="00090309"/>
    <w:rsid w:val="000B3DE8"/>
    <w:rsid w:val="000B753E"/>
    <w:rsid w:val="00110BF7"/>
    <w:rsid w:val="001148BA"/>
    <w:rsid w:val="0014071C"/>
    <w:rsid w:val="00151D1B"/>
    <w:rsid w:val="00155D7E"/>
    <w:rsid w:val="00157EC4"/>
    <w:rsid w:val="0016653B"/>
    <w:rsid w:val="001A3AF8"/>
    <w:rsid w:val="001A58AD"/>
    <w:rsid w:val="001E7EB4"/>
    <w:rsid w:val="002103BB"/>
    <w:rsid w:val="00210922"/>
    <w:rsid w:val="00222290"/>
    <w:rsid w:val="00232724"/>
    <w:rsid w:val="00244735"/>
    <w:rsid w:val="00264ED0"/>
    <w:rsid w:val="00275D78"/>
    <w:rsid w:val="002B4F40"/>
    <w:rsid w:val="002C30AD"/>
    <w:rsid w:val="00347362"/>
    <w:rsid w:val="003579A8"/>
    <w:rsid w:val="003A296D"/>
    <w:rsid w:val="004220A4"/>
    <w:rsid w:val="004548B8"/>
    <w:rsid w:val="0047612A"/>
    <w:rsid w:val="004A5B2F"/>
    <w:rsid w:val="004B21A4"/>
    <w:rsid w:val="004D4D41"/>
    <w:rsid w:val="004E3D01"/>
    <w:rsid w:val="004E4A70"/>
    <w:rsid w:val="004F09D8"/>
    <w:rsid w:val="004F5962"/>
    <w:rsid w:val="005926FF"/>
    <w:rsid w:val="005B74F0"/>
    <w:rsid w:val="005D5439"/>
    <w:rsid w:val="005D61A5"/>
    <w:rsid w:val="0063289B"/>
    <w:rsid w:val="00640D60"/>
    <w:rsid w:val="0065091C"/>
    <w:rsid w:val="006524F9"/>
    <w:rsid w:val="006640B7"/>
    <w:rsid w:val="00671671"/>
    <w:rsid w:val="006826F2"/>
    <w:rsid w:val="00693CB6"/>
    <w:rsid w:val="006C31FA"/>
    <w:rsid w:val="00702E4A"/>
    <w:rsid w:val="00704501"/>
    <w:rsid w:val="007345B5"/>
    <w:rsid w:val="007517A7"/>
    <w:rsid w:val="00767205"/>
    <w:rsid w:val="00774E85"/>
    <w:rsid w:val="007B0C88"/>
    <w:rsid w:val="007D3A1F"/>
    <w:rsid w:val="007F7B89"/>
    <w:rsid w:val="00802FE0"/>
    <w:rsid w:val="00815069"/>
    <w:rsid w:val="008364B0"/>
    <w:rsid w:val="008757AE"/>
    <w:rsid w:val="00880C7B"/>
    <w:rsid w:val="0088770D"/>
    <w:rsid w:val="008912AF"/>
    <w:rsid w:val="008A4C27"/>
    <w:rsid w:val="008C7533"/>
    <w:rsid w:val="008D4332"/>
    <w:rsid w:val="008E5CFA"/>
    <w:rsid w:val="008E5D5C"/>
    <w:rsid w:val="009034FD"/>
    <w:rsid w:val="00907E21"/>
    <w:rsid w:val="00923B72"/>
    <w:rsid w:val="0093116B"/>
    <w:rsid w:val="00935E85"/>
    <w:rsid w:val="0094310A"/>
    <w:rsid w:val="00967B3E"/>
    <w:rsid w:val="00972174"/>
    <w:rsid w:val="009B1A96"/>
    <w:rsid w:val="009B7D73"/>
    <w:rsid w:val="009C1AD9"/>
    <w:rsid w:val="009E6433"/>
    <w:rsid w:val="009F002B"/>
    <w:rsid w:val="00A424D5"/>
    <w:rsid w:val="00A77B3E"/>
    <w:rsid w:val="00A83564"/>
    <w:rsid w:val="00A8411C"/>
    <w:rsid w:val="00A9265A"/>
    <w:rsid w:val="00A93608"/>
    <w:rsid w:val="00AB07B7"/>
    <w:rsid w:val="00AD03C8"/>
    <w:rsid w:val="00AE2060"/>
    <w:rsid w:val="00AF3FCF"/>
    <w:rsid w:val="00B24A87"/>
    <w:rsid w:val="00B343EE"/>
    <w:rsid w:val="00B84504"/>
    <w:rsid w:val="00B865B8"/>
    <w:rsid w:val="00B931E6"/>
    <w:rsid w:val="00BA5016"/>
    <w:rsid w:val="00BC0B14"/>
    <w:rsid w:val="00BE0143"/>
    <w:rsid w:val="00C13FE7"/>
    <w:rsid w:val="00C1587E"/>
    <w:rsid w:val="00C41832"/>
    <w:rsid w:val="00C5613F"/>
    <w:rsid w:val="00C8302E"/>
    <w:rsid w:val="00CA2A55"/>
    <w:rsid w:val="00CA4132"/>
    <w:rsid w:val="00CB12F9"/>
    <w:rsid w:val="00CB27CE"/>
    <w:rsid w:val="00CC0D36"/>
    <w:rsid w:val="00CC2B6A"/>
    <w:rsid w:val="00D1642E"/>
    <w:rsid w:val="00D3626A"/>
    <w:rsid w:val="00D51910"/>
    <w:rsid w:val="00D62E49"/>
    <w:rsid w:val="00D81A4F"/>
    <w:rsid w:val="00D91850"/>
    <w:rsid w:val="00D9722F"/>
    <w:rsid w:val="00DB1EE1"/>
    <w:rsid w:val="00DB69F5"/>
    <w:rsid w:val="00E128EF"/>
    <w:rsid w:val="00E20FA9"/>
    <w:rsid w:val="00E521E9"/>
    <w:rsid w:val="00E71079"/>
    <w:rsid w:val="00E77B0C"/>
    <w:rsid w:val="00EB5D89"/>
    <w:rsid w:val="00EC6B56"/>
    <w:rsid w:val="00EF7213"/>
    <w:rsid w:val="00F3405A"/>
    <w:rsid w:val="00F3629D"/>
    <w:rsid w:val="00F606A9"/>
    <w:rsid w:val="00F72B2C"/>
    <w:rsid w:val="00F8494A"/>
    <w:rsid w:val="00F91674"/>
    <w:rsid w:val="00F93612"/>
    <w:rsid w:val="00FA61F3"/>
    <w:rsid w:val="00FC2CDC"/>
    <w:rsid w:val="00FE55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6C0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sum-journal-citation">
    <w:name w:val="docsum-journal-citation"/>
    <w:basedOn w:val="a0"/>
  </w:style>
  <w:style w:type="character" w:styleId="a3">
    <w:name w:val="annotation reference"/>
    <w:basedOn w:val="a0"/>
    <w:semiHidden/>
    <w:unhideWhenUsed/>
    <w:rsid w:val="00972174"/>
    <w:rPr>
      <w:sz w:val="21"/>
      <w:szCs w:val="21"/>
    </w:rPr>
  </w:style>
  <w:style w:type="paragraph" w:styleId="a4">
    <w:name w:val="annotation text"/>
    <w:basedOn w:val="a"/>
    <w:link w:val="Char"/>
    <w:unhideWhenUsed/>
    <w:rsid w:val="00972174"/>
  </w:style>
  <w:style w:type="character" w:customStyle="1" w:styleId="Char">
    <w:name w:val="批注文字 Char"/>
    <w:basedOn w:val="a0"/>
    <w:link w:val="a4"/>
    <w:rsid w:val="00972174"/>
    <w:rPr>
      <w:sz w:val="24"/>
      <w:szCs w:val="24"/>
    </w:rPr>
  </w:style>
  <w:style w:type="paragraph" w:styleId="a5">
    <w:name w:val="annotation subject"/>
    <w:basedOn w:val="a4"/>
    <w:next w:val="a4"/>
    <w:link w:val="Char0"/>
    <w:semiHidden/>
    <w:unhideWhenUsed/>
    <w:rsid w:val="00972174"/>
    <w:rPr>
      <w:b/>
      <w:bCs/>
    </w:rPr>
  </w:style>
  <w:style w:type="character" w:customStyle="1" w:styleId="Char0">
    <w:name w:val="批注主题 Char"/>
    <w:basedOn w:val="Char"/>
    <w:link w:val="a5"/>
    <w:semiHidden/>
    <w:rsid w:val="00972174"/>
    <w:rPr>
      <w:b/>
      <w:bCs/>
      <w:sz w:val="24"/>
      <w:szCs w:val="24"/>
    </w:rPr>
  </w:style>
  <w:style w:type="paragraph" w:styleId="a6">
    <w:name w:val="Normal (Web)"/>
    <w:basedOn w:val="a"/>
    <w:uiPriority w:val="99"/>
    <w:semiHidden/>
    <w:unhideWhenUsed/>
    <w:rsid w:val="003A296D"/>
    <w:pPr>
      <w:spacing w:before="100" w:beforeAutospacing="1" w:after="100" w:afterAutospacing="1"/>
    </w:pPr>
    <w:rPr>
      <w:rFonts w:ascii="宋体" w:eastAsia="宋体" w:hAnsi="宋体" w:cs="宋体"/>
      <w:lang w:eastAsia="zh-CN"/>
    </w:rPr>
  </w:style>
  <w:style w:type="table" w:styleId="a7">
    <w:name w:val="Table Grid"/>
    <w:basedOn w:val="a8"/>
    <w:uiPriority w:val="59"/>
    <w:rsid w:val="00264ED0"/>
    <w:rPr>
      <w:rFonts w:cstheme="minorBidi"/>
      <w:sz w:val="22"/>
      <w:szCs w:val="22"/>
    </w:rPr>
    <w:tblPr/>
  </w:style>
  <w:style w:type="table" w:customStyle="1" w:styleId="TableGrid1">
    <w:name w:val="Table Grid1"/>
    <w:basedOn w:val="a1"/>
    <w:next w:val="a7"/>
    <w:uiPriority w:val="39"/>
    <w:rsid w:val="00264ED0"/>
    <w:rPr>
      <w:rFonts w:asciiTheme="minorHAnsi" w:hAnsiTheme="minorHAnsi" w:cstheme="minorBidi"/>
      <w:sz w:val="22"/>
      <w:szCs w:val="22"/>
    </w:rPr>
    <w:tblPr/>
    <w:tblStylePr w:type="firstRow">
      <w:tblPr/>
      <w:tcPr>
        <w:tcBorders>
          <w:bottom w:val="nil"/>
        </w:tcBorders>
      </w:tcPr>
    </w:tblStylePr>
  </w:style>
  <w:style w:type="table" w:styleId="a8">
    <w:name w:val="Table Theme"/>
    <w:basedOn w:val="a1"/>
    <w:semiHidden/>
    <w:unhideWhenUsed/>
    <w:rsid w:val="00264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Char1"/>
    <w:unhideWhenUsed/>
    <w:rsid w:val="00155D7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rsid w:val="00155D7E"/>
    <w:rPr>
      <w:sz w:val="18"/>
      <w:szCs w:val="18"/>
    </w:rPr>
  </w:style>
  <w:style w:type="paragraph" w:styleId="aa">
    <w:name w:val="footer"/>
    <w:basedOn w:val="a"/>
    <w:link w:val="Char2"/>
    <w:unhideWhenUsed/>
    <w:rsid w:val="00155D7E"/>
    <w:pPr>
      <w:tabs>
        <w:tab w:val="center" w:pos="4153"/>
        <w:tab w:val="right" w:pos="8306"/>
      </w:tabs>
      <w:snapToGrid w:val="0"/>
    </w:pPr>
    <w:rPr>
      <w:sz w:val="18"/>
      <w:szCs w:val="18"/>
    </w:rPr>
  </w:style>
  <w:style w:type="character" w:customStyle="1" w:styleId="Char2">
    <w:name w:val="页脚 Char"/>
    <w:basedOn w:val="a0"/>
    <w:link w:val="aa"/>
    <w:rsid w:val="00155D7E"/>
    <w:rPr>
      <w:sz w:val="18"/>
      <w:szCs w:val="18"/>
    </w:rPr>
  </w:style>
  <w:style w:type="paragraph" w:styleId="ab">
    <w:name w:val="Balloon Text"/>
    <w:basedOn w:val="a"/>
    <w:link w:val="Char3"/>
    <w:rsid w:val="00880C7B"/>
    <w:rPr>
      <w:rFonts w:ascii="Tahoma" w:hAnsi="Tahoma" w:cs="Tahoma"/>
      <w:sz w:val="16"/>
      <w:szCs w:val="16"/>
    </w:rPr>
  </w:style>
  <w:style w:type="character" w:customStyle="1" w:styleId="Char3">
    <w:name w:val="批注框文本 Char"/>
    <w:basedOn w:val="a0"/>
    <w:link w:val="ab"/>
    <w:rsid w:val="00880C7B"/>
    <w:rPr>
      <w:rFonts w:ascii="Tahoma" w:hAnsi="Tahoma" w:cs="Tahoma"/>
      <w:sz w:val="16"/>
      <w:szCs w:val="16"/>
    </w:rPr>
  </w:style>
  <w:style w:type="character" w:styleId="ac">
    <w:name w:val="Hyperlink"/>
    <w:basedOn w:val="a0"/>
    <w:unhideWhenUsed/>
    <w:rsid w:val="006C31FA"/>
    <w:rPr>
      <w:color w:val="0000FF" w:themeColor="hyperlink"/>
      <w:u w:val="single"/>
    </w:rPr>
  </w:style>
  <w:style w:type="character" w:customStyle="1" w:styleId="UnresolvedMention">
    <w:name w:val="Unresolved Mention"/>
    <w:basedOn w:val="a0"/>
    <w:uiPriority w:val="99"/>
    <w:semiHidden/>
    <w:unhideWhenUsed/>
    <w:rsid w:val="006C31FA"/>
    <w:rPr>
      <w:color w:val="605E5C"/>
      <w:shd w:val="clear" w:color="auto" w:fill="E1DFDD"/>
    </w:rPr>
  </w:style>
  <w:style w:type="character" w:customStyle="1" w:styleId="UnresolvedMention1">
    <w:name w:val="Unresolved Mention1"/>
    <w:basedOn w:val="a0"/>
    <w:uiPriority w:val="99"/>
    <w:semiHidden/>
    <w:unhideWhenUsed/>
    <w:rsid w:val="00D51910"/>
    <w:rPr>
      <w:color w:val="605E5C"/>
      <w:shd w:val="clear" w:color="auto" w:fill="E1DFDD"/>
    </w:rPr>
  </w:style>
  <w:style w:type="paragraph" w:customStyle="1" w:styleId="ListParagraph1">
    <w:name w:val="List Paragraph1"/>
    <w:basedOn w:val="a"/>
    <w:next w:val="ad"/>
    <w:uiPriority w:val="34"/>
    <w:qFormat/>
    <w:rsid w:val="00D51910"/>
    <w:pPr>
      <w:ind w:left="720"/>
      <w:contextualSpacing/>
    </w:pPr>
  </w:style>
  <w:style w:type="paragraph" w:styleId="ad">
    <w:name w:val="List Paragraph"/>
    <w:basedOn w:val="a"/>
    <w:uiPriority w:val="34"/>
    <w:qFormat/>
    <w:rsid w:val="00D51910"/>
    <w:pPr>
      <w:ind w:left="720"/>
      <w:contextualSpacing/>
    </w:pPr>
  </w:style>
  <w:style w:type="paragraph" w:styleId="ae">
    <w:name w:val="Revision"/>
    <w:hidden/>
    <w:uiPriority w:val="99"/>
    <w:semiHidden/>
    <w:rsid w:val="00D5191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sum-journal-citation">
    <w:name w:val="docsum-journal-citation"/>
    <w:basedOn w:val="a0"/>
  </w:style>
  <w:style w:type="character" w:styleId="a3">
    <w:name w:val="annotation reference"/>
    <w:basedOn w:val="a0"/>
    <w:semiHidden/>
    <w:unhideWhenUsed/>
    <w:rsid w:val="00972174"/>
    <w:rPr>
      <w:sz w:val="21"/>
      <w:szCs w:val="21"/>
    </w:rPr>
  </w:style>
  <w:style w:type="paragraph" w:styleId="a4">
    <w:name w:val="annotation text"/>
    <w:basedOn w:val="a"/>
    <w:link w:val="Char"/>
    <w:unhideWhenUsed/>
    <w:rsid w:val="00972174"/>
  </w:style>
  <w:style w:type="character" w:customStyle="1" w:styleId="Char">
    <w:name w:val="批注文字 Char"/>
    <w:basedOn w:val="a0"/>
    <w:link w:val="a4"/>
    <w:rsid w:val="00972174"/>
    <w:rPr>
      <w:sz w:val="24"/>
      <w:szCs w:val="24"/>
    </w:rPr>
  </w:style>
  <w:style w:type="paragraph" w:styleId="a5">
    <w:name w:val="annotation subject"/>
    <w:basedOn w:val="a4"/>
    <w:next w:val="a4"/>
    <w:link w:val="Char0"/>
    <w:semiHidden/>
    <w:unhideWhenUsed/>
    <w:rsid w:val="00972174"/>
    <w:rPr>
      <w:b/>
      <w:bCs/>
    </w:rPr>
  </w:style>
  <w:style w:type="character" w:customStyle="1" w:styleId="Char0">
    <w:name w:val="批注主题 Char"/>
    <w:basedOn w:val="Char"/>
    <w:link w:val="a5"/>
    <w:semiHidden/>
    <w:rsid w:val="00972174"/>
    <w:rPr>
      <w:b/>
      <w:bCs/>
      <w:sz w:val="24"/>
      <w:szCs w:val="24"/>
    </w:rPr>
  </w:style>
  <w:style w:type="paragraph" w:styleId="a6">
    <w:name w:val="Normal (Web)"/>
    <w:basedOn w:val="a"/>
    <w:uiPriority w:val="99"/>
    <w:semiHidden/>
    <w:unhideWhenUsed/>
    <w:rsid w:val="003A296D"/>
    <w:pPr>
      <w:spacing w:before="100" w:beforeAutospacing="1" w:after="100" w:afterAutospacing="1"/>
    </w:pPr>
    <w:rPr>
      <w:rFonts w:ascii="宋体" w:eastAsia="宋体" w:hAnsi="宋体" w:cs="宋体"/>
      <w:lang w:eastAsia="zh-CN"/>
    </w:rPr>
  </w:style>
  <w:style w:type="table" w:styleId="a7">
    <w:name w:val="Table Grid"/>
    <w:basedOn w:val="a8"/>
    <w:uiPriority w:val="59"/>
    <w:rsid w:val="00264ED0"/>
    <w:rPr>
      <w:rFonts w:cstheme="minorBidi"/>
      <w:sz w:val="22"/>
      <w:szCs w:val="22"/>
    </w:rPr>
    <w:tblPr/>
  </w:style>
  <w:style w:type="table" w:customStyle="1" w:styleId="TableGrid1">
    <w:name w:val="Table Grid1"/>
    <w:basedOn w:val="a1"/>
    <w:next w:val="a7"/>
    <w:uiPriority w:val="39"/>
    <w:rsid w:val="00264ED0"/>
    <w:rPr>
      <w:rFonts w:asciiTheme="minorHAnsi" w:hAnsiTheme="minorHAnsi" w:cstheme="minorBidi"/>
      <w:sz w:val="22"/>
      <w:szCs w:val="22"/>
    </w:rPr>
    <w:tblPr/>
    <w:tblStylePr w:type="firstRow">
      <w:tblPr/>
      <w:tcPr>
        <w:tcBorders>
          <w:bottom w:val="nil"/>
        </w:tcBorders>
      </w:tcPr>
    </w:tblStylePr>
  </w:style>
  <w:style w:type="table" w:styleId="a8">
    <w:name w:val="Table Theme"/>
    <w:basedOn w:val="a1"/>
    <w:semiHidden/>
    <w:unhideWhenUsed/>
    <w:rsid w:val="00264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Char1"/>
    <w:unhideWhenUsed/>
    <w:rsid w:val="00155D7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rsid w:val="00155D7E"/>
    <w:rPr>
      <w:sz w:val="18"/>
      <w:szCs w:val="18"/>
    </w:rPr>
  </w:style>
  <w:style w:type="paragraph" w:styleId="aa">
    <w:name w:val="footer"/>
    <w:basedOn w:val="a"/>
    <w:link w:val="Char2"/>
    <w:unhideWhenUsed/>
    <w:rsid w:val="00155D7E"/>
    <w:pPr>
      <w:tabs>
        <w:tab w:val="center" w:pos="4153"/>
        <w:tab w:val="right" w:pos="8306"/>
      </w:tabs>
      <w:snapToGrid w:val="0"/>
    </w:pPr>
    <w:rPr>
      <w:sz w:val="18"/>
      <w:szCs w:val="18"/>
    </w:rPr>
  </w:style>
  <w:style w:type="character" w:customStyle="1" w:styleId="Char2">
    <w:name w:val="页脚 Char"/>
    <w:basedOn w:val="a0"/>
    <w:link w:val="aa"/>
    <w:rsid w:val="00155D7E"/>
    <w:rPr>
      <w:sz w:val="18"/>
      <w:szCs w:val="18"/>
    </w:rPr>
  </w:style>
  <w:style w:type="paragraph" w:styleId="ab">
    <w:name w:val="Balloon Text"/>
    <w:basedOn w:val="a"/>
    <w:link w:val="Char3"/>
    <w:rsid w:val="00880C7B"/>
    <w:rPr>
      <w:rFonts w:ascii="Tahoma" w:hAnsi="Tahoma" w:cs="Tahoma"/>
      <w:sz w:val="16"/>
      <w:szCs w:val="16"/>
    </w:rPr>
  </w:style>
  <w:style w:type="character" w:customStyle="1" w:styleId="Char3">
    <w:name w:val="批注框文本 Char"/>
    <w:basedOn w:val="a0"/>
    <w:link w:val="ab"/>
    <w:rsid w:val="00880C7B"/>
    <w:rPr>
      <w:rFonts w:ascii="Tahoma" w:hAnsi="Tahoma" w:cs="Tahoma"/>
      <w:sz w:val="16"/>
      <w:szCs w:val="16"/>
    </w:rPr>
  </w:style>
  <w:style w:type="character" w:styleId="ac">
    <w:name w:val="Hyperlink"/>
    <w:basedOn w:val="a0"/>
    <w:unhideWhenUsed/>
    <w:rsid w:val="006C31FA"/>
    <w:rPr>
      <w:color w:val="0000FF" w:themeColor="hyperlink"/>
      <w:u w:val="single"/>
    </w:rPr>
  </w:style>
  <w:style w:type="character" w:customStyle="1" w:styleId="UnresolvedMention">
    <w:name w:val="Unresolved Mention"/>
    <w:basedOn w:val="a0"/>
    <w:uiPriority w:val="99"/>
    <w:semiHidden/>
    <w:unhideWhenUsed/>
    <w:rsid w:val="006C31FA"/>
    <w:rPr>
      <w:color w:val="605E5C"/>
      <w:shd w:val="clear" w:color="auto" w:fill="E1DFDD"/>
    </w:rPr>
  </w:style>
  <w:style w:type="character" w:customStyle="1" w:styleId="UnresolvedMention1">
    <w:name w:val="Unresolved Mention1"/>
    <w:basedOn w:val="a0"/>
    <w:uiPriority w:val="99"/>
    <w:semiHidden/>
    <w:unhideWhenUsed/>
    <w:rsid w:val="00D51910"/>
    <w:rPr>
      <w:color w:val="605E5C"/>
      <w:shd w:val="clear" w:color="auto" w:fill="E1DFDD"/>
    </w:rPr>
  </w:style>
  <w:style w:type="paragraph" w:customStyle="1" w:styleId="ListParagraph1">
    <w:name w:val="List Paragraph1"/>
    <w:basedOn w:val="a"/>
    <w:next w:val="ad"/>
    <w:uiPriority w:val="34"/>
    <w:qFormat/>
    <w:rsid w:val="00D51910"/>
    <w:pPr>
      <w:ind w:left="720"/>
      <w:contextualSpacing/>
    </w:pPr>
  </w:style>
  <w:style w:type="paragraph" w:styleId="ad">
    <w:name w:val="List Paragraph"/>
    <w:basedOn w:val="a"/>
    <w:uiPriority w:val="34"/>
    <w:qFormat/>
    <w:rsid w:val="00D51910"/>
    <w:pPr>
      <w:ind w:left="720"/>
      <w:contextualSpacing/>
    </w:pPr>
  </w:style>
  <w:style w:type="paragraph" w:styleId="ae">
    <w:name w:val="Revision"/>
    <w:hidden/>
    <w:uiPriority w:val="99"/>
    <w:semiHidden/>
    <w:rsid w:val="00D5191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71602">
      <w:bodyDiv w:val="1"/>
      <w:marLeft w:val="0"/>
      <w:marRight w:val="0"/>
      <w:marTop w:val="0"/>
      <w:marBottom w:val="0"/>
      <w:divBdr>
        <w:top w:val="none" w:sz="0" w:space="0" w:color="auto"/>
        <w:left w:val="none" w:sz="0" w:space="0" w:color="auto"/>
        <w:bottom w:val="none" w:sz="0" w:space="0" w:color="auto"/>
        <w:right w:val="none" w:sz="0" w:space="0" w:color="auto"/>
      </w:divBdr>
    </w:div>
    <w:div w:id="162356489">
      <w:bodyDiv w:val="1"/>
      <w:marLeft w:val="0"/>
      <w:marRight w:val="0"/>
      <w:marTop w:val="0"/>
      <w:marBottom w:val="0"/>
      <w:divBdr>
        <w:top w:val="none" w:sz="0" w:space="0" w:color="auto"/>
        <w:left w:val="none" w:sz="0" w:space="0" w:color="auto"/>
        <w:bottom w:val="none" w:sz="0" w:space="0" w:color="auto"/>
        <w:right w:val="none" w:sz="0" w:space="0" w:color="auto"/>
      </w:divBdr>
    </w:div>
    <w:div w:id="590547011">
      <w:bodyDiv w:val="1"/>
      <w:marLeft w:val="0"/>
      <w:marRight w:val="0"/>
      <w:marTop w:val="0"/>
      <w:marBottom w:val="0"/>
      <w:divBdr>
        <w:top w:val="none" w:sz="0" w:space="0" w:color="auto"/>
        <w:left w:val="none" w:sz="0" w:space="0" w:color="auto"/>
        <w:bottom w:val="none" w:sz="0" w:space="0" w:color="auto"/>
        <w:right w:val="none" w:sz="0" w:space="0" w:color="auto"/>
      </w:divBdr>
    </w:div>
    <w:div w:id="756446165">
      <w:bodyDiv w:val="1"/>
      <w:marLeft w:val="0"/>
      <w:marRight w:val="0"/>
      <w:marTop w:val="0"/>
      <w:marBottom w:val="0"/>
      <w:divBdr>
        <w:top w:val="none" w:sz="0" w:space="0" w:color="auto"/>
        <w:left w:val="none" w:sz="0" w:space="0" w:color="auto"/>
        <w:bottom w:val="none" w:sz="0" w:space="0" w:color="auto"/>
        <w:right w:val="none" w:sz="0" w:space="0" w:color="auto"/>
      </w:divBdr>
    </w:div>
    <w:div w:id="762412888">
      <w:bodyDiv w:val="1"/>
      <w:marLeft w:val="0"/>
      <w:marRight w:val="0"/>
      <w:marTop w:val="0"/>
      <w:marBottom w:val="0"/>
      <w:divBdr>
        <w:top w:val="none" w:sz="0" w:space="0" w:color="auto"/>
        <w:left w:val="none" w:sz="0" w:space="0" w:color="auto"/>
        <w:bottom w:val="none" w:sz="0" w:space="0" w:color="auto"/>
        <w:right w:val="none" w:sz="0" w:space="0" w:color="auto"/>
      </w:divBdr>
    </w:div>
    <w:div w:id="901869413">
      <w:bodyDiv w:val="1"/>
      <w:marLeft w:val="0"/>
      <w:marRight w:val="0"/>
      <w:marTop w:val="0"/>
      <w:marBottom w:val="0"/>
      <w:divBdr>
        <w:top w:val="none" w:sz="0" w:space="0" w:color="auto"/>
        <w:left w:val="none" w:sz="0" w:space="0" w:color="auto"/>
        <w:bottom w:val="none" w:sz="0" w:space="0" w:color="auto"/>
        <w:right w:val="none" w:sz="0" w:space="0" w:color="auto"/>
      </w:divBdr>
    </w:div>
    <w:div w:id="937105615">
      <w:bodyDiv w:val="1"/>
      <w:marLeft w:val="0"/>
      <w:marRight w:val="0"/>
      <w:marTop w:val="0"/>
      <w:marBottom w:val="0"/>
      <w:divBdr>
        <w:top w:val="none" w:sz="0" w:space="0" w:color="auto"/>
        <w:left w:val="none" w:sz="0" w:space="0" w:color="auto"/>
        <w:bottom w:val="none" w:sz="0" w:space="0" w:color="auto"/>
        <w:right w:val="none" w:sz="0" w:space="0" w:color="auto"/>
      </w:divBdr>
    </w:div>
    <w:div w:id="992639714">
      <w:bodyDiv w:val="1"/>
      <w:marLeft w:val="0"/>
      <w:marRight w:val="0"/>
      <w:marTop w:val="0"/>
      <w:marBottom w:val="0"/>
      <w:divBdr>
        <w:top w:val="none" w:sz="0" w:space="0" w:color="auto"/>
        <w:left w:val="none" w:sz="0" w:space="0" w:color="auto"/>
        <w:bottom w:val="none" w:sz="0" w:space="0" w:color="auto"/>
        <w:right w:val="none" w:sz="0" w:space="0" w:color="auto"/>
      </w:divBdr>
    </w:div>
    <w:div w:id="1019117402">
      <w:bodyDiv w:val="1"/>
      <w:marLeft w:val="0"/>
      <w:marRight w:val="0"/>
      <w:marTop w:val="0"/>
      <w:marBottom w:val="0"/>
      <w:divBdr>
        <w:top w:val="none" w:sz="0" w:space="0" w:color="auto"/>
        <w:left w:val="none" w:sz="0" w:space="0" w:color="auto"/>
        <w:bottom w:val="none" w:sz="0" w:space="0" w:color="auto"/>
        <w:right w:val="none" w:sz="0" w:space="0" w:color="auto"/>
      </w:divBdr>
    </w:div>
    <w:div w:id="1257977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dx.doi.org/10.4252/wjsc.v13.i10.1417"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www.wjgnet.com/1948-0210/full/v13/i10/1417.htm"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F906D-B242-4C91-8338-E72F32AA1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69</Pages>
  <Words>21214</Words>
  <Characters>120926</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28</cp:revision>
  <dcterms:created xsi:type="dcterms:W3CDTF">2021-09-16T01:23:00Z</dcterms:created>
  <dcterms:modified xsi:type="dcterms:W3CDTF">2021-10-24T16:20:00Z</dcterms:modified>
</cp:coreProperties>
</file>