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EAF4" w14:textId="269F3F8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D6792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026B4EAA" w14:textId="39059D32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66447</w:t>
      </w:r>
    </w:p>
    <w:p w14:paraId="69B56FD3" w14:textId="3F14430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08FE7F7" w14:textId="77777777" w:rsidR="00A77B3E" w:rsidRDefault="00A77B3E" w:rsidP="00BF61EF">
      <w:pPr>
        <w:spacing w:line="360" w:lineRule="auto"/>
        <w:jc w:val="both"/>
      </w:pPr>
    </w:p>
    <w:p w14:paraId="5BC2D84E" w14:textId="6336E3D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Trials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F0FFA0" w14:textId="64A462E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permissive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hypocaloric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enteral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feeding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function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sepsis</w:t>
      </w:r>
    </w:p>
    <w:p w14:paraId="248B8E6B" w14:textId="77777777" w:rsidR="00A77B3E" w:rsidRDefault="00A77B3E" w:rsidP="00BF61EF">
      <w:pPr>
        <w:spacing w:line="360" w:lineRule="auto"/>
        <w:jc w:val="both"/>
      </w:pPr>
    </w:p>
    <w:p w14:paraId="18E36AED" w14:textId="3C6839B2" w:rsidR="00A77B3E" w:rsidRDefault="00EE1012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JK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E101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D679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E101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Hypocaloric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8B5651">
        <w:rPr>
          <w:rFonts w:ascii="Book Antiqua" w:eastAsia="Book Antiqua" w:hAnsi="Book Antiqua" w:cs="Book Antiqua"/>
          <w:color w:val="000000"/>
        </w:rPr>
        <w:t>function</w:t>
      </w:r>
    </w:p>
    <w:p w14:paraId="6789C795" w14:textId="77777777" w:rsidR="00A77B3E" w:rsidRDefault="00A77B3E" w:rsidP="00BF61EF">
      <w:pPr>
        <w:spacing w:line="360" w:lineRule="auto"/>
        <w:jc w:val="both"/>
      </w:pPr>
    </w:p>
    <w:p w14:paraId="2BBA95E4" w14:textId="3752A9B0" w:rsidR="00A77B3E" w:rsidRDefault="008B5651" w:rsidP="00BF61E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Jia-Kui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Yong-Ming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Xin-Wei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</w:p>
    <w:p w14:paraId="301521D9" w14:textId="77777777" w:rsidR="00A77B3E" w:rsidRDefault="00A77B3E" w:rsidP="00BF61EF">
      <w:pPr>
        <w:spacing w:line="360" w:lineRule="auto"/>
        <w:jc w:val="both"/>
      </w:pPr>
    </w:p>
    <w:p w14:paraId="35C04964" w14:textId="25558E9A" w:rsidR="00A77B3E" w:rsidRDefault="008B5651" w:rsidP="00BF61E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Jia-Kui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Shuai</w:t>
      </w:r>
      <w:proofErr w:type="spellEnd"/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Yong-Ming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Xin-Wei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CCC46B7" w14:textId="77777777" w:rsidR="00A77B3E" w:rsidRDefault="00A77B3E" w:rsidP="00BF61EF">
      <w:pPr>
        <w:spacing w:line="360" w:lineRule="auto"/>
        <w:jc w:val="both"/>
      </w:pPr>
    </w:p>
    <w:p w14:paraId="33C1959A" w14:textId="2606092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Su-Ming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</w:t>
      </w:r>
      <w:r>
        <w:rPr>
          <w:rFonts w:ascii="Book Antiqua" w:eastAsia="Book Antiqua" w:hAnsi="Book Antiqua" w:cs="Book Antiqua"/>
          <w:color w:val="000000"/>
        </w:rPr>
        <w:t>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494F47D" w14:textId="77777777" w:rsidR="00A77B3E" w:rsidRDefault="00A77B3E" w:rsidP="00BF61EF">
      <w:pPr>
        <w:spacing w:line="360" w:lineRule="auto"/>
        <w:jc w:val="both"/>
      </w:pPr>
    </w:p>
    <w:p w14:paraId="01741417" w14:textId="2BF6635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6F265A">
        <w:rPr>
          <w:rFonts w:ascii="Book Antiqua" w:eastAsia="Book Antiqua" w:hAnsi="Book Antiqua" w:cs="Book Antiqua"/>
          <w:color w:val="000000"/>
        </w:rPr>
        <w:t xml:space="preserve"> to this work</w:t>
      </w:r>
      <w:r>
        <w:rPr>
          <w:rFonts w:ascii="Book Antiqua" w:eastAsia="Book Antiqua" w:hAnsi="Book Antiqua" w:cs="Book Antiqua"/>
          <w:color w:val="000000"/>
        </w:rPr>
        <w:t>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-corresponding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study </w:t>
      </w:r>
      <w:r>
        <w:rPr>
          <w:rFonts w:ascii="Book Antiqua" w:eastAsia="Book Antiqua" w:hAnsi="Book Antiqua" w:cs="Book Antiqua"/>
          <w:color w:val="000000"/>
        </w:rPr>
        <w:t>des</w:t>
      </w:r>
      <w:r>
        <w:rPr>
          <w:rFonts w:ascii="Book Antiqua" w:eastAsia="Book Antiqua" w:hAnsi="Book Antiqua" w:cs="Book Antiqua"/>
          <w:color w:val="000000"/>
        </w:rPr>
        <w:t>ign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experiments;</w:t>
      </w:r>
      <w:r w:rsidR="00AD6792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5D335E11" w14:textId="77777777" w:rsidR="00A77B3E" w:rsidRDefault="00A77B3E" w:rsidP="00BF61EF">
      <w:pPr>
        <w:spacing w:line="360" w:lineRule="auto"/>
        <w:jc w:val="both"/>
      </w:pPr>
    </w:p>
    <w:p w14:paraId="16AC965C" w14:textId="133F4F8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81701881;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YKK17102.</w:t>
      </w:r>
    </w:p>
    <w:p w14:paraId="761100BD" w14:textId="77777777" w:rsidR="00A77B3E" w:rsidRDefault="00A77B3E" w:rsidP="00BF61EF">
      <w:pPr>
        <w:spacing w:line="360" w:lineRule="auto"/>
        <w:jc w:val="both"/>
      </w:pPr>
    </w:p>
    <w:p w14:paraId="05565125" w14:textId="05F1286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Xin-Wei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Changle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210006,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njdrmxw2012@163.com</w:t>
      </w:r>
    </w:p>
    <w:p w14:paraId="5B739CEE" w14:textId="77777777" w:rsidR="00A77B3E" w:rsidRDefault="00A77B3E" w:rsidP="00BF61EF">
      <w:pPr>
        <w:spacing w:line="360" w:lineRule="auto"/>
        <w:jc w:val="both"/>
      </w:pPr>
    </w:p>
    <w:p w14:paraId="7D5841E8" w14:textId="256989C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DE54D41" w14:textId="3FDC888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0D186B7" w14:textId="5117C23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FA3FE2">
        <w:rPr>
          <w:rFonts w:ascii="Book Antiqua" w:eastAsia="宋体" w:hAnsi="Book Antiqua"/>
          <w:color w:val="000000" w:themeColor="text1"/>
        </w:rPr>
        <w:t>J</w:t>
      </w:r>
      <w:r w:rsidR="00FA3FE2">
        <w:rPr>
          <w:rFonts w:ascii="Book Antiqua" w:eastAsia="宋体" w:hAnsi="Book Antiqua" w:hint="eastAsia"/>
          <w:color w:val="000000" w:themeColor="text1"/>
        </w:rPr>
        <w:t>u</w:t>
      </w:r>
      <w:r w:rsidR="00FA3FE2">
        <w:rPr>
          <w:rFonts w:ascii="Book Antiqua" w:eastAsia="宋体" w:hAnsi="Book Antiqua"/>
          <w:color w:val="000000" w:themeColor="text1"/>
        </w:rPr>
        <w:t>ly</w:t>
      </w:r>
      <w:r w:rsidR="00FA3FE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FA3FE2">
        <w:rPr>
          <w:rFonts w:ascii="Book Antiqua" w:eastAsia="宋体" w:hAnsi="Book Antiqua"/>
          <w:color w:val="000000" w:themeColor="text1"/>
        </w:rPr>
        <w:t>13</w:t>
      </w:r>
      <w:r w:rsidR="00FA3FE2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2129D4A1" w14:textId="6CF78A3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CCED62A" w14:textId="77777777" w:rsidR="00A77B3E" w:rsidRDefault="00A77B3E" w:rsidP="00BF61EF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AF383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5C8B6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45DE690" w14:textId="51E7B32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</w:t>
      </w:r>
      <w:r>
        <w:rPr>
          <w:rFonts w:ascii="Book Antiqua" w:eastAsia="Book Antiqua" w:hAnsi="Book Antiqua" w:cs="Book Antiqua"/>
          <w:color w:val="000000"/>
        </w:rPr>
        <w:t>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are</w:t>
      </w:r>
      <w:r w:rsidR="003C0F7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162CF7F" w14:textId="77777777" w:rsidR="00A77B3E" w:rsidRDefault="00A77B3E" w:rsidP="00BF61EF">
      <w:pPr>
        <w:spacing w:line="360" w:lineRule="auto"/>
        <w:jc w:val="both"/>
      </w:pPr>
    </w:p>
    <w:p w14:paraId="66BF02EA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8DFCBA9" w14:textId="01F1BC5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</w:t>
      </w:r>
      <w:r>
        <w:rPr>
          <w:rFonts w:ascii="Book Antiqua" w:eastAsia="Book Antiqua" w:hAnsi="Book Antiqua" w:cs="Book Antiqua"/>
          <w:color w:val="000000"/>
        </w:rPr>
        <w:t>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function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C94E783" w14:textId="77777777" w:rsidR="00A77B3E" w:rsidRDefault="00A77B3E" w:rsidP="00BF61EF">
      <w:pPr>
        <w:spacing w:line="360" w:lineRule="auto"/>
        <w:jc w:val="both"/>
      </w:pPr>
    </w:p>
    <w:p w14:paraId="0782739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29A44DF" w14:textId="31D2D66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</w:t>
      </w:r>
      <w:r w:rsidR="006F265A">
        <w:rPr>
          <w:rFonts w:ascii="Book Antiqua" w:eastAsia="Book Antiqua" w:hAnsi="Book Antiqua" w:cs="Book Antiqua"/>
          <w:color w:val="000000"/>
        </w:rPr>
        <w:t>ti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</w:p>
    <w:p w14:paraId="6350FBFF" w14:textId="77777777" w:rsidR="00A77B3E" w:rsidRDefault="00A77B3E" w:rsidP="00BF61EF">
      <w:pPr>
        <w:spacing w:line="360" w:lineRule="auto"/>
        <w:jc w:val="both"/>
      </w:pPr>
    </w:p>
    <w:p w14:paraId="34E04F70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C544173" w14:textId="7317007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</w:t>
      </w:r>
      <w:r w:rsidR="006F265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1.68</w:t>
      </w:r>
      <w:r w:rsidR="006F265A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(16.5%)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(8.7%)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Pr="00AD6792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675F905F" w14:textId="77777777" w:rsidR="00A77B3E" w:rsidRDefault="00A77B3E" w:rsidP="00BF61EF">
      <w:pPr>
        <w:spacing w:line="360" w:lineRule="auto"/>
        <w:jc w:val="both"/>
      </w:pPr>
    </w:p>
    <w:p w14:paraId="5832842C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50568E6" w14:textId="7FA8037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</w:t>
      </w:r>
      <w:r>
        <w:rPr>
          <w:rFonts w:ascii="Book Antiqua" w:eastAsia="Book Antiqua" w:hAnsi="Book Antiqua" w:cs="Book Antiqua"/>
          <w:color w:val="000000"/>
        </w:rPr>
        <w:t>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clinical 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</w:p>
    <w:p w14:paraId="5B95FC05" w14:textId="77777777" w:rsidR="00A77B3E" w:rsidRDefault="00A77B3E" w:rsidP="00BF61EF">
      <w:pPr>
        <w:spacing w:line="360" w:lineRule="auto"/>
        <w:jc w:val="both"/>
      </w:pPr>
    </w:p>
    <w:p w14:paraId="23F23C10" w14:textId="7DEF58F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</w:p>
    <w:p w14:paraId="1EF6E909" w14:textId="77777777" w:rsidR="00A77B3E" w:rsidRDefault="00A77B3E" w:rsidP="00BF61EF">
      <w:pPr>
        <w:spacing w:line="360" w:lineRule="auto"/>
        <w:jc w:val="both"/>
      </w:pPr>
    </w:p>
    <w:p w14:paraId="0156D318" w14:textId="07EB4DF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AECE481" w14:textId="77777777" w:rsidR="00A77B3E" w:rsidRDefault="00A77B3E" w:rsidP="00BF61EF">
      <w:pPr>
        <w:spacing w:line="360" w:lineRule="auto"/>
        <w:jc w:val="both"/>
      </w:pPr>
    </w:p>
    <w:p w14:paraId="6D07302F" w14:textId="623C748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</w:t>
      </w:r>
      <w:r>
        <w:rPr>
          <w:rFonts w:ascii="Book Antiqua" w:eastAsia="Book Antiqua" w:hAnsi="Book Antiqua" w:cs="Book Antiqua"/>
          <w:color w:val="000000"/>
        </w:rPr>
        <w:t>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>
        <w:rPr>
          <w:rFonts w:ascii="Book Antiqua" w:eastAsia="Book Antiqua" w:hAnsi="Book Antiqua" w:cs="Book Antiqua"/>
          <w:color w:val="000000"/>
        </w:rPr>
        <w:t>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7D0621A" w14:textId="77777777" w:rsidR="00A77B3E" w:rsidRDefault="00A77B3E" w:rsidP="00BF61EF">
      <w:pPr>
        <w:spacing w:line="360" w:lineRule="auto"/>
        <w:jc w:val="both"/>
      </w:pPr>
    </w:p>
    <w:p w14:paraId="20504FF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419A73A" w14:textId="0E566AB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</w:t>
      </w:r>
      <w:r>
        <w:rPr>
          <w:rFonts w:ascii="Book Antiqua" w:eastAsia="Book Antiqua" w:hAnsi="Book Antiqua" w:cs="Book Antiqua"/>
          <w:color w:val="000000"/>
        </w:rPr>
        <w:t>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"_ENREF_1" \o "MM, 2018 #35"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1-3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Although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for </w:t>
      </w:r>
      <w:proofErr w:type="gramStart"/>
      <w:r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715">
        <w:fldChar w:fldCharType="begin"/>
      </w:r>
      <w:r w:rsidR="00E11715">
        <w:instrText xml:space="preserve"> HYPERLINK \l "_ENREF_1" \o "MM, 2018 #35" </w:instrText>
      </w:r>
      <w:r w:rsidR="00E1171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</w:t>
      </w:r>
      <w:r w:rsidR="00E1171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" w:tooltip="Rhodes, 2017 #8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</w:t>
      </w:r>
      <w:r>
        <w:rPr>
          <w:rFonts w:ascii="Book Antiqua" w:eastAsia="Book Antiqua" w:hAnsi="Book Antiqua" w:cs="Book Antiqua"/>
          <w:color w:val="000000"/>
        </w:rPr>
        <w:t>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20%-50%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" w:tooltip="Rudd, 2020 #33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5" w:tooltip="Fleischmann-Struzek, 2020 #3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(EEN),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"_ENREF_6" \o "Lambell, 2020 #62"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6-9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"_ENREF_10" \o "Sun, 2019 #94"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10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1" w:tooltip="Sun, 2013 #9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>
        <w:rPr>
          <w:rFonts w:ascii="Book Antiqua" w:eastAsia="Book Antiqua" w:hAnsi="Book Antiqua" w:cs="Book Antiqua"/>
          <w:color w:val="000000"/>
        </w:rPr>
        <w:t>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offer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illness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"_ENREF_12" \o "Dickerson, 2020 #79"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12-17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"_ENREF_14" \o "Target Investigators, 2018 #83"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14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there are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contraindications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"_ENREF_9" \o "Reintam Blaser, 2017 #65"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9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should be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shock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"_ENREF_18" \o "Singer, 2019 #82"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18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3141C0" w14:textId="1587DAE2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Until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</w:t>
      </w:r>
      <w:r>
        <w:rPr>
          <w:rFonts w:ascii="Book Antiqua" w:eastAsia="Book Antiqua" w:hAnsi="Book Antiqua" w:cs="Book Antiqua"/>
          <w:color w:val="000000"/>
        </w:rPr>
        <w:t>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>fectious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"_ENREF_19" \o "National Heart, 2012 #66"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19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PermiT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"_ENREF_17" \o "Arabi, 2015 #68"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17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(15%-59%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3" w:tooltip="Hartl, 2019 #7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5" w:tooltip="Silva, 2018 #7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</w:t>
      </w:r>
      <w:r>
        <w:rPr>
          <w:rFonts w:ascii="Book Antiqua" w:eastAsia="Book Antiqua" w:hAnsi="Book Antiqua" w:cs="Book Antiqua"/>
          <w:color w:val="000000"/>
        </w:rPr>
        <w:t>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7B428E2" w14:textId="25710B6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591408A" w14:textId="77777777" w:rsidR="00A77B3E" w:rsidRDefault="00A77B3E" w:rsidP="00BF61EF">
      <w:pPr>
        <w:spacing w:line="360" w:lineRule="auto"/>
        <w:ind w:firstLine="480"/>
        <w:jc w:val="both"/>
      </w:pPr>
    </w:p>
    <w:p w14:paraId="7065D12F" w14:textId="52F4085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D16FD3A" w14:textId="6B273FC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5FD4501" w14:textId="423AA7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</w:t>
      </w:r>
      <w:r>
        <w:rPr>
          <w:rFonts w:ascii="Book Antiqua" w:eastAsia="Book Antiqua" w:hAnsi="Book Antiqua" w:cs="Book Antiqua"/>
          <w:color w:val="000000"/>
        </w:rPr>
        <w:t>ective,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"_ENREF_10" \o "Sun, 2019 #94"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10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concealed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unblinded.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improbable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204D1447" w14:textId="193BCD8B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KY20180713-01),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Trials.gov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NCT03791866).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</w:p>
    <w:p w14:paraId="480FA443" w14:textId="77777777" w:rsidR="00A77B3E" w:rsidRDefault="00A77B3E" w:rsidP="00BF61EF">
      <w:pPr>
        <w:spacing w:line="360" w:lineRule="auto"/>
        <w:ind w:firstLine="480"/>
        <w:jc w:val="both"/>
      </w:pPr>
    </w:p>
    <w:p w14:paraId="1B1D6839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523409EE" w14:textId="5F13E77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>
        <w:rPr>
          <w:rFonts w:ascii="Book Antiqua" w:eastAsia="Book Antiqua" w:hAnsi="Book Antiqua" w:cs="Book Antiqua"/>
          <w:color w:val="000000"/>
        </w:rPr>
        <w:t>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6F265A"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bookmarkStart w:id="3" w:name="_GoBack"/>
      <w:r>
        <w:rPr>
          <w:rFonts w:ascii="Book Antiqua" w:eastAsia="Book Antiqua" w:hAnsi="Book Antiqua" w:cs="Book Antiqua"/>
          <w:color w:val="000000"/>
        </w:rPr>
        <w:t>-70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r>
        <w:rPr>
          <w:rFonts w:ascii="Book Antiqua" w:eastAsia="Book Antiqua" w:hAnsi="Book Antiqua" w:cs="Book Antiqua"/>
          <w:color w:val="000000"/>
        </w:rPr>
        <w:t>Department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"_ENREF_2" \o "Rhodes, 2017 #84"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3" w:tooltip="Singer, 2016 #8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hemorrhage,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immunodeficiency,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(MV),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MM, 2018 #3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" w:tooltip="Rhodes, 2017 #8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0" w:tooltip="Cecconi, 2018 #4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6DC448" w14:textId="77777777" w:rsidR="00A77B3E" w:rsidRDefault="00A77B3E" w:rsidP="00BF61EF">
      <w:pPr>
        <w:spacing w:line="360" w:lineRule="auto"/>
        <w:jc w:val="both"/>
      </w:pPr>
    </w:p>
    <w:p w14:paraId="5B0FC94F" w14:textId="7FA6E77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Nutrition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protocols</w:t>
      </w:r>
    </w:p>
    <w:p w14:paraId="07AABCA9" w14:textId="4E2BCB5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Flocare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nasojejunal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post-pyloric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"_ENREF_10" \o "Sun, 2019 #94"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10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1" w:tooltip="Sun, 2018 #8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21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Peptisorb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24-48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Nutrison</w:t>
      </w:r>
      <w:proofErr w:type="spellEnd"/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Fibre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Nutricia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gradually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"_ENREF_10" \o "Sun, 2019 #94"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10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1.2-2.0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0" w:tooltip="Sun, 2019 #94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10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(10-20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abdominal/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"_ENREF_9" \o "Reintam Blaser, 2017 #65"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9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prokinetic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agents.</w:t>
      </w:r>
    </w:p>
    <w:p w14:paraId="3C145485" w14:textId="741A10DC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(PN)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715">
        <w:fldChar w:fldCharType="begin"/>
      </w:r>
      <w:r w:rsidR="00E11715">
        <w:instrText xml:space="preserve"> HYPERLINK \l "_ENREF_8" \o "Taylor, 2016 #81" </w:instrText>
      </w:r>
      <w:r w:rsidR="00E1171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8</w:t>
      </w:r>
      <w:r w:rsidR="00E1171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calorie/nitrogen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120-150:1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Taylor, 2016 #8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F265A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supplied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provided.</w:t>
      </w:r>
    </w:p>
    <w:p w14:paraId="72FB43D6" w14:textId="77777777" w:rsidR="00A77B3E" w:rsidRDefault="00A77B3E" w:rsidP="00BF61EF">
      <w:pPr>
        <w:spacing w:line="360" w:lineRule="auto"/>
        <w:ind w:firstLine="480"/>
        <w:jc w:val="both"/>
      </w:pPr>
    </w:p>
    <w:p w14:paraId="2C665A8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6DACF67D" w14:textId="20EE81F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cellular/metabolic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"_ENREF_1" \o "MM, 2018 #35"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1-3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</w:t>
      </w:r>
      <w:r>
        <w:rPr>
          <w:rFonts w:ascii="Book Antiqua" w:eastAsia="Book Antiqua" w:hAnsi="Book Antiqua" w:cs="Book Antiqua"/>
          <w:color w:val="000000"/>
        </w:rPr>
        <w:t>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(ARDS)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based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definitions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"_ENREF_22" \o "Fan, 2018 #103"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22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3" w:tooltip=", 2012 #10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</w:t>
      </w:r>
      <w:r>
        <w:rPr>
          <w:rFonts w:ascii="Book Antiqua" w:eastAsia="Book Antiqua" w:hAnsi="Book Antiqua" w:cs="Book Antiqua"/>
          <w:color w:val="000000"/>
        </w:rPr>
        <w:t>dney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(AKI)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"_ENREF_24" \o ", 2012 #104"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24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interventions);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F7911BF" w14:textId="56CB0E3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whatever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(vomiting,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entero-cutaneous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5" w:tooltip="Reintam Blaser, 2020 #61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25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mL/d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"_ENREF_26" \o "Reintam Blaser, 2012 #105"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(GRV)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"_ENREF_26" \o "Reintam Blaser, 2012 #105"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(IAH)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(IAP)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apart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"_ENREF_26" \o "Reintam Blaser, 2012 #105"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F265A">
        <w:rPr>
          <w:rFonts w:ascii="Book Antiqua" w:eastAsia="Book Antiqua" w:hAnsi="Book Antiqua" w:cs="Book Antiqua"/>
          <w:color w:val="000000"/>
        </w:rPr>
        <w:t xml:space="preserve"> 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</w:t>
      </w:r>
      <w:r>
        <w:rPr>
          <w:rFonts w:ascii="Book Antiqua" w:eastAsia="Book Antiqua" w:hAnsi="Book Antiqua" w:cs="Book Antiqua"/>
          <w:color w:val="000000"/>
        </w:rPr>
        <w:t>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(paralytic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peristalsis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"_ENREF_26" \o "Reintam Blaser, 2012 #105"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paralytic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(MODS)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</w:p>
    <w:p w14:paraId="02AA9B71" w14:textId="77777777" w:rsidR="00A77B3E" w:rsidRDefault="00A77B3E" w:rsidP="00BF61EF">
      <w:pPr>
        <w:spacing w:line="360" w:lineRule="auto"/>
        <w:ind w:firstLine="480"/>
        <w:jc w:val="both"/>
      </w:pPr>
    </w:p>
    <w:p w14:paraId="6619E35D" w14:textId="585ACED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0A34522A" w14:textId="1593D44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</w:t>
      </w:r>
      <w:r>
        <w:rPr>
          <w:rFonts w:ascii="Book Antiqua" w:eastAsia="Book Antiqua" w:hAnsi="Book Antiqua" w:cs="Book Antiqua"/>
          <w:color w:val="000000"/>
        </w:rPr>
        <w:t>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ICU,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“gold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malnourished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715">
        <w:fldChar w:fldCharType="begin"/>
      </w:r>
      <w:r w:rsidR="00E11715">
        <w:instrText xml:space="preserve"> HYPERLINK \l "_ENREF_18" \o "Singer, 2019 #82" </w:instrText>
      </w:r>
      <w:r w:rsidR="00E1171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18</w:t>
      </w:r>
      <w:r w:rsidR="00E1171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F265A"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8" w:tooltip="Carteron, 2021 #107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prealbumin,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F26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F265A" w:rsidRPr="006F265A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biomarkers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(DAO),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"_ENREF_29" \o "Haussner, 2019 #42"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29-31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Quantikine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enzyme-linked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immunosorbent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(ELISA)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Bio-Techne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(CRRT)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recorded.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440C48A" w14:textId="77777777" w:rsidR="00A77B3E" w:rsidRDefault="00A77B3E" w:rsidP="00BF61EF">
      <w:pPr>
        <w:spacing w:line="360" w:lineRule="auto"/>
        <w:jc w:val="both"/>
      </w:pPr>
    </w:p>
    <w:p w14:paraId="13C0AD37" w14:textId="1FA4B1A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1C1CA9B" w14:textId="5BBCFAD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Kolmogorov-Smirnov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>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SD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(interquartile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A86A1B" w:rsidRPr="00A86A1B">
        <w:rPr>
          <w:rFonts w:ascii="Book Antiqua" w:eastAsia="Book Antiqua" w:hAnsi="Book Antiqua" w:cs="Book Antiqua"/>
          <w:color w:val="000000"/>
        </w:rPr>
        <w:t>Mann-Whitney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(ANOVA)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</w:t>
      </w:r>
      <w:r>
        <w:rPr>
          <w:rFonts w:ascii="Book Antiqua" w:eastAsia="Book Antiqua" w:hAnsi="Book Antiqua" w:cs="Book Antiqua"/>
          <w:color w:val="000000"/>
        </w:rPr>
        <w:t>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6F265A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biostatistician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6F265A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China.</w:t>
      </w:r>
    </w:p>
    <w:p w14:paraId="62867BEA" w14:textId="77777777" w:rsidR="00A77B3E" w:rsidRDefault="00A77B3E" w:rsidP="00BF61EF">
      <w:pPr>
        <w:spacing w:line="360" w:lineRule="auto"/>
        <w:jc w:val="both"/>
      </w:pPr>
    </w:p>
    <w:p w14:paraId="5C4CB784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29384B" w14:textId="47E368B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E11715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E117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Forty-two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77.8%)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whom </w:t>
      </w:r>
      <w:r>
        <w:rPr>
          <w:rFonts w:ascii="Book Antiqua" w:eastAsia="Book Antiqua" w:hAnsi="Book Antiqua" w:cs="Book Antiqua"/>
          <w:color w:val="000000"/>
        </w:rPr>
        <w:t>13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Forty-nine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90.7%)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received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25.9%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(14/54)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</w:p>
    <w:p w14:paraId="766159F4" w14:textId="77777777" w:rsidR="00A77B3E" w:rsidRDefault="00A77B3E" w:rsidP="00BF61EF">
      <w:pPr>
        <w:spacing w:line="360" w:lineRule="auto"/>
        <w:jc w:val="both"/>
      </w:pPr>
    </w:p>
    <w:p w14:paraId="0FC4D523" w14:textId="2562F12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nutritional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D315DFC" w14:textId="04DC887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0.82)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1.68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0.077).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group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39EF3DDA" w14:textId="2F1CB188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2A6A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(16/54,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(11.8%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52.6%,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0.019).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0.658)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0.057).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Although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0.046)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</w:p>
    <w:p w14:paraId="2A249B9B" w14:textId="10E7C9B1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Comparison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D-lactate,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shows the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prealbumin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(mg/L)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(71.09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103.33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40.45,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(71.09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110.62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/L)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higher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(115.54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72.37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35.59,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0.028)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0.126).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levels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97240C1" w14:textId="2B07FE83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2A6A57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2A6A5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F2B15D7" w14:textId="77777777" w:rsidR="00A77B3E" w:rsidRDefault="00A77B3E" w:rsidP="00BF61EF">
      <w:pPr>
        <w:spacing w:line="360" w:lineRule="auto"/>
        <w:ind w:firstLine="480"/>
        <w:jc w:val="both"/>
      </w:pPr>
    </w:p>
    <w:p w14:paraId="02F197E6" w14:textId="58F39F1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Clinical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AD679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095D0E47" w14:textId="0A6413D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SOFA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2A6A5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5A</w:t>
      </w:r>
      <w:r w:rsidR="00AD679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B).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ICU-free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2A6A57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5C)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51F9645B" w14:textId="77777777" w:rsidR="00A77B3E" w:rsidRDefault="00A77B3E" w:rsidP="00BF61EF">
      <w:pPr>
        <w:spacing w:line="360" w:lineRule="auto"/>
        <w:jc w:val="both"/>
      </w:pPr>
    </w:p>
    <w:p w14:paraId="678BC81F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8892C58" w14:textId="603D959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intakes.</w:t>
      </w:r>
    </w:p>
    <w:p w14:paraId="41771911" w14:textId="69DAE715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</w:t>
      </w:r>
      <w:r>
        <w:rPr>
          <w:rFonts w:ascii="Book Antiqua" w:eastAsia="Book Antiqua" w:hAnsi="Book Antiqua" w:cs="Book Antiqua"/>
          <w:color w:val="000000"/>
        </w:rPr>
        <w:t>unately,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challenging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"_ENREF_6" \o "Lambell, 2020 #62"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harmful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"_ENREF_6" \o "Lambell, 2020 #62"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Niekerk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"_ENREF_32" \o "van Niekerk, 2020 #70"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32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PROCASEPT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study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de Koning, 2020 #109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33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34" w:tooltip="de Koning, 2020 #11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</w:t>
      </w:r>
      <w:r w:rsidR="001E4751">
        <w:rPr>
          <w:rFonts w:ascii="Book Antiqua" w:eastAsia="Book Antiqua" w:hAnsi="Book Antiqua" w:cs="Book Antiqua"/>
          <w:color w:val="000000"/>
        </w:rPr>
        <w:t xml:space="preserve">mo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de Koning, 2020 #110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34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lack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(20-25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715">
        <w:fldChar w:fldCharType="begin"/>
      </w:r>
      <w:r w:rsidR="00E11715">
        <w:instrText xml:space="preserve"> HYPERLINK \l "_ENREF_8" \o "Taylor, 2016 #81" </w:instrText>
      </w:r>
      <w:r w:rsidR="00E1171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8</w:t>
      </w:r>
      <w:r w:rsidR="00E1171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8" w:tooltip="Singer, 2019 #8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18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"_ENREF_13" \o "Hartl, 2019 #76"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13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17" w:tooltip="Arabi, 2015 #68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17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110966A3" w14:textId="2A0349E1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"_ENREF_25" \o "Reintam Blaser, 2020 #61"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25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Accompanied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</w:t>
      </w:r>
      <w:r w:rsidR="001E4751"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11715">
        <w:fldChar w:fldCharType="begin"/>
      </w:r>
      <w:r w:rsidR="00E11715">
        <w:instrText xml:space="preserve"> HYPERLINK \l "_ENREF_25" \o "Reintam Blaser, 2020 #61" </w:instrText>
      </w:r>
      <w:r w:rsidR="00E1171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25</w:t>
      </w:r>
      <w:r w:rsidR="00E1171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6" w:tooltip="Reintam Blaser, 2012 #10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Lambell, 2020 #62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6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9" w:tooltip="Reintam Blaser, 2017 #65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9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,</w:t>
      </w:r>
      <w:hyperlink w:anchor="_ENREF_27" w:tooltip="van Zanten, 2019 #106" w:history="1">
        <w:r>
          <w:rPr>
            <w:rFonts w:ascii="Book Antiqua" w:eastAsia="Book Antiqua" w:hAnsi="Book Antiqua" w:cs="Book Antiqua"/>
            <w:color w:val="000000"/>
            <w:szCs w:val="20"/>
            <w:u w:val="single" w:color="0000EE"/>
            <w:vertAlign w:val="superscript"/>
          </w:rPr>
          <w:t>27</w:t>
        </w:r>
      </w:hyperlink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>
        <w:rPr>
          <w:rFonts w:ascii="Book Antiqua" w:eastAsia="Book Antiqua" w:hAnsi="Book Antiqua" w:cs="Book Antiqua"/>
          <w:color w:val="000000"/>
        </w:rPr>
        <w:t>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</w:t>
      </w:r>
      <w:r>
        <w:rPr>
          <w:rFonts w:ascii="Book Antiqua" w:eastAsia="Book Antiqua" w:hAnsi="Book Antiqua" w:cs="Book Antiqua"/>
          <w:color w:val="000000"/>
        </w:rPr>
        <w:t>uirement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"_ENREF_32" \o "van Niekerk, 2020 #70"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32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synergistic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</w:t>
      </w:r>
      <w:r>
        <w:rPr>
          <w:rFonts w:ascii="Book Antiqua" w:eastAsia="Book Antiqua" w:hAnsi="Book Antiqua" w:cs="Book Antiqua"/>
          <w:color w:val="000000"/>
        </w:rPr>
        <w:t>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30B33D4E" w14:textId="3DE59132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"_ENREF_37" \o "Hu, 2017 #111"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35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multiyear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1E4751">
        <w:rPr>
          <w:rFonts w:ascii="Book Antiqua" w:eastAsia="Book Antiqua" w:hAnsi="Book Antiqua" w:cs="Book Antiqua"/>
          <w:color w:val="000000"/>
        </w:rPr>
        <w:t xml:space="preserve"> dysfunction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respiratory-related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B3955">
        <w:fldChar w:fldCharType="begin"/>
      </w:r>
      <w:r w:rsidR="003B3955">
        <w:instrText xml:space="preserve"> HYPERLINK \l "_ENREF_38" \o "Heyland, 2021 #108" </w:instrText>
      </w:r>
      <w:r w:rsidR="003B3955">
        <w:fldChar w:fldCharType="separate"/>
      </w:r>
      <w:r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t>36</w:t>
      </w:r>
      <w:r w:rsidR="003B3955">
        <w:rPr>
          <w:rFonts w:ascii="Book Antiqua" w:eastAsia="Book Antiqua" w:hAnsi="Book Antiqua" w:cs="Book Antiqua"/>
          <w:color w:val="000000"/>
          <w:szCs w:val="20"/>
          <w:u w:val="single" w:color="0000EE"/>
          <w:vertAlign w:val="superscript"/>
        </w:rPr>
        <w:fldChar w:fldCharType="end"/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risk”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29.6%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means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</w:t>
      </w:r>
      <w:r>
        <w:rPr>
          <w:rFonts w:ascii="Book Antiqua" w:eastAsia="Book Antiqua" w:hAnsi="Book Antiqua" w:cs="Book Antiqua"/>
          <w:color w:val="000000"/>
        </w:rPr>
        <w:t>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trategy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undersupply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1E4751" w:rsidRPr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674394C1" w14:textId="511BA54F" w:rsidR="00A77B3E" w:rsidRDefault="008B5651" w:rsidP="00BF61E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fut</w:t>
      </w:r>
      <w:r w:rsidR="003C0F7D">
        <w:rPr>
          <w:rFonts w:ascii="Book Antiqua" w:eastAsia="Book Antiqua" w:hAnsi="Book Antiqua" w:cs="Book Antiqua"/>
          <w:color w:val="000000"/>
        </w:rPr>
        <w:t>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</w:t>
      </w:r>
      <w:r>
        <w:rPr>
          <w:rFonts w:ascii="Book Antiqua" w:eastAsia="Book Antiqua" w:hAnsi="Book Antiqua" w:cs="Book Antiqua"/>
          <w:color w:val="000000"/>
        </w:rPr>
        <w:t>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</w:p>
    <w:p w14:paraId="26AE8B87" w14:textId="77777777" w:rsidR="00A77B3E" w:rsidRDefault="00A77B3E" w:rsidP="00BF61EF">
      <w:pPr>
        <w:spacing w:line="360" w:lineRule="auto"/>
        <w:ind w:firstLine="480"/>
        <w:jc w:val="both"/>
      </w:pPr>
    </w:p>
    <w:p w14:paraId="112B849A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8AB128" w14:textId="1E16D3F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>
        <w:rPr>
          <w:rFonts w:ascii="Book Antiqua" w:eastAsia="Book Antiqua" w:hAnsi="Book Antiqua" w:cs="Book Antiqua"/>
          <w:color w:val="000000"/>
        </w:rPr>
        <w:t>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1E4751" w:rsidDel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5CBB219F" w14:textId="77777777" w:rsidR="00A77B3E" w:rsidRDefault="00A77B3E" w:rsidP="00BF61EF">
      <w:pPr>
        <w:spacing w:line="360" w:lineRule="auto"/>
        <w:jc w:val="both"/>
      </w:pPr>
    </w:p>
    <w:p w14:paraId="1205C5A7" w14:textId="65B5CAD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D679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7C58EF" w14:textId="1B34ECF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76C8450" w14:textId="2E6C217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91CF9D0" w14:textId="77777777" w:rsidR="00A77B3E" w:rsidRDefault="00A77B3E" w:rsidP="00BF61EF">
      <w:pPr>
        <w:spacing w:line="360" w:lineRule="auto"/>
        <w:jc w:val="both"/>
      </w:pPr>
    </w:p>
    <w:p w14:paraId="07A857A3" w14:textId="312A10A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036CF18" w14:textId="0E8B54E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has </w:t>
      </w:r>
      <w:r>
        <w:rPr>
          <w:rFonts w:ascii="Book Antiqua" w:eastAsia="Book Antiqua" w:hAnsi="Book Antiqua" w:cs="Book Antiqua"/>
          <w:color w:val="000000"/>
        </w:rPr>
        <w:t>been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31B3C57A" w14:textId="77777777" w:rsidR="00A77B3E" w:rsidRDefault="00A77B3E" w:rsidP="00BF61EF">
      <w:pPr>
        <w:spacing w:line="360" w:lineRule="auto"/>
        <w:jc w:val="both"/>
      </w:pPr>
    </w:p>
    <w:p w14:paraId="58ABB987" w14:textId="075D1D2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EF95293" w14:textId="6E22F75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</w:p>
    <w:p w14:paraId="4DE1A5C5" w14:textId="77777777" w:rsidR="00A77B3E" w:rsidRDefault="00A77B3E" w:rsidP="00BF61EF">
      <w:pPr>
        <w:spacing w:line="360" w:lineRule="auto"/>
        <w:jc w:val="both"/>
      </w:pPr>
    </w:p>
    <w:p w14:paraId="64A164A2" w14:textId="7B4EFBE0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E9E948A" w14:textId="2E1763D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</w:rPr>
        <w:t>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</w:t>
      </w:r>
      <w:r w:rsidR="001E4751">
        <w:rPr>
          <w:rFonts w:ascii="Book Antiqua" w:eastAsia="Book Antiqua" w:hAnsi="Book Antiqua" w:cs="Book Antiqua"/>
          <w:color w:val="000000"/>
        </w:rPr>
        <w:t>ti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</w:p>
    <w:p w14:paraId="44B52502" w14:textId="77777777" w:rsidR="00A77B3E" w:rsidRDefault="00A77B3E" w:rsidP="00BF61EF">
      <w:pPr>
        <w:spacing w:line="360" w:lineRule="auto"/>
        <w:jc w:val="both"/>
      </w:pPr>
    </w:p>
    <w:p w14:paraId="7459A460" w14:textId="0F1314C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E03F13C" w14:textId="12DBC5E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1E47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28-d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</w:p>
    <w:p w14:paraId="684A5619" w14:textId="77777777" w:rsidR="00A77B3E" w:rsidRDefault="00A77B3E" w:rsidP="00BF61EF">
      <w:pPr>
        <w:spacing w:line="360" w:lineRule="auto"/>
        <w:jc w:val="both"/>
      </w:pPr>
    </w:p>
    <w:p w14:paraId="06D5EBFB" w14:textId="5740AA2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7CAA911" w14:textId="7DBD176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14C4C373" w14:textId="77777777" w:rsidR="00A77B3E" w:rsidRDefault="00A77B3E" w:rsidP="00BF61EF">
      <w:pPr>
        <w:spacing w:line="360" w:lineRule="auto"/>
        <w:jc w:val="both"/>
      </w:pPr>
    </w:p>
    <w:p w14:paraId="5B8AD72F" w14:textId="49039B5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D679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86E200E" w14:textId="4193D87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</w:t>
      </w:r>
      <w:r>
        <w:rPr>
          <w:rFonts w:ascii="Book Antiqua" w:eastAsia="Book Antiqua" w:hAnsi="Book Antiqua" w:cs="Book Antiqua"/>
          <w:color w:val="000000"/>
        </w:rPr>
        <w:t>timal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E475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>clinical</w:t>
      </w:r>
      <w:r w:rsidR="001E4751" w:rsidDel="001E4751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trials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33D0AE33" w14:textId="77777777" w:rsidR="00A77B3E" w:rsidRDefault="00A77B3E" w:rsidP="00BF61EF">
      <w:pPr>
        <w:spacing w:line="360" w:lineRule="auto"/>
        <w:jc w:val="both"/>
      </w:pPr>
    </w:p>
    <w:p w14:paraId="67B7B0C5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055208" w14:textId="4E0B2F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F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D6792">
        <w:rPr>
          <w:rFonts w:ascii="Book Antiqua" w:eastAsia="Book Antiqua" w:hAnsi="Book Antiqua" w:cs="Book Antiqua"/>
          <w:color w:val="000000"/>
        </w:rPr>
        <w:t xml:space="preserve"> QK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WX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</w:t>
      </w:r>
      <w:r>
        <w:rPr>
          <w:rFonts w:ascii="Book Antiqua" w:eastAsia="Book Antiqua" w:hAnsi="Book Antiqua" w:cs="Book Antiqua"/>
          <w:color w:val="000000"/>
        </w:rPr>
        <w:t>g</w:t>
      </w:r>
      <w:r w:rsidR="00AD6792">
        <w:rPr>
          <w:rFonts w:ascii="Book Antiqua" w:eastAsia="Book Antiqua" w:hAnsi="Book Antiqua" w:cs="Book Antiqua"/>
          <w:color w:val="000000"/>
        </w:rPr>
        <w:t xml:space="preserve"> WH </w:t>
      </w:r>
      <w:r w:rsidR="003C0F7D"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First Hospital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JK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</w:p>
    <w:p w14:paraId="2028B5EE" w14:textId="77777777" w:rsidR="00A77B3E" w:rsidRDefault="00A77B3E" w:rsidP="00BF61EF">
      <w:pPr>
        <w:spacing w:line="360" w:lineRule="auto"/>
        <w:jc w:val="both"/>
      </w:pPr>
    </w:p>
    <w:p w14:paraId="54D827B4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377FFBB" w14:textId="0D4B2AAC" w:rsidR="00A77B3E" w:rsidRDefault="008B5651" w:rsidP="00BF61EF">
      <w:pPr>
        <w:spacing w:line="360" w:lineRule="auto"/>
        <w:jc w:val="both"/>
      </w:pPr>
      <w:bookmarkStart w:id="4" w:name="OLE_LINK5"/>
      <w:r>
        <w:rPr>
          <w:rFonts w:ascii="Book Antiqua" w:eastAsia="Book Antiqua" w:hAnsi="Book Antiqua" w:cs="Book Antiqua"/>
          <w:color w:val="000000"/>
        </w:rPr>
        <w:t>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Campaign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997-1000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29767636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10.1097/CCM.0000000000003119]</w:t>
      </w:r>
    </w:p>
    <w:p w14:paraId="2D9A6C85" w14:textId="1105E06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Rhodes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Antonelli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Sevransky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Sprung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Nunnally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Rochwerg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Bellinghan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Coopersmith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Gerlach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Hidalgo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Hollenberg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Karnad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Kleinpell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Lisboa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Mazuski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McIntyre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McLean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Myburgh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Navalesi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Nishida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Osborn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Plunkett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Ranieri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Schorr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Seckel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Seymour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Shukri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Townsend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Wiersinga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Dellinger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Campaign: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304-377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28101605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10.1007/s00134-017-4683-6]</w:t>
      </w:r>
    </w:p>
    <w:p w14:paraId="1841FE04" w14:textId="29BD06F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Deutschman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Seymour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Shankar-Hari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Chiche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Coopersmith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Hotchkiss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Marshall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International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(Sepsis-3).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315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801-810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26903338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10.1001/jama.2016.0287]</w:t>
      </w:r>
    </w:p>
    <w:p w14:paraId="36BA8ECF" w14:textId="3D7880AA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Rudd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Agesa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Shackelford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Tsoi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Kievlan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Colombara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Ikuta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Kissoon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FinferS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Fleischmann-</w:t>
      </w:r>
      <w:proofErr w:type="spellStart"/>
      <w:r>
        <w:rPr>
          <w:rFonts w:ascii="Book Antiqua" w:eastAsia="Book Antiqua" w:hAnsi="Book Antiqua" w:cs="Book Antiqua"/>
          <w:color w:val="000000"/>
        </w:rPr>
        <w:t>Struzek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Machado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Reinhart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Seymour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Marinho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Lozano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Angus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Murray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Naghavi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1990-2017: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395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200-211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31954465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10.1016/S0140-6736(19)32989-7]</w:t>
      </w:r>
    </w:p>
    <w:p w14:paraId="2E056D3F" w14:textId="19FD2FB2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Fleischmann-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Struzek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Mellhammar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Cassini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Rudd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Schlattmann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Allegranzi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Reinhart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ICU-treated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1552-1562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32572531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10.1007/s00134-020-06151-x]</w:t>
      </w:r>
    </w:p>
    <w:p w14:paraId="213CDFC2" w14:textId="15B8C40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Lambell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KJ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Tatucu-Babet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Chapple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Gantner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Ridley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32019607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10.1186/s13054-020-2739-4]</w:t>
      </w:r>
    </w:p>
    <w:p w14:paraId="3760CF19" w14:textId="60BCC75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Arabi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YM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1875-1877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28756470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10.1007/s00134-017-4894-x]</w:t>
      </w:r>
    </w:p>
    <w:p w14:paraId="17F5BFB6" w14:textId="01A1B10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McClave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Martindale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Braunschweig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McCarthy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Davanos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Cresci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Gervasio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Sacks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Compher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(SCCM)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(A.S.P.E.N.).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390-438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26771786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10.1097/CCM.0000000000001525]</w:t>
      </w:r>
    </w:p>
    <w:p w14:paraId="49C8637C" w14:textId="074BA48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Hiesmayr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Malbrain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Montejo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González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Paugam-Burtz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Poeze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Wernerman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Whitehouse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Wilmer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Oudemans</w:t>
      </w:r>
      <w:proofErr w:type="spellEnd"/>
      <w:r>
        <w:rPr>
          <w:rFonts w:ascii="Book Antiqua" w:eastAsia="Book Antiqua" w:hAnsi="Book Antiqua" w:cs="Book Antiqua"/>
          <w:color w:val="000000"/>
        </w:rPr>
        <w:t>-van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380-398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28168570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10.1007/s00134-016-4665-0]</w:t>
      </w:r>
    </w:p>
    <w:p w14:paraId="279D78FF" w14:textId="34FA7A0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Th17/Treg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IL-23/IL-17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2799-2808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31236002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10.3748/wjg.v25.i22.2799]</w:t>
      </w:r>
    </w:p>
    <w:p w14:paraId="5F378628" w14:textId="638A84B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WQ,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917-922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23431120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10.3748/wjg.v19.i6.917]</w:t>
      </w:r>
    </w:p>
    <w:p w14:paraId="70229D39" w14:textId="556BD15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Dickerson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RN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NutrClinPract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617-626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32588488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10.1002/ncp.10501]</w:t>
      </w:r>
    </w:p>
    <w:p w14:paraId="7AF674BC" w14:textId="4458B9C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Hartl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Scheipl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Kuppinger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Küchenhoff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ClinNutr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660-667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29709380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10.1016/j.clnu.2018.04.005]</w:t>
      </w:r>
    </w:p>
    <w:p w14:paraId="5BE95931" w14:textId="77B1BFD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Investigators,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ANZICS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Chapman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Horowitz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Hurford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O’Connor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Presneill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Ridley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Energy-Dense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379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1823-1834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30346225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10.1056/NEJMoa1811687]</w:t>
      </w:r>
    </w:p>
    <w:p w14:paraId="220F813F" w14:textId="2EE28EE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CFA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Vasconcelos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NutrClinPract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388-396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29377333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10.1002/ncp.10001]</w:t>
      </w:r>
    </w:p>
    <w:p w14:paraId="47DE1C90" w14:textId="342DF21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Perman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Ciapponi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Crivelli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Garrote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Perman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hypocaloric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critically-ill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CD007867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29864793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10.1002/14651858.CD007867.pub2]</w:t>
      </w:r>
    </w:p>
    <w:p w14:paraId="2EFA8F83" w14:textId="208FB8C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Arabi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YM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Aldawood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Haddad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Dorzi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Tamim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McIntyre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Solaiman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Sakkijha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Sadat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Afesh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PermiT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Underfeeding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372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2398-2408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25992505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10.1056/NEJMoa1502826]</w:t>
      </w:r>
    </w:p>
    <w:p w14:paraId="5D606E34" w14:textId="39526D3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Blaser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Alhazzani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Hiesmayr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Montejo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Pichard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Oczkowski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Szczeklik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Bischoff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ClinNutr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48-79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30348463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10.1016/j.clnu.2018.08.037]</w:t>
      </w:r>
    </w:p>
    <w:p w14:paraId="5770A405" w14:textId="36D2C30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Heart,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Lung,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Respiratory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Distress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(ARDS)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Steingrub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307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795-803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22307571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10.1001/jama.2012.137]</w:t>
      </w:r>
    </w:p>
    <w:p w14:paraId="17513992" w14:textId="0E8149A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Cecconi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Rhodes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392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75-87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29937192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10.1016/S0140-6736(18)30696-2]</w:t>
      </w:r>
    </w:p>
    <w:p w14:paraId="221A6324" w14:textId="3CAD584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postpyloric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29519252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10.1186/s13054-018-1986-0]</w:t>
      </w:r>
    </w:p>
    <w:p w14:paraId="695A3265" w14:textId="32D4A10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Brodie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Slutsky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319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698-710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29466596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10.1001/jama.2017.21907]</w:t>
      </w:r>
    </w:p>
    <w:p w14:paraId="444C301F" w14:textId="1A56F04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ARDS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Definition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Task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Force.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Ranieri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Rubenfeld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Ferguson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Caldwell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Camporota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Slutsky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Berlin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307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2526-2533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22797452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10.1001/jama.2012.5669]</w:t>
      </w:r>
    </w:p>
    <w:p w14:paraId="39DEF086" w14:textId="08D503A0" w:rsidR="00A77B3E" w:rsidRDefault="008B5651" w:rsidP="00BF61E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color w:val="000000"/>
        </w:rPr>
        <w:t>24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IntSuppl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(2011)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19-36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25018918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10.1038/kisup.2011.32]</w:t>
      </w:r>
    </w:p>
    <w:p w14:paraId="38BE27A9" w14:textId="54880CC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Preiser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Wilmer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Wernerman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Benstoem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Rooyackers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Loudet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Lautenschläger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Schäper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Gunst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Stoppe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Nobile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Fuhrmann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Oudemans</w:t>
      </w:r>
      <w:proofErr w:type="spellEnd"/>
      <w:r>
        <w:rPr>
          <w:rFonts w:ascii="Book Antiqua" w:eastAsia="Book Antiqua" w:hAnsi="Book Antiqua" w:cs="Book Antiqua"/>
          <w:color w:val="000000"/>
        </w:rPr>
        <w:t>-van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Arabi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(MEN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agenda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32414423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10.1186/s13054-020-02889-4]</w:t>
      </w:r>
    </w:p>
    <w:p w14:paraId="72045635" w14:textId="2256D78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ReintamBlaser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Malbrain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Starkopf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Fruhwald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Jakob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Poeze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ESICM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384-394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22310869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10.1007/s00134-011-2459-y]</w:t>
      </w:r>
    </w:p>
    <w:p w14:paraId="2B6C2AF6" w14:textId="20D5E615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ARH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Waele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Wischmeyer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post-ICU,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convalescence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31752979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10.1186/s13054-019-2657-5]</w:t>
      </w:r>
    </w:p>
    <w:p w14:paraId="6FB8F502" w14:textId="1AD6705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Carteron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Samain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Winiszewski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Blasco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Balon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Gilli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Capellier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Pili-Floury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Besch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brain-injured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33472680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10.1186/s13054-020-03456-7]</w:t>
      </w:r>
    </w:p>
    <w:p w14:paraId="259C3F2C" w14:textId="09EF0AB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Haussner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Chakraborty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Halbgebauer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Huber-Lang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31114571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10.3389/fimmu.2019.00891]</w:t>
      </w:r>
    </w:p>
    <w:p w14:paraId="76302EC2" w14:textId="0C40295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Assimakopoulos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SF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Thomopoulos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Fligou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Maroulis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Marangos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Gogos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Gut-origin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751-760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30003491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10.1007/s15010-018-1178-5]</w:t>
      </w:r>
    </w:p>
    <w:p w14:paraId="317EB606" w14:textId="5144C8D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Yoseph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BP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Klingensmith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Burd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Dominguez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Petrie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Coopersmith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Shock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52-59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27299587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10.1097/SHK.0000000000000565]</w:t>
      </w:r>
    </w:p>
    <w:p w14:paraId="6519CD3C" w14:textId="6EC6A2C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Niekerk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Meaker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Engelbrecht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32059698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10.1186/s13054-020-2771-4]</w:t>
      </w:r>
    </w:p>
    <w:p w14:paraId="29E35475" w14:textId="04F979C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Koning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MLY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ARH.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more?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32450883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10.1186/s13054-020-02949-9]</w:t>
      </w:r>
    </w:p>
    <w:p w14:paraId="112BE84B" w14:textId="3C3390A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Koning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MLY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Koekkoek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WACK,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JCNH,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Zanten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ARH.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PROtein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CAloric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SEPTic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Non-Septic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PROCASEPT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434-443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31172544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10.1002/jpen.1663]</w:t>
      </w:r>
    </w:p>
    <w:p w14:paraId="5C7B4C47" w14:textId="7DBAF5A4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28709443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10.1186/s13054-017-1780-4]</w:t>
      </w:r>
    </w:p>
    <w:p w14:paraId="012A2121" w14:textId="1EFAFA4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Heyland</w:t>
      </w:r>
      <w:proofErr w:type="spellEnd"/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Ortiz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Stoppe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Dukes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Almansa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Multiyear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D679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49-59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33148950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10.1097/CCM.0000000000004712]</w:t>
      </w:r>
    </w:p>
    <w:bookmarkEnd w:id="4"/>
    <w:p w14:paraId="4845A097" w14:textId="77777777" w:rsidR="00A77B3E" w:rsidRDefault="00A77B3E" w:rsidP="00BF61E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EA423" w14:textId="77777777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5BAB81" w14:textId="14F1A6C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KY20180713-01)</w:t>
      </w:r>
    </w:p>
    <w:p w14:paraId="51CF5711" w14:textId="77777777" w:rsidR="00A77B3E" w:rsidRDefault="00A77B3E" w:rsidP="00BF61EF">
      <w:pPr>
        <w:spacing w:line="360" w:lineRule="auto"/>
        <w:jc w:val="both"/>
      </w:pPr>
    </w:p>
    <w:p w14:paraId="1A4C13E6" w14:textId="7D341D43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also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Trials.gov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(ID: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NCT03791866).</w:t>
      </w:r>
    </w:p>
    <w:p w14:paraId="73A42788" w14:textId="77777777" w:rsidR="00A77B3E" w:rsidRDefault="00A77B3E" w:rsidP="00BF61EF">
      <w:pPr>
        <w:spacing w:line="360" w:lineRule="auto"/>
        <w:jc w:val="both"/>
      </w:pPr>
    </w:p>
    <w:p w14:paraId="7B8D8975" w14:textId="340A9D6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7FDF53D9" w14:textId="77777777" w:rsidR="00A77B3E" w:rsidRDefault="00A77B3E" w:rsidP="00BF61EF">
      <w:pPr>
        <w:spacing w:line="360" w:lineRule="auto"/>
        <w:jc w:val="both"/>
      </w:pPr>
    </w:p>
    <w:p w14:paraId="35A09FE6" w14:textId="4E5DB4E8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E4751"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22FBF7" w14:textId="77777777" w:rsidR="00A77B3E" w:rsidRDefault="00A77B3E" w:rsidP="00BF61EF">
      <w:pPr>
        <w:spacing w:line="360" w:lineRule="auto"/>
        <w:jc w:val="both"/>
      </w:pPr>
    </w:p>
    <w:p w14:paraId="4F292286" w14:textId="6059504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</w:p>
    <w:p w14:paraId="781E48D1" w14:textId="77777777" w:rsidR="00A77B3E" w:rsidRDefault="00A77B3E" w:rsidP="00BF61EF">
      <w:pPr>
        <w:spacing w:line="360" w:lineRule="auto"/>
        <w:jc w:val="both"/>
      </w:pPr>
    </w:p>
    <w:p w14:paraId="4B833C82" w14:textId="77777777" w:rsidR="00AD6792" w:rsidRDefault="008B5651" w:rsidP="00BF61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</w:p>
    <w:p w14:paraId="332CE193" w14:textId="77777777" w:rsidR="00AD6792" w:rsidRDefault="00AD6792" w:rsidP="00BF61E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428EC0" w14:textId="654F0696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26B37B0" w14:textId="77777777" w:rsidR="00A77B3E" w:rsidRDefault="00A77B3E" w:rsidP="00BF61EF">
      <w:pPr>
        <w:spacing w:line="360" w:lineRule="auto"/>
        <w:jc w:val="both"/>
      </w:pPr>
    </w:p>
    <w:p w14:paraId="06442FE9" w14:textId="155BEBE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D6792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0EEB060" w14:textId="77777777" w:rsidR="00A77B3E" w:rsidRDefault="00A77B3E" w:rsidP="00BF61EF">
      <w:pPr>
        <w:spacing w:line="360" w:lineRule="auto"/>
        <w:jc w:val="both"/>
      </w:pPr>
    </w:p>
    <w:p w14:paraId="5FF1053A" w14:textId="104C5BE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C625E4F" w14:textId="257F844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4C8D2A5" w14:textId="42897DC9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45C488" w14:textId="77777777" w:rsidR="00A77B3E" w:rsidRDefault="00A77B3E" w:rsidP="00BF61EF">
      <w:pPr>
        <w:spacing w:line="360" w:lineRule="auto"/>
        <w:jc w:val="both"/>
      </w:pPr>
    </w:p>
    <w:p w14:paraId="5A915EE9" w14:textId="4384A8F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D6792">
        <w:rPr>
          <w:rFonts w:ascii="Book Antiqua" w:eastAsia="Book Antiqua" w:hAnsi="Book Antiqua" w:cs="Book Antiqua"/>
          <w:color w:val="000000"/>
        </w:rPr>
        <w:t xml:space="preserve"> care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15F2F1C1" w14:textId="50746FBD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4313C2D" w14:textId="0051C69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DE53A1" w14:textId="3573E4DE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5F3B13B0" w14:textId="757F4AC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86F3CB9" w14:textId="083F0F8B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E7973BA" w14:textId="07CC1441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4597D69" w14:textId="15EA1BCC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2D12FE" w14:textId="77777777" w:rsidR="00A77B3E" w:rsidRDefault="00A77B3E" w:rsidP="00BF61EF">
      <w:pPr>
        <w:spacing w:line="360" w:lineRule="auto"/>
        <w:jc w:val="both"/>
      </w:pPr>
    </w:p>
    <w:p w14:paraId="643E58D6" w14:textId="7BF20B7C" w:rsidR="00A77B3E" w:rsidRDefault="008B5651" w:rsidP="00BF61E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Cabezuelo</w:t>
      </w:r>
      <w:proofErr w:type="spellEnd"/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Kansu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YJ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4751" w:rsidRPr="003C0F7D">
        <w:rPr>
          <w:rFonts w:ascii="Book Antiqua" w:eastAsia="Book Antiqua" w:hAnsi="Book Antiqua" w:cs="Book Antiqua"/>
          <w:color w:val="000000"/>
        </w:rPr>
        <w:t>Wang TQ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</w:t>
      </w:r>
      <w:r>
        <w:rPr>
          <w:rFonts w:ascii="Book Antiqua" w:eastAsia="Book Antiqua" w:hAnsi="Book Antiqua" w:cs="Book Antiqua"/>
          <w:b/>
          <w:color w:val="000000"/>
        </w:rPr>
        <w:t>r: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E2FD48" w14:textId="41115A3A" w:rsidR="00A77B3E" w:rsidRDefault="008B5651" w:rsidP="00BF61E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D1B9072" w14:textId="77777777" w:rsidR="00EE1012" w:rsidRPr="00EE1012" w:rsidRDefault="00EE1012" w:rsidP="00BF61EF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4C28DE3" wp14:editId="36CA0373">
            <wp:extent cx="3873699" cy="346727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699" cy="34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11E5B" w14:textId="1CAA254F" w:rsidR="00A77B3E" w:rsidRDefault="008B5651" w:rsidP="00BF61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participants.</w:t>
      </w:r>
    </w:p>
    <w:p w14:paraId="75768B0E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7EF31F47" wp14:editId="5003D217">
            <wp:extent cx="5473981" cy="2698889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981" cy="269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9DFB" w14:textId="57DCDE02" w:rsidR="00A77B3E" w:rsidRPr="00EE1012" w:rsidRDefault="008B5651" w:rsidP="00BF61E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days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calorie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actual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daily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caloric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intake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iCs/>
          <w:color w:val="000000"/>
          <w:vertAlign w:val="superscript"/>
        </w:rPr>
        <w:t>c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color w:val="000000"/>
          <w:lang w:eastAsia="zh-CN"/>
        </w:rPr>
        <w:t>AGI: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aps/>
          <w:color w:val="000000"/>
          <w:lang w:eastAsia="zh-CN"/>
        </w:rPr>
        <w:t>a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cute</w:t>
      </w:r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gastrointestinal</w:t>
      </w:r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injury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1D696CE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D9F9A64" wp14:editId="2EF2C698">
            <wp:extent cx="5289822" cy="2660787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9822" cy="266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41089" w14:textId="1C231145" w:rsidR="00A77B3E" w:rsidRPr="00EE1012" w:rsidRDefault="008B5651" w:rsidP="00BF61E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serum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levels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diamine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oxidase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D-lactate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intestinal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fatty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acid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binding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protein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1012" w:rsidRPr="00EE1012">
        <w:rPr>
          <w:rFonts w:ascii="Book Antiqua" w:eastAsia="Book Antiqua" w:hAnsi="Book Antiqua" w:cs="Book Antiqua"/>
          <w:b/>
          <w:color w:val="000000"/>
        </w:rPr>
        <w:t>(</w:t>
      </w:r>
      <w:r w:rsidRPr="00EE1012">
        <w:rPr>
          <w:rFonts w:ascii="Book Antiqua" w:eastAsia="Book Antiqua" w:hAnsi="Book Antiqua" w:cs="Book Antiqua"/>
          <w:b/>
          <w:color w:val="000000"/>
        </w:rPr>
        <w:t>C)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E1012">
        <w:rPr>
          <w:rFonts w:ascii="Book Antiqua" w:eastAsia="Book Antiqua" w:hAnsi="Book Antiqua" w:cs="Book Antiqua"/>
          <w:b/>
          <w:color w:val="000000"/>
        </w:rPr>
        <w:t>groups.</w:t>
      </w:r>
      <w:r w:rsidR="00AD679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iCs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color w:val="000000"/>
          <w:lang w:eastAsia="zh-CN"/>
        </w:rPr>
        <w:t>DAO: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aps/>
          <w:color w:val="000000"/>
          <w:lang w:eastAsia="zh-CN"/>
        </w:rPr>
        <w:t>d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iamine</w:t>
      </w:r>
      <w:r w:rsidR="00AD6792">
        <w:rPr>
          <w:rFonts w:ascii="Book Antiqua" w:hAnsi="Book Antiqua" w:cs="Book Antiqua"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color w:val="000000"/>
          <w:lang w:eastAsia="zh-CN"/>
        </w:rPr>
        <w:t>oxidase</w:t>
      </w:r>
      <w:r w:rsidR="00EE1012">
        <w:rPr>
          <w:rFonts w:ascii="Book Antiqua" w:hAnsi="Book Antiqua" w:cs="Book Antiqua" w:hint="eastAsia"/>
          <w:color w:val="000000"/>
          <w:lang w:eastAsia="zh-CN"/>
        </w:rPr>
        <w:t>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EE1012">
        <w:rPr>
          <w:rFonts w:ascii="Book Antiqua" w:eastAsia="Book Antiqua" w:hAnsi="Book Antiqua" w:cs="Book Antiqua"/>
          <w:color w:val="000000"/>
        </w:rPr>
        <w:t>iFABP</w:t>
      </w:r>
      <w:proofErr w:type="spellEnd"/>
      <w:r w:rsidR="00EE1012">
        <w:rPr>
          <w:rFonts w:ascii="Book Antiqua" w:hAnsi="Book Antiqua" w:cs="Book Antiqua" w:hint="eastAsia"/>
          <w:color w:val="000000"/>
          <w:lang w:eastAsia="zh-CN"/>
        </w:rPr>
        <w:t>: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E1012" w:rsidRPr="00EE1012">
        <w:rPr>
          <w:rFonts w:ascii="Book Antiqua" w:eastAsia="Book Antiqua" w:hAnsi="Book Antiqua" w:cs="Book Antiqua"/>
          <w:caps/>
          <w:color w:val="000000"/>
        </w:rPr>
        <w:t>i</w:t>
      </w:r>
      <w:r w:rsidR="00EE1012">
        <w:rPr>
          <w:rFonts w:ascii="Book Antiqua" w:eastAsia="Book Antiqua" w:hAnsi="Book Antiqua" w:cs="Book Antiqua"/>
          <w:color w:val="000000"/>
        </w:rPr>
        <w:t>ntestinal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fatty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acid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binding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r w:rsidR="00EE1012">
        <w:rPr>
          <w:rFonts w:ascii="Book Antiqua" w:eastAsia="Book Antiqua" w:hAnsi="Book Antiqua" w:cs="Book Antiqua"/>
          <w:color w:val="000000"/>
        </w:rPr>
        <w:t>protein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DB3E58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2B98E03" wp14:editId="1389C5EF">
            <wp:extent cx="4915153" cy="4108661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41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A95C" w14:textId="3F329A55" w:rsidR="00A77B3E" w:rsidRPr="00EE1012" w:rsidRDefault="008B5651" w:rsidP="00BF61E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albumin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prealbumin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IL-6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IL-10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(D)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</w:rPr>
        <w:t>.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AD67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E1012">
        <w:rPr>
          <w:rFonts w:ascii="Book Antiqua" w:eastAsia="Book Antiqua" w:hAnsi="Book Antiqua" w:cs="Book Antiqua"/>
          <w:color w:val="000000"/>
          <w:vertAlign w:val="superscript"/>
        </w:rPr>
        <w:t>b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AD6792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EE1012">
        <w:rPr>
          <w:rFonts w:ascii="Book Antiqua" w:hAnsi="Book Antiqua" w:cs="Book Antiqua" w:hint="eastAsia"/>
          <w:color w:val="000000"/>
          <w:lang w:eastAsia="zh-CN"/>
        </w:rPr>
        <w:t>.</w:t>
      </w:r>
      <w:r w:rsidR="00AD6792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00B4FDC6" w14:textId="77777777" w:rsidR="00A77B3E" w:rsidRDefault="00EE1012" w:rsidP="00BF61EF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277B282F" wp14:editId="3AC15C0E">
            <wp:extent cx="5486682" cy="26290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682" cy="26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8561E" w14:textId="49304328" w:rsidR="00A77B3E" w:rsidRDefault="008B5651" w:rsidP="00BF61E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</w:t>
      </w:r>
      <w:r>
        <w:rPr>
          <w:rFonts w:ascii="Book Antiqua" w:eastAsia="Book Antiqua" w:hAnsi="Book Antiqua" w:cs="Book Antiqua"/>
          <w:b/>
          <w:bCs/>
          <w:color w:val="000000"/>
        </w:rPr>
        <w:t>te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chronic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II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organ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scores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(B),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4751">
        <w:rPr>
          <w:rFonts w:ascii="Book Antiqua" w:eastAsia="Book Antiqua" w:hAnsi="Book Antiqua" w:cs="Book Antiqua"/>
          <w:b/>
          <w:bCs/>
          <w:color w:val="000000"/>
        </w:rPr>
        <w:t xml:space="preserve">or </w:t>
      </w:r>
      <w:r>
        <w:rPr>
          <w:rFonts w:ascii="Book Antiqua" w:eastAsia="Book Antiqua" w:hAnsi="Book Antiqua" w:cs="Book Antiqua"/>
          <w:b/>
          <w:bCs/>
          <w:color w:val="000000"/>
        </w:rPr>
        <w:t>surviv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within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(C)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found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three</w:t>
      </w:r>
      <w:r w:rsidR="00AD679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AD6792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APACHEII</w:t>
      </w:r>
      <w:r w:rsidR="00EE1012" w:rsidRPr="00EE1012">
        <w:rPr>
          <w:rFonts w:ascii="Book Antiqua" w:hAnsi="Book Antiqua" w:cs="Book Antiqua" w:hint="eastAsia"/>
          <w:bCs/>
          <w:color w:val="000000"/>
          <w:lang w:eastAsia="zh-CN"/>
        </w:rPr>
        <w:t>: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aps/>
          <w:color w:val="000000"/>
          <w:lang w:eastAsia="zh-CN"/>
        </w:rPr>
        <w:t>a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cute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physiology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and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chronic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health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evaluation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II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SOFA:</w:t>
      </w:r>
      <w:r w:rsidR="00AD6792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aps/>
          <w:color w:val="000000"/>
          <w:lang w:eastAsia="zh-CN"/>
        </w:rPr>
        <w:t>s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equential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organ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failure</w:t>
      </w:r>
      <w:r w:rsidR="00AD679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E1012" w:rsidRPr="00EE1012">
        <w:rPr>
          <w:rFonts w:ascii="Book Antiqua" w:hAnsi="Book Antiqua" w:cs="Book Antiqua"/>
          <w:bCs/>
          <w:color w:val="000000"/>
          <w:lang w:eastAsia="zh-CN"/>
        </w:rPr>
        <w:t>assessment</w:t>
      </w:r>
      <w:r w:rsidR="00EE1012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358C97CA" w14:textId="28C492E9" w:rsidR="00BF61EF" w:rsidRPr="00AB54A5" w:rsidRDefault="00EE1012" w:rsidP="00BF61EF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BF61EF"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1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Demographic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d</w:t>
      </w:r>
      <w:r w:rsidR="00BF61EF" w:rsidRPr="00AB54A5">
        <w:rPr>
          <w:rFonts w:ascii="Book Antiqua" w:hAnsi="Book Antiqua"/>
          <w:b/>
        </w:rPr>
        <w:t>ata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and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clinical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parameters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on</w:t>
      </w:r>
      <w:r w:rsidR="00AD6792">
        <w:rPr>
          <w:rFonts w:ascii="Book Antiqua" w:hAnsi="Book Antiqua"/>
          <w:b/>
        </w:rPr>
        <w:t xml:space="preserve"> </w:t>
      </w:r>
      <w:r w:rsidR="00BF61EF" w:rsidRPr="00AB54A5">
        <w:rPr>
          <w:rFonts w:ascii="Book Antiqua" w:hAnsi="Book Antiqua"/>
          <w:b/>
        </w:rPr>
        <w:t>admission</w:t>
      </w:r>
    </w:p>
    <w:tbl>
      <w:tblPr>
        <w:tblW w:w="0" w:type="auto"/>
        <w:tblInd w:w="108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0"/>
        <w:gridCol w:w="3458"/>
      </w:tblGrid>
      <w:tr w:rsidR="00BF61EF" w:rsidRPr="00AB54A5" w14:paraId="67B88166" w14:textId="77777777" w:rsidTr="00E11715"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DA7EBFC" w14:textId="5B8D275A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34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E1506F3" w14:textId="512B8F05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F61EF" w:rsidRPr="008B0649" w14:paraId="0D78CF8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2C492030" w14:textId="21424D4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Age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>
              <w:rPr>
                <w:rFonts w:ascii="Book Antiqua" w:hAnsi="Book Antiqua"/>
                <w:bCs/>
              </w:rPr>
              <w:t>(</w:t>
            </w:r>
            <w:proofErr w:type="spellStart"/>
            <w:r>
              <w:rPr>
                <w:rFonts w:ascii="Book Antiqua" w:hAnsi="Book Antiqua"/>
                <w:bCs/>
              </w:rPr>
              <w:t>yr</w:t>
            </w:r>
            <w:proofErr w:type="spellEnd"/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C64AE21" w14:textId="6AE20A1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67.0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(63.0-72.3)</w:t>
            </w:r>
          </w:p>
        </w:tc>
      </w:tr>
      <w:tr w:rsidR="00BF61EF" w:rsidRPr="008B0649" w14:paraId="6FADACD5" w14:textId="77777777" w:rsidTr="00E11715">
        <w:tc>
          <w:tcPr>
            <w:tcW w:w="4820" w:type="dxa"/>
            <w:shd w:val="clear" w:color="auto" w:fill="FFFFFF"/>
          </w:tcPr>
          <w:p w14:paraId="6EBF2A76" w14:textId="51B16DB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Sex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</w:t>
            </w:r>
            <w:proofErr w:type="spellStart"/>
            <w:r w:rsidRPr="008B0649">
              <w:rPr>
                <w:rFonts w:ascii="Book Antiqua" w:hAnsi="Book Antiqua"/>
                <w:bCs/>
              </w:rPr>
              <w:t>Male:</w:t>
            </w:r>
            <w:r w:rsidR="00AD6792">
              <w:rPr>
                <w:rFonts w:ascii="Book Antiqua" w:hAnsi="Book Antiqua"/>
                <w:bCs/>
              </w:rPr>
              <w:t>f</w:t>
            </w:r>
            <w:r w:rsidRPr="008B0649">
              <w:rPr>
                <w:rFonts w:ascii="Book Antiqua" w:hAnsi="Book Antiqua"/>
                <w:bCs/>
              </w:rPr>
              <w:t>emale</w:t>
            </w:r>
            <w:proofErr w:type="spellEnd"/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shd w:val="clear" w:color="auto" w:fill="FFFFFF"/>
          </w:tcPr>
          <w:p w14:paraId="36CCF3B1" w14:textId="1ECC29D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29:25</w:t>
            </w:r>
          </w:p>
        </w:tc>
      </w:tr>
      <w:tr w:rsidR="00BF61EF" w:rsidRPr="008B0649" w14:paraId="1C7F2E88" w14:textId="77777777" w:rsidTr="00E11715">
        <w:tc>
          <w:tcPr>
            <w:tcW w:w="4820" w:type="dxa"/>
            <w:shd w:val="clear" w:color="auto" w:fill="FFFFFF"/>
          </w:tcPr>
          <w:p w14:paraId="74CC57EB" w14:textId="28AFA14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BMI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(kg/m</w:t>
            </w:r>
            <w:r w:rsidRPr="008B0649">
              <w:rPr>
                <w:rFonts w:ascii="Book Antiqua" w:hAnsi="Book Antiqua"/>
                <w:bCs/>
                <w:vertAlign w:val="superscript"/>
              </w:rPr>
              <w:t>2</w:t>
            </w:r>
            <w:r w:rsidRPr="008B0649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458" w:type="dxa"/>
            <w:shd w:val="clear" w:color="auto" w:fill="FFFFFF"/>
          </w:tcPr>
          <w:p w14:paraId="5E55CBFA" w14:textId="43C5C19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24.3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(21.5-27.0)</w:t>
            </w:r>
          </w:p>
        </w:tc>
      </w:tr>
      <w:tr w:rsidR="00BF61EF" w:rsidRPr="008B0649" w14:paraId="4C00A571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628E2C8" w14:textId="4292FA8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Etiology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of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sepsis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9910884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</w:tr>
      <w:tr w:rsidR="00BF61EF" w:rsidRPr="008B0649" w14:paraId="15271F64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FD7B2B2" w14:textId="38609C5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20EF3DEB" w14:textId="2662E8F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27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(50.0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B356610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8EBE997" w14:textId="0B58DAC3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Thoracic/</w:t>
            </w:r>
            <w:r w:rsidR="001E4751">
              <w:rPr>
                <w:rFonts w:ascii="Book Antiqua" w:hAnsi="Book Antiqua"/>
                <w:bCs/>
              </w:rPr>
              <w:t>p</w:t>
            </w:r>
            <w:r w:rsidR="001E4751" w:rsidRPr="008B0649">
              <w:rPr>
                <w:rFonts w:ascii="Book Antiqua" w:hAnsi="Book Antiqua"/>
                <w:bCs/>
              </w:rPr>
              <w:t>ulmonary</w:t>
            </w:r>
            <w:r w:rsidR="001E4751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2D6D0A6B" w14:textId="3B0F542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(18.5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2FCE039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A9960AF" w14:textId="6226BB8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Blood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stream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91EF07E" w14:textId="06F4483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(11.1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5647DEEC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A32CB5C" w14:textId="166E6F6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Urinary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9B094C4" w14:textId="252D61D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(11.1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2980D34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E3FD4A9" w14:textId="1B11FF2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Mucocutaneous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infection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1CE1178" w14:textId="6F2CBF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0A94F03B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E371F57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Other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33BA3BCD" w14:textId="2558E4F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(3.7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591553E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0ED0C939" w14:textId="6ACD2FC6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Initial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AGI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grade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AC4559D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</w:tr>
      <w:tr w:rsidR="00BF61EF" w:rsidRPr="008B0649" w14:paraId="158605D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2241C0E2" w14:textId="31C8881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F915566" w14:textId="675EE6D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(31.5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3C555C5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19AF680" w14:textId="5A4714B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0EF6DD5" w14:textId="032003A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(55.6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2B27FDA0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1C47F40" w14:textId="1B18696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III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5A528793" w14:textId="54FDE51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(13.0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7AC7F7DA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839BA31" w14:textId="128FB8EF" w:rsidR="00BF61EF" w:rsidRPr="008B0649" w:rsidRDefault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APACHEII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score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9A8C631" w14:textId="6CE47E9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(19.5-27.8)</w:t>
            </w:r>
          </w:p>
        </w:tc>
      </w:tr>
      <w:tr w:rsidR="00BF61EF" w:rsidRPr="008B0649" w14:paraId="01B27E02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647C4CEC" w14:textId="2EB6649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SOFA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score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F9FD4C7" w14:textId="728A4D5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9.5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(8.0-11.8)</w:t>
            </w:r>
          </w:p>
        </w:tc>
      </w:tr>
      <w:tr w:rsidR="00BF61EF" w:rsidRPr="008B0649" w14:paraId="1DDDBB9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3798D08B" w14:textId="56C297D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7C8538B7" w14:textId="48E7D06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(29.6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AE2B644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5E736F0B" w14:textId="2A845BB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Need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for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MV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0D77E040" w14:textId="119547B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49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(90.7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D322089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6771F53" w14:textId="2AAD9FD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Need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for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CRRT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52F99E13" w14:textId="088412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(37.0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1F16BC67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1716F540" w14:textId="3C78880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MV-free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66CB44AE" w14:textId="5BECAB5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(1.8-22.8)</w:t>
            </w:r>
          </w:p>
        </w:tc>
      </w:tr>
      <w:tr w:rsidR="00BF61EF" w:rsidRPr="008B0649" w14:paraId="2CF5E2DE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46467231" w14:textId="707846B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CRRT-free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1797932D" w14:textId="4CC77FA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23.0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(13.3-27.0)</w:t>
            </w:r>
          </w:p>
        </w:tc>
      </w:tr>
      <w:tr w:rsidR="00BF61EF" w:rsidRPr="008B0649" w14:paraId="1C3A4AF8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700D16FE" w14:textId="6460FF4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ICU-free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137FEE4" w14:textId="019A101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17.0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(0.0-22.8)</w:t>
            </w:r>
          </w:p>
        </w:tc>
      </w:tr>
      <w:tr w:rsidR="00BF61EF" w:rsidRPr="008B0649" w14:paraId="09C889C1" w14:textId="77777777" w:rsidTr="00E11715">
        <w:tc>
          <w:tcPr>
            <w:tcW w:w="4820" w:type="dxa"/>
            <w:tcBorders>
              <w:left w:val="nil"/>
              <w:right w:val="nil"/>
            </w:tcBorders>
            <w:shd w:val="clear" w:color="auto" w:fill="FFFFFF"/>
          </w:tcPr>
          <w:p w14:paraId="035AD348" w14:textId="0ADD15B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MODS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3458" w:type="dxa"/>
            <w:tcBorders>
              <w:left w:val="nil"/>
              <w:right w:val="nil"/>
            </w:tcBorders>
            <w:shd w:val="clear" w:color="auto" w:fill="FFFFFF"/>
          </w:tcPr>
          <w:p w14:paraId="4E6813B3" w14:textId="60F266E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(37.0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  <w:tr w:rsidR="00BF61EF" w:rsidRPr="008B0649" w14:paraId="455943B6" w14:textId="77777777" w:rsidTr="00E11715">
        <w:tc>
          <w:tcPr>
            <w:tcW w:w="4820" w:type="dxa"/>
            <w:shd w:val="clear" w:color="auto" w:fill="FFFFFF"/>
          </w:tcPr>
          <w:p w14:paraId="6D596EC7" w14:textId="70EBC03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Death</w:t>
            </w:r>
            <w:r w:rsidR="00AD6792">
              <w:rPr>
                <w:rFonts w:ascii="Book Antiqua" w:hAnsi="Book Antiqu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="00AD6792"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(%)</w:t>
            </w:r>
          </w:p>
        </w:tc>
        <w:tc>
          <w:tcPr>
            <w:tcW w:w="3458" w:type="dxa"/>
            <w:shd w:val="clear" w:color="auto" w:fill="FFFFFF"/>
          </w:tcPr>
          <w:p w14:paraId="1AFBB4F1" w14:textId="03A4466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(25.9</w:t>
            </w:r>
            <w:r>
              <w:rPr>
                <w:rFonts w:ascii="Book Antiqua" w:hAnsi="Book Antiqua"/>
                <w:bCs/>
              </w:rPr>
              <w:t>)</w:t>
            </w:r>
          </w:p>
        </w:tc>
      </w:tr>
    </w:tbl>
    <w:p w14:paraId="0C8785DF" w14:textId="1B4742FE" w:rsidR="00BF61EF" w:rsidRPr="008B0649" w:rsidRDefault="00BF61EF" w:rsidP="00BF61EF">
      <w:pPr>
        <w:spacing w:line="360" w:lineRule="auto"/>
        <w:jc w:val="both"/>
        <w:rPr>
          <w:rFonts w:ascii="Book Antiqua" w:hAnsi="Book Antiqua"/>
        </w:rPr>
      </w:pPr>
      <w:r w:rsidRPr="008B0649">
        <w:rPr>
          <w:rFonts w:ascii="Book Antiqua" w:hAnsi="Book Antiqua"/>
        </w:rPr>
        <w:t>BMI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b</w:t>
      </w:r>
      <w:r w:rsidRPr="008B0649">
        <w:rPr>
          <w:rFonts w:ascii="Book Antiqua" w:hAnsi="Book Antiqua"/>
        </w:rPr>
        <w:t>ody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mass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index;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AGI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a</w:t>
      </w:r>
      <w:r w:rsidRPr="008B0649">
        <w:rPr>
          <w:rFonts w:ascii="Book Antiqua" w:hAnsi="Book Antiqua"/>
        </w:rPr>
        <w:t>cute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gastrointestinal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injury;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APACHE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II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a</w:t>
      </w:r>
      <w:r w:rsidRPr="008B0649">
        <w:rPr>
          <w:rFonts w:ascii="Book Antiqua" w:hAnsi="Book Antiqua"/>
        </w:rPr>
        <w:t>cute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physiology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and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chronic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health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evaluation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II;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SOFA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s</w:t>
      </w:r>
      <w:r w:rsidRPr="008B0649">
        <w:rPr>
          <w:rFonts w:ascii="Book Antiqua" w:hAnsi="Book Antiqua"/>
        </w:rPr>
        <w:t>equential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failure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assessment;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MV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lastRenderedPageBreak/>
        <w:t>m</w:t>
      </w:r>
      <w:r w:rsidRPr="008B0649">
        <w:rPr>
          <w:rFonts w:ascii="Book Antiqua" w:hAnsi="Book Antiqua"/>
        </w:rPr>
        <w:t>echanical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ventilation;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CRRT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c</w:t>
      </w:r>
      <w:r w:rsidRPr="008B0649">
        <w:rPr>
          <w:rFonts w:ascii="Book Antiqua" w:hAnsi="Book Antiqua"/>
        </w:rPr>
        <w:t>ontinuous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replacement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therapy;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ICU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ntensive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unit;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MODS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ultiple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dysfunction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syndrome.</w:t>
      </w:r>
    </w:p>
    <w:p w14:paraId="46276CF1" w14:textId="14A0ECEA" w:rsidR="00BF61EF" w:rsidRPr="00AB54A5" w:rsidRDefault="00BF61EF" w:rsidP="00BF61EF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2</w:t>
      </w:r>
      <w:r w:rsidR="00AD6792">
        <w:rPr>
          <w:rFonts w:ascii="Book Antiqua" w:hAnsi="Book Antiqua"/>
          <w:b/>
        </w:rPr>
        <w:t xml:space="preserve"> </w:t>
      </w:r>
      <w:r w:rsidR="001E4751">
        <w:rPr>
          <w:rFonts w:ascii="Book Antiqua" w:hAnsi="Book Antiqua"/>
          <w:b/>
        </w:rPr>
        <w:t>N</w:t>
      </w:r>
      <w:r w:rsidRPr="00AB54A5">
        <w:rPr>
          <w:rFonts w:ascii="Book Antiqua" w:hAnsi="Book Antiqua"/>
          <w:b/>
        </w:rPr>
        <w:t>umber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of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patients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with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feeding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intolerance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and</w:t>
      </w:r>
      <w:r w:rsidR="001E4751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clinical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severity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and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outcome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variables</w:t>
      </w:r>
    </w:p>
    <w:tbl>
      <w:tblPr>
        <w:tblW w:w="8506" w:type="dxa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851"/>
      </w:tblGrid>
      <w:tr w:rsidR="00BF61EF" w:rsidRPr="008B0649" w14:paraId="4176DAFC" w14:textId="77777777" w:rsidTr="00E11715">
        <w:trPr>
          <w:trHeight w:val="90"/>
        </w:trPr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18B247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2034EBD" w14:textId="7B1E98D5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A</w:t>
            </w:r>
          </w:p>
          <w:p w14:paraId="53F06A39" w14:textId="1F3A6091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17)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927E413" w14:textId="06E1171E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B</w:t>
            </w:r>
          </w:p>
          <w:p w14:paraId="1A6595CE" w14:textId="1D9758F2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18)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630BEB3" w14:textId="5DF71E16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Group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C</w:t>
            </w:r>
          </w:p>
          <w:p w14:paraId="5710C213" w14:textId="523BED37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</w:rPr>
              <w:t>(</w:t>
            </w:r>
            <w:r w:rsidRPr="00AB54A5">
              <w:rPr>
                <w:rFonts w:ascii="Book Antiqua" w:hAnsi="Book Antiqua"/>
                <w:b/>
                <w:bCs/>
                <w:i/>
              </w:rPr>
              <w:t>n</w:t>
            </w:r>
            <w:r w:rsidR="00AD6792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=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19)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F24611" w14:textId="4296494E" w:rsidR="00BF61EF" w:rsidRPr="00AB54A5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AB54A5">
              <w:rPr>
                <w:rFonts w:ascii="Book Antiqua" w:hAnsi="Book Antiqua"/>
                <w:b/>
                <w:bCs/>
                <w:i/>
              </w:rPr>
              <w:t>P</w:t>
            </w:r>
            <w:r w:rsidR="00AD6792">
              <w:rPr>
                <w:rFonts w:ascii="Book Antiqua" w:hAnsi="Book Antiqua"/>
                <w:b/>
                <w:bCs/>
              </w:rPr>
              <w:t xml:space="preserve"> </w:t>
            </w:r>
            <w:r w:rsidRPr="00AB54A5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F61EF" w:rsidRPr="008B0649" w14:paraId="294ECB01" w14:textId="77777777" w:rsidTr="00E11715">
        <w:tc>
          <w:tcPr>
            <w:tcW w:w="1985" w:type="dxa"/>
            <w:shd w:val="clear" w:color="auto" w:fill="FFFFFF"/>
          </w:tcPr>
          <w:p w14:paraId="07BBC31A" w14:textId="0B9A8D9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49386FD9" w14:textId="3E2C9EB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(11.8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1527A28A" w14:textId="2F697BF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(22.2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2C933F48" w14:textId="55EA65A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(52.6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7EF7B02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0.019</w:t>
            </w:r>
          </w:p>
        </w:tc>
      </w:tr>
      <w:tr w:rsidR="00BF61EF" w:rsidRPr="008B0649" w14:paraId="77F2DDB3" w14:textId="77777777" w:rsidTr="00E11715">
        <w:tc>
          <w:tcPr>
            <w:tcW w:w="1985" w:type="dxa"/>
            <w:shd w:val="clear" w:color="auto" w:fill="FFFFFF"/>
          </w:tcPr>
          <w:p w14:paraId="4ECE9F95" w14:textId="075D97D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MV-free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67CCF623" w14:textId="308945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(0.0-21.0)</w:t>
            </w:r>
          </w:p>
        </w:tc>
        <w:tc>
          <w:tcPr>
            <w:tcW w:w="1984" w:type="dxa"/>
            <w:shd w:val="clear" w:color="auto" w:fill="FFFFFF"/>
          </w:tcPr>
          <w:p w14:paraId="3D0B82D8" w14:textId="13DCFAD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(1.0-25.0)</w:t>
            </w:r>
          </w:p>
        </w:tc>
        <w:tc>
          <w:tcPr>
            <w:tcW w:w="1843" w:type="dxa"/>
            <w:shd w:val="clear" w:color="auto" w:fill="FFFFFF"/>
          </w:tcPr>
          <w:p w14:paraId="7DA7620B" w14:textId="48FDF8A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18.0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(4.0-22.5)</w:t>
            </w:r>
          </w:p>
        </w:tc>
        <w:tc>
          <w:tcPr>
            <w:tcW w:w="851" w:type="dxa"/>
            <w:shd w:val="clear" w:color="auto" w:fill="FFFFFF"/>
          </w:tcPr>
          <w:p w14:paraId="19694E70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0.347</w:t>
            </w:r>
          </w:p>
        </w:tc>
      </w:tr>
      <w:tr w:rsidR="00BF61EF" w:rsidRPr="008B0649" w14:paraId="5F994622" w14:textId="77777777" w:rsidTr="00E11715">
        <w:tc>
          <w:tcPr>
            <w:tcW w:w="1985" w:type="dxa"/>
            <w:shd w:val="clear" w:color="auto" w:fill="FFFFFF"/>
          </w:tcPr>
          <w:p w14:paraId="3B301304" w14:textId="71D2C02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CRRT-free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3E564503" w14:textId="073E9FC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20.0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(12.0-28.0)</w:t>
            </w:r>
          </w:p>
        </w:tc>
        <w:tc>
          <w:tcPr>
            <w:tcW w:w="1984" w:type="dxa"/>
            <w:shd w:val="clear" w:color="auto" w:fill="FFFFFF"/>
          </w:tcPr>
          <w:p w14:paraId="0EA265A6" w14:textId="7CAE20A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26.0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(7.8-28.0)</w:t>
            </w:r>
          </w:p>
        </w:tc>
        <w:tc>
          <w:tcPr>
            <w:tcW w:w="1843" w:type="dxa"/>
            <w:shd w:val="clear" w:color="auto" w:fill="FFFFFF"/>
          </w:tcPr>
          <w:p w14:paraId="072257D1" w14:textId="0C515BC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(14.5-28.0)</w:t>
            </w:r>
          </w:p>
        </w:tc>
        <w:tc>
          <w:tcPr>
            <w:tcW w:w="851" w:type="dxa"/>
            <w:shd w:val="clear" w:color="auto" w:fill="FFFFFF"/>
          </w:tcPr>
          <w:p w14:paraId="4B8F9D7B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0.778</w:t>
            </w:r>
          </w:p>
        </w:tc>
      </w:tr>
      <w:tr w:rsidR="00BF61EF" w:rsidRPr="008B0649" w14:paraId="2257A6CD" w14:textId="77777777" w:rsidTr="00E11715">
        <w:tc>
          <w:tcPr>
            <w:tcW w:w="1985" w:type="dxa"/>
            <w:shd w:val="clear" w:color="auto" w:fill="FFFFFF"/>
          </w:tcPr>
          <w:p w14:paraId="16246703" w14:textId="480B471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ICU-free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days</w:t>
            </w:r>
          </w:p>
        </w:tc>
        <w:tc>
          <w:tcPr>
            <w:tcW w:w="1843" w:type="dxa"/>
            <w:shd w:val="clear" w:color="auto" w:fill="FFFFFF"/>
          </w:tcPr>
          <w:p w14:paraId="0D909DB5" w14:textId="4E700E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(0.0-23.0)</w:t>
            </w:r>
          </w:p>
        </w:tc>
        <w:tc>
          <w:tcPr>
            <w:tcW w:w="1984" w:type="dxa"/>
            <w:shd w:val="clear" w:color="auto" w:fill="FFFFFF"/>
          </w:tcPr>
          <w:p w14:paraId="7FFEE465" w14:textId="15033AA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19.0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(0.0-21.8)</w:t>
            </w:r>
          </w:p>
        </w:tc>
        <w:tc>
          <w:tcPr>
            <w:tcW w:w="1843" w:type="dxa"/>
            <w:shd w:val="clear" w:color="auto" w:fill="FFFFFF"/>
          </w:tcPr>
          <w:p w14:paraId="708CE702" w14:textId="2B04D72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16.0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(0.0-21.0)</w:t>
            </w:r>
          </w:p>
        </w:tc>
        <w:tc>
          <w:tcPr>
            <w:tcW w:w="851" w:type="dxa"/>
            <w:shd w:val="clear" w:color="auto" w:fill="FFFFFF"/>
          </w:tcPr>
          <w:p w14:paraId="68871C5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0.572</w:t>
            </w:r>
          </w:p>
        </w:tc>
      </w:tr>
      <w:tr w:rsidR="00BF61EF" w:rsidRPr="008B0649" w14:paraId="50D66262" w14:textId="77777777" w:rsidTr="00E11715">
        <w:tc>
          <w:tcPr>
            <w:tcW w:w="1985" w:type="dxa"/>
            <w:shd w:val="clear" w:color="auto" w:fill="FFFFFF"/>
          </w:tcPr>
          <w:p w14:paraId="17A6D4DA" w14:textId="54757F6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MODS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1843" w:type="dxa"/>
            <w:shd w:val="clear" w:color="auto" w:fill="FFFFFF"/>
          </w:tcPr>
          <w:p w14:paraId="76406285" w14:textId="79FCF1B4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(35.3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1F10726B" w14:textId="39034AF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(44.4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55022E23" w14:textId="558B13D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(31.6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FB0E88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0.709</w:t>
            </w:r>
          </w:p>
        </w:tc>
      </w:tr>
      <w:tr w:rsidR="00BF61EF" w:rsidRPr="008B0649" w14:paraId="366E555F" w14:textId="77777777" w:rsidTr="00E11715">
        <w:tc>
          <w:tcPr>
            <w:tcW w:w="1985" w:type="dxa"/>
            <w:shd w:val="clear" w:color="auto" w:fill="FFFFFF"/>
          </w:tcPr>
          <w:p w14:paraId="4B89186D" w14:textId="74F9ED3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Death</w:t>
            </w:r>
            <w:r>
              <w:rPr>
                <w:rFonts w:ascii="Book Antiqua" w:hAnsi="Book Antiqua" w:hint="eastAsia"/>
                <w:bCs/>
              </w:rPr>
              <w:t>,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 w:hint="eastAsia"/>
                <w:bCs/>
              </w:rPr>
              <w:t xml:space="preserve"> </w:t>
            </w:r>
            <w:r>
              <w:rPr>
                <w:rFonts w:ascii="Book Antiqua" w:hAnsi="Book Antiqua" w:hint="eastAsia"/>
                <w:bCs/>
              </w:rPr>
              <w:t>(%)</w:t>
            </w:r>
          </w:p>
        </w:tc>
        <w:tc>
          <w:tcPr>
            <w:tcW w:w="1843" w:type="dxa"/>
            <w:shd w:val="clear" w:color="auto" w:fill="FFFFFF"/>
          </w:tcPr>
          <w:p w14:paraId="657AEABB" w14:textId="60632140" w:rsidR="00BF61EF" w:rsidRPr="008B0649" w:rsidRDefault="00BF61EF" w:rsidP="00BF61EF">
            <w:pPr>
              <w:tabs>
                <w:tab w:val="center" w:pos="813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4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(23.5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14:paraId="378BFFAB" w14:textId="47AFE62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(27.8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10DC2701" w14:textId="0DAAFB5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5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(26.3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68D109B5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0.856</w:t>
            </w:r>
          </w:p>
        </w:tc>
      </w:tr>
    </w:tbl>
    <w:p w14:paraId="41CDF793" w14:textId="408A0186" w:rsidR="00BF61EF" w:rsidRPr="008B0649" w:rsidRDefault="00BF61EF" w:rsidP="00BF61EF">
      <w:pPr>
        <w:spacing w:line="360" w:lineRule="auto"/>
        <w:jc w:val="both"/>
        <w:rPr>
          <w:rFonts w:ascii="Book Antiqua" w:hAnsi="Book Antiqua"/>
        </w:rPr>
      </w:pP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30%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B: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60%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100%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</w:t>
      </w:r>
      <w:r>
        <w:rPr>
          <w:rFonts w:ascii="Book Antiqua" w:hAnsi="Book Antiqua" w:hint="eastAsia"/>
        </w:rPr>
        <w:t>.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MV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echanical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ventilation;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CRRT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c</w:t>
      </w:r>
      <w:r w:rsidRPr="008B0649">
        <w:rPr>
          <w:rFonts w:ascii="Book Antiqua" w:hAnsi="Book Antiqua"/>
        </w:rPr>
        <w:t>ontinuous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replacement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therapy;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ICU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ntensive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unit;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MODS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m</w:t>
      </w:r>
      <w:r w:rsidRPr="008B0649">
        <w:rPr>
          <w:rFonts w:ascii="Book Antiqua" w:hAnsi="Book Antiqua"/>
        </w:rPr>
        <w:t>ultiple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organ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dysfunction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syndrome.</w:t>
      </w:r>
    </w:p>
    <w:p w14:paraId="159FA8FB" w14:textId="770D94D7" w:rsidR="00BF61EF" w:rsidRPr="00AB54A5" w:rsidRDefault="00BF61EF" w:rsidP="00BF61EF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 w:rsidRPr="00AB54A5">
        <w:rPr>
          <w:rFonts w:ascii="Book Antiqua" w:hAnsi="Book Antiqua"/>
          <w:b/>
        </w:rPr>
        <w:lastRenderedPageBreak/>
        <w:t>Table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3</w:t>
      </w:r>
      <w:r w:rsidR="00AD6792">
        <w:rPr>
          <w:rFonts w:ascii="Book Antiqua" w:hAnsi="Book Antiqua"/>
          <w:b/>
        </w:rPr>
        <w:t xml:space="preserve"> </w:t>
      </w:r>
      <w:r w:rsidR="001E4751">
        <w:rPr>
          <w:rFonts w:ascii="Book Antiqua" w:hAnsi="Book Antiqua"/>
          <w:b/>
          <w:bCs/>
        </w:rPr>
        <w:t>I</w:t>
      </w:r>
      <w:r w:rsidRPr="00AB54A5">
        <w:rPr>
          <w:rFonts w:ascii="Book Antiqua" w:hAnsi="Book Antiqua"/>
          <w:b/>
        </w:rPr>
        <w:t>ncidence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of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f</w:t>
      </w:r>
      <w:r w:rsidRPr="00AB54A5">
        <w:rPr>
          <w:rFonts w:ascii="Book Antiqua" w:hAnsi="Book Antiqua"/>
          <w:b/>
          <w:bCs/>
        </w:rPr>
        <w:t>eeding</w:t>
      </w:r>
      <w:r w:rsidR="00AD6792">
        <w:rPr>
          <w:rFonts w:ascii="Book Antiqua" w:hAnsi="Book Antiqua"/>
          <w:b/>
          <w:bCs/>
        </w:rPr>
        <w:t xml:space="preserve"> </w:t>
      </w:r>
      <w:r w:rsidRPr="00AB54A5">
        <w:rPr>
          <w:rFonts w:ascii="Book Antiqua" w:hAnsi="Book Antiqua"/>
          <w:b/>
          <w:bCs/>
        </w:rPr>
        <w:t>intolerance</w:t>
      </w:r>
      <w:r w:rsidR="00AD6792">
        <w:rPr>
          <w:rFonts w:ascii="Book Antiqua" w:hAnsi="Book Antiqua"/>
          <w:b/>
        </w:rPr>
        <w:t xml:space="preserve"> </w:t>
      </w:r>
      <w:r w:rsidRPr="00AB54A5">
        <w:rPr>
          <w:rFonts w:ascii="Book Antiqua" w:hAnsi="Book Antiqua"/>
          <w:b/>
        </w:rPr>
        <w:t>symptoms</w:t>
      </w:r>
      <w:r>
        <w:rPr>
          <w:rFonts w:ascii="Book Antiqua" w:hAnsi="Book Antiqua" w:hint="eastAsia"/>
          <w:b/>
        </w:rPr>
        <w:t>,</w:t>
      </w:r>
      <w:r w:rsidR="00AD6792">
        <w:rPr>
          <w:rFonts w:ascii="Book Antiqua" w:hAnsi="Book Antiqua" w:hint="eastAsia"/>
          <w:b/>
        </w:rPr>
        <w:t xml:space="preserve"> </w:t>
      </w:r>
      <w:r w:rsidRPr="00AB54A5">
        <w:rPr>
          <w:rFonts w:ascii="Book Antiqua" w:hAnsi="Book Antiqua"/>
          <w:b/>
          <w:i/>
        </w:rPr>
        <w:t>n</w:t>
      </w:r>
      <w:r w:rsidR="00AD6792">
        <w:rPr>
          <w:rFonts w:ascii="Book Antiqua" w:hAnsi="Book Antiqua" w:hint="eastAsia"/>
          <w:b/>
        </w:rPr>
        <w:t xml:space="preserve"> </w:t>
      </w:r>
      <w:r>
        <w:rPr>
          <w:rFonts w:ascii="Book Antiqua" w:hAnsi="Book Antiqua" w:hint="eastAsia"/>
          <w:b/>
        </w:rPr>
        <w:t>(%)</w:t>
      </w:r>
    </w:p>
    <w:tbl>
      <w:tblPr>
        <w:tblW w:w="8506" w:type="dxa"/>
        <w:tblInd w:w="-34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03"/>
        <w:gridCol w:w="1275"/>
        <w:gridCol w:w="1560"/>
        <w:gridCol w:w="1417"/>
        <w:gridCol w:w="851"/>
      </w:tblGrid>
      <w:tr w:rsidR="00BF61EF" w:rsidRPr="008B0649" w14:paraId="04F237C6" w14:textId="77777777" w:rsidTr="00E11715">
        <w:trPr>
          <w:trHeight w:val="90"/>
        </w:trPr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227236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98450F8" w14:textId="1D99258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A</w:t>
            </w:r>
          </w:p>
          <w:p w14:paraId="5422FB48" w14:textId="6425F2A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17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D0ED40B" w14:textId="5D7E9C5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B</w:t>
            </w:r>
          </w:p>
          <w:p w14:paraId="1CE99080" w14:textId="03C8E489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759448F" w14:textId="4D451DE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Group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C</w:t>
            </w:r>
          </w:p>
          <w:p w14:paraId="46A7F56B" w14:textId="73EB6EB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(</w:t>
            </w:r>
            <w:r w:rsidRPr="008B0649">
              <w:rPr>
                <w:rFonts w:ascii="Book Antiqua" w:hAnsi="Book Antiqua"/>
                <w:bCs/>
                <w:i/>
              </w:rPr>
              <w:t>n</w:t>
            </w:r>
            <w:r w:rsidR="00AD6792">
              <w:rPr>
                <w:rFonts w:ascii="Book Antiqua" w:hAnsi="Book Antiqua"/>
                <w:bCs/>
                <w:i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=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19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AB54A5">
              <w:rPr>
                <w:rFonts w:ascii="Book Antiqua" w:hAnsi="Book Antiqua"/>
                <w:bCs/>
              </w:rPr>
              <w:t>×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7)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47EF10C" w14:textId="7726B64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  <w:i/>
              </w:rPr>
              <w:t>P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value</w:t>
            </w:r>
          </w:p>
        </w:tc>
      </w:tr>
      <w:tr w:rsidR="00BF61EF" w:rsidRPr="008B0649" w14:paraId="043D7DEA" w14:textId="77777777" w:rsidTr="00E11715">
        <w:tc>
          <w:tcPr>
            <w:tcW w:w="3403" w:type="dxa"/>
            <w:shd w:val="clear" w:color="auto" w:fill="FFFFFF"/>
          </w:tcPr>
          <w:p w14:paraId="5B52554F" w14:textId="60BE2562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Feeding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intolerance</w:t>
            </w:r>
          </w:p>
        </w:tc>
        <w:tc>
          <w:tcPr>
            <w:tcW w:w="1275" w:type="dxa"/>
            <w:shd w:val="clear" w:color="auto" w:fill="FFFFFF"/>
          </w:tcPr>
          <w:p w14:paraId="009FA240" w14:textId="7D0AA77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(5.0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07202FF8" w14:textId="304B8965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(8.7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8DCF1D7" w14:textId="008C4293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(16.5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F36CC0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0.009</w:t>
            </w:r>
          </w:p>
        </w:tc>
      </w:tr>
      <w:tr w:rsidR="00BF61EF" w:rsidRPr="008B0649" w14:paraId="456BD2E3" w14:textId="77777777" w:rsidTr="00E11715">
        <w:tc>
          <w:tcPr>
            <w:tcW w:w="3403" w:type="dxa"/>
            <w:shd w:val="clear" w:color="auto" w:fill="FFFFFF"/>
          </w:tcPr>
          <w:p w14:paraId="46141FEC" w14:textId="0472DC68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Nausea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or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vomiting</w:t>
            </w:r>
          </w:p>
        </w:tc>
        <w:tc>
          <w:tcPr>
            <w:tcW w:w="1275" w:type="dxa"/>
            <w:shd w:val="clear" w:color="auto" w:fill="FFFFFF"/>
          </w:tcPr>
          <w:p w14:paraId="0D197721" w14:textId="13A04FB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24FBF106" w14:textId="48D10E8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(2.4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705A4A52" w14:textId="79AD0741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3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(2.3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52E20F25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0.758</w:t>
            </w:r>
          </w:p>
        </w:tc>
      </w:tr>
      <w:tr w:rsidR="00BF61EF" w:rsidRPr="008B0649" w14:paraId="32A79C28" w14:textId="77777777" w:rsidTr="00E11715">
        <w:tc>
          <w:tcPr>
            <w:tcW w:w="3403" w:type="dxa"/>
            <w:shd w:val="clear" w:color="auto" w:fill="FFFFFF"/>
          </w:tcPr>
          <w:p w14:paraId="54861D2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Diarrhea</w:t>
            </w:r>
          </w:p>
        </w:tc>
        <w:tc>
          <w:tcPr>
            <w:tcW w:w="1275" w:type="dxa"/>
            <w:shd w:val="clear" w:color="auto" w:fill="FFFFFF"/>
          </w:tcPr>
          <w:p w14:paraId="3818BD47" w14:textId="50D8DED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(1.7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28222669" w14:textId="3B6BDB6F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412846E9" w14:textId="034153E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8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(6.0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1353E66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0.046</w:t>
            </w:r>
          </w:p>
        </w:tc>
      </w:tr>
      <w:tr w:rsidR="00BF61EF" w:rsidRPr="008B0649" w14:paraId="569DFC5A" w14:textId="77777777" w:rsidTr="00E11715">
        <w:tc>
          <w:tcPr>
            <w:tcW w:w="3403" w:type="dxa"/>
            <w:shd w:val="clear" w:color="auto" w:fill="FFFFFF"/>
          </w:tcPr>
          <w:p w14:paraId="631E80D9" w14:textId="4A05AFFE" w:rsidR="00BF61EF" w:rsidRPr="008B0649" w:rsidRDefault="00BF61EF" w:rsidP="002E7298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pain</w:t>
            </w:r>
          </w:p>
        </w:tc>
        <w:tc>
          <w:tcPr>
            <w:tcW w:w="1275" w:type="dxa"/>
            <w:shd w:val="clear" w:color="auto" w:fill="FFFFFF"/>
          </w:tcPr>
          <w:p w14:paraId="2441E844" w14:textId="7014AF4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0F782D9B" w14:textId="23E56D9D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107A4FEE" w14:textId="3D3326B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3F590EEA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0.238</w:t>
            </w:r>
          </w:p>
        </w:tc>
      </w:tr>
      <w:tr w:rsidR="00BF61EF" w:rsidRPr="008B0649" w14:paraId="05D1642C" w14:textId="77777777" w:rsidTr="00E11715">
        <w:tc>
          <w:tcPr>
            <w:tcW w:w="3403" w:type="dxa"/>
            <w:shd w:val="clear" w:color="auto" w:fill="FFFFFF"/>
          </w:tcPr>
          <w:p w14:paraId="05E6DE44" w14:textId="38BE03C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Abdominal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distention</w:t>
            </w:r>
          </w:p>
        </w:tc>
        <w:tc>
          <w:tcPr>
            <w:tcW w:w="1275" w:type="dxa"/>
            <w:shd w:val="clear" w:color="auto" w:fill="FFFFFF"/>
          </w:tcPr>
          <w:p w14:paraId="04E99AD1" w14:textId="6034500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10E4FBAD" w14:textId="544A037C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3B97D4B8" w14:textId="2FA2E2B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6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(4.5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AC86B83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0.054</w:t>
            </w:r>
          </w:p>
        </w:tc>
      </w:tr>
      <w:tr w:rsidR="00BF61EF" w:rsidRPr="008B0649" w14:paraId="7A6DD110" w14:textId="77777777" w:rsidTr="00E11715">
        <w:tc>
          <w:tcPr>
            <w:tcW w:w="3403" w:type="dxa"/>
            <w:shd w:val="clear" w:color="auto" w:fill="FFFFFF"/>
          </w:tcPr>
          <w:p w14:paraId="4CFCAED2" w14:textId="1A6D7EF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</w:rPr>
              <w:t>High</w:t>
            </w:r>
            <w:r w:rsidR="00AD6792">
              <w:rPr>
                <w:rFonts w:ascii="Book Antiqua" w:hAnsi="Book Antiqua"/>
              </w:rPr>
              <w:t xml:space="preserve"> </w:t>
            </w:r>
            <w:r w:rsidRPr="008B0649">
              <w:rPr>
                <w:rFonts w:ascii="Book Antiqua" w:hAnsi="Book Antiqua"/>
              </w:rPr>
              <w:t>gastric</w:t>
            </w:r>
            <w:r w:rsidR="00AD6792">
              <w:rPr>
                <w:rFonts w:ascii="Book Antiqua" w:hAnsi="Book Antiqua"/>
              </w:rPr>
              <w:t xml:space="preserve"> </w:t>
            </w:r>
            <w:r w:rsidRPr="008B0649">
              <w:rPr>
                <w:rFonts w:ascii="Book Antiqua" w:hAnsi="Book Antiqua"/>
              </w:rPr>
              <w:t>residuals</w:t>
            </w:r>
          </w:p>
        </w:tc>
        <w:tc>
          <w:tcPr>
            <w:tcW w:w="1275" w:type="dxa"/>
            <w:shd w:val="clear" w:color="auto" w:fill="FFFFFF"/>
          </w:tcPr>
          <w:p w14:paraId="14CB8908" w14:textId="0B652D6A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5F54AA1B" w14:textId="6DBA646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(1.6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4E0EC279" w14:textId="21BFC36E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2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(1.5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7476EA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0.653</w:t>
            </w:r>
          </w:p>
        </w:tc>
      </w:tr>
      <w:tr w:rsidR="00BF61EF" w:rsidRPr="008B0649" w14:paraId="64974E2E" w14:textId="77777777" w:rsidTr="00E11715">
        <w:tc>
          <w:tcPr>
            <w:tcW w:w="3403" w:type="dxa"/>
            <w:shd w:val="clear" w:color="auto" w:fill="FFFFFF"/>
          </w:tcPr>
          <w:p w14:paraId="61FA5A6E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IAH</w:t>
            </w:r>
          </w:p>
        </w:tc>
        <w:tc>
          <w:tcPr>
            <w:tcW w:w="1275" w:type="dxa"/>
            <w:shd w:val="clear" w:color="auto" w:fill="FFFFFF"/>
          </w:tcPr>
          <w:p w14:paraId="5C6C2578" w14:textId="5ACE162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3BE661EF" w14:textId="6A2A086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1047D289" w14:textId="5DD4048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2E649AE7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0.422</w:t>
            </w:r>
          </w:p>
        </w:tc>
      </w:tr>
      <w:tr w:rsidR="00BF61EF" w:rsidRPr="008B0649" w14:paraId="207FC381" w14:textId="77777777" w:rsidTr="00E11715">
        <w:tc>
          <w:tcPr>
            <w:tcW w:w="3403" w:type="dxa"/>
            <w:shd w:val="clear" w:color="auto" w:fill="FFFFFF"/>
          </w:tcPr>
          <w:p w14:paraId="1B9F38BE" w14:textId="65BC82C0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Paralytic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ileus</w:t>
            </w:r>
          </w:p>
        </w:tc>
        <w:tc>
          <w:tcPr>
            <w:tcW w:w="1275" w:type="dxa"/>
            <w:shd w:val="clear" w:color="auto" w:fill="FFFFFF"/>
          </w:tcPr>
          <w:p w14:paraId="4650986E" w14:textId="3328986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(0.0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560" w:type="dxa"/>
            <w:shd w:val="clear" w:color="auto" w:fill="FFFFFF"/>
          </w:tcPr>
          <w:p w14:paraId="1CF491C6" w14:textId="29351B46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1417" w:type="dxa"/>
            <w:shd w:val="clear" w:color="auto" w:fill="FFFFFF"/>
          </w:tcPr>
          <w:p w14:paraId="6D891C4A" w14:textId="1D7EDDDB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ind w:firstLineChars="50" w:firstLine="120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1</w:t>
            </w:r>
            <w:r w:rsidR="00AD6792">
              <w:rPr>
                <w:rFonts w:ascii="Book Antiqua" w:hAnsi="Book Antiqua"/>
                <w:bCs/>
              </w:rPr>
              <w:t xml:space="preserve"> </w:t>
            </w:r>
            <w:r w:rsidRPr="008B0649">
              <w:rPr>
                <w:rFonts w:ascii="Book Antiqua" w:hAnsi="Book Antiqua"/>
                <w:bCs/>
              </w:rPr>
              <w:t>(0.8</w:t>
            </w:r>
            <w:r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14:paraId="400F2809" w14:textId="77777777" w:rsidR="00BF61EF" w:rsidRPr="008B0649" w:rsidRDefault="00BF61EF" w:rsidP="00BF61E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bCs/>
              </w:rPr>
            </w:pPr>
            <w:r w:rsidRPr="008B0649">
              <w:rPr>
                <w:rFonts w:ascii="Book Antiqua" w:hAnsi="Book Antiqua"/>
                <w:bCs/>
              </w:rPr>
              <w:t>0.444</w:t>
            </w:r>
          </w:p>
        </w:tc>
      </w:tr>
    </w:tbl>
    <w:p w14:paraId="607BE45C" w14:textId="1CC4C252" w:rsidR="00BF61EF" w:rsidRPr="008B0649" w:rsidRDefault="00BF61EF" w:rsidP="00BF61EF">
      <w:pPr>
        <w:spacing w:line="360" w:lineRule="auto"/>
        <w:jc w:val="both"/>
        <w:rPr>
          <w:rFonts w:ascii="Book Antiqua" w:hAnsi="Book Antiqua"/>
        </w:rPr>
      </w:pP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30%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B: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60%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nutrition;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Group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C: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Patients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were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assigned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to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receive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100%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goal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caloric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requirement</w:t>
      </w:r>
      <w:r w:rsidR="001E4751">
        <w:rPr>
          <w:rFonts w:ascii="Book Antiqua" w:hAnsi="Book Antiqua"/>
        </w:rPr>
        <w:t>s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of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enteral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nutrition</w:t>
      </w:r>
      <w:r>
        <w:rPr>
          <w:rFonts w:ascii="Book Antiqua" w:hAnsi="Book Antiqua" w:hint="eastAsia"/>
        </w:rPr>
        <w:t>.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IAH</w:t>
      </w:r>
      <w:r>
        <w:rPr>
          <w:rFonts w:ascii="Book Antiqua" w:hAnsi="Book Antiqua" w:hint="eastAsia"/>
        </w:rPr>
        <w:t>:</w:t>
      </w:r>
      <w:r w:rsidR="00AD6792">
        <w:rPr>
          <w:rFonts w:ascii="Book Antiqua" w:hAnsi="Book Antiqua" w:hint="eastAsia"/>
          <w:lang w:eastAsia="zh-CN"/>
        </w:rPr>
        <w:t xml:space="preserve"> </w:t>
      </w:r>
      <w:r w:rsidRPr="00AB54A5">
        <w:rPr>
          <w:rFonts w:ascii="Book Antiqua" w:hAnsi="Book Antiqua"/>
          <w:caps/>
        </w:rPr>
        <w:t>i</w:t>
      </w:r>
      <w:r w:rsidRPr="008B0649">
        <w:rPr>
          <w:rFonts w:ascii="Book Antiqua" w:hAnsi="Book Antiqua"/>
        </w:rPr>
        <w:t>ntra-abdominal</w:t>
      </w:r>
      <w:r w:rsidR="00AD6792">
        <w:rPr>
          <w:rFonts w:ascii="Book Antiqua" w:hAnsi="Book Antiqua"/>
        </w:rPr>
        <w:t xml:space="preserve"> </w:t>
      </w:r>
      <w:r w:rsidRPr="008B0649">
        <w:rPr>
          <w:rFonts w:ascii="Book Antiqua" w:hAnsi="Book Antiqua"/>
        </w:rPr>
        <w:t>hypertension.</w:t>
      </w:r>
    </w:p>
    <w:p w14:paraId="0BF4759E" w14:textId="77777777" w:rsidR="00BF61EF" w:rsidRPr="008B0649" w:rsidRDefault="00BF61EF" w:rsidP="00BF61EF">
      <w:pPr>
        <w:spacing w:line="360" w:lineRule="auto"/>
        <w:rPr>
          <w:rFonts w:ascii="Book Antiqua" w:hAnsi="Book Antiqua"/>
        </w:rPr>
      </w:pPr>
    </w:p>
    <w:p w14:paraId="3C50D9DB" w14:textId="77777777" w:rsidR="00EE1012" w:rsidRPr="00EE1012" w:rsidRDefault="00EE1012" w:rsidP="00BF61EF">
      <w:pPr>
        <w:spacing w:line="360" w:lineRule="auto"/>
        <w:jc w:val="both"/>
        <w:rPr>
          <w:lang w:eastAsia="zh-CN"/>
        </w:rPr>
      </w:pPr>
    </w:p>
    <w:sectPr w:rsidR="00EE1012" w:rsidRPr="00EE1012" w:rsidSect="00BD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C293" w14:textId="77777777" w:rsidR="006C5AAE" w:rsidRDefault="006C5AAE" w:rsidP="00BF61EF">
      <w:r>
        <w:separator/>
      </w:r>
    </w:p>
  </w:endnote>
  <w:endnote w:type="continuationSeparator" w:id="0">
    <w:p w14:paraId="4383CBD8" w14:textId="77777777" w:rsidR="006C5AAE" w:rsidRDefault="006C5AAE" w:rsidP="00B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1208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DF4A93" w14:textId="77777777" w:rsidR="00E11715" w:rsidRDefault="00E11715" w:rsidP="00BF61EF">
            <w:pPr>
              <w:pStyle w:val="a5"/>
              <w:jc w:val="right"/>
            </w:pP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C0F7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F61E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C0F7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32</w:t>
            </w:r>
            <w:r w:rsidRPr="00BF61E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CCA23" w14:textId="77777777" w:rsidR="00E11715" w:rsidRDefault="00E11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F386C" w14:textId="77777777" w:rsidR="006C5AAE" w:rsidRDefault="006C5AAE" w:rsidP="00BF61EF">
      <w:r>
        <w:separator/>
      </w:r>
    </w:p>
  </w:footnote>
  <w:footnote w:type="continuationSeparator" w:id="0">
    <w:p w14:paraId="4A0148E2" w14:textId="77777777" w:rsidR="006C5AAE" w:rsidRDefault="006C5AAE" w:rsidP="00BF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378"/>
    <w:rsid w:val="00033CF7"/>
    <w:rsid w:val="001C3BF0"/>
    <w:rsid w:val="001E4751"/>
    <w:rsid w:val="0023427F"/>
    <w:rsid w:val="002A6A57"/>
    <w:rsid w:val="002E7298"/>
    <w:rsid w:val="003B3955"/>
    <w:rsid w:val="003C0F7D"/>
    <w:rsid w:val="00444D75"/>
    <w:rsid w:val="00612D55"/>
    <w:rsid w:val="00630419"/>
    <w:rsid w:val="006C5AAE"/>
    <w:rsid w:val="006F265A"/>
    <w:rsid w:val="008B5651"/>
    <w:rsid w:val="009F02CB"/>
    <w:rsid w:val="00A77B3E"/>
    <w:rsid w:val="00A86A1B"/>
    <w:rsid w:val="00AD6792"/>
    <w:rsid w:val="00B21CC9"/>
    <w:rsid w:val="00BD4851"/>
    <w:rsid w:val="00BF61EF"/>
    <w:rsid w:val="00CA2A55"/>
    <w:rsid w:val="00CE2190"/>
    <w:rsid w:val="00E11715"/>
    <w:rsid w:val="00EE1012"/>
    <w:rsid w:val="00F40C8D"/>
    <w:rsid w:val="00FA3FE2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B0C43"/>
  <w15:docId w15:val="{9F3FAB33-6CAC-4FD2-A70B-98B76C7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E1012"/>
    <w:rPr>
      <w:sz w:val="18"/>
      <w:szCs w:val="18"/>
    </w:rPr>
  </w:style>
  <w:style w:type="character" w:customStyle="1" w:styleId="Char">
    <w:name w:val="批注框文本 Char"/>
    <w:basedOn w:val="a0"/>
    <w:link w:val="a3"/>
    <w:rsid w:val="00EE1012"/>
    <w:rPr>
      <w:sz w:val="18"/>
      <w:szCs w:val="18"/>
    </w:rPr>
  </w:style>
  <w:style w:type="paragraph" w:styleId="a4">
    <w:name w:val="header"/>
    <w:basedOn w:val="a"/>
    <w:link w:val="Char0"/>
    <w:rsid w:val="00BF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61EF"/>
    <w:rPr>
      <w:sz w:val="18"/>
      <w:szCs w:val="18"/>
    </w:rPr>
  </w:style>
  <w:style w:type="paragraph" w:styleId="a5">
    <w:name w:val="footer"/>
    <w:basedOn w:val="a"/>
    <w:link w:val="Char1"/>
    <w:uiPriority w:val="99"/>
    <w:rsid w:val="00BF6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61EF"/>
    <w:rPr>
      <w:sz w:val="18"/>
      <w:szCs w:val="18"/>
    </w:rPr>
  </w:style>
  <w:style w:type="character" w:styleId="a6">
    <w:name w:val="annotation reference"/>
    <w:basedOn w:val="a0"/>
    <w:rsid w:val="00F40C8D"/>
    <w:rPr>
      <w:sz w:val="21"/>
      <w:szCs w:val="21"/>
    </w:rPr>
  </w:style>
  <w:style w:type="paragraph" w:styleId="a7">
    <w:name w:val="annotation text"/>
    <w:basedOn w:val="a"/>
    <w:link w:val="Char2"/>
    <w:rsid w:val="00F40C8D"/>
  </w:style>
  <w:style w:type="character" w:customStyle="1" w:styleId="Char2">
    <w:name w:val="批注文字 Char"/>
    <w:basedOn w:val="a0"/>
    <w:link w:val="a7"/>
    <w:rsid w:val="00F40C8D"/>
    <w:rPr>
      <w:sz w:val="24"/>
      <w:szCs w:val="24"/>
    </w:rPr>
  </w:style>
  <w:style w:type="paragraph" w:styleId="a8">
    <w:name w:val="annotation subject"/>
    <w:basedOn w:val="a7"/>
    <w:next w:val="a7"/>
    <w:link w:val="Char3"/>
    <w:rsid w:val="00F40C8D"/>
    <w:rPr>
      <w:b/>
      <w:bCs/>
    </w:rPr>
  </w:style>
  <w:style w:type="character" w:customStyle="1" w:styleId="Char3">
    <w:name w:val="批注主题 Char"/>
    <w:basedOn w:val="Char2"/>
    <w:link w:val="a8"/>
    <w:rsid w:val="00F40C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7554</Words>
  <Characters>43063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2021-07-21T08:02:00Z</dcterms:created>
  <dcterms:modified xsi:type="dcterms:W3CDTF">2021-07-21T08:07:00Z</dcterms:modified>
</cp:coreProperties>
</file>