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DEAF4" w14:textId="269F3F8D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AD6792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AD6792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AD6792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026B4EAA" w14:textId="1B34E9DF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</w:t>
      </w:r>
      <w:r w:rsidR="009610BB">
        <w:rPr>
          <w:rFonts w:ascii="Book Antiqua" w:hAnsi="Book Antiqua" w:cs="Book Antiqua" w:hint="eastAsia"/>
          <w:color w:val="000000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</w:rPr>
        <w:t>47</w:t>
      </w:r>
    </w:p>
    <w:p w14:paraId="69B56FD3" w14:textId="3F14430A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708FE7F7" w14:textId="77777777" w:rsidR="00A77B3E" w:rsidRDefault="00A77B3E" w:rsidP="00BF61EF">
      <w:pPr>
        <w:spacing w:line="360" w:lineRule="auto"/>
        <w:jc w:val="both"/>
      </w:pPr>
    </w:p>
    <w:p w14:paraId="5BC2D84E" w14:textId="6336E3DA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Clinical</w:t>
      </w:r>
      <w:r w:rsidR="00AD679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Trials</w:t>
      </w:r>
      <w:r w:rsidR="00AD679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5CF0FFA0" w14:textId="64A462EB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Effects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permissive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hypocaloric</w:t>
      </w:r>
      <w:proofErr w:type="spellEnd"/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vs</w:t>
      </w:r>
      <w:proofErr w:type="spellEnd"/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standard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enteral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feeding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gastrointestinal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function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outcomes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sepsis</w:t>
      </w:r>
    </w:p>
    <w:p w14:paraId="248B8E6B" w14:textId="77777777" w:rsidR="00A77B3E" w:rsidRDefault="00A77B3E" w:rsidP="00BF61EF">
      <w:pPr>
        <w:spacing w:line="360" w:lineRule="auto"/>
        <w:jc w:val="both"/>
      </w:pPr>
    </w:p>
    <w:p w14:paraId="18E36AED" w14:textId="3C6839B2" w:rsidR="00A77B3E" w:rsidRDefault="00EE1012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Sun</w:t>
      </w:r>
      <w:r w:rsidR="00AD679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JK</w:t>
      </w:r>
      <w:r w:rsidR="00AD679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E1012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AD6792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EE1012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AD679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8B5651">
        <w:rPr>
          <w:rFonts w:ascii="Book Antiqua" w:eastAsia="Book Antiqua" w:hAnsi="Book Antiqua" w:cs="Book Antiqua"/>
          <w:color w:val="000000"/>
        </w:rPr>
        <w:t>Hypocaloric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8B5651"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8B5651"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8B5651"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8B5651">
        <w:rPr>
          <w:rFonts w:ascii="Book Antiqua" w:eastAsia="Book Antiqua" w:hAnsi="Book Antiqua" w:cs="Book Antiqua"/>
          <w:color w:val="000000"/>
        </w:rPr>
        <w:t>function</w:t>
      </w:r>
    </w:p>
    <w:p w14:paraId="6789C795" w14:textId="77777777" w:rsidR="00A77B3E" w:rsidRDefault="00A77B3E" w:rsidP="00BF61EF">
      <w:pPr>
        <w:spacing w:line="360" w:lineRule="auto"/>
        <w:jc w:val="both"/>
      </w:pPr>
    </w:p>
    <w:p w14:paraId="2BBA95E4" w14:textId="3752A9B0" w:rsidR="00A77B3E" w:rsidRDefault="008B5651" w:rsidP="00BF61EF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Jia-Kui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Shuai</w:t>
      </w:r>
      <w:proofErr w:type="spellEnd"/>
      <w:r w:rsidR="00AD679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Yong-Ming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Su-Ming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Xin</w:t>
      </w:r>
      <w:proofErr w:type="spellEnd"/>
      <w:r>
        <w:rPr>
          <w:rFonts w:ascii="Book Antiqua" w:eastAsia="Book Antiqua" w:hAnsi="Book Antiqua" w:cs="Book Antiqua"/>
          <w:color w:val="000000"/>
        </w:rPr>
        <w:t>-Wei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</w:t>
      </w:r>
    </w:p>
    <w:p w14:paraId="301521D9" w14:textId="77777777" w:rsidR="00A77B3E" w:rsidRDefault="00A77B3E" w:rsidP="00BF61EF">
      <w:pPr>
        <w:spacing w:line="360" w:lineRule="auto"/>
        <w:jc w:val="both"/>
      </w:pPr>
    </w:p>
    <w:p w14:paraId="35C04964" w14:textId="25558E9A" w:rsidR="00A77B3E" w:rsidRDefault="008B5651" w:rsidP="00BF61EF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Jia-Kui</w:t>
      </w:r>
      <w:proofErr w:type="spellEnd"/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Shuai</w:t>
      </w:r>
      <w:proofErr w:type="spellEnd"/>
      <w:r w:rsidR="00AD6792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Nie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Yong-Ming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Xiang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Xin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-Wei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Mu,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Nanjing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Nanjing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Nanjing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210006,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Jiangsu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CCC46B7" w14:textId="77777777" w:rsidR="00A77B3E" w:rsidRDefault="00A77B3E" w:rsidP="00BF61EF">
      <w:pPr>
        <w:spacing w:line="360" w:lineRule="auto"/>
        <w:jc w:val="both"/>
      </w:pPr>
    </w:p>
    <w:p w14:paraId="33C1959A" w14:textId="2606092A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Jing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Zhou,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Su-Ming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Zhou,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Nanjing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(Jiangsu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People’s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Hospital),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Nanjing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210006,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Jiangsu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494F47D" w14:textId="77777777" w:rsidR="00A77B3E" w:rsidRDefault="00A77B3E" w:rsidP="00BF61EF">
      <w:pPr>
        <w:spacing w:line="360" w:lineRule="auto"/>
        <w:jc w:val="both"/>
      </w:pPr>
    </w:p>
    <w:p w14:paraId="01741417" w14:textId="2BF6635A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AD679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AD679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6F265A">
        <w:rPr>
          <w:rFonts w:ascii="Book Antiqua" w:eastAsia="Book Antiqua" w:hAnsi="Book Antiqua" w:cs="Book Antiqua"/>
          <w:color w:val="000000"/>
        </w:rPr>
        <w:t xml:space="preserve"> to this work</w:t>
      </w:r>
      <w:r>
        <w:rPr>
          <w:rFonts w:ascii="Book Antiqua" w:eastAsia="Book Antiqua" w:hAnsi="Book Antiqua" w:cs="Book Antiqua"/>
          <w:color w:val="000000"/>
        </w:rPr>
        <w:t>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XW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>co</w:t>
      </w:r>
      <w:r>
        <w:rPr>
          <w:rFonts w:ascii="Book Antiqua" w:eastAsia="Book Antiqua" w:hAnsi="Book Antiqua" w:cs="Book Antiqua"/>
          <w:color w:val="000000"/>
        </w:rPr>
        <w:t>-corresponding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XW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study </w:t>
      </w:r>
      <w:r>
        <w:rPr>
          <w:rFonts w:ascii="Book Antiqua" w:eastAsia="Book Antiqua" w:hAnsi="Book Antiqua" w:cs="Book Antiqua"/>
          <w:color w:val="000000"/>
        </w:rPr>
        <w:t>design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coordination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experiments;</w:t>
      </w:r>
      <w:r w:rsidR="00AD6792">
        <w:rPr>
          <w:rFonts w:ascii="Book Antiqua" w:eastAsia="Book Antiqua" w:hAnsi="Book Antiqua" w:cs="Book Antiqua"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>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</w:p>
    <w:p w14:paraId="5D335E11" w14:textId="77777777" w:rsidR="00A77B3E" w:rsidRDefault="00A77B3E" w:rsidP="00BF61EF">
      <w:pPr>
        <w:spacing w:line="360" w:lineRule="auto"/>
        <w:jc w:val="both"/>
      </w:pPr>
    </w:p>
    <w:p w14:paraId="16AC965C" w14:textId="133F4F85" w:rsidR="00A77B3E" w:rsidRDefault="008B5651" w:rsidP="00BF61EF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b/>
          <w:bCs/>
          <w:color w:val="000000"/>
          <w:szCs w:val="21"/>
        </w:rPr>
        <w:lastRenderedPageBreak/>
        <w:t>Supported</w:t>
      </w:r>
      <w:r w:rsidR="00AD679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by</w:t>
      </w:r>
      <w:r w:rsidR="00AD679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81701881;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Nanjing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proofErr w:type="gram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YKK17102.</w:t>
      </w:r>
    </w:p>
    <w:p w14:paraId="761100BD" w14:textId="77777777" w:rsidR="00A77B3E" w:rsidRDefault="00A77B3E" w:rsidP="00BF61EF">
      <w:pPr>
        <w:spacing w:line="360" w:lineRule="auto"/>
        <w:jc w:val="both"/>
      </w:pPr>
    </w:p>
    <w:p w14:paraId="05565125" w14:textId="05F12868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Xin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-Wei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Mu,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Nanjing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Nanjing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Changle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Nanjing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210006,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Jiangsu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njdrmxw2012@163.com</w:t>
      </w:r>
    </w:p>
    <w:p w14:paraId="5B739CEE" w14:textId="77777777" w:rsidR="00A77B3E" w:rsidRDefault="00A77B3E" w:rsidP="00BF61EF">
      <w:pPr>
        <w:spacing w:line="360" w:lineRule="auto"/>
        <w:jc w:val="both"/>
      </w:pPr>
    </w:p>
    <w:p w14:paraId="7D5841E8" w14:textId="256989CF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DE54D41" w14:textId="3FDC888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0D186B7" w14:textId="5117C239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5"/>
      <w:bookmarkStart w:id="1" w:name="OLE_LINK33"/>
      <w:bookmarkStart w:id="2" w:name="OLE_LINK48"/>
      <w:r w:rsidR="00FA3FE2">
        <w:rPr>
          <w:rFonts w:ascii="Book Antiqua" w:eastAsia="宋体" w:hAnsi="Book Antiqua"/>
          <w:color w:val="000000" w:themeColor="text1"/>
        </w:rPr>
        <w:t>J</w:t>
      </w:r>
      <w:r w:rsidR="00FA3FE2">
        <w:rPr>
          <w:rFonts w:ascii="Book Antiqua" w:eastAsia="宋体" w:hAnsi="Book Antiqua" w:hint="eastAsia"/>
          <w:color w:val="000000" w:themeColor="text1"/>
        </w:rPr>
        <w:t>u</w:t>
      </w:r>
      <w:r w:rsidR="00FA3FE2">
        <w:rPr>
          <w:rFonts w:ascii="Book Antiqua" w:eastAsia="宋体" w:hAnsi="Book Antiqua"/>
          <w:color w:val="000000" w:themeColor="text1"/>
        </w:rPr>
        <w:t>ly</w:t>
      </w:r>
      <w:r w:rsidR="00FA3FE2" w:rsidRPr="00F06907">
        <w:rPr>
          <w:rFonts w:ascii="Book Antiqua" w:eastAsia="宋体" w:hAnsi="Book Antiqua"/>
          <w:color w:val="000000" w:themeColor="text1"/>
        </w:rPr>
        <w:t xml:space="preserve"> </w:t>
      </w:r>
      <w:r w:rsidR="00FA3FE2">
        <w:rPr>
          <w:rFonts w:ascii="Book Antiqua" w:eastAsia="宋体" w:hAnsi="Book Antiqua"/>
          <w:color w:val="000000" w:themeColor="text1"/>
        </w:rPr>
        <w:t>13</w:t>
      </w:r>
      <w:r w:rsidR="00FA3FE2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2129D4A1" w14:textId="6089D816" w:rsidR="00A77B3E" w:rsidRPr="009E2D36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E2D36" w:rsidRPr="009E2D36">
        <w:rPr>
          <w:rFonts w:ascii="Book Antiqua" w:eastAsia="Book Antiqua" w:hAnsi="Book Antiqua" w:cs="Book Antiqua"/>
          <w:color w:val="000000"/>
        </w:rPr>
        <w:t>August 7, 2021</w:t>
      </w:r>
    </w:p>
    <w:p w14:paraId="5CCED62A" w14:textId="77777777" w:rsidR="00A77B3E" w:rsidRDefault="00A77B3E" w:rsidP="00BF61EF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FAF383" w14:textId="7777777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75C8B6F" w14:textId="7777777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045DE690" w14:textId="51E7B320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>are</w:t>
      </w:r>
      <w:r w:rsidR="003C0F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have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has </w:t>
      </w:r>
      <w:r>
        <w:rPr>
          <w:rFonts w:ascii="Book Antiqua" w:eastAsia="Book Antiqua" w:hAnsi="Book Antiqua" w:cs="Book Antiqua"/>
          <w:color w:val="000000"/>
        </w:rPr>
        <w:t>been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</w:p>
    <w:p w14:paraId="2162CF7F" w14:textId="77777777" w:rsidR="00A77B3E" w:rsidRDefault="00A77B3E" w:rsidP="00BF61EF">
      <w:pPr>
        <w:spacing w:line="360" w:lineRule="auto"/>
        <w:jc w:val="both"/>
      </w:pPr>
    </w:p>
    <w:p w14:paraId="66BF02EA" w14:textId="7777777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48DFCBA9" w14:textId="01F1BC56" w:rsidR="00A77B3E" w:rsidRDefault="008B5651" w:rsidP="00BF61EF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function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proofErr w:type="gramEnd"/>
    </w:p>
    <w:p w14:paraId="4C94E783" w14:textId="77777777" w:rsidR="00A77B3E" w:rsidRDefault="00A77B3E" w:rsidP="00BF61EF">
      <w:pPr>
        <w:spacing w:line="360" w:lineRule="auto"/>
        <w:jc w:val="both"/>
      </w:pPr>
    </w:p>
    <w:p w14:paraId="0782739F" w14:textId="7777777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329A44DF" w14:textId="31D2D66E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(defined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A),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B),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</w:t>
      </w:r>
      <w:r w:rsidR="006F265A">
        <w:rPr>
          <w:rFonts w:ascii="Book Antiqua" w:eastAsia="Book Antiqua" w:hAnsi="Book Antiqua" w:cs="Book Antiqua"/>
          <w:color w:val="000000"/>
        </w:rPr>
        <w:t>ti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(AGI)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intolerance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(FI),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recorded.</w:t>
      </w:r>
    </w:p>
    <w:p w14:paraId="6350FBFF" w14:textId="77777777" w:rsidR="00A77B3E" w:rsidRDefault="00A77B3E" w:rsidP="00BF61EF">
      <w:pPr>
        <w:spacing w:line="360" w:lineRule="auto"/>
        <w:jc w:val="both"/>
      </w:pPr>
    </w:p>
    <w:p w14:paraId="34E04F70" w14:textId="7777777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1C544173" w14:textId="73170078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(2.55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0.82)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(3.50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1.51</w:t>
      </w:r>
      <w:r w:rsidR="006F265A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0.046)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(4.85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1.68</w:t>
      </w:r>
      <w:r w:rsidR="006F265A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(16.5%)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(5.0%)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(8.7%)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0.009).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6F265A">
        <w:rPr>
          <w:rFonts w:ascii="Book Antiqua" w:eastAsia="Book Antiqua" w:hAnsi="Book Antiqua" w:cs="Book Antiqua"/>
          <w:color w:val="000000"/>
        </w:rPr>
        <w:t>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prealbumin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levels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Pr="00AD6792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or </w:t>
      </w:r>
      <w:r>
        <w:rPr>
          <w:rFonts w:ascii="Book Antiqua" w:eastAsia="Book Antiqua" w:hAnsi="Book Antiqua" w:cs="Book Antiqua"/>
          <w:color w:val="000000"/>
        </w:rPr>
        <w:t>28-d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</w:p>
    <w:p w14:paraId="675F905F" w14:textId="77777777" w:rsidR="00A77B3E" w:rsidRDefault="00A77B3E" w:rsidP="00BF61EF">
      <w:pPr>
        <w:spacing w:line="360" w:lineRule="auto"/>
        <w:jc w:val="both"/>
      </w:pPr>
    </w:p>
    <w:p w14:paraId="5832842C" w14:textId="7777777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250568E6" w14:textId="7FA8037D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Early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6F265A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large-scale</w:t>
      </w:r>
      <w:r w:rsidR="006F265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clinical trials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required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work.</w:t>
      </w:r>
    </w:p>
    <w:p w14:paraId="5B95FC05" w14:textId="77777777" w:rsidR="00A77B3E" w:rsidRDefault="00A77B3E" w:rsidP="00BF61EF">
      <w:pPr>
        <w:spacing w:line="360" w:lineRule="auto"/>
        <w:jc w:val="both"/>
      </w:pPr>
    </w:p>
    <w:p w14:paraId="23F23C10" w14:textId="7DEF58FF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Enteral</w:t>
      </w:r>
      <w:proofErr w:type="gram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</w:p>
    <w:p w14:paraId="1EF6E909" w14:textId="77777777" w:rsidR="00A77B3E" w:rsidRDefault="00A77B3E" w:rsidP="00BF61EF">
      <w:pPr>
        <w:spacing w:line="360" w:lineRule="auto"/>
        <w:jc w:val="both"/>
        <w:rPr>
          <w:lang w:eastAsia="zh-CN"/>
        </w:rPr>
      </w:pPr>
    </w:p>
    <w:p w14:paraId="36562EB6" w14:textId="77777777" w:rsidR="00D554FA" w:rsidRPr="00026CB8" w:rsidRDefault="00D554FA" w:rsidP="00D554FA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43A46E8B" w14:textId="77777777" w:rsidR="00D554FA" w:rsidRDefault="00D554FA" w:rsidP="00BF61EF">
      <w:pPr>
        <w:spacing w:line="360" w:lineRule="auto"/>
        <w:jc w:val="both"/>
        <w:rPr>
          <w:lang w:eastAsia="zh-CN"/>
        </w:rPr>
      </w:pPr>
    </w:p>
    <w:p w14:paraId="09EA63E0" w14:textId="138B4252" w:rsidR="00D554FA" w:rsidRPr="00D237BC" w:rsidRDefault="00D554FA" w:rsidP="00BF61E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554FA"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8B5651">
        <w:rPr>
          <w:rFonts w:ascii="Book Antiqua" w:eastAsia="Book Antiqua" w:hAnsi="Book Antiqua" w:cs="Book Antiqua"/>
          <w:color w:val="000000"/>
        </w:rPr>
        <w:t>Sun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8B5651">
        <w:rPr>
          <w:rFonts w:ascii="Book Antiqua" w:eastAsia="Book Antiqua" w:hAnsi="Book Antiqua" w:cs="Book Antiqua"/>
          <w:color w:val="000000"/>
        </w:rPr>
        <w:t>JK,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B5651"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8B5651">
        <w:rPr>
          <w:rFonts w:ascii="Book Antiqua" w:eastAsia="Book Antiqua" w:hAnsi="Book Antiqua" w:cs="Book Antiqua"/>
          <w:color w:val="000000"/>
        </w:rPr>
        <w:t>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8B5651">
        <w:rPr>
          <w:rFonts w:ascii="Book Antiqua" w:eastAsia="Book Antiqua" w:hAnsi="Book Antiqua" w:cs="Book Antiqua"/>
          <w:color w:val="000000"/>
        </w:rPr>
        <w:t>Chen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8B5651">
        <w:rPr>
          <w:rFonts w:ascii="Book Antiqua" w:eastAsia="Book Antiqua" w:hAnsi="Book Antiqua" w:cs="Book Antiqua"/>
          <w:color w:val="000000"/>
        </w:rPr>
        <w:t>YM,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8B5651">
        <w:rPr>
          <w:rFonts w:ascii="Book Antiqua" w:eastAsia="Book Antiqua" w:hAnsi="Book Antiqua" w:cs="Book Antiqua"/>
          <w:color w:val="000000"/>
        </w:rPr>
        <w:t>Zhou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8B5651">
        <w:rPr>
          <w:rFonts w:ascii="Book Antiqua" w:eastAsia="Book Antiqua" w:hAnsi="Book Antiqua" w:cs="Book Antiqua"/>
          <w:color w:val="000000"/>
        </w:rPr>
        <w:t>J,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8B5651">
        <w:rPr>
          <w:rFonts w:ascii="Book Antiqua" w:eastAsia="Book Antiqua" w:hAnsi="Book Antiqua" w:cs="Book Antiqua"/>
          <w:color w:val="000000"/>
        </w:rPr>
        <w:t>Wang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8B5651">
        <w:rPr>
          <w:rFonts w:ascii="Book Antiqua" w:eastAsia="Book Antiqua" w:hAnsi="Book Antiqua" w:cs="Book Antiqua"/>
          <w:color w:val="000000"/>
        </w:rPr>
        <w:t>X,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8B5651">
        <w:rPr>
          <w:rFonts w:ascii="Book Antiqua" w:eastAsia="Book Antiqua" w:hAnsi="Book Antiqua" w:cs="Book Antiqua"/>
          <w:color w:val="000000"/>
        </w:rPr>
        <w:t>Zhou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8B5651">
        <w:rPr>
          <w:rFonts w:ascii="Book Antiqua" w:eastAsia="Book Antiqua" w:hAnsi="Book Antiqua" w:cs="Book Antiqua"/>
          <w:color w:val="000000"/>
        </w:rPr>
        <w:t>SM,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8B5651">
        <w:rPr>
          <w:rFonts w:ascii="Book Antiqua" w:eastAsia="Book Antiqua" w:hAnsi="Book Antiqua" w:cs="Book Antiqua"/>
          <w:color w:val="000000"/>
        </w:rPr>
        <w:t>Mu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8B5651">
        <w:rPr>
          <w:rFonts w:ascii="Book Antiqua" w:eastAsia="Book Antiqua" w:hAnsi="Book Antiqua" w:cs="Book Antiqua"/>
          <w:color w:val="000000"/>
        </w:rPr>
        <w:t>XW.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B5651">
        <w:rPr>
          <w:rFonts w:ascii="Book Antiqua" w:eastAsia="Book Antiqua" w:hAnsi="Book Antiqua" w:cs="Book Antiqua"/>
          <w:color w:val="000000"/>
        </w:rPr>
        <w:t>Effects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8B5651"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8B5651">
        <w:rPr>
          <w:rFonts w:ascii="Book Antiqua" w:eastAsia="Book Antiqua" w:hAnsi="Book Antiqua" w:cs="Book Antiqua"/>
          <w:color w:val="000000"/>
        </w:rPr>
        <w:t>permissive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B5651">
        <w:rPr>
          <w:rFonts w:ascii="Book Antiqua" w:eastAsia="Book Antiqua" w:hAnsi="Book Antiqua" w:cs="Book Antiqua"/>
          <w:color w:val="000000"/>
        </w:rPr>
        <w:t>hypocaloric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B5651"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8B5651">
        <w:rPr>
          <w:rFonts w:ascii="Book Antiqua" w:eastAsia="Book Antiqua" w:hAnsi="Book Antiqua" w:cs="Book Antiqua"/>
          <w:color w:val="000000"/>
        </w:rPr>
        <w:t>standard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8B5651"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8B5651"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8B5651"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8B5651"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8B5651"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8B5651"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8B5651">
        <w:rPr>
          <w:rFonts w:ascii="Book Antiqua" w:eastAsia="Book Antiqua" w:hAnsi="Book Antiqua" w:cs="Book Antiqua"/>
          <w:color w:val="000000"/>
        </w:rPr>
        <w:t>outcomes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8B5651"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8B5651">
        <w:rPr>
          <w:rFonts w:ascii="Book Antiqua" w:eastAsia="Book Antiqua" w:hAnsi="Book Antiqua" w:cs="Book Antiqua"/>
          <w:color w:val="000000"/>
        </w:rPr>
        <w:t>sepsis.</w:t>
      </w:r>
      <w:proofErr w:type="gram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8B565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B56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8B5651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8B5651">
        <w:rPr>
          <w:rFonts w:ascii="Book Antiqua" w:eastAsia="Book Antiqua" w:hAnsi="Book Antiqua" w:cs="Book Antiqua"/>
          <w:color w:val="000000"/>
        </w:rPr>
        <w:t>2021;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4E6F20" w:rsidRPr="004E6F20">
        <w:rPr>
          <w:rFonts w:ascii="Book Antiqua" w:eastAsia="Book Antiqua" w:hAnsi="Book Antiqua" w:cs="Book Antiqua"/>
          <w:color w:val="000000"/>
        </w:rPr>
        <w:t xml:space="preserve">27(29): </w:t>
      </w:r>
      <w:r w:rsidR="00D237BC">
        <w:rPr>
          <w:rFonts w:ascii="Book Antiqua" w:hAnsi="Book Antiqua" w:cs="Book Antiqua" w:hint="eastAsia"/>
          <w:color w:val="000000"/>
          <w:lang w:eastAsia="zh-CN"/>
        </w:rPr>
        <w:t>49</w:t>
      </w:r>
      <w:r w:rsidR="004E6F20" w:rsidRPr="004E6F20">
        <w:rPr>
          <w:rFonts w:ascii="Book Antiqua" w:eastAsia="Book Antiqua" w:hAnsi="Book Antiqua" w:cs="Book Antiqua"/>
          <w:color w:val="000000"/>
        </w:rPr>
        <w:t>00-</w:t>
      </w:r>
      <w:r w:rsidR="00D237BC">
        <w:rPr>
          <w:rFonts w:ascii="Book Antiqua" w:hAnsi="Book Antiqua" w:cs="Book Antiqua" w:hint="eastAsia"/>
          <w:color w:val="000000"/>
          <w:lang w:eastAsia="zh-CN"/>
        </w:rPr>
        <w:t>4912</w:t>
      </w:r>
    </w:p>
    <w:p w14:paraId="003AE24E" w14:textId="4BB3DE4B" w:rsidR="00D554FA" w:rsidRDefault="004E6F20" w:rsidP="00BF61E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554FA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Pr="004E6F20">
        <w:rPr>
          <w:rFonts w:ascii="Book Antiqua" w:eastAsia="Book Antiqua" w:hAnsi="Book Antiqua" w:cs="Book Antiqua"/>
          <w:color w:val="000000"/>
        </w:rPr>
        <w:t>https://www.wjgnet.com/1007-9327/full/v27/i29/</w:t>
      </w:r>
      <w:r w:rsidR="00D237BC">
        <w:rPr>
          <w:rFonts w:ascii="Book Antiqua" w:hAnsi="Book Antiqua" w:cs="Book Antiqua" w:hint="eastAsia"/>
          <w:color w:val="000000"/>
          <w:lang w:eastAsia="zh-CN"/>
        </w:rPr>
        <w:t>49</w:t>
      </w:r>
      <w:r w:rsidRPr="004E6F20">
        <w:rPr>
          <w:rFonts w:ascii="Book Antiqua" w:eastAsia="Book Antiqua" w:hAnsi="Book Antiqua" w:cs="Book Antiqua"/>
          <w:color w:val="000000"/>
        </w:rPr>
        <w:t>00.htm</w:t>
      </w:r>
    </w:p>
    <w:p w14:paraId="0156D318" w14:textId="32C59652" w:rsidR="00A77B3E" w:rsidRDefault="004E6F20" w:rsidP="00BF61EF">
      <w:pPr>
        <w:spacing w:line="360" w:lineRule="auto"/>
        <w:jc w:val="both"/>
      </w:pPr>
      <w:r w:rsidRPr="00D554FA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4E6F20">
        <w:rPr>
          <w:rFonts w:ascii="Book Antiqua" w:eastAsia="Book Antiqua" w:hAnsi="Book Antiqua" w:cs="Book Antiqua"/>
          <w:color w:val="000000"/>
        </w:rPr>
        <w:t>https://dx.doi.org/10.3748/wjg.v27.i29.</w:t>
      </w:r>
      <w:r w:rsidR="00D237BC">
        <w:rPr>
          <w:rFonts w:ascii="Book Antiqua" w:hAnsi="Book Antiqua" w:cs="Book Antiqua" w:hint="eastAsia"/>
          <w:color w:val="000000"/>
          <w:lang w:eastAsia="zh-CN"/>
        </w:rPr>
        <w:t>49</w:t>
      </w:r>
      <w:r w:rsidRPr="004E6F20">
        <w:rPr>
          <w:rFonts w:ascii="Book Antiqua" w:eastAsia="Book Antiqua" w:hAnsi="Book Antiqua" w:cs="Book Antiqua"/>
          <w:color w:val="000000"/>
        </w:rPr>
        <w:t>00</w:t>
      </w:r>
    </w:p>
    <w:p w14:paraId="7AECE481" w14:textId="77777777" w:rsidR="00A77B3E" w:rsidRDefault="00A77B3E" w:rsidP="00BF61EF">
      <w:pPr>
        <w:spacing w:line="360" w:lineRule="auto"/>
        <w:jc w:val="both"/>
      </w:pPr>
    </w:p>
    <w:p w14:paraId="6D07302F" w14:textId="623C748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have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has </w:t>
      </w:r>
      <w:r>
        <w:rPr>
          <w:rFonts w:ascii="Book Antiqua" w:eastAsia="Book Antiqua" w:hAnsi="Book Antiqua" w:cs="Book Antiqua"/>
          <w:color w:val="000000"/>
        </w:rPr>
        <w:t>been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(30%,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6F265A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intolerance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</w:p>
    <w:p w14:paraId="47D0621A" w14:textId="77777777" w:rsidR="00A77B3E" w:rsidRDefault="00A77B3E" w:rsidP="00BF61EF">
      <w:pPr>
        <w:spacing w:line="360" w:lineRule="auto"/>
        <w:jc w:val="both"/>
      </w:pPr>
    </w:p>
    <w:p w14:paraId="20504FFF" w14:textId="7777777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419A73A" w14:textId="0E566ABB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Sepsis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dysregulated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C7E79">
        <w:fldChar w:fldCharType="begin"/>
      </w:r>
      <w:r w:rsidR="00EC7E79">
        <w:instrText xml:space="preserve"> HYPERLINK \l "_ENREF_1" \o "MM, 2018 #35" </w:instrText>
      </w:r>
      <w:r w:rsidR="00EC7E79"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1-3</w:t>
      </w:r>
      <w:r w:rsidR="00EC7E79"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Although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6F265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for </w:t>
      </w:r>
      <w:r>
        <w:rPr>
          <w:rFonts w:ascii="Book Antiqua" w:eastAsia="Book Antiqua" w:hAnsi="Book Antiqua" w:cs="Book Antiqua"/>
          <w:color w:val="000000"/>
        </w:rPr>
        <w:t>sepsis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" w:tooltip="MM, 2018 #35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1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2" w:tooltip="Rhodes, 2017 #84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20%-50%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4" w:tooltip="Rudd, 2020 #33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4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5" w:tooltip="Fleischmann-Struzek, 2020 #34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5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(EN),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(EEN),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(ICUs)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6" w:tooltip="Lambell, 2020 #62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6-9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0" w:tooltip="Sun, 2019 #94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10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11" w:tooltip="Sun, 2013 #92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11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offer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2" w:tooltip="Dickerson, 2020 #79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12-17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augmented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4" w:tooltip="Target Investigators, 2018 #83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14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ESICM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advise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24-48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low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there are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9" w:tooltip="Reintam Blaser, 2017 #65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9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advise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“early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progressive”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should be </w:t>
      </w:r>
      <w:r>
        <w:rPr>
          <w:rFonts w:ascii="Book Antiqua" w:eastAsia="Book Antiqua" w:hAnsi="Book Antiqua" w:cs="Book Antiqua"/>
          <w:color w:val="000000"/>
        </w:rPr>
        <w:t>only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8" w:tooltip="Singer, 2019 #82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18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73141C0" w14:textId="1587DAE2" w:rsidR="00A77B3E" w:rsidRDefault="008B5651" w:rsidP="00BF61EF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Until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has </w:t>
      </w:r>
      <w:r>
        <w:rPr>
          <w:rFonts w:ascii="Book Antiqua" w:eastAsia="Book Antiqua" w:hAnsi="Book Antiqua" w:cs="Book Antiqua"/>
          <w:color w:val="000000"/>
        </w:rPr>
        <w:t>been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trophic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(400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kcal/d),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(1300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kcal/d),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ventilator-free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60-d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9" w:tooltip="National Heart, 2012 #66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19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PermiT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permissive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lower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(46%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7" w:tooltip="Arabi, 2015 #68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17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hypocaloric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(15%-59%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full-energy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3" w:tooltip="Hartl, 2019 #76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13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15" w:tooltip="Silva, 2018 #77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15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non-sepsis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have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</w:p>
    <w:p w14:paraId="27B428E2" w14:textId="25710B65" w:rsidR="00A77B3E" w:rsidRDefault="008B5651" w:rsidP="00BF61EF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Among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vulnerable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[4,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Accompanying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damaged,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translocated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[3,4]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vicious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(30%,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</w:p>
    <w:p w14:paraId="4591408A" w14:textId="77777777" w:rsidR="00A77B3E" w:rsidRDefault="00A77B3E" w:rsidP="00BF61EF">
      <w:pPr>
        <w:spacing w:line="360" w:lineRule="auto"/>
        <w:ind w:firstLine="480"/>
        <w:jc w:val="both"/>
      </w:pPr>
    </w:p>
    <w:p w14:paraId="7065D12F" w14:textId="52F40851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AD679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AD679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D16FD3A" w14:textId="6B273FCA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AD67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45FD4501" w14:textId="423AA7E1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enrollment.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randomization,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remainder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0" w:tooltip="Sun, 2019 #94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10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(divided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allocated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allocation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concealed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allocation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unblinded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improbable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allocations.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allocations.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single-blind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(2011)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began.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</w:p>
    <w:p w14:paraId="204D1447" w14:textId="193BCD8B" w:rsidR="00A77B3E" w:rsidRDefault="008B5651" w:rsidP="00BF61EF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Nanjing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(Approval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KY20180713-01),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from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first-degree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Trials.gov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NCT03791866).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diagram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participants.</w:t>
      </w:r>
    </w:p>
    <w:p w14:paraId="480FA443" w14:textId="77777777" w:rsidR="00A77B3E" w:rsidRDefault="00A77B3E" w:rsidP="00BF61EF">
      <w:pPr>
        <w:spacing w:line="360" w:lineRule="auto"/>
        <w:ind w:firstLine="480"/>
        <w:jc w:val="both"/>
      </w:pPr>
    </w:p>
    <w:p w14:paraId="1B1D6839" w14:textId="7777777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523409EE" w14:textId="5F13E77A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From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(age</w:t>
      </w:r>
      <w:r w:rsidR="006F265A">
        <w:rPr>
          <w:rFonts w:ascii="Book Antiqua" w:eastAsia="Book Antiqua" w:hAnsi="Book Antiqua" w:cs="Book Antiqua"/>
          <w:color w:val="000000"/>
        </w:rPr>
        <w:t>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18-70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Nanjing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compliance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" w:tooltip="Rhodes, 2017 #84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3" w:tooltip="Singer, 2016 #85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3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ileus,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(intra-abdominal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compartment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immunodeficiency,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dysfunction),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(MV),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vasopressor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resuscitation,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sedation,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" w:tooltip="MM, 2018 #35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1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2" w:tooltip="Rhodes, 2017 #84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20" w:tooltip="Cecconi, 2018 #41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20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16DC448" w14:textId="77777777" w:rsidR="00A77B3E" w:rsidRDefault="00A77B3E" w:rsidP="00BF61EF">
      <w:pPr>
        <w:spacing w:line="360" w:lineRule="auto"/>
        <w:jc w:val="both"/>
      </w:pPr>
    </w:p>
    <w:p w14:paraId="5B0FC94F" w14:textId="7FA6E773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Nutrition</w:t>
      </w:r>
      <w:r w:rsidR="00AD67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protocols</w:t>
      </w:r>
    </w:p>
    <w:p w14:paraId="07AABCA9" w14:textId="4E2BCB5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Before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nasogastric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nasojejunal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(size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10F,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Flocare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Nutricia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nasojejunal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bedside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post-pyloric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0" w:tooltip="Sun, 2019 #94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10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21" w:tooltip="Sun, 2018 #87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21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24-48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contraindications.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peptide-based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Peptisorb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Nutricia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24-48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tolerant,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Nutrison</w:t>
      </w:r>
      <w:proofErr w:type="spellEnd"/>
      <w:r w:rsidR="00AD679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Fibre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Nutricia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0" w:tooltip="Sun, 2019 #94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10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20-25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kcal/kg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1.2-2.0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g/kg/d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9" w:tooltip="Reintam Blaser, 2017 #65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9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10" w:tooltip="Sun, 2019 #94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10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18" w:tooltip="Singer, 2019 #82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18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6F265A">
        <w:rPr>
          <w:rFonts w:ascii="Book Antiqua" w:eastAsia="Book Antiqua" w:hAnsi="Book Antiqua" w:cs="Book Antiqua"/>
          <w:color w:val="000000"/>
        </w:rPr>
        <w:t>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6F265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(10-20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mL/h)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abdominal/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9" w:tooltip="Reintam Blaser, 2017 #65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9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intolerant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mL),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distension,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diluted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prokinetic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agents.</w:t>
      </w:r>
    </w:p>
    <w:p w14:paraId="3C145485" w14:textId="741A10DC" w:rsidR="00A77B3E" w:rsidRDefault="008B5651" w:rsidP="00BF61EF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Parenteral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(PN)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6F265A">
        <w:rPr>
          <w:rFonts w:ascii="Book Antiqua" w:eastAsia="Book Antiqua" w:hAnsi="Book Antiqua" w:cs="Book Antiqua"/>
          <w:color w:val="000000"/>
        </w:rPr>
        <w:t>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8" w:tooltip="Taylor, 2016 #81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8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9" w:tooltip="Reintam Blaser, 2017 #65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9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18" w:tooltip="Singer, 2019 #82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18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20-25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kcal/kg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calorie/nitrogen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120-150:1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8" w:tooltip="Taylor, 2016 #81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8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18" w:tooltip="Singer, 2019 #82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18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Fifty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6F265A">
        <w:rPr>
          <w:rFonts w:ascii="Book Antiqua" w:eastAsia="Book Antiqua" w:hAnsi="Book Antiqua" w:cs="Book Antiqua"/>
          <w:color w:val="000000"/>
        </w:rPr>
        <w:t>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supplied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provision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triglyceride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provided.</w:t>
      </w:r>
    </w:p>
    <w:p w14:paraId="72FB43D6" w14:textId="77777777" w:rsidR="00A77B3E" w:rsidRDefault="00A77B3E" w:rsidP="00BF61EF">
      <w:pPr>
        <w:spacing w:line="360" w:lineRule="auto"/>
        <w:ind w:firstLine="480"/>
        <w:jc w:val="both"/>
      </w:pPr>
    </w:p>
    <w:p w14:paraId="2C665A8F" w14:textId="7777777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Definitions</w:t>
      </w:r>
    </w:p>
    <w:p w14:paraId="6DACF67D" w14:textId="20EE81F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Sepsis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dysregulated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cellular/metabolic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" w:tooltip="MM, 2018 #35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1-3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(ARDS)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based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Berlin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2" w:tooltip="Fan, 2018 #103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22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23" w:tooltip=", 2012 #102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23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for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(AKI)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4" w:tooltip=", 2012 #104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24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(AGI)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5" w:tooltip="Reintam Blaser, 2020 #61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25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26" w:tooltip="Reintam Blaser, 2012 #105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26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self-limiting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condition);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interventions);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interventions);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5" w:tooltip="Reintam Blaser, 2020 #61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25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26" w:tooltip="Reintam Blaser, 2012 #105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26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</w:p>
    <w:p w14:paraId="1F7911BF" w14:textId="56CB0E35" w:rsidR="00A77B3E" w:rsidRDefault="008B5651" w:rsidP="00BF61EF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intolerance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intolerance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whatever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(vomiting,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dilatation,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entero</w:t>
      </w:r>
      <w:proofErr w:type="spellEnd"/>
      <w:r>
        <w:rPr>
          <w:rFonts w:ascii="Book Antiqua" w:eastAsia="Book Antiqua" w:hAnsi="Book Antiqua" w:cs="Book Antiqua"/>
          <w:color w:val="000000"/>
        </w:rPr>
        <w:t>-cutaneous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fistulas,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5" w:tooltip="Reintam Blaser, 2020 #61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25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26" w:tooltip="Reintam Blaser, 2012 #105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26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200-250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mL/d)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6" w:tooltip="Reintam Blaser, 2012 #105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26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(GRV)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mL/6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6" w:tooltip="Reintam Blaser, 2012 #105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26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Intra-abdominal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(IAH)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intra-abdominal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(IAP)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1-6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apart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6" w:tooltip="Reintam Blaser, 2012 #105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26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Paralysis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265A">
        <w:rPr>
          <w:rFonts w:ascii="Book Antiqua" w:eastAsia="Book Antiqua" w:hAnsi="Book Antiqua" w:cs="Book Antiqua"/>
          <w:color w:val="000000"/>
        </w:rPr>
        <w:t xml:space="preserve"> 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(paralytic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ileus)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inability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peristalsis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6" w:tooltip="Reintam Blaser, 2012 #105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26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paralytic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(MODS)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organs.</w:t>
      </w:r>
    </w:p>
    <w:p w14:paraId="02AA9B71" w14:textId="77777777" w:rsidR="00A77B3E" w:rsidRDefault="00A77B3E" w:rsidP="00BF61EF">
      <w:pPr>
        <w:spacing w:line="360" w:lineRule="auto"/>
        <w:ind w:firstLine="480"/>
        <w:jc w:val="both"/>
      </w:pPr>
    </w:p>
    <w:p w14:paraId="6619E35D" w14:textId="585ACED9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AD67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</w:t>
      </w:r>
    </w:p>
    <w:p w14:paraId="0A34522A" w14:textId="1593D440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to </w:t>
      </w:r>
      <w:r>
        <w:rPr>
          <w:rFonts w:ascii="Book Antiqua" w:eastAsia="Book Antiqua" w:hAnsi="Book Antiqua" w:cs="Book Antiqua"/>
          <w:color w:val="000000"/>
        </w:rPr>
        <w:t>ICU,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(APACHE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(SOFA)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registered.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“gold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standard”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malnourished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8" w:tooltip="Singer, 2019 #82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18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27" w:tooltip="van Zanten, 2019 #106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27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F265A">
        <w:rPr>
          <w:rFonts w:ascii="Book Antiqua" w:eastAsia="Book Antiqua" w:hAnsi="Book Antiqua" w:cs="Book Antiqua"/>
          <w:color w:val="000000"/>
        </w:rPr>
        <w:t>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(albumin,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prealbumin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7" w:tooltip="van Zanten, 2019 #106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27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28" w:tooltip="Carteron, 2021 #107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28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prealbumin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Meanwhile,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265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6F265A" w:rsidRPr="006F265A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>biomarkers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diamine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(DAO),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D-lactate,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iFABP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9" w:tooltip="Haussner, 2019 #42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29-31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DAO,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D-lactate,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and </w:t>
      </w:r>
      <w:proofErr w:type="spellStart"/>
      <w:r>
        <w:rPr>
          <w:rFonts w:ascii="Book Antiqua" w:eastAsia="Book Antiqua" w:hAnsi="Book Antiqua" w:cs="Book Antiqua"/>
          <w:color w:val="000000"/>
        </w:rPr>
        <w:t>iFABP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commercially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Quantikine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enzyme-linked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immunosorbent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(ELISA)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Bio-</w:t>
      </w:r>
      <w:proofErr w:type="spellStart"/>
      <w:r>
        <w:rPr>
          <w:rFonts w:ascii="Book Antiqua" w:eastAsia="Book Antiqua" w:hAnsi="Book Antiqua" w:cs="Book Antiqua"/>
          <w:color w:val="000000"/>
        </w:rPr>
        <w:t>Techne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Corporation,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manufacturer’s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instructions.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MV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(CRRT)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recorded.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MV-free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CRRT-free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ICU-free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28-d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</w:p>
    <w:p w14:paraId="1440C48A" w14:textId="77777777" w:rsidR="00A77B3E" w:rsidRDefault="00A77B3E" w:rsidP="00BF61EF">
      <w:pPr>
        <w:spacing w:line="360" w:lineRule="auto"/>
        <w:jc w:val="both"/>
      </w:pPr>
    </w:p>
    <w:p w14:paraId="13C0AD37" w14:textId="1FA4B1A0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AD67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61C1CA9B" w14:textId="5BBCFAD0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Kolmogorov-Smirnov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AD6792">
        <w:rPr>
          <w:rFonts w:ascii="Book Antiqua" w:eastAsia="Book Antiqua" w:hAnsi="Book Antiqua" w:cs="Book Antiqua"/>
          <w:color w:val="000000"/>
        </w:rPr>
        <w:t xml:space="preserve"> SD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Non-normally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(interquartile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A86A1B" w:rsidRPr="00A86A1B">
        <w:rPr>
          <w:rFonts w:ascii="Book Antiqua" w:eastAsia="Book Antiqua" w:hAnsi="Book Antiqua" w:cs="Book Antiqua"/>
          <w:color w:val="000000"/>
        </w:rPr>
        <w:t>Mann-Whitney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Kruskal</w:t>
      </w:r>
      <w:proofErr w:type="spellEnd"/>
      <w:r>
        <w:rPr>
          <w:rFonts w:ascii="Book Antiqua" w:eastAsia="Book Antiqua" w:hAnsi="Book Antiqua" w:cs="Book Antiqua"/>
          <w:color w:val="000000"/>
        </w:rPr>
        <w:t>-Wallis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χ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Fisher’s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(ANOVA)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Kaplan–Meier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log-rank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Package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(SPSS,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22.0,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>analyses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two-sided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&lt;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Qiao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biostatistician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Jiangsu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</w:t>
      </w:r>
      <w:r w:rsidR="006F265A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China.</w:t>
      </w:r>
    </w:p>
    <w:p w14:paraId="62867BEA" w14:textId="77777777" w:rsidR="00A77B3E" w:rsidRDefault="00A77B3E" w:rsidP="00BF61EF">
      <w:pPr>
        <w:spacing w:line="360" w:lineRule="auto"/>
        <w:jc w:val="both"/>
      </w:pPr>
    </w:p>
    <w:p w14:paraId="5C4CB784" w14:textId="7777777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629384B" w14:textId="47E368B3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Seventeen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E11715">
        <w:rPr>
          <w:rFonts w:ascii="Book Antiqua" w:eastAsia="Book Antiqua" w:hAnsi="Book Antiqua" w:cs="Book Antiqua"/>
          <w:color w:val="000000"/>
        </w:rPr>
        <w:t>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(defined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A),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2A6A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E1171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(defined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B),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2A6A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(defined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C).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shown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Forty-two</w:t>
      </w:r>
      <w:r w:rsidR="002A6A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(42/54,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77.8%)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patients </w:t>
      </w:r>
      <w:r>
        <w:rPr>
          <w:rFonts w:ascii="Book Antiqua" w:eastAsia="Book Antiqua" w:hAnsi="Book Antiqua" w:cs="Book Antiqua"/>
          <w:color w:val="000000"/>
        </w:rPr>
        <w:t>had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whom </w:t>
      </w:r>
      <w:r>
        <w:rPr>
          <w:rFonts w:ascii="Book Antiqua" w:eastAsia="Book Antiqua" w:hAnsi="Book Antiqua" w:cs="Book Antiqua"/>
          <w:color w:val="000000"/>
        </w:rPr>
        <w:t>13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Sixteen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(16/54,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29.6%)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patients </w:t>
      </w:r>
      <w:r>
        <w:rPr>
          <w:rFonts w:ascii="Book Antiqua" w:eastAsia="Book Antiqua" w:hAnsi="Book Antiqua" w:cs="Book Antiqua"/>
          <w:color w:val="000000"/>
        </w:rPr>
        <w:t>had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Forty-nine</w:t>
      </w:r>
      <w:r w:rsidR="002A6A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(49/54,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90.7%)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patients </w:t>
      </w:r>
      <w:r>
        <w:rPr>
          <w:rFonts w:ascii="Book Antiqua" w:eastAsia="Book Antiqua" w:hAnsi="Book Antiqua" w:cs="Book Antiqua"/>
          <w:color w:val="000000"/>
        </w:rPr>
        <w:t>received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MV,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2A6A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(20/54,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27.0%)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patients </w:t>
      </w:r>
      <w:r>
        <w:rPr>
          <w:rFonts w:ascii="Book Antiqua" w:eastAsia="Book Antiqua" w:hAnsi="Book Antiqua" w:cs="Book Antiqua"/>
          <w:color w:val="000000"/>
        </w:rPr>
        <w:t>received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CRRT.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28-d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25.9%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(14/54)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stay.</w:t>
      </w:r>
    </w:p>
    <w:p w14:paraId="766159F4" w14:textId="77777777" w:rsidR="00A77B3E" w:rsidRDefault="00A77B3E" w:rsidP="00BF61EF">
      <w:pPr>
        <w:spacing w:line="360" w:lineRule="auto"/>
        <w:jc w:val="both"/>
      </w:pPr>
    </w:p>
    <w:p w14:paraId="0FC4D523" w14:textId="2562F12E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Gastrointestinal</w:t>
      </w:r>
      <w:r w:rsidR="00AD67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function</w:t>
      </w:r>
      <w:r w:rsidR="00AD67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D67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nutritional</w:t>
      </w:r>
      <w:r w:rsidR="00AD67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variables</w:t>
      </w:r>
    </w:p>
    <w:p w14:paraId="0D315DFC" w14:textId="04DC8879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During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2A).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(2.55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0.82)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A6A57">
        <w:rPr>
          <w:rFonts w:ascii="Book Antiqua" w:eastAsia="Book Antiqua" w:hAnsi="Book Antiqua" w:cs="Book Antiqua"/>
          <w:color w:val="000000"/>
        </w:rPr>
        <w:t>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(3.50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1.51</w:t>
      </w:r>
      <w:r w:rsidR="002A6A57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0.046)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(4.85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1.68</w:t>
      </w:r>
      <w:r w:rsidR="002A6A57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2B).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A6A57">
        <w:rPr>
          <w:rFonts w:ascii="Book Antiqua" w:eastAsia="Book Antiqua" w:hAnsi="Book Antiqua" w:cs="Book Antiqua"/>
          <w:color w:val="000000"/>
        </w:rPr>
        <w:t>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0.077).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shows the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group </w:t>
      </w:r>
      <w:r>
        <w:rPr>
          <w:rFonts w:ascii="Book Antiqua" w:eastAsia="Book Antiqua" w:hAnsi="Book Antiqua" w:cs="Book Antiqua"/>
          <w:color w:val="000000"/>
        </w:rPr>
        <w:t>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group </w:t>
      </w:r>
      <w:r>
        <w:rPr>
          <w:rFonts w:ascii="Book Antiqua" w:eastAsia="Book Antiqua" w:hAnsi="Book Antiqua" w:cs="Book Antiqua"/>
          <w:color w:val="000000"/>
        </w:rPr>
        <w:t>B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group </w:t>
      </w:r>
      <w:r>
        <w:rPr>
          <w:rFonts w:ascii="Book Antiqua" w:eastAsia="Book Antiqua" w:hAnsi="Book Antiqua" w:cs="Book Antiqua"/>
          <w:color w:val="000000"/>
        </w:rPr>
        <w:t>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</w:p>
    <w:p w14:paraId="39EF3DDA" w14:textId="2F1CB188" w:rsidR="00A77B3E" w:rsidRDefault="008B5651" w:rsidP="00BF61EF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2A6A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(16/54,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29.6%)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patients </w:t>
      </w:r>
      <w:r>
        <w:rPr>
          <w:rFonts w:ascii="Book Antiqua" w:eastAsia="Book Antiqua" w:hAnsi="Book Antiqua" w:cs="Book Antiqua"/>
          <w:color w:val="000000"/>
        </w:rPr>
        <w:t>had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(11.8%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52.6%,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0.019).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A6A57">
        <w:rPr>
          <w:rFonts w:ascii="Book Antiqua" w:eastAsia="Book Antiqua" w:hAnsi="Book Antiqua" w:cs="Book Antiqua"/>
          <w:color w:val="000000"/>
        </w:rPr>
        <w:t>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0.658)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0.057).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shows the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Although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0.009)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(except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0.046)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A6A57">
        <w:rPr>
          <w:rFonts w:ascii="Book Antiqua" w:eastAsia="Book Antiqua" w:hAnsi="Book Antiqua" w:cs="Book Antiqua"/>
          <w:color w:val="000000"/>
        </w:rPr>
        <w:t>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</w:p>
    <w:p w14:paraId="2A249B9B" w14:textId="10E7C9B1" w:rsidR="00A77B3E" w:rsidRDefault="008B5651" w:rsidP="00BF61EF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Comparison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DAO,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D-lactate,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iFABP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&lt;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numerically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shows the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prealbumin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(mg/L)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lower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A6A57">
        <w:rPr>
          <w:rFonts w:ascii="Book Antiqua" w:eastAsia="Book Antiqua" w:hAnsi="Book Antiqua" w:cs="Book Antiqua"/>
          <w:color w:val="000000"/>
        </w:rPr>
        <w:t>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(71.09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20.23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103.33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40.45,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0.031)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(71.09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20.23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110.62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37.05,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0.008)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level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pg</w:t>
      </w:r>
      <w:proofErr w:type="spellEnd"/>
      <w:r>
        <w:rPr>
          <w:rFonts w:ascii="Book Antiqua" w:eastAsia="Book Antiqua" w:hAnsi="Book Antiqua" w:cs="Book Antiqua"/>
          <w:color w:val="000000"/>
        </w:rPr>
        <w:t>/L)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higher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lastRenderedPageBreak/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(115.54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72.37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62.00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35.59,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0.028)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level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A6A57">
        <w:rPr>
          <w:rFonts w:ascii="Book Antiqua" w:eastAsia="Book Antiqua" w:hAnsi="Book Antiqua" w:cs="Book Antiqua"/>
          <w:color w:val="000000"/>
        </w:rPr>
        <w:t>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0.126).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levels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</w:p>
    <w:p w14:paraId="597240C1" w14:textId="2B07FE83" w:rsidR="00A77B3E" w:rsidRDefault="008B5651" w:rsidP="00BF61EF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These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2A6A57">
        <w:rPr>
          <w:rFonts w:ascii="Book Antiqua" w:eastAsia="Book Antiqua" w:hAnsi="Book Antiqua" w:cs="Book Antiqua"/>
          <w:color w:val="000000"/>
        </w:rPr>
        <w:t>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2A6A57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improve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2A6A57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2A6A57">
        <w:rPr>
          <w:rFonts w:ascii="Book Antiqua" w:eastAsia="Book Antiqua" w:hAnsi="Book Antiqua" w:cs="Book Antiqua"/>
          <w:color w:val="000000"/>
        </w:rPr>
        <w:t>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2A6A57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F2B15D7" w14:textId="77777777" w:rsidR="00A77B3E" w:rsidRDefault="00A77B3E" w:rsidP="00BF61EF">
      <w:pPr>
        <w:spacing w:line="360" w:lineRule="auto"/>
        <w:ind w:firstLine="480"/>
        <w:jc w:val="both"/>
      </w:pPr>
    </w:p>
    <w:p w14:paraId="02F197E6" w14:textId="58F39F1F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AD67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severity</w:t>
      </w:r>
      <w:r w:rsidR="00AD67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D67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r w:rsidR="00AD67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variables</w:t>
      </w:r>
    </w:p>
    <w:p w14:paraId="095D0E47" w14:textId="0A6413DA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During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APACHE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or </w:t>
      </w:r>
      <w:r>
        <w:rPr>
          <w:rFonts w:ascii="Book Antiqua" w:eastAsia="Book Antiqua" w:hAnsi="Book Antiqua" w:cs="Book Antiqua"/>
          <w:color w:val="000000"/>
        </w:rPr>
        <w:t>SOFA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2A6A57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Figure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5A</w:t>
      </w:r>
      <w:r w:rsidR="00AD6792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B).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MV-free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CRRT-free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ICU-free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or </w:t>
      </w:r>
      <w:r>
        <w:rPr>
          <w:rFonts w:ascii="Book Antiqua" w:eastAsia="Book Antiqua" w:hAnsi="Book Antiqua" w:cs="Book Antiqua"/>
          <w:color w:val="000000"/>
        </w:rPr>
        <w:t>28-d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5C)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(30%,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</w:p>
    <w:p w14:paraId="51F9645B" w14:textId="77777777" w:rsidR="00A77B3E" w:rsidRDefault="00A77B3E" w:rsidP="00BF61EF">
      <w:pPr>
        <w:spacing w:line="360" w:lineRule="auto"/>
        <w:jc w:val="both"/>
      </w:pPr>
    </w:p>
    <w:p w14:paraId="678BC81F" w14:textId="7777777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8892C58" w14:textId="603D959B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(30%,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compared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intakes.</w:t>
      </w:r>
    </w:p>
    <w:p w14:paraId="41771911" w14:textId="69DAE715" w:rsidR="00A77B3E" w:rsidRDefault="008B5651" w:rsidP="00BF61EF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hyperlink w:anchor="_ENREF_6" w:tooltip="Lambell, 2020 #62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6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27" w:tooltip="van Zanten, 2019 #106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27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has </w:t>
      </w:r>
      <w:r>
        <w:rPr>
          <w:rFonts w:ascii="Book Antiqua" w:eastAsia="Book Antiqua" w:hAnsi="Book Antiqua" w:cs="Book Antiqua"/>
          <w:color w:val="000000"/>
        </w:rPr>
        <w:t>been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expenditure,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trophic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harmful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6" w:tooltip="Lambell, 2020 #62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6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exploration.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Niekerk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proofErr w:type="spellEnd"/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2" w:tooltip="van Niekerk, 2020 #70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32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1E47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PROCASEPT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study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3" w:tooltip="de Koning, 2020 #109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33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34" w:tooltip="de Koning, 2020 #110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34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4-7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lower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</w:t>
      </w:r>
      <w:r w:rsidR="001E4751">
        <w:rPr>
          <w:rFonts w:ascii="Book Antiqua" w:eastAsia="Book Antiqua" w:hAnsi="Book Antiqua" w:cs="Book Antiqua"/>
          <w:color w:val="000000"/>
        </w:rPr>
        <w:t xml:space="preserve">mo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4" w:tooltip="de Koning, 2020 #110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34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lack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calorimetric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equations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(20-25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kcal/kg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8" w:tooltip="Taylor, 2016 #81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8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18" w:tooltip="Singer, 2019 #82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18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(100%)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not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28-d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contradictory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3" w:tooltip="Hartl, 2019 #76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13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17" w:tooltip="Arabi, 2015 #68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17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(60%)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</w:p>
    <w:p w14:paraId="110966A3" w14:textId="2A0349E1" w:rsidR="00A77B3E" w:rsidRDefault="008B5651" w:rsidP="00BF61EF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[25]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5" w:tooltip="Reintam Blaser, 2020 #61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25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Accompanied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damaged,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translocated</w:t>
      </w:r>
      <w:proofErr w:type="spellEnd"/>
      <w:r w:rsidR="001E4751"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5" w:tooltip="Reintam Blaser, 2020 #61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25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26" w:tooltip="Reintam Blaser, 2012 #105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26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critically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6" w:tooltip="Lambell, 2020 #62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6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9" w:tooltip="Reintam Blaser, 2017 #65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9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27" w:tooltip="van Zanten, 2019 #106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27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underfeeding.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underfeeding,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1E4751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permissive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2" w:tooltip="van Niekerk, 2020 #70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32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synergistic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catabolism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required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theory.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</w:p>
    <w:p w14:paraId="30B33D4E" w14:textId="3DE59132" w:rsidR="00A77B3E" w:rsidRDefault="008B5651" w:rsidP="00BF61EF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7" w:tooltip="Hu, 2017 #111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35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large-scale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multiyear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1E4751">
        <w:rPr>
          <w:rFonts w:ascii="Book Antiqua" w:eastAsia="Book Antiqua" w:hAnsi="Book Antiqua" w:cs="Book Antiqua"/>
          <w:color w:val="000000"/>
        </w:rPr>
        <w:t xml:space="preserve"> dysfunction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result in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intolerance,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respiratory-related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intolerance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8" w:tooltip="Heyland, 2021 #108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36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risk”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29.6%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means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preferable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for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undersupply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28-d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large-scale</w:t>
      </w:r>
      <w:r w:rsidR="001E47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1E4751" w:rsidRPr="001E4751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needed.</w:t>
      </w:r>
    </w:p>
    <w:p w14:paraId="674394C1" w14:textId="511BA54F" w:rsidR="00A77B3E" w:rsidRDefault="008B5651" w:rsidP="00BF61EF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Some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generalizable,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large-scale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>trials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>fut</w:t>
      </w:r>
      <w:r w:rsidR="003C0F7D">
        <w:rPr>
          <w:rFonts w:ascii="Book Antiqua" w:eastAsia="Book Antiqua" w:hAnsi="Book Antiqua" w:cs="Book Antiqua"/>
          <w:color w:val="000000"/>
        </w:rPr>
        <w:t>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trials.</w:t>
      </w:r>
    </w:p>
    <w:p w14:paraId="26AE8B87" w14:textId="77777777" w:rsidR="00A77B3E" w:rsidRDefault="00A77B3E" w:rsidP="00BF61EF">
      <w:pPr>
        <w:spacing w:line="360" w:lineRule="auto"/>
        <w:ind w:firstLine="480"/>
        <w:jc w:val="both"/>
      </w:pPr>
    </w:p>
    <w:p w14:paraId="112B849A" w14:textId="7777777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D8AB128" w14:textId="1E16D3F3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1E4751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large-scale</w:t>
      </w:r>
      <w:r w:rsidR="001E47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>clinical</w:t>
      </w:r>
      <w:r w:rsidR="001E4751" w:rsidDel="001E4751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trials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required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</w:p>
    <w:p w14:paraId="5CBB219F" w14:textId="77777777" w:rsidR="00A77B3E" w:rsidRDefault="00A77B3E" w:rsidP="00BF61EF">
      <w:pPr>
        <w:spacing w:line="360" w:lineRule="auto"/>
        <w:jc w:val="both"/>
      </w:pPr>
    </w:p>
    <w:p w14:paraId="1205C5A7" w14:textId="65B5CADD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AD679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27C58EF" w14:textId="1B34ECF5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D679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76C8450" w14:textId="2E6C217E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Few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have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</w:p>
    <w:p w14:paraId="191CF9D0" w14:textId="77777777" w:rsidR="00A77B3E" w:rsidRDefault="00A77B3E" w:rsidP="00BF61EF">
      <w:pPr>
        <w:spacing w:line="360" w:lineRule="auto"/>
        <w:jc w:val="both"/>
      </w:pPr>
    </w:p>
    <w:p w14:paraId="07A857A3" w14:textId="312A10A9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D679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036CF18" w14:textId="0E8B54EC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has </w:t>
      </w:r>
      <w:r>
        <w:rPr>
          <w:rFonts w:ascii="Book Antiqua" w:eastAsia="Book Antiqua" w:hAnsi="Book Antiqua" w:cs="Book Antiqua"/>
          <w:color w:val="000000"/>
        </w:rPr>
        <w:t>been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</w:p>
    <w:p w14:paraId="31B3C57A" w14:textId="77777777" w:rsidR="00A77B3E" w:rsidRDefault="00A77B3E" w:rsidP="00BF61EF">
      <w:pPr>
        <w:spacing w:line="360" w:lineRule="auto"/>
        <w:jc w:val="both"/>
      </w:pPr>
    </w:p>
    <w:p w14:paraId="58ABB987" w14:textId="075D1D2E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D679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EF95293" w14:textId="6E22F75B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</w:p>
    <w:p w14:paraId="4DE1A5C5" w14:textId="77777777" w:rsidR="00A77B3E" w:rsidRDefault="00A77B3E" w:rsidP="00BF61EF">
      <w:pPr>
        <w:spacing w:line="360" w:lineRule="auto"/>
        <w:jc w:val="both"/>
      </w:pPr>
    </w:p>
    <w:p w14:paraId="64A164A2" w14:textId="7B4EFBE0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D679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E9E948A" w14:textId="2E1763D6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</w:t>
      </w:r>
      <w:r w:rsidR="001E4751">
        <w:rPr>
          <w:rFonts w:ascii="Book Antiqua" w:eastAsia="Book Antiqua" w:hAnsi="Book Antiqua" w:cs="Book Antiqua"/>
          <w:color w:val="000000"/>
        </w:rPr>
        <w:t>ti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recorded.</w:t>
      </w:r>
    </w:p>
    <w:p w14:paraId="44B52502" w14:textId="77777777" w:rsidR="00A77B3E" w:rsidRDefault="00A77B3E" w:rsidP="00BF61EF">
      <w:pPr>
        <w:spacing w:line="360" w:lineRule="auto"/>
        <w:jc w:val="both"/>
      </w:pPr>
    </w:p>
    <w:p w14:paraId="7459A460" w14:textId="0F1314CD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D679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E03F13C" w14:textId="12DBC5E5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Early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1E4751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intolerance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or </w:t>
      </w:r>
      <w:r>
        <w:rPr>
          <w:rFonts w:ascii="Book Antiqua" w:eastAsia="Book Antiqua" w:hAnsi="Book Antiqua" w:cs="Book Antiqua"/>
          <w:color w:val="000000"/>
        </w:rPr>
        <w:t>28-d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found.</w:t>
      </w:r>
    </w:p>
    <w:p w14:paraId="684A5619" w14:textId="77777777" w:rsidR="00A77B3E" w:rsidRDefault="00A77B3E" w:rsidP="00BF61EF">
      <w:pPr>
        <w:spacing w:line="360" w:lineRule="auto"/>
        <w:jc w:val="both"/>
      </w:pPr>
    </w:p>
    <w:p w14:paraId="06D5EBFB" w14:textId="5740AA24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D679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7CAA911" w14:textId="7DBD176D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Early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intolerance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</w:p>
    <w:p w14:paraId="14C4C373" w14:textId="77777777" w:rsidR="00A77B3E" w:rsidRDefault="00A77B3E" w:rsidP="00BF61EF">
      <w:pPr>
        <w:spacing w:line="360" w:lineRule="auto"/>
        <w:jc w:val="both"/>
      </w:pPr>
    </w:p>
    <w:p w14:paraId="5B8AD72F" w14:textId="49039B54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D679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86E200E" w14:textId="4193D87A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(30%,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large-scale</w:t>
      </w:r>
      <w:r w:rsidR="001E47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>clinical</w:t>
      </w:r>
      <w:r w:rsidR="001E4751" w:rsidDel="001E4751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trials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required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</w:p>
    <w:p w14:paraId="33D0AE33" w14:textId="77777777" w:rsidR="00A77B3E" w:rsidRDefault="00A77B3E" w:rsidP="00BF61EF">
      <w:pPr>
        <w:spacing w:line="360" w:lineRule="auto"/>
        <w:jc w:val="both"/>
      </w:pPr>
    </w:p>
    <w:p w14:paraId="67B7B0C5" w14:textId="7777777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0D055208" w14:textId="4E0B2FE1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F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AD6792">
        <w:rPr>
          <w:rFonts w:ascii="Book Antiqua" w:eastAsia="Book Antiqua" w:hAnsi="Book Antiqua" w:cs="Book Antiqua"/>
          <w:color w:val="000000"/>
        </w:rPr>
        <w:t xml:space="preserve"> QK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D6792">
        <w:rPr>
          <w:rFonts w:ascii="Book Antiqua" w:eastAsia="Book Antiqua" w:hAnsi="Book Antiqua" w:cs="Book Antiqua"/>
          <w:color w:val="000000"/>
        </w:rPr>
        <w:t xml:space="preserve"> WX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D6792">
        <w:rPr>
          <w:rFonts w:ascii="Book Antiqua" w:eastAsia="Book Antiqua" w:hAnsi="Book Antiqua" w:cs="Book Antiqua"/>
          <w:color w:val="000000"/>
        </w:rPr>
        <w:t xml:space="preserve"> WH </w:t>
      </w:r>
      <w:r w:rsidR="003C0F7D">
        <w:rPr>
          <w:rFonts w:ascii="Book Antiqua" w:eastAsia="Book Antiqua" w:hAnsi="Book Antiqua" w:cs="Book Antiqua"/>
          <w:color w:val="000000"/>
        </w:rPr>
        <w:t>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Nanjing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First Hospital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AD6792">
        <w:rPr>
          <w:rFonts w:ascii="Book Antiqua" w:eastAsia="Book Antiqua" w:hAnsi="Book Antiqua" w:cs="Book Antiqua"/>
          <w:color w:val="000000"/>
        </w:rPr>
        <w:t xml:space="preserve"> JK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meticulous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</w:p>
    <w:p w14:paraId="2028B5EE" w14:textId="77777777" w:rsidR="00A77B3E" w:rsidRDefault="00A77B3E" w:rsidP="00BF61EF">
      <w:pPr>
        <w:spacing w:line="360" w:lineRule="auto"/>
        <w:jc w:val="both"/>
      </w:pPr>
    </w:p>
    <w:p w14:paraId="54D827B4" w14:textId="7777777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377FFBB" w14:textId="0D4B2AAC" w:rsidR="00A77B3E" w:rsidRPr="007C6778" w:rsidRDefault="008B5651" w:rsidP="00BF61EF">
      <w:pPr>
        <w:spacing w:line="360" w:lineRule="auto"/>
        <w:jc w:val="both"/>
      </w:pPr>
      <w:bookmarkStart w:id="3" w:name="OLE_LINK5"/>
      <w:r w:rsidRPr="007C6778">
        <w:rPr>
          <w:rFonts w:ascii="Book Antiqua" w:eastAsia="Book Antiqua" w:hAnsi="Book Antiqua" w:cs="Book Antiqua"/>
          <w:color w:val="000000"/>
        </w:rPr>
        <w:t>1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Levy</w:t>
      </w:r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7C6778">
        <w:rPr>
          <w:rFonts w:ascii="Book Antiqua" w:eastAsia="Book Antiqua" w:hAnsi="Book Antiqua" w:cs="Book Antiqua"/>
          <w:color w:val="000000"/>
        </w:rPr>
        <w:t>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Evans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LE,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Rhodes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The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Surviving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Sepsis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Campaign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Bundle: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2018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Update.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i/>
          <w:iCs/>
          <w:color w:val="000000"/>
        </w:rPr>
        <w:t>Crit</w:t>
      </w:r>
      <w:proofErr w:type="spellEnd"/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2018;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7C6778">
        <w:rPr>
          <w:rFonts w:ascii="Book Antiqua" w:eastAsia="Book Antiqua" w:hAnsi="Book Antiqua" w:cs="Book Antiqua"/>
          <w:color w:val="000000"/>
        </w:rPr>
        <w:t>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997-1000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[PMID: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29767636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DOI: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10.1097/CCM.0000000000003119]</w:t>
      </w:r>
    </w:p>
    <w:p w14:paraId="2D9A6C85" w14:textId="1105E066" w:rsidR="00A77B3E" w:rsidRPr="007C6778" w:rsidRDefault="008B5651" w:rsidP="00BF61EF">
      <w:pPr>
        <w:spacing w:line="360" w:lineRule="auto"/>
        <w:jc w:val="both"/>
      </w:pPr>
      <w:r w:rsidRPr="007C6778">
        <w:rPr>
          <w:rFonts w:ascii="Book Antiqua" w:eastAsia="Book Antiqua" w:hAnsi="Book Antiqua" w:cs="Book Antiqua"/>
          <w:color w:val="000000"/>
        </w:rPr>
        <w:lastRenderedPageBreak/>
        <w:t>2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Rhodes</w:t>
      </w:r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C6778">
        <w:rPr>
          <w:rFonts w:ascii="Book Antiqua" w:eastAsia="Book Antiqua" w:hAnsi="Book Antiqua" w:cs="Book Antiqua"/>
          <w:color w:val="000000"/>
        </w:rPr>
        <w:t>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Evans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LE,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Alhazzani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W,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Levy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Antonelli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Ferrer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Kumar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Sevransky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JE,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Sprung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CL,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Nunnally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ME,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Rochwerg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B,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Rubenfeld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GD,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Angus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DC,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Annane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Beale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RJ,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Bellinghan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GJ,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Bernard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GR,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Chiche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JD,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Coopersmith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Backer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DP,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French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CJ,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Fujishima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Gerlach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H,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Hidalgo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JL,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Hollenberg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Jones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AE,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Karnad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DR,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Kleinpell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Koh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Y,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Lisboa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TC,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Machado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FR,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Marini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JJ,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Marshall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JC,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Mazuski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JE,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McIntyre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LA,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McLean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AS,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Mehta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Moreno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RP,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Myburgh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Navalesi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Nishida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Osborn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Perner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Plunkett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Ranieri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Schorr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CA,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Seckel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MA,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Seymour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CW,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Shieh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L,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Shukri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KA,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Simpson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SQ,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Singer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Thompson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BT,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Townsend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SR,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Van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der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Poll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Vincent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JL,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Wiersinga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WJ,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Zimmerman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JL,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Dellinger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RP.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Surviving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Sepsis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Campaign: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International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Guidelines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for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Management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of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Sepsis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and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Septic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Shock: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2016.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2017;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7C6778">
        <w:rPr>
          <w:rFonts w:ascii="Book Antiqua" w:eastAsia="Book Antiqua" w:hAnsi="Book Antiqua" w:cs="Book Antiqua"/>
          <w:color w:val="000000"/>
        </w:rPr>
        <w:t>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304-377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[PMID: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28101605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DOI: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10.1007/s00134-017-4683-6]</w:t>
      </w:r>
    </w:p>
    <w:p w14:paraId="1841FE04" w14:textId="29BD06F9" w:rsidR="00A77B3E" w:rsidRPr="007C6778" w:rsidRDefault="008B5651" w:rsidP="00BF61EF">
      <w:pPr>
        <w:spacing w:line="360" w:lineRule="auto"/>
        <w:jc w:val="both"/>
      </w:pPr>
      <w:r w:rsidRPr="007C6778">
        <w:rPr>
          <w:rFonts w:ascii="Book Antiqua" w:eastAsia="Book Antiqua" w:hAnsi="Book Antiqua" w:cs="Book Antiqua"/>
          <w:color w:val="000000"/>
        </w:rPr>
        <w:t>3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Singer</w:t>
      </w:r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C6778">
        <w:rPr>
          <w:rFonts w:ascii="Book Antiqua" w:eastAsia="Book Antiqua" w:hAnsi="Book Antiqua" w:cs="Book Antiqua"/>
          <w:color w:val="000000"/>
        </w:rPr>
        <w:t>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Deutschman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CS,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Seymour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CW,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Shankar-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Hari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Annane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Bauer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Bellomo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Bernard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GR,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Chiche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JD,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Coopersmith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Hotchkiss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RS,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Levy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Marshall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JC,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Martin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GS,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Opal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Rubenfeld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GD,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van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der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Poll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Vincent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JL,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Angus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DC.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The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Third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International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Consensus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Definitions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for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Sepsis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and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Septic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Shock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(Sepsis-3).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2016;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315</w:t>
      </w:r>
      <w:r w:rsidRPr="007C6778">
        <w:rPr>
          <w:rFonts w:ascii="Book Antiqua" w:eastAsia="Book Antiqua" w:hAnsi="Book Antiqua" w:cs="Book Antiqua"/>
          <w:color w:val="000000"/>
        </w:rPr>
        <w:t>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801-810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[PMID: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26903338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DOI: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10.1001/jama.2016.0287]</w:t>
      </w:r>
    </w:p>
    <w:p w14:paraId="36BA8ECF" w14:textId="3D7880AA" w:rsidR="00A77B3E" w:rsidRPr="007C6778" w:rsidRDefault="008B5651" w:rsidP="00BF61EF">
      <w:pPr>
        <w:spacing w:line="360" w:lineRule="auto"/>
        <w:jc w:val="both"/>
      </w:pPr>
      <w:r w:rsidRPr="007C6778">
        <w:rPr>
          <w:rFonts w:ascii="Book Antiqua" w:eastAsia="Book Antiqua" w:hAnsi="Book Antiqua" w:cs="Book Antiqua"/>
          <w:color w:val="000000"/>
        </w:rPr>
        <w:t>4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Rudd</w:t>
      </w:r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KE</w:t>
      </w:r>
      <w:r w:rsidRPr="007C6778">
        <w:rPr>
          <w:rFonts w:ascii="Book Antiqua" w:eastAsia="Book Antiqua" w:hAnsi="Book Antiqua" w:cs="Book Antiqua"/>
          <w:color w:val="000000"/>
        </w:rPr>
        <w:t>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Johnson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SC,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Agesa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KM,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Shackelford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KA,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Tsoi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Kievlan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DR,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Colombara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DV,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Ikuta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KS,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Kissoon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N,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FinferS</w:t>
      </w:r>
      <w:proofErr w:type="spellEnd"/>
      <w:r w:rsidRPr="007C6778">
        <w:rPr>
          <w:rFonts w:ascii="Book Antiqua" w:eastAsia="Book Antiqua" w:hAnsi="Book Antiqua" w:cs="Book Antiqua"/>
          <w:color w:val="000000"/>
        </w:rPr>
        <w:t>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Fleischmann-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Struzek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Machado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FR,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Reinhart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KK,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Rowan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K,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Seymour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CW,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Watson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RS,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West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TE,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Marinho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F,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Hay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SI,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Lozano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Lopez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AD,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Angus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DC,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Murray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CJL,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Naghavi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Global,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regional,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and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national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sepsis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incidence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and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mortality,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1990-2017: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analysis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for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the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Global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Burden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of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Disease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Study.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2020;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7C6778">
        <w:rPr>
          <w:rFonts w:ascii="Book Antiqua" w:eastAsia="Book Antiqua" w:hAnsi="Book Antiqua" w:cs="Book Antiqua"/>
          <w:color w:val="000000"/>
        </w:rPr>
        <w:t>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200-211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[PMID: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31954465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DOI: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10.1016/S0140-6736(19)32989-7]</w:t>
      </w:r>
    </w:p>
    <w:p w14:paraId="2E056D3F" w14:textId="19FD2FB2" w:rsidR="00A77B3E" w:rsidRPr="007C6778" w:rsidRDefault="008B5651" w:rsidP="00BF61EF">
      <w:pPr>
        <w:spacing w:line="360" w:lineRule="auto"/>
        <w:jc w:val="both"/>
      </w:pPr>
      <w:r w:rsidRPr="007C6778">
        <w:rPr>
          <w:rFonts w:ascii="Book Antiqua" w:eastAsia="Book Antiqua" w:hAnsi="Book Antiqua" w:cs="Book Antiqua"/>
          <w:color w:val="000000"/>
        </w:rPr>
        <w:t>5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Fleischmann-</w:t>
      </w:r>
      <w:proofErr w:type="spellStart"/>
      <w:r w:rsidRPr="007C6778">
        <w:rPr>
          <w:rFonts w:ascii="Book Antiqua" w:eastAsia="Book Antiqua" w:hAnsi="Book Antiqua" w:cs="Book Antiqua"/>
          <w:b/>
          <w:bCs/>
          <w:color w:val="000000"/>
        </w:rPr>
        <w:t>Struzek</w:t>
      </w:r>
      <w:proofErr w:type="spellEnd"/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7C6778">
        <w:rPr>
          <w:rFonts w:ascii="Book Antiqua" w:eastAsia="Book Antiqua" w:hAnsi="Book Antiqua" w:cs="Book Antiqua"/>
          <w:color w:val="000000"/>
        </w:rPr>
        <w:t>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Mellhammar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L,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Rose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N,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Cassini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Rudd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KE,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Schlattmann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Allegranzi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B,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Reinhart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K.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Incidence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and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mortality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of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hospital-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and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ICU-treated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sepsis: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results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from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updated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and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expanded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systematic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review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and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meta-analysis.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2020;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7C6778">
        <w:rPr>
          <w:rFonts w:ascii="Book Antiqua" w:eastAsia="Book Antiqua" w:hAnsi="Book Antiqua" w:cs="Book Antiqua"/>
          <w:color w:val="000000"/>
        </w:rPr>
        <w:t>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1552-1562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[PMID: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32572531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DOI: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10.1007/s00134-020-06151-x]</w:t>
      </w:r>
    </w:p>
    <w:p w14:paraId="213CDFC2" w14:textId="15B8C407" w:rsidR="00A77B3E" w:rsidRPr="007C6778" w:rsidRDefault="008B5651" w:rsidP="00BF61EF">
      <w:pPr>
        <w:spacing w:line="360" w:lineRule="auto"/>
        <w:jc w:val="both"/>
      </w:pPr>
      <w:r w:rsidRPr="007C6778">
        <w:rPr>
          <w:rFonts w:ascii="Book Antiqua" w:eastAsia="Book Antiqua" w:hAnsi="Book Antiqua" w:cs="Book Antiqua"/>
          <w:color w:val="000000"/>
        </w:rPr>
        <w:t>6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b/>
          <w:bCs/>
          <w:color w:val="000000"/>
        </w:rPr>
        <w:t>Lambell</w:t>
      </w:r>
      <w:proofErr w:type="spellEnd"/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KJ</w:t>
      </w:r>
      <w:r w:rsidRPr="007C6778">
        <w:rPr>
          <w:rFonts w:ascii="Book Antiqua" w:eastAsia="Book Antiqua" w:hAnsi="Book Antiqua" w:cs="Book Antiqua"/>
          <w:color w:val="000000"/>
        </w:rPr>
        <w:t>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Tatucu-Babet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OA,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Chapple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LA,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Gantner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Ridley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EJ.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Nutrition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therapy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critical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illness: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review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of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the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literature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for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clinicians.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i/>
          <w:iCs/>
          <w:color w:val="000000"/>
        </w:rPr>
        <w:t>Crit</w:t>
      </w:r>
      <w:proofErr w:type="spellEnd"/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2020;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7C6778">
        <w:rPr>
          <w:rFonts w:ascii="Book Antiqua" w:eastAsia="Book Antiqua" w:hAnsi="Book Antiqua" w:cs="Book Antiqua"/>
          <w:color w:val="000000"/>
        </w:rPr>
        <w:t>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35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[PMID: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32019607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DOI: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10.1186/s13054-020-2739-4]</w:t>
      </w:r>
    </w:p>
    <w:p w14:paraId="3760CF19" w14:textId="60BCC754" w:rsidR="00A77B3E" w:rsidRPr="007C6778" w:rsidRDefault="008B5651" w:rsidP="00BF61EF">
      <w:pPr>
        <w:spacing w:line="360" w:lineRule="auto"/>
        <w:jc w:val="both"/>
      </w:pPr>
      <w:r w:rsidRPr="007C6778">
        <w:rPr>
          <w:rFonts w:ascii="Book Antiqua" w:eastAsia="Book Antiqua" w:hAnsi="Book Antiqua" w:cs="Book Antiqua"/>
          <w:color w:val="000000"/>
        </w:rPr>
        <w:lastRenderedPageBreak/>
        <w:t>7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b/>
          <w:bCs/>
          <w:color w:val="000000"/>
        </w:rPr>
        <w:t>Arabi</w:t>
      </w:r>
      <w:proofErr w:type="spellEnd"/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YM</w:t>
      </w:r>
      <w:r w:rsidRPr="007C6778">
        <w:rPr>
          <w:rFonts w:ascii="Book Antiqua" w:eastAsia="Book Antiqua" w:hAnsi="Book Antiqua" w:cs="Book Antiqua"/>
          <w:color w:val="000000"/>
        </w:rPr>
        <w:t>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Preiser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JC.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critical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view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primary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and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secondary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outcome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measures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nutrition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trials.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2017;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7C6778">
        <w:rPr>
          <w:rFonts w:ascii="Book Antiqua" w:eastAsia="Book Antiqua" w:hAnsi="Book Antiqua" w:cs="Book Antiqua"/>
          <w:color w:val="000000"/>
        </w:rPr>
        <w:t>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1875-1877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[PMID: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28756470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DOI: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10.1007/s00134-017-4894-x]</w:t>
      </w:r>
    </w:p>
    <w:p w14:paraId="17F5BFB6" w14:textId="01A1B105" w:rsidR="00A77B3E" w:rsidRPr="007C6778" w:rsidRDefault="008B5651" w:rsidP="00BF61EF">
      <w:pPr>
        <w:spacing w:line="360" w:lineRule="auto"/>
        <w:jc w:val="both"/>
      </w:pPr>
      <w:r w:rsidRPr="007C6778">
        <w:rPr>
          <w:rFonts w:ascii="Book Antiqua" w:eastAsia="Book Antiqua" w:hAnsi="Book Antiqua" w:cs="Book Antiqua"/>
          <w:color w:val="000000"/>
        </w:rPr>
        <w:t>8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Taylor</w:t>
      </w:r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BE</w:t>
      </w:r>
      <w:r w:rsidRPr="007C6778">
        <w:rPr>
          <w:rFonts w:ascii="Book Antiqua" w:eastAsia="Book Antiqua" w:hAnsi="Book Antiqua" w:cs="Book Antiqua"/>
          <w:color w:val="000000"/>
        </w:rPr>
        <w:t>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McClave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SA,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Martindale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RG,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Warren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Johnson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DR,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Braunschweig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McCarthy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MS,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Davanos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Rice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TW,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Cresci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GA,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Gervasio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Sacks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GS,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Roberts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PR,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Compher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Society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of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Critical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Care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Medicine;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American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Society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of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Parenteral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and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Enteral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Nutrition.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Guidelines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for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the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Provision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and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Assessment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of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Nutrition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Support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Therapy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the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Adult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Critically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Ill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Patient: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Society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of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Critical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Care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Medicine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(SCCM)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and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American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Society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for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Parenteral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and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Enteral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Nutrition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(A.S.P.E.N.).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i/>
          <w:iCs/>
          <w:color w:val="000000"/>
        </w:rPr>
        <w:t>Crit</w:t>
      </w:r>
      <w:proofErr w:type="spellEnd"/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2016;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7C6778">
        <w:rPr>
          <w:rFonts w:ascii="Book Antiqua" w:eastAsia="Book Antiqua" w:hAnsi="Book Antiqua" w:cs="Book Antiqua"/>
          <w:color w:val="000000"/>
        </w:rPr>
        <w:t>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390-438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[PMID: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26771786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DOI: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10.1097/CCM.0000000000001525]</w:t>
      </w:r>
    </w:p>
    <w:p w14:paraId="49C8637C" w14:textId="074BA483" w:rsidR="00A77B3E" w:rsidRPr="007C6778" w:rsidRDefault="008B5651" w:rsidP="00BF61EF">
      <w:pPr>
        <w:spacing w:line="360" w:lineRule="auto"/>
        <w:jc w:val="both"/>
      </w:pPr>
      <w:r w:rsidRPr="007C6778">
        <w:rPr>
          <w:rFonts w:ascii="Book Antiqua" w:eastAsia="Book Antiqua" w:hAnsi="Book Antiqua" w:cs="Book Antiqua"/>
          <w:color w:val="000000"/>
        </w:rPr>
        <w:t>9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b/>
          <w:bCs/>
          <w:color w:val="000000"/>
        </w:rPr>
        <w:t>ReintamBlaser</w:t>
      </w:r>
      <w:proofErr w:type="spellEnd"/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C6778">
        <w:rPr>
          <w:rFonts w:ascii="Book Antiqua" w:eastAsia="Book Antiqua" w:hAnsi="Book Antiqua" w:cs="Book Antiqua"/>
          <w:color w:val="000000"/>
        </w:rPr>
        <w:t>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Starkopf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Alhazzani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W,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Berger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Casaer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MP,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Deane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Fruhwald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Hiesmayr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Ichai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Jakob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Loudet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CI,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Malbrain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ML,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Montejo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González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JC,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Paugam-Burtz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Poeze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Preiser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JC,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Singer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van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Zanten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AR,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Waele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Wendon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Wernerman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Whitehouse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Wilmer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Oudemans</w:t>
      </w:r>
      <w:proofErr w:type="spellEnd"/>
      <w:r w:rsidRPr="007C6778">
        <w:rPr>
          <w:rFonts w:ascii="Book Antiqua" w:eastAsia="Book Antiqua" w:hAnsi="Book Antiqua" w:cs="Book Antiqua"/>
          <w:color w:val="000000"/>
        </w:rPr>
        <w:t>-van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Straaten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HM;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ESICM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Working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Group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Gastrointestinal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Function.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Early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enteral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nutrition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critically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ill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patients: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ESICM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clinical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practice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guidelines.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2017;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7C6778">
        <w:rPr>
          <w:rFonts w:ascii="Book Antiqua" w:eastAsia="Book Antiqua" w:hAnsi="Book Antiqua" w:cs="Book Antiqua"/>
          <w:color w:val="000000"/>
        </w:rPr>
        <w:t>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380-398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[PMID: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28168570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DOI: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10.1007/s00134-016-4665-0]</w:t>
      </w:r>
    </w:p>
    <w:p w14:paraId="279D78FF" w14:textId="34FA7A03" w:rsidR="00A77B3E" w:rsidRPr="007C6778" w:rsidRDefault="008B5651" w:rsidP="00BF61EF">
      <w:pPr>
        <w:spacing w:line="360" w:lineRule="auto"/>
        <w:jc w:val="both"/>
      </w:pPr>
      <w:r w:rsidRPr="007C6778">
        <w:rPr>
          <w:rFonts w:ascii="Book Antiqua" w:eastAsia="Book Antiqua" w:hAnsi="Book Antiqua" w:cs="Book Antiqua"/>
          <w:color w:val="000000"/>
        </w:rPr>
        <w:t>10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Sun</w:t>
      </w:r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JK</w:t>
      </w:r>
      <w:r w:rsidRPr="007C6778">
        <w:rPr>
          <w:rFonts w:ascii="Book Antiqua" w:eastAsia="Book Antiqua" w:hAnsi="Book Antiqua" w:cs="Book Antiqua"/>
          <w:color w:val="000000"/>
        </w:rPr>
        <w:t>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Zhang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WH,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Chen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WX,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Wang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X,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Mu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XW.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Effects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of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early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enteral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nutrition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Th17/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Treg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cells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and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IL-23/IL-17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septic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patients.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J</w:t>
      </w:r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2019;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7C6778">
        <w:rPr>
          <w:rFonts w:ascii="Book Antiqua" w:eastAsia="Book Antiqua" w:hAnsi="Book Antiqua" w:cs="Book Antiqua"/>
          <w:color w:val="000000"/>
        </w:rPr>
        <w:t>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2799-2808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[PMID: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31236002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DOI: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10.3748/wjg.v25.i22.2799]</w:t>
      </w:r>
    </w:p>
    <w:p w14:paraId="5F378628" w14:textId="638A84B9" w:rsidR="00A77B3E" w:rsidRPr="007C6778" w:rsidRDefault="008B5651" w:rsidP="00BF61EF">
      <w:pPr>
        <w:spacing w:line="360" w:lineRule="auto"/>
        <w:jc w:val="both"/>
      </w:pPr>
      <w:r w:rsidRPr="007C6778">
        <w:rPr>
          <w:rFonts w:ascii="Book Antiqua" w:eastAsia="Book Antiqua" w:hAnsi="Book Antiqua" w:cs="Book Antiqua"/>
          <w:color w:val="000000"/>
        </w:rPr>
        <w:t>11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Sun</w:t>
      </w:r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JK</w:t>
      </w:r>
      <w:r w:rsidRPr="007C6778">
        <w:rPr>
          <w:rFonts w:ascii="Book Antiqua" w:eastAsia="Book Antiqua" w:hAnsi="Book Antiqua" w:cs="Book Antiqua"/>
          <w:color w:val="000000"/>
        </w:rPr>
        <w:t>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Mu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XW,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Li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WQ,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Tong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ZH,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Li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Zheng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SY.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Effects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of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early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enteral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nutrition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immune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function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of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severe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acute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pancreatitis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patients.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J</w:t>
      </w:r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2013;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7C6778">
        <w:rPr>
          <w:rFonts w:ascii="Book Antiqua" w:eastAsia="Book Antiqua" w:hAnsi="Book Antiqua" w:cs="Book Antiqua"/>
          <w:color w:val="000000"/>
        </w:rPr>
        <w:t>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917-922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[PMID: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23431120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DOI: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10.3748/wjg.v19.i6.917]</w:t>
      </w:r>
    </w:p>
    <w:p w14:paraId="70229D39" w14:textId="3BC54BD5" w:rsidR="00A77B3E" w:rsidRPr="007C6778" w:rsidRDefault="008B5651" w:rsidP="00BF61EF">
      <w:pPr>
        <w:spacing w:line="360" w:lineRule="auto"/>
        <w:jc w:val="both"/>
      </w:pPr>
      <w:r w:rsidRPr="007C6778">
        <w:rPr>
          <w:rFonts w:ascii="Book Antiqua" w:eastAsia="Book Antiqua" w:hAnsi="Book Antiqua" w:cs="Book Antiqua"/>
          <w:color w:val="000000"/>
        </w:rPr>
        <w:t>12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Dickerson</w:t>
      </w:r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RN</w:t>
      </w:r>
      <w:r w:rsidRPr="007C6778">
        <w:rPr>
          <w:rFonts w:ascii="Book Antiqua" w:eastAsia="Book Antiqua" w:hAnsi="Book Antiqua" w:cs="Book Antiqua"/>
          <w:color w:val="000000"/>
        </w:rPr>
        <w:t>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Protein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Requirements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during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Hypocaloric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Nutrition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for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the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Older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Patient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With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Critical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Illness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and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Obesity: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Approach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to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Clinical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Practice.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660465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660465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2020;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7C6778">
        <w:rPr>
          <w:rFonts w:ascii="Book Antiqua" w:eastAsia="Book Antiqua" w:hAnsi="Book Antiqua" w:cs="Book Antiqua"/>
          <w:color w:val="000000"/>
        </w:rPr>
        <w:t>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617-626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[PMID: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32588488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DOI: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10.1002/ncp.10501]</w:t>
      </w:r>
    </w:p>
    <w:p w14:paraId="7AF674BC" w14:textId="5A439409" w:rsidR="00A77B3E" w:rsidRPr="007C6778" w:rsidRDefault="008B5651" w:rsidP="00BF61EF">
      <w:pPr>
        <w:spacing w:line="360" w:lineRule="auto"/>
        <w:jc w:val="both"/>
      </w:pPr>
      <w:r w:rsidRPr="007C6778">
        <w:rPr>
          <w:rFonts w:ascii="Book Antiqua" w:eastAsia="Book Antiqua" w:hAnsi="Book Antiqua" w:cs="Book Antiqua"/>
          <w:color w:val="000000"/>
        </w:rPr>
        <w:t>13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b/>
          <w:bCs/>
          <w:color w:val="000000"/>
        </w:rPr>
        <w:t>Hartl</w:t>
      </w:r>
      <w:proofErr w:type="spellEnd"/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WH</w:t>
      </w:r>
      <w:r w:rsidRPr="007C6778">
        <w:rPr>
          <w:rFonts w:ascii="Book Antiqua" w:eastAsia="Book Antiqua" w:hAnsi="Book Antiqua" w:cs="Book Antiqua"/>
          <w:color w:val="000000"/>
        </w:rPr>
        <w:t>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Bender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Scheipl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F,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Kuppinger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Day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AG,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Küchenhoff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H.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Calorie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intake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and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short-term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survival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of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critically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ill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patients.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i/>
          <w:iCs/>
          <w:color w:val="000000"/>
        </w:rPr>
        <w:t>Clin</w:t>
      </w:r>
      <w:bookmarkStart w:id="4" w:name="_GoBack"/>
      <w:proofErr w:type="spellEnd"/>
      <w:r w:rsidR="00660465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bookmarkEnd w:id="4"/>
      <w:proofErr w:type="spellStart"/>
      <w:r w:rsidRPr="007C6778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2019;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7C6778">
        <w:rPr>
          <w:rFonts w:ascii="Book Antiqua" w:eastAsia="Book Antiqua" w:hAnsi="Book Antiqua" w:cs="Book Antiqua"/>
          <w:color w:val="000000"/>
        </w:rPr>
        <w:t>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660-667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[PMID: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29709380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DOI: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10.1016/j.clnu.2018.04.005]</w:t>
      </w:r>
    </w:p>
    <w:p w14:paraId="5BE95931" w14:textId="1F13B369" w:rsidR="00A77B3E" w:rsidRPr="007C6778" w:rsidRDefault="008B5651" w:rsidP="00BF61EF">
      <w:pPr>
        <w:spacing w:line="360" w:lineRule="auto"/>
        <w:jc w:val="both"/>
      </w:pPr>
      <w:r w:rsidRPr="007C6778">
        <w:rPr>
          <w:rFonts w:ascii="Book Antiqua" w:eastAsia="Book Antiqua" w:hAnsi="Book Antiqua" w:cs="Book Antiqua"/>
          <w:color w:val="000000"/>
        </w:rPr>
        <w:lastRenderedPageBreak/>
        <w:t>14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TARGET</w:t>
      </w:r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Investigators</w:t>
      </w:r>
      <w:r w:rsidR="00D237BC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ANZICS</w:t>
      </w:r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Trials</w:t>
      </w:r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Group</w:t>
      </w:r>
      <w:r w:rsidRPr="007C6778">
        <w:rPr>
          <w:rFonts w:ascii="Book Antiqua" w:eastAsia="Book Antiqua" w:hAnsi="Book Antiqua" w:cs="Book Antiqua"/>
          <w:color w:val="000000"/>
        </w:rPr>
        <w:t>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Chapman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Peake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SL,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Bellomo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Davies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Deane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Horowitz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Hurford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Lange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K,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Little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L,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Mackle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O’Connor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Presneill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Ridley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Williams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Young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Energy-Dense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Routine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Enteral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Nutrition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the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Critically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</w:t>
      </w:r>
      <w:r w:rsidR="00CD23B2">
        <w:rPr>
          <w:rFonts w:ascii="Book Antiqua" w:hAnsi="Book Antiqua" w:cs="Book Antiqua" w:hint="eastAsia"/>
          <w:color w:val="000000"/>
          <w:lang w:eastAsia="zh-CN"/>
        </w:rPr>
        <w:t>II</w:t>
      </w:r>
      <w:r w:rsidRPr="007C6778">
        <w:rPr>
          <w:rFonts w:ascii="Book Antiqua" w:eastAsia="Book Antiqua" w:hAnsi="Book Antiqua" w:cs="Book Antiqua"/>
          <w:color w:val="000000"/>
        </w:rPr>
        <w:t>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N</w:t>
      </w:r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J</w:t>
      </w:r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2018;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379</w:t>
      </w:r>
      <w:r w:rsidRPr="007C6778">
        <w:rPr>
          <w:rFonts w:ascii="Book Antiqua" w:eastAsia="Book Antiqua" w:hAnsi="Book Antiqua" w:cs="Book Antiqua"/>
          <w:color w:val="000000"/>
        </w:rPr>
        <w:t>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1823-1834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[PMID: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30346225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DOI: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10.1056/NEJMoa1811687]</w:t>
      </w:r>
    </w:p>
    <w:p w14:paraId="220F813F" w14:textId="2EE28EEE" w:rsidR="00A77B3E" w:rsidRPr="007C6778" w:rsidRDefault="008B5651" w:rsidP="00BF61EF">
      <w:pPr>
        <w:spacing w:line="360" w:lineRule="auto"/>
        <w:jc w:val="both"/>
      </w:pPr>
      <w:r w:rsidRPr="007C6778">
        <w:rPr>
          <w:rFonts w:ascii="Book Antiqua" w:eastAsia="Book Antiqua" w:hAnsi="Book Antiqua" w:cs="Book Antiqua"/>
          <w:color w:val="000000"/>
        </w:rPr>
        <w:t>15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Silva</w:t>
      </w:r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CFA</w:t>
      </w:r>
      <w:r w:rsidRPr="007C6778">
        <w:rPr>
          <w:rFonts w:ascii="Book Antiqua" w:eastAsia="Book Antiqua" w:hAnsi="Book Antiqua" w:cs="Book Antiqua"/>
          <w:color w:val="000000"/>
        </w:rPr>
        <w:t>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Vasconcelos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SG,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da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Silva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TA,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Silva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FM.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Permissive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or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Trophic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Enteral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Nutrition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and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Full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Enteral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Nutrition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Had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Similar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Effects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Clinical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Outcomes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Intensive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Care: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Systematic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Review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of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Randomized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Clinical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Trials.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i/>
          <w:iCs/>
          <w:color w:val="000000"/>
        </w:rPr>
        <w:t>NutrClinPract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2018;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7C6778">
        <w:rPr>
          <w:rFonts w:ascii="Book Antiqua" w:eastAsia="Book Antiqua" w:hAnsi="Book Antiqua" w:cs="Book Antiqua"/>
          <w:color w:val="000000"/>
        </w:rPr>
        <w:t>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388-396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[PMID: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29377333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DOI: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10.1002/ncp.10001]</w:t>
      </w:r>
    </w:p>
    <w:p w14:paraId="47DE1C90" w14:textId="342DF215" w:rsidR="00A77B3E" w:rsidRPr="007C6778" w:rsidRDefault="008B5651" w:rsidP="00BF61EF">
      <w:pPr>
        <w:spacing w:line="360" w:lineRule="auto"/>
        <w:jc w:val="both"/>
      </w:pPr>
      <w:r w:rsidRPr="007C6778">
        <w:rPr>
          <w:rFonts w:ascii="Book Antiqua" w:eastAsia="Book Antiqua" w:hAnsi="Book Antiqua" w:cs="Book Antiqua"/>
          <w:color w:val="000000"/>
        </w:rPr>
        <w:t>16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b/>
          <w:bCs/>
          <w:color w:val="000000"/>
        </w:rPr>
        <w:t>Perman</w:t>
      </w:r>
      <w:proofErr w:type="spellEnd"/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MI</w:t>
      </w:r>
      <w:r w:rsidRPr="007C6778">
        <w:rPr>
          <w:rFonts w:ascii="Book Antiqua" w:eastAsia="Book Antiqua" w:hAnsi="Book Antiqua" w:cs="Book Antiqua"/>
          <w:color w:val="000000"/>
        </w:rPr>
        <w:t>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Ciapponi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Franco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JV,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Loudet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Crivelli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Garrote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V,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Perman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G.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Prescribed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hypocaloric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nutrition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support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for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critically-ill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adults.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i/>
          <w:iCs/>
          <w:color w:val="000000"/>
        </w:rPr>
        <w:t>Syst</w:t>
      </w:r>
      <w:proofErr w:type="spellEnd"/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2018;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7C6778">
        <w:rPr>
          <w:rFonts w:ascii="Book Antiqua" w:eastAsia="Book Antiqua" w:hAnsi="Book Antiqua" w:cs="Book Antiqua"/>
          <w:color w:val="000000"/>
        </w:rPr>
        <w:t>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CD007867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[PMID: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29864793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DOI: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10.1002/14651858.CD007867.pub2]</w:t>
      </w:r>
    </w:p>
    <w:p w14:paraId="2EFA8F83" w14:textId="208FB8CF" w:rsidR="00A77B3E" w:rsidRPr="007C6778" w:rsidRDefault="008B5651" w:rsidP="00BF61EF">
      <w:pPr>
        <w:spacing w:line="360" w:lineRule="auto"/>
        <w:jc w:val="both"/>
      </w:pPr>
      <w:r w:rsidRPr="007C6778">
        <w:rPr>
          <w:rFonts w:ascii="Book Antiqua" w:eastAsia="Book Antiqua" w:hAnsi="Book Antiqua" w:cs="Book Antiqua"/>
          <w:color w:val="000000"/>
        </w:rPr>
        <w:t>17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b/>
          <w:bCs/>
          <w:color w:val="000000"/>
        </w:rPr>
        <w:t>Arabi</w:t>
      </w:r>
      <w:proofErr w:type="spellEnd"/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YM</w:t>
      </w:r>
      <w:r w:rsidRPr="007C6778">
        <w:rPr>
          <w:rFonts w:ascii="Book Antiqua" w:eastAsia="Book Antiqua" w:hAnsi="Book Antiqua" w:cs="Book Antiqua"/>
          <w:color w:val="000000"/>
        </w:rPr>
        <w:t>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Aldawood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AS,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Haddad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SH,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Dorzi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HM,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Tamim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HM,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Jones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G,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Mehta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McIntyre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L,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Solaiman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Sakkijha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MH,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Sadat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Afesh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L;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PermiT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Trial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Group.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C6778">
        <w:rPr>
          <w:rFonts w:ascii="Book Antiqua" w:eastAsia="Book Antiqua" w:hAnsi="Book Antiqua" w:cs="Book Antiqua"/>
          <w:color w:val="000000"/>
        </w:rPr>
        <w:t>Permissive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Underfeeding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or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Standard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Enteral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Feeding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Critically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Ill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Adults.</w:t>
      </w:r>
      <w:proofErr w:type="gram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N</w:t>
      </w:r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J</w:t>
      </w:r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2015;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372</w:t>
      </w:r>
      <w:r w:rsidRPr="007C6778">
        <w:rPr>
          <w:rFonts w:ascii="Book Antiqua" w:eastAsia="Book Antiqua" w:hAnsi="Book Antiqua" w:cs="Book Antiqua"/>
          <w:color w:val="000000"/>
        </w:rPr>
        <w:t>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2398-2408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[PMID: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25992505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DOI: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10.1056/NEJMoa1502826]</w:t>
      </w:r>
    </w:p>
    <w:p w14:paraId="5D606E34" w14:textId="39526D38" w:rsidR="00A77B3E" w:rsidRPr="007C6778" w:rsidRDefault="008B5651" w:rsidP="00BF61EF">
      <w:pPr>
        <w:spacing w:line="360" w:lineRule="auto"/>
        <w:jc w:val="both"/>
      </w:pPr>
      <w:r w:rsidRPr="007C6778">
        <w:rPr>
          <w:rFonts w:ascii="Book Antiqua" w:eastAsia="Book Antiqua" w:hAnsi="Book Antiqua" w:cs="Book Antiqua"/>
          <w:color w:val="000000"/>
        </w:rPr>
        <w:t>18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Singer</w:t>
      </w:r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7C6778">
        <w:rPr>
          <w:rFonts w:ascii="Book Antiqua" w:eastAsia="Book Antiqua" w:hAnsi="Book Antiqua" w:cs="Book Antiqua"/>
          <w:color w:val="000000"/>
        </w:rPr>
        <w:t>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Blaser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AR,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Berger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Alhazzani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W,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Calder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PC,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Casaer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MP,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Hiesmayr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Mayer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K,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Montejo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JC,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Pichard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Preiser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JC,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van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Zanten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ARH,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Oczkowski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Szczeklik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W,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Bischoff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SC.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ESPEN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guideline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clinical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nutrition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the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intensive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care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unit.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i/>
          <w:iCs/>
          <w:color w:val="000000"/>
        </w:rPr>
        <w:t>ClinNutr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2019;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7C6778">
        <w:rPr>
          <w:rFonts w:ascii="Book Antiqua" w:eastAsia="Book Antiqua" w:hAnsi="Book Antiqua" w:cs="Book Antiqua"/>
          <w:color w:val="000000"/>
        </w:rPr>
        <w:t>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48-79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[PMID: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30348463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DOI: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10.1016/j.clnu.2018.08.037]</w:t>
      </w:r>
    </w:p>
    <w:p w14:paraId="5770A405" w14:textId="36D2C309" w:rsidR="00A77B3E" w:rsidRPr="007C6778" w:rsidRDefault="008B5651" w:rsidP="00BF61EF">
      <w:pPr>
        <w:spacing w:line="360" w:lineRule="auto"/>
        <w:jc w:val="both"/>
      </w:pPr>
      <w:r w:rsidRPr="007C6778">
        <w:rPr>
          <w:rFonts w:ascii="Book Antiqua" w:eastAsia="Book Antiqua" w:hAnsi="Book Antiqua" w:cs="Book Antiqua"/>
          <w:color w:val="000000"/>
        </w:rPr>
        <w:t>19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National</w:t>
      </w:r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Heart,</w:t>
      </w:r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Lung,</w:t>
      </w:r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Blood</w:t>
      </w:r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Institute</w:t>
      </w:r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Acute</w:t>
      </w:r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Respiratory</w:t>
      </w:r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Distress</w:t>
      </w:r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Syndrome</w:t>
      </w:r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(ARDS)</w:t>
      </w:r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Trials</w:t>
      </w:r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Network</w:t>
      </w:r>
      <w:r w:rsidRPr="007C6778">
        <w:rPr>
          <w:rFonts w:ascii="Book Antiqua" w:eastAsia="Book Antiqua" w:hAnsi="Book Antiqua" w:cs="Book Antiqua"/>
          <w:color w:val="000000"/>
        </w:rPr>
        <w:t>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Rice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TW,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Wheeler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AP,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Thompson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BT,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Steingrub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Hite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RD,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Moss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Morris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Dong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N,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Rock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Initial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trophic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full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enteral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feeding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patients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with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acute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lung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injury: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the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EDEN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randomized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trial.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2012;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307</w:t>
      </w:r>
      <w:r w:rsidRPr="007C6778">
        <w:rPr>
          <w:rFonts w:ascii="Book Antiqua" w:eastAsia="Book Antiqua" w:hAnsi="Book Antiqua" w:cs="Book Antiqua"/>
          <w:color w:val="000000"/>
        </w:rPr>
        <w:t>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795-803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[PMID: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22307571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DOI: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10.1001/jama.2012.137]</w:t>
      </w:r>
    </w:p>
    <w:p w14:paraId="17513992" w14:textId="0E8149A7" w:rsidR="00A77B3E" w:rsidRPr="007C6778" w:rsidRDefault="008B5651" w:rsidP="00BF61EF">
      <w:pPr>
        <w:spacing w:line="360" w:lineRule="auto"/>
        <w:jc w:val="both"/>
      </w:pPr>
      <w:proofErr w:type="gramStart"/>
      <w:r w:rsidRPr="007C6778">
        <w:rPr>
          <w:rFonts w:ascii="Book Antiqua" w:eastAsia="Book Antiqua" w:hAnsi="Book Antiqua" w:cs="Book Antiqua"/>
          <w:color w:val="000000"/>
        </w:rPr>
        <w:t>20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b/>
          <w:bCs/>
          <w:color w:val="000000"/>
        </w:rPr>
        <w:t>Cecconi</w:t>
      </w:r>
      <w:proofErr w:type="spellEnd"/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C6778">
        <w:rPr>
          <w:rFonts w:ascii="Book Antiqua" w:eastAsia="Book Antiqua" w:hAnsi="Book Antiqua" w:cs="Book Antiqua"/>
          <w:color w:val="000000"/>
        </w:rPr>
        <w:t>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Evans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L,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Levy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Rhodes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Sepsis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and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septic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shock.</w:t>
      </w:r>
      <w:proofErr w:type="gram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2018;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392</w:t>
      </w:r>
      <w:r w:rsidRPr="007C6778">
        <w:rPr>
          <w:rFonts w:ascii="Book Antiqua" w:eastAsia="Book Antiqua" w:hAnsi="Book Antiqua" w:cs="Book Antiqua"/>
          <w:color w:val="000000"/>
        </w:rPr>
        <w:t>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75-87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[PMID: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29937192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DOI: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10.1016/S0140-6736(18)30696-2]</w:t>
      </w:r>
    </w:p>
    <w:p w14:paraId="221A6324" w14:textId="3CAD5845" w:rsidR="00A77B3E" w:rsidRPr="007C6778" w:rsidRDefault="008B5651" w:rsidP="00BF61EF">
      <w:pPr>
        <w:spacing w:line="360" w:lineRule="auto"/>
        <w:jc w:val="both"/>
      </w:pPr>
      <w:proofErr w:type="gramStart"/>
      <w:r w:rsidRPr="007C6778">
        <w:rPr>
          <w:rFonts w:ascii="Book Antiqua" w:eastAsia="Book Antiqua" w:hAnsi="Book Antiqua" w:cs="Book Antiqua"/>
          <w:color w:val="000000"/>
        </w:rPr>
        <w:lastRenderedPageBreak/>
        <w:t>21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Sun</w:t>
      </w:r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JK</w:t>
      </w:r>
      <w:r w:rsidRPr="007C6778">
        <w:rPr>
          <w:rFonts w:ascii="Book Antiqua" w:eastAsia="Book Antiqua" w:hAnsi="Book Antiqua" w:cs="Book Antiqua"/>
          <w:color w:val="000000"/>
        </w:rPr>
        <w:t>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Wang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X,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Yuan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ST.</w:t>
      </w:r>
      <w:proofErr w:type="gram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C6778">
        <w:rPr>
          <w:rFonts w:ascii="Book Antiqua" w:eastAsia="Book Antiqua" w:hAnsi="Book Antiqua" w:cs="Book Antiqua"/>
          <w:color w:val="000000"/>
        </w:rPr>
        <w:t>A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novel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method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of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blind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bedside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placement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of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postpyloric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tubes.</w:t>
      </w:r>
      <w:proofErr w:type="gram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i/>
          <w:iCs/>
          <w:color w:val="000000"/>
        </w:rPr>
        <w:t>Crit</w:t>
      </w:r>
      <w:proofErr w:type="spellEnd"/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2018;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7C6778">
        <w:rPr>
          <w:rFonts w:ascii="Book Antiqua" w:eastAsia="Book Antiqua" w:hAnsi="Book Antiqua" w:cs="Book Antiqua"/>
          <w:color w:val="000000"/>
        </w:rPr>
        <w:t>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62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[PMID: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29519252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DOI: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10.1186/s13054-018-1986-0]</w:t>
      </w:r>
    </w:p>
    <w:p w14:paraId="695A3265" w14:textId="32D4A108" w:rsidR="00A77B3E" w:rsidRPr="007C6778" w:rsidRDefault="008B5651" w:rsidP="00BF61EF">
      <w:pPr>
        <w:spacing w:line="360" w:lineRule="auto"/>
        <w:jc w:val="both"/>
      </w:pPr>
      <w:r w:rsidRPr="007C6778">
        <w:rPr>
          <w:rFonts w:ascii="Book Antiqua" w:eastAsia="Book Antiqua" w:hAnsi="Book Antiqua" w:cs="Book Antiqua"/>
          <w:color w:val="000000"/>
        </w:rPr>
        <w:t>22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C6778">
        <w:rPr>
          <w:rFonts w:ascii="Book Antiqua" w:eastAsia="Book Antiqua" w:hAnsi="Book Antiqua" w:cs="Book Antiqua"/>
          <w:b/>
          <w:bCs/>
          <w:color w:val="000000"/>
        </w:rPr>
        <w:t>Fan</w:t>
      </w:r>
      <w:proofErr w:type="gramEnd"/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7C6778">
        <w:rPr>
          <w:rFonts w:ascii="Book Antiqua" w:eastAsia="Book Antiqua" w:hAnsi="Book Antiqua" w:cs="Book Antiqua"/>
          <w:color w:val="000000"/>
        </w:rPr>
        <w:t>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Brodie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Slutsky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AS.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Acute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Respiratory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Distress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Syndrome: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Advances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Diagnosis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and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Treatment.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2018;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319</w:t>
      </w:r>
      <w:r w:rsidRPr="007C6778">
        <w:rPr>
          <w:rFonts w:ascii="Book Antiqua" w:eastAsia="Book Antiqua" w:hAnsi="Book Antiqua" w:cs="Book Antiqua"/>
          <w:color w:val="000000"/>
        </w:rPr>
        <w:t>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698-710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[PMID: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29466596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DOI: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10.1001/jama.2017.21907]</w:t>
      </w:r>
    </w:p>
    <w:p w14:paraId="444C301F" w14:textId="0ED22FEE" w:rsidR="00A77B3E" w:rsidRPr="007C6778" w:rsidRDefault="008B5651" w:rsidP="00BF61EF">
      <w:pPr>
        <w:spacing w:line="360" w:lineRule="auto"/>
        <w:jc w:val="both"/>
      </w:pPr>
      <w:r w:rsidRPr="007C6778">
        <w:rPr>
          <w:rFonts w:ascii="Book Antiqua" w:eastAsia="Book Antiqua" w:hAnsi="Book Antiqua" w:cs="Book Antiqua"/>
          <w:color w:val="000000"/>
        </w:rPr>
        <w:t>23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ARDS</w:t>
      </w:r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Definition</w:t>
      </w:r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Task</w:t>
      </w:r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Force</w:t>
      </w:r>
      <w:r w:rsidRPr="007C6778">
        <w:rPr>
          <w:rFonts w:ascii="Book Antiqua" w:eastAsia="Book Antiqua" w:hAnsi="Book Antiqua" w:cs="Book Antiqua"/>
          <w:color w:val="000000"/>
        </w:rPr>
        <w:t>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Ranieri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VM,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Rubenfeld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GD,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Thompson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BT,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Ferguson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ND,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Caldwell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Fan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Camporota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L,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Slutsky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AS.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Acute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respiratory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distress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syndrome: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the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Berlin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Definition.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2012;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307</w:t>
      </w:r>
      <w:r w:rsidRPr="007C6778">
        <w:rPr>
          <w:rFonts w:ascii="Book Antiqua" w:eastAsia="Book Antiqua" w:hAnsi="Book Antiqua" w:cs="Book Antiqua"/>
          <w:color w:val="000000"/>
        </w:rPr>
        <w:t>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2526-2533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[PMID: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22797452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DOI: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10.1001/jama.2012.5669]</w:t>
      </w:r>
    </w:p>
    <w:p w14:paraId="39DEF086" w14:textId="0DEDCEF6" w:rsidR="00A77B3E" w:rsidRPr="007C6778" w:rsidRDefault="008B5651" w:rsidP="00BF61EF">
      <w:pPr>
        <w:spacing w:line="360" w:lineRule="auto"/>
        <w:jc w:val="both"/>
      </w:pPr>
      <w:r w:rsidRPr="007C6778">
        <w:rPr>
          <w:rFonts w:ascii="Book Antiqua" w:eastAsia="Book Antiqua" w:hAnsi="Book Antiqua" w:cs="Book Antiqua"/>
          <w:color w:val="000000"/>
        </w:rPr>
        <w:t>24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C6778">
        <w:rPr>
          <w:rFonts w:ascii="Book Antiqua" w:eastAsia="Book Antiqua" w:hAnsi="Book Antiqua" w:cs="Book Antiqua"/>
          <w:color w:val="000000"/>
        </w:rPr>
        <w:t>Section</w:t>
      </w:r>
      <w:proofErr w:type="gram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AKI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Definition.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i/>
          <w:iCs/>
          <w:color w:val="000000"/>
        </w:rPr>
        <w:t>IntSuppl</w:t>
      </w:r>
      <w:proofErr w:type="spellEnd"/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(2011)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2012;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7C6778">
        <w:rPr>
          <w:rFonts w:ascii="Book Antiqua" w:eastAsia="Book Antiqua" w:hAnsi="Book Antiqua" w:cs="Book Antiqua"/>
          <w:color w:val="000000"/>
        </w:rPr>
        <w:t>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19-36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[PMID: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25018918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DOI: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10.1038/kisup.2011.32]</w:t>
      </w:r>
    </w:p>
    <w:p w14:paraId="38BE27A9" w14:textId="54880CCD" w:rsidR="00A77B3E" w:rsidRPr="007C6778" w:rsidRDefault="008B5651" w:rsidP="00BF61EF">
      <w:pPr>
        <w:spacing w:line="360" w:lineRule="auto"/>
        <w:jc w:val="both"/>
      </w:pPr>
      <w:r w:rsidRPr="007C6778">
        <w:rPr>
          <w:rFonts w:ascii="Book Antiqua" w:eastAsia="Book Antiqua" w:hAnsi="Book Antiqua" w:cs="Book Antiqua"/>
          <w:color w:val="000000"/>
        </w:rPr>
        <w:t>25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b/>
          <w:bCs/>
          <w:color w:val="000000"/>
        </w:rPr>
        <w:t>ReintamBlaser</w:t>
      </w:r>
      <w:proofErr w:type="spellEnd"/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C6778">
        <w:rPr>
          <w:rFonts w:ascii="Book Antiqua" w:eastAsia="Book Antiqua" w:hAnsi="Book Antiqua" w:cs="Book Antiqua"/>
          <w:color w:val="000000"/>
        </w:rPr>
        <w:t>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Preiser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JC,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Fruhwald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Wilmer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Wernerman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Benstoem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Casaer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MP,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Starkopf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van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Zanten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Rooyackers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Jakob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Loudet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CI,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Bear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DE,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Elke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G,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Kott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Lautenschläger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Schäper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Gunst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Stoppe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Nobile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L,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Fuhrmann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V,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Berger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Oudemans</w:t>
      </w:r>
      <w:proofErr w:type="spellEnd"/>
      <w:r w:rsidRPr="007C6778">
        <w:rPr>
          <w:rFonts w:ascii="Book Antiqua" w:eastAsia="Book Antiqua" w:hAnsi="Book Antiqua" w:cs="Book Antiqua"/>
          <w:color w:val="000000"/>
        </w:rPr>
        <w:t>-van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Straaten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HM,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Arabi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YM,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Deane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AM;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Working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Group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Gastrointestinal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Function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within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the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Section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of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Metabolism,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Endocrinology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and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Nutrition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(MEN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Section)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of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ESICM.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Gastrointestinal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dysfunction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the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critically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ill: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systematic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scoping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review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and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research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agenda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proposed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by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the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Section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of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Metabolism,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Endocrinology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and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Nutrition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of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the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European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Society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of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Intensive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Care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Medicine.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i/>
          <w:iCs/>
          <w:color w:val="000000"/>
        </w:rPr>
        <w:t>Crit</w:t>
      </w:r>
      <w:proofErr w:type="spellEnd"/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2020;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7C6778">
        <w:rPr>
          <w:rFonts w:ascii="Book Antiqua" w:eastAsia="Book Antiqua" w:hAnsi="Book Antiqua" w:cs="Book Antiqua"/>
          <w:color w:val="000000"/>
        </w:rPr>
        <w:t>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224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[PMID: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32414423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DOI: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10.1186/s13054-020-02889-4]</w:t>
      </w:r>
    </w:p>
    <w:p w14:paraId="72045635" w14:textId="2256D78E" w:rsidR="00A77B3E" w:rsidRPr="007C6778" w:rsidRDefault="008B5651" w:rsidP="00BF61EF">
      <w:pPr>
        <w:spacing w:line="360" w:lineRule="auto"/>
        <w:jc w:val="both"/>
      </w:pPr>
      <w:r w:rsidRPr="007C6778">
        <w:rPr>
          <w:rFonts w:ascii="Book Antiqua" w:eastAsia="Book Antiqua" w:hAnsi="Book Antiqua" w:cs="Book Antiqua"/>
          <w:color w:val="000000"/>
        </w:rPr>
        <w:t>26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b/>
          <w:bCs/>
          <w:color w:val="000000"/>
        </w:rPr>
        <w:t>ReintamBlaser</w:t>
      </w:r>
      <w:proofErr w:type="spellEnd"/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C6778">
        <w:rPr>
          <w:rFonts w:ascii="Book Antiqua" w:eastAsia="Book Antiqua" w:hAnsi="Book Antiqua" w:cs="Book Antiqua"/>
          <w:color w:val="000000"/>
        </w:rPr>
        <w:t>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Malbrain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ML,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Starkopf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Fruhwald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Jakob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Waele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Braun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JP,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Poeze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Spies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Gastrointestinal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function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intensive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care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patients: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terminology,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definitions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and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management.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C6778">
        <w:rPr>
          <w:rFonts w:ascii="Book Antiqua" w:eastAsia="Book Antiqua" w:hAnsi="Book Antiqua" w:cs="Book Antiqua"/>
          <w:color w:val="000000"/>
        </w:rPr>
        <w:t>Recommendations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of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the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ESICM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Working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Group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Abdominal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Problems.</w:t>
      </w:r>
      <w:proofErr w:type="gram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2012;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7C6778">
        <w:rPr>
          <w:rFonts w:ascii="Book Antiqua" w:eastAsia="Book Antiqua" w:hAnsi="Book Antiqua" w:cs="Book Antiqua"/>
          <w:color w:val="000000"/>
        </w:rPr>
        <w:t>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384-394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[PMID: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22310869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DOI: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10.1007/s00134-011-2459-y]</w:t>
      </w:r>
    </w:p>
    <w:p w14:paraId="2B6C2AF6" w14:textId="20D5E615" w:rsidR="00A77B3E" w:rsidRPr="007C6778" w:rsidRDefault="008B5651" w:rsidP="00BF61EF">
      <w:pPr>
        <w:spacing w:line="360" w:lineRule="auto"/>
        <w:jc w:val="both"/>
      </w:pPr>
      <w:r w:rsidRPr="007C6778">
        <w:rPr>
          <w:rFonts w:ascii="Book Antiqua" w:eastAsia="Book Antiqua" w:hAnsi="Book Antiqua" w:cs="Book Antiqua"/>
          <w:color w:val="000000"/>
        </w:rPr>
        <w:t>27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b/>
          <w:bCs/>
          <w:color w:val="000000"/>
        </w:rPr>
        <w:t>Zanten</w:t>
      </w:r>
      <w:proofErr w:type="spellEnd"/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ARH</w:t>
      </w:r>
      <w:r w:rsidRPr="007C6778">
        <w:rPr>
          <w:rFonts w:ascii="Book Antiqua" w:eastAsia="Book Antiqua" w:hAnsi="Book Antiqua" w:cs="Book Antiqua"/>
          <w:color w:val="000000"/>
        </w:rPr>
        <w:t>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Waele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7C6778">
        <w:rPr>
          <w:rFonts w:ascii="Book Antiqua" w:eastAsia="Book Antiqua" w:hAnsi="Book Antiqua" w:cs="Book Antiqua"/>
          <w:color w:val="000000"/>
        </w:rPr>
        <w:t>Wischmeyer</w:t>
      </w:r>
      <w:proofErr w:type="spellEnd"/>
      <w:proofErr w:type="gram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PE.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Nutrition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therapy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and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critical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illness: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practical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guidance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for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the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ICU,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post-ICU,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and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long-term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convalescence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phases.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i/>
          <w:iCs/>
          <w:color w:val="000000"/>
        </w:rPr>
        <w:t>Crit</w:t>
      </w:r>
      <w:proofErr w:type="spellEnd"/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2019;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7C6778">
        <w:rPr>
          <w:rFonts w:ascii="Book Antiqua" w:eastAsia="Book Antiqua" w:hAnsi="Book Antiqua" w:cs="Book Antiqua"/>
          <w:color w:val="000000"/>
        </w:rPr>
        <w:t>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368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[PMID: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31752979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DOI: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10.1186/s13054-019-2657-5]</w:t>
      </w:r>
    </w:p>
    <w:p w14:paraId="6FB8F502" w14:textId="1AD67056" w:rsidR="00A77B3E" w:rsidRPr="007C6778" w:rsidRDefault="008B5651" w:rsidP="00BF61EF">
      <w:pPr>
        <w:spacing w:line="360" w:lineRule="auto"/>
        <w:jc w:val="both"/>
      </w:pPr>
      <w:r w:rsidRPr="007C6778">
        <w:rPr>
          <w:rFonts w:ascii="Book Antiqua" w:eastAsia="Book Antiqua" w:hAnsi="Book Antiqua" w:cs="Book Antiqua"/>
          <w:color w:val="000000"/>
        </w:rPr>
        <w:lastRenderedPageBreak/>
        <w:t>28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b/>
          <w:bCs/>
          <w:color w:val="000000"/>
        </w:rPr>
        <w:t>Carteron</w:t>
      </w:r>
      <w:proofErr w:type="spellEnd"/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7C6778">
        <w:rPr>
          <w:rFonts w:ascii="Book Antiqua" w:eastAsia="Book Antiqua" w:hAnsi="Book Antiqua" w:cs="Book Antiqua"/>
          <w:color w:val="000000"/>
        </w:rPr>
        <w:t>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Samain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Winiszewski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H,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Blasco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G,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Balon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AS,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Gilli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Piton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G,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Capellier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G,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Pili</w:t>
      </w:r>
      <w:proofErr w:type="spellEnd"/>
      <w:r w:rsidRPr="007C6778">
        <w:rPr>
          <w:rFonts w:ascii="Book Antiqua" w:eastAsia="Book Antiqua" w:hAnsi="Book Antiqua" w:cs="Book Antiqua"/>
          <w:color w:val="000000"/>
        </w:rPr>
        <w:t>-Floury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Besch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G.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Semi-elemental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polymeric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formula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for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enteral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nutrition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brain-injured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critically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ill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patients: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randomized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trial.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i/>
          <w:iCs/>
          <w:color w:val="000000"/>
        </w:rPr>
        <w:t>Crit</w:t>
      </w:r>
      <w:proofErr w:type="spellEnd"/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2021;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7C6778">
        <w:rPr>
          <w:rFonts w:ascii="Book Antiqua" w:eastAsia="Book Antiqua" w:hAnsi="Book Antiqua" w:cs="Book Antiqua"/>
          <w:color w:val="000000"/>
        </w:rPr>
        <w:t>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31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[PMID: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33472680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DOI: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10.1186/s13054-020-03456-7]</w:t>
      </w:r>
    </w:p>
    <w:p w14:paraId="259C3F2C" w14:textId="09EF0ABE" w:rsidR="00A77B3E" w:rsidRPr="007C6778" w:rsidRDefault="008B5651" w:rsidP="00BF61EF">
      <w:pPr>
        <w:spacing w:line="360" w:lineRule="auto"/>
        <w:jc w:val="both"/>
      </w:pPr>
      <w:r w:rsidRPr="007C6778">
        <w:rPr>
          <w:rFonts w:ascii="Book Antiqua" w:eastAsia="Book Antiqua" w:hAnsi="Book Antiqua" w:cs="Book Antiqua"/>
          <w:color w:val="000000"/>
        </w:rPr>
        <w:t>29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b/>
          <w:bCs/>
          <w:color w:val="000000"/>
        </w:rPr>
        <w:t>Haussner</w:t>
      </w:r>
      <w:proofErr w:type="spellEnd"/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7C6778">
        <w:rPr>
          <w:rFonts w:ascii="Book Antiqua" w:eastAsia="Book Antiqua" w:hAnsi="Book Antiqua" w:cs="Book Antiqua"/>
          <w:color w:val="000000"/>
        </w:rPr>
        <w:t>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Chakraborty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Halbgebauer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Huber-Lang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Challenge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to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the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Intestinal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Mucosa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C6778">
        <w:rPr>
          <w:rFonts w:ascii="Book Antiqua" w:eastAsia="Book Antiqua" w:hAnsi="Book Antiqua" w:cs="Book Antiqua"/>
          <w:color w:val="000000"/>
        </w:rPr>
        <w:t>During</w:t>
      </w:r>
      <w:proofErr w:type="gram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Sepsis.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i/>
          <w:iCs/>
          <w:color w:val="000000"/>
        </w:rPr>
        <w:t>Immunol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2019;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7C6778">
        <w:rPr>
          <w:rFonts w:ascii="Book Antiqua" w:eastAsia="Book Antiqua" w:hAnsi="Book Antiqua" w:cs="Book Antiqua"/>
          <w:color w:val="000000"/>
        </w:rPr>
        <w:t>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891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[PMID: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31114571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DOI: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10.3389/fimmu.2019.00891]</w:t>
      </w:r>
    </w:p>
    <w:p w14:paraId="76302EC2" w14:textId="0C402953" w:rsidR="00A77B3E" w:rsidRPr="007C6778" w:rsidRDefault="008B5651" w:rsidP="00BF61EF">
      <w:pPr>
        <w:spacing w:line="360" w:lineRule="auto"/>
        <w:jc w:val="both"/>
      </w:pPr>
      <w:r w:rsidRPr="007C6778">
        <w:rPr>
          <w:rFonts w:ascii="Book Antiqua" w:eastAsia="Book Antiqua" w:hAnsi="Book Antiqua" w:cs="Book Antiqua"/>
          <w:color w:val="000000"/>
        </w:rPr>
        <w:t>30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b/>
          <w:bCs/>
          <w:color w:val="000000"/>
        </w:rPr>
        <w:t>Assimakopoulos</w:t>
      </w:r>
      <w:proofErr w:type="spellEnd"/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SF</w:t>
      </w:r>
      <w:r w:rsidRPr="007C6778">
        <w:rPr>
          <w:rFonts w:ascii="Book Antiqua" w:eastAsia="Book Antiqua" w:hAnsi="Book Antiqua" w:cs="Book Antiqua"/>
          <w:color w:val="000000"/>
        </w:rPr>
        <w:t>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Triantos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Thomopoulos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K,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Fligou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F,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Maroulis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Marangos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Gogos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CA.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Gut-origin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sepsis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the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critically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ill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patient: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pathophysiology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and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treatment.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Infection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2018;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7C6778">
        <w:rPr>
          <w:rFonts w:ascii="Book Antiqua" w:eastAsia="Book Antiqua" w:hAnsi="Book Antiqua" w:cs="Book Antiqua"/>
          <w:color w:val="000000"/>
        </w:rPr>
        <w:t>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751-760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[PMID: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30003491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DOI: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10.1007/s15010-018-1178-5]</w:t>
      </w:r>
    </w:p>
    <w:p w14:paraId="317EB606" w14:textId="5144C8DE" w:rsidR="00A77B3E" w:rsidRPr="007C6778" w:rsidRDefault="008B5651" w:rsidP="00BF61EF">
      <w:pPr>
        <w:spacing w:line="360" w:lineRule="auto"/>
        <w:jc w:val="both"/>
      </w:pPr>
      <w:r w:rsidRPr="007C6778">
        <w:rPr>
          <w:rFonts w:ascii="Book Antiqua" w:eastAsia="Book Antiqua" w:hAnsi="Book Antiqua" w:cs="Book Antiqua"/>
          <w:color w:val="000000"/>
        </w:rPr>
        <w:t>31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b/>
          <w:bCs/>
          <w:color w:val="000000"/>
        </w:rPr>
        <w:t>Yoseph</w:t>
      </w:r>
      <w:proofErr w:type="spellEnd"/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BP</w:t>
      </w:r>
      <w:r w:rsidRPr="007C6778">
        <w:rPr>
          <w:rFonts w:ascii="Book Antiqua" w:eastAsia="Book Antiqua" w:hAnsi="Book Antiqua" w:cs="Book Antiqua"/>
          <w:color w:val="000000"/>
        </w:rPr>
        <w:t>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Klingensmith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NJ,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Liang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Z,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Breed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ER,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Burd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EM,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Mittal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Dominguez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JA,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Petrie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B,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Ford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ML,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Coopersmith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CM.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Mechanisms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of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Intestinal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Barrier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Dysfunction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Sepsis.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Shock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2016;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7C6778">
        <w:rPr>
          <w:rFonts w:ascii="Book Antiqua" w:eastAsia="Book Antiqua" w:hAnsi="Book Antiqua" w:cs="Book Antiqua"/>
          <w:color w:val="000000"/>
        </w:rPr>
        <w:t>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52-59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[PMID: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27299587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DOI: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10.1097/SHK.0000000000000565]</w:t>
      </w:r>
    </w:p>
    <w:p w14:paraId="6519CD3C" w14:textId="6EC6A2CC" w:rsidR="00A77B3E" w:rsidRPr="007C6778" w:rsidRDefault="008B5651" w:rsidP="00BF61EF">
      <w:pPr>
        <w:spacing w:line="360" w:lineRule="auto"/>
        <w:jc w:val="both"/>
      </w:pPr>
      <w:r w:rsidRPr="007C6778">
        <w:rPr>
          <w:rFonts w:ascii="Book Antiqua" w:eastAsia="Book Antiqua" w:hAnsi="Book Antiqua" w:cs="Book Antiqua"/>
          <w:color w:val="000000"/>
        </w:rPr>
        <w:t>32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b/>
          <w:bCs/>
          <w:color w:val="000000"/>
        </w:rPr>
        <w:t>Niekerk</w:t>
      </w:r>
      <w:proofErr w:type="spellEnd"/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7C6778">
        <w:rPr>
          <w:rFonts w:ascii="Book Antiqua" w:eastAsia="Book Antiqua" w:hAnsi="Book Antiqua" w:cs="Book Antiqua"/>
          <w:color w:val="000000"/>
        </w:rPr>
        <w:t>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Meaker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Engelbrecht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AM.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Nutritional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support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sepsis: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when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less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may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be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more.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i/>
          <w:iCs/>
          <w:color w:val="000000"/>
        </w:rPr>
        <w:t>Crit</w:t>
      </w:r>
      <w:proofErr w:type="spellEnd"/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2020;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7C6778">
        <w:rPr>
          <w:rFonts w:ascii="Book Antiqua" w:eastAsia="Book Antiqua" w:hAnsi="Book Antiqua" w:cs="Book Antiqua"/>
          <w:color w:val="000000"/>
        </w:rPr>
        <w:t>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53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[PMID: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32059698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DOI: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10.1186/s13054-020-2771-4]</w:t>
      </w:r>
    </w:p>
    <w:p w14:paraId="29E35475" w14:textId="04F979CF" w:rsidR="00A77B3E" w:rsidRPr="007C6778" w:rsidRDefault="008B5651" w:rsidP="00BF61EF">
      <w:pPr>
        <w:spacing w:line="360" w:lineRule="auto"/>
        <w:jc w:val="both"/>
      </w:pPr>
      <w:proofErr w:type="gramStart"/>
      <w:r w:rsidRPr="007C6778">
        <w:rPr>
          <w:rFonts w:ascii="Book Antiqua" w:eastAsia="Book Antiqua" w:hAnsi="Book Antiqua" w:cs="Book Antiqua"/>
          <w:color w:val="000000"/>
        </w:rPr>
        <w:t>33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de</w:t>
      </w:r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b/>
          <w:bCs/>
          <w:color w:val="000000"/>
        </w:rPr>
        <w:t>Koning</w:t>
      </w:r>
      <w:proofErr w:type="spellEnd"/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MLY</w:t>
      </w:r>
      <w:r w:rsidRPr="007C6778">
        <w:rPr>
          <w:rFonts w:ascii="Book Antiqua" w:eastAsia="Book Antiqua" w:hAnsi="Book Antiqua" w:cs="Book Antiqua"/>
          <w:color w:val="000000"/>
        </w:rPr>
        <w:t>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van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Zanten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FJL,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van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Zanten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ARH.</w:t>
      </w:r>
      <w:proofErr w:type="gram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Nutritional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therapy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patients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with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sepsis: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less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really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more?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i/>
          <w:iCs/>
          <w:color w:val="000000"/>
        </w:rPr>
        <w:t>Crit</w:t>
      </w:r>
      <w:proofErr w:type="spellEnd"/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2020;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7C6778">
        <w:rPr>
          <w:rFonts w:ascii="Book Antiqua" w:eastAsia="Book Antiqua" w:hAnsi="Book Antiqua" w:cs="Book Antiqua"/>
          <w:color w:val="000000"/>
        </w:rPr>
        <w:t>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254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[PMID: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32450883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DOI: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10.1186/s13054-020-02949-9]</w:t>
      </w:r>
    </w:p>
    <w:p w14:paraId="112BE84B" w14:textId="3C3390AC" w:rsidR="00A77B3E" w:rsidRPr="007C6778" w:rsidRDefault="008B5651" w:rsidP="00BF61EF">
      <w:pPr>
        <w:spacing w:line="360" w:lineRule="auto"/>
        <w:jc w:val="both"/>
      </w:pPr>
      <w:proofErr w:type="gramStart"/>
      <w:r w:rsidRPr="007C6778">
        <w:rPr>
          <w:rFonts w:ascii="Book Antiqua" w:eastAsia="Book Antiqua" w:hAnsi="Book Antiqua" w:cs="Book Antiqua"/>
          <w:color w:val="000000"/>
        </w:rPr>
        <w:t>34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de</w:t>
      </w:r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b/>
          <w:bCs/>
          <w:color w:val="000000"/>
        </w:rPr>
        <w:t>Koning</w:t>
      </w:r>
      <w:proofErr w:type="spellEnd"/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MLY</w:t>
      </w:r>
      <w:r w:rsidRPr="007C6778">
        <w:rPr>
          <w:rFonts w:ascii="Book Antiqua" w:eastAsia="Book Antiqua" w:hAnsi="Book Antiqua" w:cs="Book Antiqua"/>
          <w:color w:val="000000"/>
        </w:rPr>
        <w:t>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Koekkoek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WACK,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Kars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JCNH,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van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Zanten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ARH.</w:t>
      </w:r>
      <w:proofErr w:type="gram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Association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of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PROtein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and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CAloric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Intake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and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Clinical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Outcomes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Adult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SEPTic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and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Non-Septic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ICU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Patients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Prolonged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Mechanical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Ventilation: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The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PROCASEPT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Retrospective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Study.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JPEN</w:t>
      </w:r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J</w:t>
      </w:r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i/>
          <w:iCs/>
          <w:color w:val="000000"/>
        </w:rPr>
        <w:t>Parenter</w:t>
      </w:r>
      <w:proofErr w:type="spellEnd"/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Enteral</w:t>
      </w:r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2020;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7C6778">
        <w:rPr>
          <w:rFonts w:ascii="Book Antiqua" w:eastAsia="Book Antiqua" w:hAnsi="Book Antiqua" w:cs="Book Antiqua"/>
          <w:color w:val="000000"/>
        </w:rPr>
        <w:t>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434-443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[PMID: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31172544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DOI: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10.1002/jpen.1663]</w:t>
      </w:r>
    </w:p>
    <w:p w14:paraId="5C7B4C47" w14:textId="7DBAF5A4" w:rsidR="00A77B3E" w:rsidRPr="007C6778" w:rsidRDefault="008B5651" w:rsidP="00BF61EF">
      <w:pPr>
        <w:spacing w:line="360" w:lineRule="auto"/>
        <w:jc w:val="both"/>
      </w:pPr>
      <w:r w:rsidRPr="007C6778">
        <w:rPr>
          <w:rFonts w:ascii="Book Antiqua" w:eastAsia="Book Antiqua" w:hAnsi="Book Antiqua" w:cs="Book Antiqua"/>
          <w:color w:val="000000"/>
        </w:rPr>
        <w:t>35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Hu</w:t>
      </w:r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7C6778">
        <w:rPr>
          <w:rFonts w:ascii="Book Antiqua" w:eastAsia="Book Antiqua" w:hAnsi="Book Antiqua" w:cs="Book Antiqua"/>
          <w:color w:val="000000"/>
        </w:rPr>
        <w:t>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Sun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Wu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Ni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Y,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Liu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Guo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F,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Ying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L,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Ge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G,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Ding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Shi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Y,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Liu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Xu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L,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Jiang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Lu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Lin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Zhu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Y,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Wu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W,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B.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Severity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of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acute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gastrointestinal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injury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grade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predictor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of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all-cause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mortality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critically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ill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patients: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multicenter,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prospective,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observational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study.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i/>
          <w:iCs/>
          <w:color w:val="000000"/>
        </w:rPr>
        <w:t>Crit</w:t>
      </w:r>
      <w:proofErr w:type="spellEnd"/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2017;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7C6778">
        <w:rPr>
          <w:rFonts w:ascii="Book Antiqua" w:eastAsia="Book Antiqua" w:hAnsi="Book Antiqua" w:cs="Book Antiqua"/>
          <w:color w:val="000000"/>
        </w:rPr>
        <w:t>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188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[PMID: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28709443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DOI: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10.1186/s13054-017-1780-4]</w:t>
      </w:r>
    </w:p>
    <w:p w14:paraId="012A2121" w14:textId="1EFAFA4D" w:rsidR="00A77B3E" w:rsidRDefault="008B5651" w:rsidP="00BF61EF">
      <w:pPr>
        <w:spacing w:line="360" w:lineRule="auto"/>
        <w:jc w:val="both"/>
      </w:pPr>
      <w:r w:rsidRPr="007C6778">
        <w:rPr>
          <w:rFonts w:ascii="Book Antiqua" w:eastAsia="Book Antiqua" w:hAnsi="Book Antiqua" w:cs="Book Antiqua"/>
          <w:color w:val="000000"/>
        </w:rPr>
        <w:lastRenderedPageBreak/>
        <w:t>36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b/>
          <w:bCs/>
          <w:color w:val="000000"/>
        </w:rPr>
        <w:t>Heyland</w:t>
      </w:r>
      <w:proofErr w:type="spellEnd"/>
      <w:r w:rsidR="00AD6792" w:rsidRPr="007C67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DK</w:t>
      </w:r>
      <w:r w:rsidRPr="007C6778">
        <w:rPr>
          <w:rFonts w:ascii="Book Antiqua" w:eastAsia="Book Antiqua" w:hAnsi="Book Antiqua" w:cs="Book Antiqua"/>
          <w:color w:val="000000"/>
        </w:rPr>
        <w:t>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Ortiz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Stoppe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Patel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JJ,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Yeh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DD,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Dukes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G,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Chen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YJ,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color w:val="000000"/>
        </w:rPr>
        <w:t>Almansa</w:t>
      </w:r>
      <w:proofErr w:type="spellEnd"/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Day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AG.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Incidence,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Risk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Factors,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and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Clinical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Consequence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of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Enteral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Feeding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Intolerance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the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Mechanically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Ventilated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Critically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Ill: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An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Analysis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of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a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Multicenter,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Multiyear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Database.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C6778">
        <w:rPr>
          <w:rFonts w:ascii="Book Antiqua" w:eastAsia="Book Antiqua" w:hAnsi="Book Antiqua" w:cs="Book Antiqua"/>
          <w:i/>
          <w:iCs/>
          <w:color w:val="000000"/>
        </w:rPr>
        <w:t>Crit</w:t>
      </w:r>
      <w:proofErr w:type="spellEnd"/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D6792" w:rsidRPr="007C677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2021;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7C6778">
        <w:rPr>
          <w:rFonts w:ascii="Book Antiqua" w:eastAsia="Book Antiqua" w:hAnsi="Book Antiqua" w:cs="Book Antiqua"/>
          <w:color w:val="000000"/>
        </w:rPr>
        <w:t>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49-59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[PMID: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33148950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DOI:</w:t>
      </w:r>
      <w:r w:rsidR="00AD6792" w:rsidRPr="007C6778">
        <w:rPr>
          <w:rFonts w:ascii="Book Antiqua" w:eastAsia="Book Antiqua" w:hAnsi="Book Antiqua" w:cs="Book Antiqua"/>
          <w:color w:val="000000"/>
        </w:rPr>
        <w:t xml:space="preserve"> </w:t>
      </w:r>
      <w:r w:rsidRPr="007C6778">
        <w:rPr>
          <w:rFonts w:ascii="Book Antiqua" w:eastAsia="Book Antiqua" w:hAnsi="Book Antiqua" w:cs="Book Antiqua"/>
          <w:color w:val="000000"/>
        </w:rPr>
        <w:t>10.1097/CCM.0000000000004712]</w:t>
      </w:r>
    </w:p>
    <w:bookmarkEnd w:id="3"/>
    <w:p w14:paraId="4845A097" w14:textId="77777777" w:rsidR="00A77B3E" w:rsidRDefault="00A77B3E" w:rsidP="00BF61EF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2EA423" w14:textId="7777777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25BAB81" w14:textId="14F1A6C1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Institutional</w:t>
      </w:r>
      <w:r w:rsidR="00AD679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review</w:t>
      </w:r>
      <w:r w:rsidR="00AD679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board</w:t>
      </w:r>
      <w:r w:rsidR="00AD679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AD679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Nanjing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(Approval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KY20180713-01)</w:t>
      </w:r>
    </w:p>
    <w:p w14:paraId="51CF5711" w14:textId="77777777" w:rsidR="00A77B3E" w:rsidRDefault="00A77B3E" w:rsidP="00BF61EF">
      <w:pPr>
        <w:spacing w:line="360" w:lineRule="auto"/>
        <w:jc w:val="both"/>
      </w:pPr>
    </w:p>
    <w:p w14:paraId="1A4C13E6" w14:textId="7D341D43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trial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registration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>also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Trials.gov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NCT03791866).</w:t>
      </w:r>
    </w:p>
    <w:p w14:paraId="73A42788" w14:textId="77777777" w:rsidR="00A77B3E" w:rsidRDefault="00A77B3E" w:rsidP="00BF61EF">
      <w:pPr>
        <w:spacing w:line="360" w:lineRule="auto"/>
        <w:jc w:val="both"/>
      </w:pPr>
    </w:p>
    <w:p w14:paraId="7B8D8975" w14:textId="340A9D6D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Informed</w:t>
      </w:r>
      <w:r w:rsidR="00AD679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consent</w:t>
      </w:r>
      <w:r w:rsidR="00AD679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AD679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legal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guardian,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enrollment.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</w:p>
    <w:p w14:paraId="7FDF53D9" w14:textId="77777777" w:rsidR="00A77B3E" w:rsidRDefault="00A77B3E" w:rsidP="00BF61EF">
      <w:pPr>
        <w:spacing w:line="360" w:lineRule="auto"/>
        <w:jc w:val="both"/>
      </w:pPr>
    </w:p>
    <w:p w14:paraId="35A09FE6" w14:textId="4E5DB4E8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AD679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AD679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1E4751">
        <w:rPr>
          <w:rFonts w:ascii="Book Antiqua" w:eastAsia="Book Antiqua" w:hAnsi="Book Antiqua" w:cs="Book Antiqua"/>
          <w:color w:val="000000"/>
        </w:rPr>
        <w:t xml:space="preserve"> to disclose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E22FBF7" w14:textId="77777777" w:rsidR="00A77B3E" w:rsidRDefault="00A77B3E" w:rsidP="00BF61EF">
      <w:pPr>
        <w:spacing w:line="360" w:lineRule="auto"/>
        <w:jc w:val="both"/>
      </w:pPr>
    </w:p>
    <w:p w14:paraId="4F292286" w14:textId="6059504B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Data</w:t>
      </w:r>
      <w:r w:rsidR="00AD679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sharing</w:t>
      </w:r>
      <w:r w:rsidR="00AD679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AD679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</w:p>
    <w:p w14:paraId="781E48D1" w14:textId="77777777" w:rsidR="00A77B3E" w:rsidRDefault="00A77B3E" w:rsidP="00BF61EF">
      <w:pPr>
        <w:spacing w:line="360" w:lineRule="auto"/>
        <w:jc w:val="both"/>
      </w:pPr>
    </w:p>
    <w:p w14:paraId="4B833C82" w14:textId="77777777" w:rsidR="00AD6792" w:rsidRDefault="008B5651" w:rsidP="00BF61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CONSORT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2010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CONSORT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CONSORT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statement.</w:t>
      </w:r>
    </w:p>
    <w:p w14:paraId="332CE193" w14:textId="77777777" w:rsidR="00AD6792" w:rsidRDefault="00AD6792" w:rsidP="00BF61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6428EC0" w14:textId="654F0696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26B37B0" w14:textId="77777777" w:rsidR="00A77B3E" w:rsidRDefault="00A77B3E" w:rsidP="00BF61EF">
      <w:pPr>
        <w:spacing w:line="360" w:lineRule="auto"/>
        <w:jc w:val="both"/>
      </w:pPr>
    </w:p>
    <w:p w14:paraId="06442FE9" w14:textId="155BEBED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AD6792">
        <w:rPr>
          <w:rFonts w:ascii="Book Antiqua" w:eastAsia="Book Antiqua" w:hAnsi="Book Antiqua" w:cs="Book Antiqua"/>
          <w:color w:val="000000"/>
        </w:rPr>
        <w:t xml:space="preserve"> 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00EEB060" w14:textId="77777777" w:rsidR="00A77B3E" w:rsidRDefault="00A77B3E" w:rsidP="00BF61EF">
      <w:pPr>
        <w:spacing w:line="360" w:lineRule="auto"/>
        <w:jc w:val="both"/>
      </w:pPr>
    </w:p>
    <w:p w14:paraId="5FF1053A" w14:textId="104C5BE1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C625E4F" w14:textId="257F844B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4C8D2A5" w14:textId="0AADC648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0776B">
        <w:rPr>
          <w:rFonts w:ascii="Book Antiqua" w:eastAsia="宋体" w:hAnsi="Book Antiqua"/>
          <w:color w:val="000000" w:themeColor="text1"/>
        </w:rPr>
        <w:t>J</w:t>
      </w:r>
      <w:r w:rsidR="0070776B">
        <w:rPr>
          <w:rFonts w:ascii="Book Antiqua" w:eastAsia="宋体" w:hAnsi="Book Antiqua" w:hint="eastAsia"/>
          <w:color w:val="000000" w:themeColor="text1"/>
        </w:rPr>
        <w:t>u</w:t>
      </w:r>
      <w:r w:rsidR="0070776B">
        <w:rPr>
          <w:rFonts w:ascii="Book Antiqua" w:eastAsia="宋体" w:hAnsi="Book Antiqua"/>
          <w:color w:val="000000" w:themeColor="text1"/>
        </w:rPr>
        <w:t>ly</w:t>
      </w:r>
      <w:r w:rsidR="0070776B" w:rsidRPr="00F06907">
        <w:rPr>
          <w:rFonts w:ascii="Book Antiqua" w:eastAsia="宋体" w:hAnsi="Book Antiqua"/>
          <w:color w:val="000000" w:themeColor="text1"/>
        </w:rPr>
        <w:t xml:space="preserve"> </w:t>
      </w:r>
      <w:r w:rsidR="0070776B">
        <w:rPr>
          <w:rFonts w:ascii="Book Antiqua" w:eastAsia="宋体" w:hAnsi="Book Antiqua"/>
          <w:color w:val="000000" w:themeColor="text1"/>
        </w:rPr>
        <w:t>13</w:t>
      </w:r>
      <w:r w:rsidR="0070776B" w:rsidRPr="00F06907">
        <w:rPr>
          <w:rFonts w:ascii="Book Antiqua" w:eastAsia="宋体" w:hAnsi="Book Antiqua"/>
          <w:color w:val="000000" w:themeColor="text1"/>
        </w:rPr>
        <w:t>, 2021</w:t>
      </w:r>
    </w:p>
    <w:p w14:paraId="4745C488" w14:textId="77777777" w:rsidR="00A77B3E" w:rsidRDefault="00A77B3E" w:rsidP="00BF61EF">
      <w:pPr>
        <w:spacing w:line="360" w:lineRule="auto"/>
        <w:jc w:val="both"/>
      </w:pPr>
    </w:p>
    <w:p w14:paraId="5A915EE9" w14:textId="4384A8FB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D6792">
        <w:rPr>
          <w:rFonts w:ascii="Book Antiqua" w:eastAsia="Book Antiqua" w:hAnsi="Book Antiqua" w:cs="Book Antiqua"/>
          <w:color w:val="000000"/>
        </w:rPr>
        <w:t xml:space="preserve"> care medicin</w:t>
      </w:r>
      <w:r>
        <w:rPr>
          <w:rFonts w:ascii="Book Antiqua" w:eastAsia="Book Antiqua" w:hAnsi="Book Antiqua" w:cs="Book Antiqua"/>
          <w:color w:val="000000"/>
        </w:rPr>
        <w:t>e</w:t>
      </w:r>
    </w:p>
    <w:p w14:paraId="15F2F1C1" w14:textId="50746FBD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4313C2D" w14:textId="0051C69B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FDE53A1" w14:textId="3573E4DE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proofErr w:type="gram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5F3B13B0" w14:textId="757F4ACC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86F3CB9" w14:textId="083F0F8B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5E7973BA" w14:textId="07CC1441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4597D69" w14:textId="15EA1BCC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82D12FE" w14:textId="77777777" w:rsidR="00A77B3E" w:rsidRDefault="00A77B3E" w:rsidP="00BF61EF">
      <w:pPr>
        <w:spacing w:line="360" w:lineRule="auto"/>
        <w:jc w:val="both"/>
      </w:pPr>
    </w:p>
    <w:p w14:paraId="3CB35A34" w14:textId="5D2EE2A8" w:rsidR="00A77B3E" w:rsidRPr="00EF0646" w:rsidRDefault="008B5651" w:rsidP="00BF61EF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Cabezuelo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Kansu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E4751" w:rsidRPr="003C0F7D">
        <w:rPr>
          <w:rFonts w:ascii="Book Antiqua" w:eastAsia="Book Antiqua" w:hAnsi="Book Antiqua" w:cs="Book Antiqua"/>
          <w:color w:val="000000"/>
        </w:rPr>
        <w:t>Wang TQ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F0646" w:rsidRPr="00EF0646">
        <w:rPr>
          <w:rFonts w:ascii="Book Antiqua" w:eastAsia="Book Antiqua" w:hAnsi="Book Antiqua" w:cs="Book Antiqua"/>
          <w:bCs/>
          <w:color w:val="000000"/>
        </w:rPr>
        <w:t>Li JH</w:t>
      </w:r>
    </w:p>
    <w:p w14:paraId="643E58D6" w14:textId="57965122" w:rsidR="00EF0646" w:rsidRDefault="00EF0646" w:rsidP="00BF61EF">
      <w:pPr>
        <w:spacing w:line="360" w:lineRule="auto"/>
        <w:jc w:val="both"/>
        <w:sectPr w:rsidR="00EF06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E2FD48" w14:textId="41115A3A" w:rsidR="00A77B3E" w:rsidRDefault="008B5651" w:rsidP="00BF61E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0D1B9072" w14:textId="77777777" w:rsidR="00EE1012" w:rsidRPr="00EE1012" w:rsidRDefault="00EE1012" w:rsidP="00BF61EF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04C28DE3" wp14:editId="36CA0373">
            <wp:extent cx="3873699" cy="346727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3699" cy="346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11E5B" w14:textId="1CAA254F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Flow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diagram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participants.</w:t>
      </w:r>
    </w:p>
    <w:p w14:paraId="75768B0E" w14:textId="77777777" w:rsidR="00A77B3E" w:rsidRDefault="00EE1012" w:rsidP="00BF61EF">
      <w:pPr>
        <w:spacing w:line="360" w:lineRule="auto"/>
        <w:jc w:val="both"/>
      </w:pPr>
      <w:r>
        <w:br w:type="page"/>
      </w:r>
      <w:r>
        <w:rPr>
          <w:noProof/>
          <w:lang w:eastAsia="zh-CN"/>
        </w:rPr>
        <w:lastRenderedPageBreak/>
        <w:drawing>
          <wp:inline distT="0" distB="0" distL="0" distR="0" wp14:anchorId="7EF31F47" wp14:editId="5003D217">
            <wp:extent cx="5473981" cy="2698889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3981" cy="269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19DFB" w14:textId="57DCDE02" w:rsidR="00A77B3E" w:rsidRPr="00EE1012" w:rsidRDefault="008B5651" w:rsidP="00BF61E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Comparisons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acute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gastrointestinal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injury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grades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(A),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days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goal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calorie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(B),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actual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daily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caloric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intake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(C)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three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groups.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proofErr w:type="gramStart"/>
      <w:r w:rsidRPr="00EE1012">
        <w:rPr>
          <w:rFonts w:ascii="Book Antiqua" w:eastAsia="Book Antiqua" w:hAnsi="Book Antiqua" w:cs="Book Antiqua"/>
          <w:color w:val="000000"/>
          <w:vertAlign w:val="superscript"/>
        </w:rPr>
        <w:t>a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proofErr w:type="spellEnd"/>
      <w:proofErr w:type="gramEnd"/>
      <w:r w:rsidR="00AD6792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E1012">
        <w:rPr>
          <w:rFonts w:ascii="Book Antiqua" w:eastAsia="Book Antiqua" w:hAnsi="Book Antiqua" w:cs="Book Antiqua"/>
          <w:iCs/>
          <w:color w:val="000000"/>
          <w:vertAlign w:val="superscript"/>
        </w:rPr>
        <w:t>c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proofErr w:type="spellEnd"/>
      <w:r w:rsidR="00AD6792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0.001.</w:t>
      </w:r>
      <w:r w:rsidR="00AD679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E1012">
        <w:rPr>
          <w:rFonts w:ascii="Book Antiqua" w:hAnsi="Book Antiqua" w:cs="Book Antiqua" w:hint="eastAsia"/>
          <w:color w:val="000000"/>
          <w:lang w:eastAsia="zh-CN"/>
        </w:rPr>
        <w:t>AGI:</w:t>
      </w:r>
      <w:r w:rsidR="00AD679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E1012" w:rsidRPr="00EE1012">
        <w:rPr>
          <w:rFonts w:ascii="Book Antiqua" w:hAnsi="Book Antiqua" w:cs="Book Antiqua"/>
          <w:caps/>
          <w:color w:val="000000"/>
          <w:lang w:eastAsia="zh-CN"/>
        </w:rPr>
        <w:t>a</w:t>
      </w:r>
      <w:r w:rsidR="00EE1012" w:rsidRPr="00EE1012">
        <w:rPr>
          <w:rFonts w:ascii="Book Antiqua" w:hAnsi="Book Antiqua" w:cs="Book Antiqua"/>
          <w:color w:val="000000"/>
          <w:lang w:eastAsia="zh-CN"/>
        </w:rPr>
        <w:t>cute</w:t>
      </w:r>
      <w:r w:rsidR="00AD6792">
        <w:rPr>
          <w:rFonts w:ascii="Book Antiqua" w:hAnsi="Book Antiqua" w:cs="Book Antiqua"/>
          <w:color w:val="000000"/>
          <w:lang w:eastAsia="zh-CN"/>
        </w:rPr>
        <w:t xml:space="preserve"> </w:t>
      </w:r>
      <w:r w:rsidR="00EE1012" w:rsidRPr="00EE1012">
        <w:rPr>
          <w:rFonts w:ascii="Book Antiqua" w:hAnsi="Book Antiqua" w:cs="Book Antiqua"/>
          <w:color w:val="000000"/>
          <w:lang w:eastAsia="zh-CN"/>
        </w:rPr>
        <w:t>gastrointestinal</w:t>
      </w:r>
      <w:r w:rsidR="00AD6792">
        <w:rPr>
          <w:rFonts w:ascii="Book Antiqua" w:hAnsi="Book Antiqua" w:cs="Book Antiqua"/>
          <w:color w:val="000000"/>
          <w:lang w:eastAsia="zh-CN"/>
        </w:rPr>
        <w:t xml:space="preserve"> </w:t>
      </w:r>
      <w:r w:rsidR="00EE1012" w:rsidRPr="00EE1012">
        <w:rPr>
          <w:rFonts w:ascii="Book Antiqua" w:hAnsi="Book Antiqua" w:cs="Book Antiqua"/>
          <w:color w:val="000000"/>
          <w:lang w:eastAsia="zh-CN"/>
        </w:rPr>
        <w:t>injury</w:t>
      </w:r>
      <w:r w:rsidR="00EE1012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21D696CE" w14:textId="77777777" w:rsidR="00A77B3E" w:rsidRDefault="00EE1012" w:rsidP="00BF61EF">
      <w:pPr>
        <w:spacing w:line="360" w:lineRule="auto"/>
        <w:jc w:val="both"/>
      </w:pPr>
      <w:r>
        <w:br w:type="page"/>
      </w:r>
      <w:r>
        <w:rPr>
          <w:noProof/>
          <w:lang w:eastAsia="zh-CN"/>
        </w:rPr>
        <w:lastRenderedPageBreak/>
        <w:drawing>
          <wp:inline distT="0" distB="0" distL="0" distR="0" wp14:anchorId="3D9F9A64" wp14:editId="2EF2C698">
            <wp:extent cx="5289822" cy="2660787"/>
            <wp:effectExtent l="0" t="0" r="635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9822" cy="266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41089" w14:textId="1C231145" w:rsidR="00A77B3E" w:rsidRPr="00EE1012" w:rsidRDefault="008B5651" w:rsidP="00BF61EF">
      <w:pPr>
        <w:spacing w:line="360" w:lineRule="auto"/>
        <w:jc w:val="both"/>
        <w:rPr>
          <w:lang w:eastAsia="zh-CN"/>
        </w:rPr>
      </w:pPr>
      <w:proofErr w:type="gramStart"/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 w:rsidR="00AD6792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EE1012">
        <w:rPr>
          <w:rFonts w:ascii="Book Antiqua" w:eastAsia="Book Antiqua" w:hAnsi="Book Antiqua" w:cs="Book Antiqua"/>
          <w:b/>
          <w:color w:val="000000"/>
        </w:rPr>
        <w:t>Comparisons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E1012">
        <w:rPr>
          <w:rFonts w:ascii="Book Antiqua" w:eastAsia="Book Antiqua" w:hAnsi="Book Antiqua" w:cs="Book Antiqua"/>
          <w:b/>
          <w:color w:val="000000"/>
        </w:rPr>
        <w:t>of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E1012">
        <w:rPr>
          <w:rFonts w:ascii="Book Antiqua" w:eastAsia="Book Antiqua" w:hAnsi="Book Antiqua" w:cs="Book Antiqua"/>
          <w:b/>
          <w:color w:val="000000"/>
        </w:rPr>
        <w:t>serum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E1012">
        <w:rPr>
          <w:rFonts w:ascii="Book Antiqua" w:eastAsia="Book Antiqua" w:hAnsi="Book Antiqua" w:cs="Book Antiqua"/>
          <w:b/>
          <w:color w:val="000000"/>
        </w:rPr>
        <w:t>levels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E1012">
        <w:rPr>
          <w:rFonts w:ascii="Book Antiqua" w:eastAsia="Book Antiqua" w:hAnsi="Book Antiqua" w:cs="Book Antiqua"/>
          <w:b/>
          <w:color w:val="000000"/>
        </w:rPr>
        <w:t>of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EE1012">
        <w:rPr>
          <w:rFonts w:ascii="Book Antiqua" w:eastAsia="Book Antiqua" w:hAnsi="Book Antiqua" w:cs="Book Antiqua"/>
          <w:b/>
          <w:color w:val="000000"/>
        </w:rPr>
        <w:t>diamine</w:t>
      </w:r>
      <w:proofErr w:type="spellEnd"/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E1012">
        <w:rPr>
          <w:rFonts w:ascii="Book Antiqua" w:eastAsia="Book Antiqua" w:hAnsi="Book Antiqua" w:cs="Book Antiqua"/>
          <w:b/>
          <w:color w:val="000000"/>
        </w:rPr>
        <w:t>oxidase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E1012">
        <w:rPr>
          <w:rFonts w:ascii="Book Antiqua" w:eastAsia="Book Antiqua" w:hAnsi="Book Antiqua" w:cs="Book Antiqua"/>
          <w:b/>
          <w:color w:val="000000"/>
        </w:rPr>
        <w:t>(A),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E1012">
        <w:rPr>
          <w:rFonts w:ascii="Book Antiqua" w:eastAsia="Book Antiqua" w:hAnsi="Book Antiqua" w:cs="Book Antiqua"/>
          <w:b/>
          <w:color w:val="000000"/>
        </w:rPr>
        <w:t>D-lactate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E1012">
        <w:rPr>
          <w:rFonts w:ascii="Book Antiqua" w:eastAsia="Book Antiqua" w:hAnsi="Book Antiqua" w:cs="Book Antiqua"/>
          <w:b/>
          <w:color w:val="000000"/>
        </w:rPr>
        <w:t>(B),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E1012">
        <w:rPr>
          <w:rFonts w:ascii="Book Antiqua" w:eastAsia="Book Antiqua" w:hAnsi="Book Antiqua" w:cs="Book Antiqua"/>
          <w:b/>
          <w:color w:val="000000"/>
        </w:rPr>
        <w:t>and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E1012">
        <w:rPr>
          <w:rFonts w:ascii="Book Antiqua" w:eastAsia="Book Antiqua" w:hAnsi="Book Antiqua" w:cs="Book Antiqua"/>
          <w:b/>
          <w:color w:val="000000"/>
        </w:rPr>
        <w:t>intestinal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E1012">
        <w:rPr>
          <w:rFonts w:ascii="Book Antiqua" w:eastAsia="Book Antiqua" w:hAnsi="Book Antiqua" w:cs="Book Antiqua"/>
          <w:b/>
          <w:color w:val="000000"/>
        </w:rPr>
        <w:t>fatty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E1012">
        <w:rPr>
          <w:rFonts w:ascii="Book Antiqua" w:eastAsia="Book Antiqua" w:hAnsi="Book Antiqua" w:cs="Book Antiqua"/>
          <w:b/>
          <w:color w:val="000000"/>
        </w:rPr>
        <w:t>acid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E1012">
        <w:rPr>
          <w:rFonts w:ascii="Book Antiqua" w:eastAsia="Book Antiqua" w:hAnsi="Book Antiqua" w:cs="Book Antiqua"/>
          <w:b/>
          <w:color w:val="000000"/>
        </w:rPr>
        <w:t>binding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E1012">
        <w:rPr>
          <w:rFonts w:ascii="Book Antiqua" w:eastAsia="Book Antiqua" w:hAnsi="Book Antiqua" w:cs="Book Antiqua"/>
          <w:b/>
          <w:color w:val="000000"/>
        </w:rPr>
        <w:t>protein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E1012" w:rsidRPr="00EE1012">
        <w:rPr>
          <w:rFonts w:ascii="Book Antiqua" w:eastAsia="Book Antiqua" w:hAnsi="Book Antiqua" w:cs="Book Antiqua"/>
          <w:b/>
          <w:color w:val="000000"/>
        </w:rPr>
        <w:t>(</w:t>
      </w:r>
      <w:r w:rsidRPr="00EE1012">
        <w:rPr>
          <w:rFonts w:ascii="Book Antiqua" w:eastAsia="Book Antiqua" w:hAnsi="Book Antiqua" w:cs="Book Antiqua"/>
          <w:b/>
          <w:color w:val="000000"/>
        </w:rPr>
        <w:t>C)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E1012">
        <w:rPr>
          <w:rFonts w:ascii="Book Antiqua" w:eastAsia="Book Antiqua" w:hAnsi="Book Antiqua" w:cs="Book Antiqua"/>
          <w:b/>
          <w:color w:val="000000"/>
        </w:rPr>
        <w:t>among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E1012">
        <w:rPr>
          <w:rFonts w:ascii="Book Antiqua" w:eastAsia="Book Antiqua" w:hAnsi="Book Antiqua" w:cs="Book Antiqua"/>
          <w:b/>
          <w:color w:val="000000"/>
        </w:rPr>
        <w:t>the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E1012">
        <w:rPr>
          <w:rFonts w:ascii="Book Antiqua" w:eastAsia="Book Antiqua" w:hAnsi="Book Antiqua" w:cs="Book Antiqua"/>
          <w:b/>
          <w:color w:val="000000"/>
        </w:rPr>
        <w:t>three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E1012">
        <w:rPr>
          <w:rFonts w:ascii="Book Antiqua" w:eastAsia="Book Antiqua" w:hAnsi="Book Antiqua" w:cs="Book Antiqua"/>
          <w:b/>
          <w:color w:val="000000"/>
        </w:rPr>
        <w:t>groups.</w:t>
      </w:r>
      <w:proofErr w:type="gramEnd"/>
      <w:r w:rsidR="00AD6792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proofErr w:type="spellStart"/>
      <w:proofErr w:type="gramStart"/>
      <w:r w:rsidRPr="00EE1012">
        <w:rPr>
          <w:rFonts w:ascii="Book Antiqua" w:eastAsia="Book Antiqua" w:hAnsi="Book Antiqua" w:cs="Book Antiqua"/>
          <w:iCs/>
          <w:color w:val="000000"/>
          <w:vertAlign w:val="superscript"/>
        </w:rPr>
        <w:t>a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proofErr w:type="spellEnd"/>
      <w:proofErr w:type="gramEnd"/>
      <w:r w:rsidR="00AD6792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0.05.</w:t>
      </w:r>
      <w:r w:rsidR="00AD679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E1012">
        <w:rPr>
          <w:rFonts w:ascii="Book Antiqua" w:hAnsi="Book Antiqua" w:cs="Book Antiqua" w:hint="eastAsia"/>
          <w:color w:val="000000"/>
          <w:lang w:eastAsia="zh-CN"/>
        </w:rPr>
        <w:t>DAO:</w:t>
      </w:r>
      <w:r w:rsidR="00AD679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EE1012" w:rsidRPr="00EE1012">
        <w:rPr>
          <w:rFonts w:ascii="Book Antiqua" w:hAnsi="Book Antiqua" w:cs="Book Antiqua"/>
          <w:caps/>
          <w:color w:val="000000"/>
          <w:lang w:eastAsia="zh-CN"/>
        </w:rPr>
        <w:t>d</w:t>
      </w:r>
      <w:r w:rsidR="00EE1012" w:rsidRPr="00EE1012">
        <w:rPr>
          <w:rFonts w:ascii="Book Antiqua" w:hAnsi="Book Antiqua" w:cs="Book Antiqua"/>
          <w:color w:val="000000"/>
          <w:lang w:eastAsia="zh-CN"/>
        </w:rPr>
        <w:t>iamine</w:t>
      </w:r>
      <w:proofErr w:type="spellEnd"/>
      <w:r w:rsidR="00AD6792">
        <w:rPr>
          <w:rFonts w:ascii="Book Antiqua" w:hAnsi="Book Antiqua" w:cs="Book Antiqua"/>
          <w:color w:val="000000"/>
          <w:lang w:eastAsia="zh-CN"/>
        </w:rPr>
        <w:t xml:space="preserve"> </w:t>
      </w:r>
      <w:r w:rsidR="00EE1012" w:rsidRPr="00EE1012">
        <w:rPr>
          <w:rFonts w:ascii="Book Antiqua" w:hAnsi="Book Antiqua" w:cs="Book Antiqua"/>
          <w:color w:val="000000"/>
          <w:lang w:eastAsia="zh-CN"/>
        </w:rPr>
        <w:t>oxidase</w:t>
      </w:r>
      <w:r w:rsidR="00EE1012">
        <w:rPr>
          <w:rFonts w:ascii="Book Antiqua" w:hAnsi="Book Antiqua" w:cs="Book Antiqua" w:hint="eastAsia"/>
          <w:color w:val="000000"/>
          <w:lang w:eastAsia="zh-CN"/>
        </w:rPr>
        <w:t>;</w:t>
      </w:r>
      <w:r w:rsidR="00AD679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EE1012">
        <w:rPr>
          <w:rFonts w:ascii="Book Antiqua" w:eastAsia="Book Antiqua" w:hAnsi="Book Antiqua" w:cs="Book Antiqua"/>
          <w:color w:val="000000"/>
        </w:rPr>
        <w:t>iFABP</w:t>
      </w:r>
      <w:proofErr w:type="spellEnd"/>
      <w:r w:rsidR="00EE1012">
        <w:rPr>
          <w:rFonts w:ascii="Book Antiqua" w:hAnsi="Book Antiqua" w:cs="Book Antiqua" w:hint="eastAsia"/>
          <w:color w:val="000000"/>
          <w:lang w:eastAsia="zh-CN"/>
        </w:rPr>
        <w:t>:</w:t>
      </w:r>
      <w:r w:rsidR="00AD679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E1012" w:rsidRPr="00EE1012">
        <w:rPr>
          <w:rFonts w:ascii="Book Antiqua" w:eastAsia="Book Antiqua" w:hAnsi="Book Antiqua" w:cs="Book Antiqua"/>
          <w:caps/>
          <w:color w:val="000000"/>
        </w:rPr>
        <w:t>i</w:t>
      </w:r>
      <w:r w:rsidR="00EE1012">
        <w:rPr>
          <w:rFonts w:ascii="Book Antiqua" w:eastAsia="Book Antiqua" w:hAnsi="Book Antiqua" w:cs="Book Antiqua"/>
          <w:color w:val="000000"/>
        </w:rPr>
        <w:t>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EE1012">
        <w:rPr>
          <w:rFonts w:ascii="Book Antiqua" w:eastAsia="Book Antiqua" w:hAnsi="Book Antiqua" w:cs="Book Antiqua"/>
          <w:color w:val="000000"/>
        </w:rPr>
        <w:t>fatty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EE1012">
        <w:rPr>
          <w:rFonts w:ascii="Book Antiqua" w:eastAsia="Book Antiqua" w:hAnsi="Book Antiqua" w:cs="Book Antiqua"/>
          <w:color w:val="000000"/>
        </w:rPr>
        <w:t>acid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EE1012">
        <w:rPr>
          <w:rFonts w:ascii="Book Antiqua" w:eastAsia="Book Antiqua" w:hAnsi="Book Antiqua" w:cs="Book Antiqua"/>
          <w:color w:val="000000"/>
        </w:rPr>
        <w:t>binding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EE1012">
        <w:rPr>
          <w:rFonts w:ascii="Book Antiqua" w:eastAsia="Book Antiqua" w:hAnsi="Book Antiqua" w:cs="Book Antiqua"/>
          <w:color w:val="000000"/>
        </w:rPr>
        <w:t>protein</w:t>
      </w:r>
      <w:r w:rsidR="00EE1012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59DB3E58" w14:textId="77777777" w:rsidR="00A77B3E" w:rsidRDefault="00EE1012" w:rsidP="00BF61EF">
      <w:pPr>
        <w:spacing w:line="360" w:lineRule="auto"/>
        <w:jc w:val="both"/>
      </w:pPr>
      <w:r>
        <w:br w:type="page"/>
      </w:r>
      <w:r>
        <w:rPr>
          <w:noProof/>
          <w:lang w:eastAsia="zh-CN"/>
        </w:rPr>
        <w:lastRenderedPageBreak/>
        <w:drawing>
          <wp:inline distT="0" distB="0" distL="0" distR="0" wp14:anchorId="32B98E03" wp14:editId="1389C5EF">
            <wp:extent cx="4915153" cy="4108661"/>
            <wp:effectExtent l="0" t="0" r="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15153" cy="410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3A95C" w14:textId="3F329A55" w:rsidR="00A77B3E" w:rsidRPr="00EE1012" w:rsidRDefault="008B5651" w:rsidP="00BF61E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Comparisons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serum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levels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albumin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(A),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prealbumin</w:t>
      </w:r>
      <w:proofErr w:type="spellEnd"/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(B),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IL-6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(C),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IL-10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(D)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three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groups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EE1012">
        <w:rPr>
          <w:rFonts w:ascii="Book Antiqua" w:eastAsia="Book Antiqua" w:hAnsi="Book Antiqua" w:cs="Book Antiqua"/>
          <w:color w:val="000000"/>
          <w:vertAlign w:val="superscript"/>
        </w:rPr>
        <w:t>a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proofErr w:type="spellEnd"/>
      <w:proofErr w:type="gramEnd"/>
      <w:r w:rsidR="00AD6792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D679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E1012">
        <w:rPr>
          <w:rFonts w:ascii="Book Antiqua" w:eastAsia="Book Antiqua" w:hAnsi="Book Antiqua" w:cs="Book Antiqua"/>
          <w:color w:val="000000"/>
          <w:vertAlign w:val="superscript"/>
        </w:rPr>
        <w:t>b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proofErr w:type="spellEnd"/>
      <w:r w:rsidR="00AD6792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D679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</w:t>
      </w:r>
      <w:r w:rsidR="00EE1012">
        <w:rPr>
          <w:rFonts w:ascii="Book Antiqua" w:hAnsi="Book Antiqua" w:cs="Book Antiqua" w:hint="eastAsia"/>
          <w:color w:val="000000"/>
          <w:lang w:eastAsia="zh-CN"/>
        </w:rPr>
        <w:t>.</w:t>
      </w:r>
      <w:r w:rsidR="00AD6792">
        <w:rPr>
          <w:rFonts w:ascii="Book Antiqua" w:hAnsi="Book Antiqua" w:cs="Book Antiqua" w:hint="eastAsia"/>
          <w:color w:val="000000"/>
          <w:lang w:eastAsia="zh-CN"/>
        </w:rPr>
        <w:t xml:space="preserve"> </w:t>
      </w:r>
    </w:p>
    <w:p w14:paraId="00B4FDC6" w14:textId="77777777" w:rsidR="00A77B3E" w:rsidRDefault="00EE1012" w:rsidP="00BF61EF">
      <w:pPr>
        <w:spacing w:line="360" w:lineRule="auto"/>
        <w:jc w:val="both"/>
      </w:pPr>
      <w:r>
        <w:br w:type="page"/>
      </w:r>
      <w:r>
        <w:rPr>
          <w:noProof/>
          <w:lang w:eastAsia="zh-CN"/>
        </w:rPr>
        <w:lastRenderedPageBreak/>
        <w:drawing>
          <wp:inline distT="0" distB="0" distL="0" distR="0" wp14:anchorId="277B282F" wp14:editId="3AC15C0E">
            <wp:extent cx="5486682" cy="262903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682" cy="262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8561E" w14:textId="49304328" w:rsidR="00A77B3E" w:rsidRDefault="008B5651" w:rsidP="00BF61EF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No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significant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differences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acute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physiology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chronic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health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evaluation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II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scores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(A),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sequential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organ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failure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assessment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scores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(B),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b/>
          <w:bCs/>
          <w:color w:val="000000"/>
        </w:rPr>
        <w:t xml:space="preserve">or </w:t>
      </w:r>
      <w:r>
        <w:rPr>
          <w:rFonts w:ascii="Book Antiqua" w:eastAsia="Book Antiqua" w:hAnsi="Book Antiqua" w:cs="Book Antiqua"/>
          <w:b/>
          <w:bCs/>
          <w:color w:val="000000"/>
        </w:rPr>
        <w:t>survival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probability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within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(C)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were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found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three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groups.</w:t>
      </w:r>
      <w:r w:rsidR="00AD6792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EE1012" w:rsidRPr="00EE1012">
        <w:rPr>
          <w:rFonts w:ascii="Book Antiqua" w:hAnsi="Book Antiqua" w:cs="Book Antiqua"/>
          <w:bCs/>
          <w:color w:val="000000"/>
          <w:lang w:eastAsia="zh-CN"/>
        </w:rPr>
        <w:t>APACHEII</w:t>
      </w:r>
      <w:r w:rsidR="00EE1012" w:rsidRPr="00EE1012">
        <w:rPr>
          <w:rFonts w:ascii="Book Antiqua" w:hAnsi="Book Antiqua" w:cs="Book Antiqua" w:hint="eastAsia"/>
          <w:bCs/>
          <w:color w:val="000000"/>
          <w:lang w:eastAsia="zh-CN"/>
        </w:rPr>
        <w:t>:</w:t>
      </w:r>
      <w:r w:rsidR="00AD6792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EE1012" w:rsidRPr="00EE1012">
        <w:rPr>
          <w:rFonts w:ascii="Book Antiqua" w:hAnsi="Book Antiqua" w:cs="Book Antiqua"/>
          <w:bCs/>
          <w:caps/>
          <w:color w:val="000000"/>
          <w:lang w:eastAsia="zh-CN"/>
        </w:rPr>
        <w:t>a</w:t>
      </w:r>
      <w:r w:rsidR="00EE1012" w:rsidRPr="00EE1012">
        <w:rPr>
          <w:rFonts w:ascii="Book Antiqua" w:hAnsi="Book Antiqua" w:cs="Book Antiqua"/>
          <w:bCs/>
          <w:color w:val="000000"/>
          <w:lang w:eastAsia="zh-CN"/>
        </w:rPr>
        <w:t>cute</w:t>
      </w:r>
      <w:r w:rsidR="00AD679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EE1012" w:rsidRPr="00EE1012">
        <w:rPr>
          <w:rFonts w:ascii="Book Antiqua" w:hAnsi="Book Antiqua" w:cs="Book Antiqua"/>
          <w:bCs/>
          <w:color w:val="000000"/>
          <w:lang w:eastAsia="zh-CN"/>
        </w:rPr>
        <w:t>physiology</w:t>
      </w:r>
      <w:r w:rsidR="00AD679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EE1012" w:rsidRPr="00EE1012">
        <w:rPr>
          <w:rFonts w:ascii="Book Antiqua" w:hAnsi="Book Antiqua" w:cs="Book Antiqua"/>
          <w:bCs/>
          <w:color w:val="000000"/>
          <w:lang w:eastAsia="zh-CN"/>
        </w:rPr>
        <w:t>and</w:t>
      </w:r>
      <w:r w:rsidR="00AD679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EE1012" w:rsidRPr="00EE1012">
        <w:rPr>
          <w:rFonts w:ascii="Book Antiqua" w:hAnsi="Book Antiqua" w:cs="Book Antiqua"/>
          <w:bCs/>
          <w:color w:val="000000"/>
          <w:lang w:eastAsia="zh-CN"/>
        </w:rPr>
        <w:t>chronic</w:t>
      </w:r>
      <w:r w:rsidR="00AD679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EE1012" w:rsidRPr="00EE1012">
        <w:rPr>
          <w:rFonts w:ascii="Book Antiqua" w:hAnsi="Book Antiqua" w:cs="Book Antiqua"/>
          <w:bCs/>
          <w:color w:val="000000"/>
          <w:lang w:eastAsia="zh-CN"/>
        </w:rPr>
        <w:t>health</w:t>
      </w:r>
      <w:r w:rsidR="00AD679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EE1012" w:rsidRPr="00EE1012">
        <w:rPr>
          <w:rFonts w:ascii="Book Antiqua" w:hAnsi="Book Antiqua" w:cs="Book Antiqua"/>
          <w:bCs/>
          <w:color w:val="000000"/>
          <w:lang w:eastAsia="zh-CN"/>
        </w:rPr>
        <w:t>evaluation</w:t>
      </w:r>
      <w:r w:rsidR="00AD679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EE1012" w:rsidRPr="00EE1012">
        <w:rPr>
          <w:rFonts w:ascii="Book Antiqua" w:hAnsi="Book Antiqua" w:cs="Book Antiqua"/>
          <w:bCs/>
          <w:color w:val="000000"/>
          <w:lang w:eastAsia="zh-CN"/>
        </w:rPr>
        <w:t>II</w:t>
      </w:r>
      <w:r w:rsidR="00EE1012">
        <w:rPr>
          <w:rFonts w:ascii="Book Antiqua" w:hAnsi="Book Antiqua" w:cs="Book Antiqua" w:hint="eastAsia"/>
          <w:bCs/>
          <w:color w:val="000000"/>
          <w:lang w:eastAsia="zh-CN"/>
        </w:rPr>
        <w:t>;</w:t>
      </w:r>
      <w:r w:rsidR="00AD6792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EE1012">
        <w:rPr>
          <w:rFonts w:ascii="Book Antiqua" w:hAnsi="Book Antiqua" w:cs="Book Antiqua" w:hint="eastAsia"/>
          <w:bCs/>
          <w:color w:val="000000"/>
          <w:lang w:eastAsia="zh-CN"/>
        </w:rPr>
        <w:t>SOFA:</w:t>
      </w:r>
      <w:r w:rsidR="00AD6792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EE1012" w:rsidRPr="00EE1012">
        <w:rPr>
          <w:rFonts w:ascii="Book Antiqua" w:hAnsi="Book Antiqua" w:cs="Book Antiqua"/>
          <w:bCs/>
          <w:caps/>
          <w:color w:val="000000"/>
          <w:lang w:eastAsia="zh-CN"/>
        </w:rPr>
        <w:t>s</w:t>
      </w:r>
      <w:r w:rsidR="00EE1012" w:rsidRPr="00EE1012">
        <w:rPr>
          <w:rFonts w:ascii="Book Antiqua" w:hAnsi="Book Antiqua" w:cs="Book Antiqua"/>
          <w:bCs/>
          <w:color w:val="000000"/>
          <w:lang w:eastAsia="zh-CN"/>
        </w:rPr>
        <w:t>equential</w:t>
      </w:r>
      <w:r w:rsidR="00AD679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EE1012" w:rsidRPr="00EE1012">
        <w:rPr>
          <w:rFonts w:ascii="Book Antiqua" w:hAnsi="Book Antiqua" w:cs="Book Antiqua"/>
          <w:bCs/>
          <w:color w:val="000000"/>
          <w:lang w:eastAsia="zh-CN"/>
        </w:rPr>
        <w:t>organ</w:t>
      </w:r>
      <w:r w:rsidR="00AD679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EE1012" w:rsidRPr="00EE1012">
        <w:rPr>
          <w:rFonts w:ascii="Book Antiqua" w:hAnsi="Book Antiqua" w:cs="Book Antiqua"/>
          <w:bCs/>
          <w:color w:val="000000"/>
          <w:lang w:eastAsia="zh-CN"/>
        </w:rPr>
        <w:t>failure</w:t>
      </w:r>
      <w:r w:rsidR="00AD679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EE1012" w:rsidRPr="00EE1012">
        <w:rPr>
          <w:rFonts w:ascii="Book Antiqua" w:hAnsi="Book Antiqua" w:cs="Book Antiqua"/>
          <w:bCs/>
          <w:color w:val="000000"/>
          <w:lang w:eastAsia="zh-CN"/>
        </w:rPr>
        <w:t>assessment</w:t>
      </w:r>
      <w:r w:rsidR="00EE1012">
        <w:rPr>
          <w:rFonts w:ascii="Book Antiqua" w:hAnsi="Book Antiqua" w:cs="Book Antiqua" w:hint="eastAsia"/>
          <w:bCs/>
          <w:color w:val="000000"/>
          <w:lang w:eastAsia="zh-CN"/>
        </w:rPr>
        <w:t>.</w:t>
      </w:r>
    </w:p>
    <w:p w14:paraId="358C97CA" w14:textId="28C492E9" w:rsidR="00BF61EF" w:rsidRPr="00AB54A5" w:rsidRDefault="00EE1012" w:rsidP="00BF61EF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 w:cs="Book Antiqua"/>
          <w:bCs/>
          <w:color w:val="000000"/>
          <w:lang w:eastAsia="zh-CN"/>
        </w:rPr>
        <w:br w:type="page"/>
      </w:r>
      <w:r w:rsidR="00BF61EF" w:rsidRPr="00AB54A5">
        <w:rPr>
          <w:rFonts w:ascii="Book Antiqua" w:hAnsi="Book Antiqua"/>
          <w:b/>
        </w:rPr>
        <w:lastRenderedPageBreak/>
        <w:t>Table</w:t>
      </w:r>
      <w:r w:rsidR="00AD6792">
        <w:rPr>
          <w:rFonts w:ascii="Book Antiqua" w:hAnsi="Book Antiqua"/>
          <w:b/>
        </w:rPr>
        <w:t xml:space="preserve"> </w:t>
      </w:r>
      <w:r w:rsidR="00BF61EF" w:rsidRPr="00AB54A5">
        <w:rPr>
          <w:rFonts w:ascii="Book Antiqua" w:hAnsi="Book Antiqua"/>
          <w:b/>
        </w:rPr>
        <w:t>1</w:t>
      </w:r>
      <w:r w:rsidR="00AD6792">
        <w:rPr>
          <w:rFonts w:ascii="Book Antiqua" w:hAnsi="Book Antiqua"/>
          <w:b/>
        </w:rPr>
        <w:t xml:space="preserve"> </w:t>
      </w:r>
      <w:r w:rsidR="00BF61EF" w:rsidRPr="00AB54A5">
        <w:rPr>
          <w:rFonts w:ascii="Book Antiqua" w:hAnsi="Book Antiqua"/>
          <w:b/>
        </w:rPr>
        <w:t>Demographic</w:t>
      </w:r>
      <w:r w:rsidR="00AD6792">
        <w:rPr>
          <w:rFonts w:ascii="Book Antiqua" w:hAnsi="Book Antiqua"/>
          <w:b/>
        </w:rPr>
        <w:t xml:space="preserve"> </w:t>
      </w:r>
      <w:r w:rsidR="00BF61EF" w:rsidRPr="00AB54A5">
        <w:rPr>
          <w:rFonts w:ascii="Book Antiqua" w:hAnsi="Book Antiqua"/>
          <w:b/>
        </w:rPr>
        <w:t>data</w:t>
      </w:r>
      <w:r w:rsidR="00AD6792">
        <w:rPr>
          <w:rFonts w:ascii="Book Antiqua" w:hAnsi="Book Antiqua"/>
          <w:b/>
        </w:rPr>
        <w:t xml:space="preserve"> </w:t>
      </w:r>
      <w:r w:rsidR="00BF61EF" w:rsidRPr="00AB54A5">
        <w:rPr>
          <w:rFonts w:ascii="Book Antiqua" w:hAnsi="Book Antiqua"/>
          <w:b/>
        </w:rPr>
        <w:t>and</w:t>
      </w:r>
      <w:r w:rsidR="00AD6792">
        <w:rPr>
          <w:rFonts w:ascii="Book Antiqua" w:hAnsi="Book Antiqua"/>
          <w:b/>
        </w:rPr>
        <w:t xml:space="preserve"> </w:t>
      </w:r>
      <w:r w:rsidR="00BF61EF" w:rsidRPr="00AB54A5">
        <w:rPr>
          <w:rFonts w:ascii="Book Antiqua" w:hAnsi="Book Antiqua"/>
          <w:b/>
        </w:rPr>
        <w:t>clinical</w:t>
      </w:r>
      <w:r w:rsidR="00AD6792">
        <w:rPr>
          <w:rFonts w:ascii="Book Antiqua" w:hAnsi="Book Antiqua"/>
          <w:b/>
        </w:rPr>
        <w:t xml:space="preserve"> </w:t>
      </w:r>
      <w:r w:rsidR="00BF61EF" w:rsidRPr="00AB54A5">
        <w:rPr>
          <w:rFonts w:ascii="Book Antiqua" w:hAnsi="Book Antiqua"/>
          <w:b/>
        </w:rPr>
        <w:t>parameters</w:t>
      </w:r>
      <w:r w:rsidR="00AD6792">
        <w:rPr>
          <w:rFonts w:ascii="Book Antiqua" w:hAnsi="Book Antiqua"/>
          <w:b/>
        </w:rPr>
        <w:t xml:space="preserve"> </w:t>
      </w:r>
      <w:r w:rsidR="00BF61EF" w:rsidRPr="00AB54A5">
        <w:rPr>
          <w:rFonts w:ascii="Book Antiqua" w:hAnsi="Book Antiqua"/>
          <w:b/>
        </w:rPr>
        <w:t>on</w:t>
      </w:r>
      <w:r w:rsidR="00AD6792">
        <w:rPr>
          <w:rFonts w:ascii="Book Antiqua" w:hAnsi="Book Antiqua"/>
          <w:b/>
        </w:rPr>
        <w:t xml:space="preserve"> </w:t>
      </w:r>
      <w:r w:rsidR="00BF61EF" w:rsidRPr="00AB54A5">
        <w:rPr>
          <w:rFonts w:ascii="Book Antiqua" w:hAnsi="Book Antiqua"/>
          <w:b/>
        </w:rPr>
        <w:t>admission</w:t>
      </w:r>
    </w:p>
    <w:tbl>
      <w:tblPr>
        <w:tblW w:w="0" w:type="auto"/>
        <w:tblInd w:w="108" w:type="dxa"/>
        <w:tblBorders>
          <w:top w:val="single" w:sz="8" w:space="0" w:color="000000"/>
          <w:bottom w:val="single" w:sz="8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820"/>
        <w:gridCol w:w="3458"/>
      </w:tblGrid>
      <w:tr w:rsidR="00BF61EF" w:rsidRPr="00AB54A5" w14:paraId="67B88166" w14:textId="77777777" w:rsidTr="00E11715"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6DA7EBFC" w14:textId="5B8D275A" w:rsidR="00BF61EF" w:rsidRPr="00AB54A5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AB54A5">
              <w:rPr>
                <w:rFonts w:ascii="Book Antiqua" w:hAnsi="Book Antiqua"/>
                <w:b/>
                <w:bCs/>
              </w:rPr>
              <w:t>Variable</w:t>
            </w:r>
          </w:p>
        </w:tc>
        <w:tc>
          <w:tcPr>
            <w:tcW w:w="34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5E1506F3" w14:textId="512B8F05" w:rsidR="00BF61EF" w:rsidRPr="00AB54A5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AB54A5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BF61EF" w:rsidRPr="008B0649" w14:paraId="0D78CF8E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2C492030" w14:textId="21424D46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Age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>
              <w:rPr>
                <w:rFonts w:ascii="Book Antiqua" w:hAnsi="Book Antiqua"/>
                <w:bCs/>
              </w:rPr>
              <w:t>(</w:t>
            </w:r>
            <w:proofErr w:type="spellStart"/>
            <w:r>
              <w:rPr>
                <w:rFonts w:ascii="Book Antiqua" w:hAnsi="Book Antiqua"/>
                <w:bCs/>
              </w:rPr>
              <w:t>yr</w:t>
            </w:r>
            <w:proofErr w:type="spellEnd"/>
            <w:r w:rsidRPr="008B0649"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0C64AE21" w14:textId="6AE20A11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67.0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(63.0-72.3)</w:t>
            </w:r>
          </w:p>
        </w:tc>
      </w:tr>
      <w:tr w:rsidR="00BF61EF" w:rsidRPr="008B0649" w14:paraId="6FADACD5" w14:textId="77777777" w:rsidTr="00E11715">
        <w:tc>
          <w:tcPr>
            <w:tcW w:w="4820" w:type="dxa"/>
            <w:shd w:val="clear" w:color="auto" w:fill="FFFFFF"/>
          </w:tcPr>
          <w:p w14:paraId="6EBF2A76" w14:textId="51B16DBF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Sex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</w:t>
            </w:r>
            <w:proofErr w:type="spellStart"/>
            <w:r w:rsidRPr="008B0649">
              <w:rPr>
                <w:rFonts w:ascii="Book Antiqua" w:hAnsi="Book Antiqua"/>
                <w:bCs/>
              </w:rPr>
              <w:t>Male:</w:t>
            </w:r>
            <w:r w:rsidR="00AD6792">
              <w:rPr>
                <w:rFonts w:ascii="Book Antiqua" w:hAnsi="Book Antiqua"/>
                <w:bCs/>
              </w:rPr>
              <w:t>f</w:t>
            </w:r>
            <w:r w:rsidRPr="008B0649">
              <w:rPr>
                <w:rFonts w:ascii="Book Antiqua" w:hAnsi="Book Antiqua"/>
                <w:bCs/>
              </w:rPr>
              <w:t>emale</w:t>
            </w:r>
            <w:proofErr w:type="spellEnd"/>
            <w:r w:rsidRPr="008B0649"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3458" w:type="dxa"/>
            <w:shd w:val="clear" w:color="auto" w:fill="FFFFFF"/>
          </w:tcPr>
          <w:p w14:paraId="36CCF3B1" w14:textId="1ECC29D5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29:25</w:t>
            </w:r>
          </w:p>
        </w:tc>
      </w:tr>
      <w:tr w:rsidR="00BF61EF" w:rsidRPr="008B0649" w14:paraId="1C7F2E88" w14:textId="77777777" w:rsidTr="00E11715">
        <w:tc>
          <w:tcPr>
            <w:tcW w:w="4820" w:type="dxa"/>
            <w:shd w:val="clear" w:color="auto" w:fill="FFFFFF"/>
          </w:tcPr>
          <w:p w14:paraId="74CC57EB" w14:textId="28AFA14C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BMI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(kg/m</w:t>
            </w:r>
            <w:r w:rsidRPr="008B0649">
              <w:rPr>
                <w:rFonts w:ascii="Book Antiqua" w:hAnsi="Book Antiqua"/>
                <w:bCs/>
                <w:vertAlign w:val="superscript"/>
              </w:rPr>
              <w:t>2</w:t>
            </w:r>
            <w:r w:rsidRPr="008B0649"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3458" w:type="dxa"/>
            <w:shd w:val="clear" w:color="auto" w:fill="FFFFFF"/>
          </w:tcPr>
          <w:p w14:paraId="5E55CBFA" w14:textId="43C5C19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24.3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(21.5-27.0)</w:t>
            </w:r>
          </w:p>
        </w:tc>
      </w:tr>
      <w:tr w:rsidR="00BF61EF" w:rsidRPr="008B0649" w14:paraId="4C00A571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5628E2C8" w14:textId="4292FA89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Etiology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of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sepsis</w:t>
            </w:r>
            <w:r>
              <w:rPr>
                <w:rFonts w:ascii="Book Antiqua" w:hAnsi="Book Antiqua" w:hint="eastAsia"/>
                <w:bCs/>
              </w:rPr>
              <w:t>,</w:t>
            </w:r>
            <w:r w:rsidR="00AD6792">
              <w:rPr>
                <w:rFonts w:ascii="Book Antiqua" w:hAnsi="Book Antiqua" w:hint="eastAsi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  <w:i/>
              </w:rPr>
              <w:t>n</w:t>
            </w:r>
            <w:r w:rsidR="00AD6792">
              <w:rPr>
                <w:rFonts w:ascii="Book Antiqua" w:hAnsi="Book Antiqua" w:hint="eastAsia"/>
                <w:bCs/>
              </w:rPr>
              <w:t xml:space="preserve"> </w:t>
            </w:r>
            <w:r>
              <w:rPr>
                <w:rFonts w:ascii="Book Antiqua" w:hAnsi="Book Antiqua" w:hint="eastAsia"/>
                <w:bCs/>
              </w:rPr>
              <w:t>(%)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79910884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</w:p>
        </w:tc>
      </w:tr>
      <w:tr w:rsidR="00BF61EF" w:rsidRPr="008B0649" w14:paraId="15271F64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4FD7B2B2" w14:textId="38609C52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Abdominal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infection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20EF3DEB" w14:textId="2662E8FC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27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(50.0</w:t>
            </w:r>
            <w:r>
              <w:rPr>
                <w:rFonts w:ascii="Book Antiqua" w:hAnsi="Book Antiqua"/>
                <w:bCs/>
              </w:rPr>
              <w:t>)</w:t>
            </w:r>
          </w:p>
        </w:tc>
      </w:tr>
      <w:tr w:rsidR="00BF61EF" w:rsidRPr="008B0649" w14:paraId="4B356610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18EBE997" w14:textId="0B58DAC3" w:rsidR="00BF61EF" w:rsidRPr="008B0649" w:rsidRDefault="00BF61EF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Thoracic/</w:t>
            </w:r>
            <w:r w:rsidR="001E4751">
              <w:rPr>
                <w:rFonts w:ascii="Book Antiqua" w:hAnsi="Book Antiqua"/>
                <w:bCs/>
              </w:rPr>
              <w:t>p</w:t>
            </w:r>
            <w:r w:rsidR="001E4751" w:rsidRPr="008B0649">
              <w:rPr>
                <w:rFonts w:ascii="Book Antiqua" w:hAnsi="Book Antiqua"/>
                <w:bCs/>
              </w:rPr>
              <w:t>ulmonary</w:t>
            </w:r>
            <w:r w:rsidR="001E4751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infection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2D6D0A6B" w14:textId="3B0F542D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(18.5</w:t>
            </w:r>
            <w:r>
              <w:rPr>
                <w:rFonts w:ascii="Book Antiqua" w:hAnsi="Book Antiqua"/>
                <w:bCs/>
              </w:rPr>
              <w:t>)</w:t>
            </w:r>
          </w:p>
        </w:tc>
      </w:tr>
      <w:tr w:rsidR="00BF61EF" w:rsidRPr="008B0649" w14:paraId="42FCE039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5A9960AF" w14:textId="6226BB86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Blood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stream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infection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491EF07E" w14:textId="06F4483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6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(11.1</w:t>
            </w:r>
            <w:r>
              <w:rPr>
                <w:rFonts w:ascii="Book Antiqua" w:hAnsi="Book Antiqua"/>
                <w:bCs/>
              </w:rPr>
              <w:t>)</w:t>
            </w:r>
          </w:p>
        </w:tc>
      </w:tr>
      <w:tr w:rsidR="00BF61EF" w:rsidRPr="008B0649" w14:paraId="5647DEEC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7A32CB5C" w14:textId="166E6F69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Urinary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infection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09B094C4" w14:textId="252D61D2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6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(11.1</w:t>
            </w:r>
            <w:r>
              <w:rPr>
                <w:rFonts w:ascii="Book Antiqua" w:hAnsi="Book Antiqua"/>
                <w:bCs/>
              </w:rPr>
              <w:t>)</w:t>
            </w:r>
          </w:p>
        </w:tc>
      </w:tr>
      <w:tr w:rsidR="00BF61EF" w:rsidRPr="008B0649" w14:paraId="2980D34E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1E3FD4A9" w14:textId="1B11FF24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/>
                <w:bCs/>
              </w:rPr>
            </w:pPr>
            <w:proofErr w:type="spellStart"/>
            <w:r w:rsidRPr="008B0649">
              <w:rPr>
                <w:rFonts w:ascii="Book Antiqua" w:hAnsi="Book Antiqua"/>
                <w:bCs/>
              </w:rPr>
              <w:t>Mucocutaneous</w:t>
            </w:r>
            <w:proofErr w:type="spellEnd"/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infection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11CE1178" w14:textId="6F2CBFC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3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(5.6</w:t>
            </w:r>
            <w:r>
              <w:rPr>
                <w:rFonts w:ascii="Book Antiqua" w:hAnsi="Book Antiqua"/>
                <w:bCs/>
              </w:rPr>
              <w:t>)</w:t>
            </w:r>
          </w:p>
        </w:tc>
      </w:tr>
      <w:tr w:rsidR="00BF61EF" w:rsidRPr="008B0649" w14:paraId="0A94F03B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4E371F57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Other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33BA3BCD" w14:textId="2558E4FE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(3.7</w:t>
            </w:r>
            <w:r>
              <w:rPr>
                <w:rFonts w:ascii="Book Antiqua" w:hAnsi="Book Antiqua"/>
                <w:bCs/>
              </w:rPr>
              <w:t>)</w:t>
            </w:r>
          </w:p>
        </w:tc>
      </w:tr>
      <w:tr w:rsidR="00BF61EF" w:rsidRPr="008B0649" w14:paraId="591553EE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0ED0C939" w14:textId="6ACD2FC6" w:rsidR="00BF61EF" w:rsidRPr="008B0649" w:rsidRDefault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Initial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AGI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grade</w:t>
            </w:r>
            <w:r>
              <w:rPr>
                <w:rFonts w:ascii="Book Antiqua" w:hAnsi="Book Antiqua" w:hint="eastAsia"/>
                <w:bCs/>
              </w:rPr>
              <w:t>,</w:t>
            </w:r>
            <w:r w:rsidR="00AD6792">
              <w:rPr>
                <w:rFonts w:ascii="Book Antiqua" w:hAnsi="Book Antiqua" w:hint="eastAsi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  <w:i/>
              </w:rPr>
              <w:t>n</w:t>
            </w:r>
            <w:r w:rsidR="00AD6792">
              <w:rPr>
                <w:rFonts w:ascii="Book Antiqua" w:hAnsi="Book Antiqua" w:hint="eastAsia"/>
                <w:bCs/>
              </w:rPr>
              <w:t xml:space="preserve"> </w:t>
            </w:r>
            <w:r>
              <w:rPr>
                <w:rFonts w:ascii="Book Antiqua" w:hAnsi="Book Antiqua" w:hint="eastAsia"/>
                <w:bCs/>
              </w:rPr>
              <w:t>(%)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7AC4559D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</w:p>
        </w:tc>
      </w:tr>
      <w:tr w:rsidR="00BF61EF" w:rsidRPr="008B0649" w14:paraId="158605D8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2241C0E2" w14:textId="31C88812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I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4F915566" w14:textId="675EE6D6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13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(31.5</w:t>
            </w:r>
            <w:r>
              <w:rPr>
                <w:rFonts w:ascii="Book Antiqua" w:hAnsi="Book Antiqua"/>
                <w:bCs/>
              </w:rPr>
              <w:t>)</w:t>
            </w:r>
          </w:p>
        </w:tc>
      </w:tr>
      <w:tr w:rsidR="00BF61EF" w:rsidRPr="008B0649" w14:paraId="3C555C58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519AF680" w14:textId="5A4714B1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II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40EF6DD5" w14:textId="032003AA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24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(55.6</w:t>
            </w:r>
            <w:r>
              <w:rPr>
                <w:rFonts w:ascii="Book Antiqua" w:hAnsi="Book Antiqua"/>
                <w:bCs/>
              </w:rPr>
              <w:t>)</w:t>
            </w:r>
          </w:p>
        </w:tc>
      </w:tr>
      <w:tr w:rsidR="00BF61EF" w:rsidRPr="008B0649" w14:paraId="2B27FDA0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31C47F40" w14:textId="1B186963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III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5A528793" w14:textId="54FDE512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5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(13.0</w:t>
            </w:r>
            <w:r>
              <w:rPr>
                <w:rFonts w:ascii="Book Antiqua" w:hAnsi="Book Antiqua"/>
                <w:bCs/>
              </w:rPr>
              <w:t>)</w:t>
            </w:r>
          </w:p>
        </w:tc>
      </w:tr>
      <w:tr w:rsidR="00BF61EF" w:rsidRPr="008B0649" w14:paraId="7AC7F7DA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3839BA31" w14:textId="128FB8EF" w:rsidR="00BF61EF" w:rsidRPr="008B0649" w:rsidRDefault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APACHEII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score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19A8C631" w14:textId="6CE47E96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22.0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(19.5-27.8)</w:t>
            </w:r>
          </w:p>
        </w:tc>
      </w:tr>
      <w:tr w:rsidR="00BF61EF" w:rsidRPr="008B0649" w14:paraId="01B27E02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647C4CEC" w14:textId="2EB6649E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SOFA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score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0F9FD4C7" w14:textId="728A4D5C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9.5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(8.0-11.8)</w:t>
            </w:r>
          </w:p>
        </w:tc>
      </w:tr>
      <w:tr w:rsidR="00BF61EF" w:rsidRPr="008B0649" w14:paraId="1DDDBB9E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3798D08B" w14:textId="56C297DE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Feeding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intolerance</w:t>
            </w:r>
            <w:r>
              <w:rPr>
                <w:rFonts w:ascii="Book Antiqua" w:hAnsi="Book Antiqua" w:hint="eastAsia"/>
                <w:bCs/>
              </w:rPr>
              <w:t>,</w:t>
            </w:r>
            <w:r w:rsidR="00AD6792">
              <w:rPr>
                <w:rFonts w:ascii="Book Antiqua" w:hAnsi="Book Antiqua" w:hint="eastAsi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  <w:i/>
              </w:rPr>
              <w:t>n</w:t>
            </w:r>
            <w:r w:rsidR="00AD6792">
              <w:rPr>
                <w:rFonts w:ascii="Book Antiqua" w:hAnsi="Book Antiqua" w:hint="eastAsia"/>
                <w:bCs/>
              </w:rPr>
              <w:t xml:space="preserve"> </w:t>
            </w:r>
            <w:r>
              <w:rPr>
                <w:rFonts w:ascii="Book Antiqua" w:hAnsi="Book Antiqua" w:hint="eastAsia"/>
                <w:bCs/>
              </w:rPr>
              <w:t>(%)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7C8538B7" w14:textId="48E7D06C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16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(29.6</w:t>
            </w:r>
            <w:r>
              <w:rPr>
                <w:rFonts w:ascii="Book Antiqua" w:hAnsi="Book Antiqua"/>
                <w:bCs/>
              </w:rPr>
              <w:t>)</w:t>
            </w:r>
          </w:p>
        </w:tc>
      </w:tr>
      <w:tr w:rsidR="00BF61EF" w:rsidRPr="008B0649" w14:paraId="4AE2B644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5E736F0B" w14:textId="2A845BBD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Need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for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MV</w:t>
            </w:r>
            <w:r>
              <w:rPr>
                <w:rFonts w:ascii="Book Antiqua" w:hAnsi="Book Antiqua" w:hint="eastAsia"/>
                <w:bCs/>
              </w:rPr>
              <w:t>,</w:t>
            </w:r>
            <w:r w:rsidR="00AD6792">
              <w:rPr>
                <w:rFonts w:ascii="Book Antiqua" w:hAnsi="Book Antiqua" w:hint="eastAsi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  <w:i/>
              </w:rPr>
              <w:t>n</w:t>
            </w:r>
            <w:r w:rsidR="00AD6792">
              <w:rPr>
                <w:rFonts w:ascii="Book Antiqua" w:hAnsi="Book Antiqua" w:hint="eastAsia"/>
                <w:bCs/>
              </w:rPr>
              <w:t xml:space="preserve"> </w:t>
            </w:r>
            <w:r>
              <w:rPr>
                <w:rFonts w:ascii="Book Antiqua" w:hAnsi="Book Antiqua" w:hint="eastAsia"/>
                <w:bCs/>
              </w:rPr>
              <w:t>(%)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0D77E040" w14:textId="119547BF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49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(90.7</w:t>
            </w:r>
            <w:r>
              <w:rPr>
                <w:rFonts w:ascii="Book Antiqua" w:hAnsi="Book Antiqua"/>
                <w:bCs/>
              </w:rPr>
              <w:t>)</w:t>
            </w:r>
          </w:p>
        </w:tc>
      </w:tr>
      <w:tr w:rsidR="00BF61EF" w:rsidRPr="008B0649" w14:paraId="4D322089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76771F53" w14:textId="2AAD9FD9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Need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for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CRRT</w:t>
            </w:r>
            <w:r>
              <w:rPr>
                <w:rFonts w:ascii="Book Antiqua" w:hAnsi="Book Antiqua" w:hint="eastAsia"/>
                <w:bCs/>
              </w:rPr>
              <w:t>,</w:t>
            </w:r>
            <w:r w:rsidR="00AD6792">
              <w:rPr>
                <w:rFonts w:ascii="Book Antiqua" w:hAnsi="Book Antiqua" w:hint="eastAsi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  <w:i/>
              </w:rPr>
              <w:t>n</w:t>
            </w:r>
            <w:r w:rsidR="00AD6792">
              <w:rPr>
                <w:rFonts w:ascii="Book Antiqua" w:hAnsi="Book Antiqua" w:hint="eastAsia"/>
                <w:bCs/>
              </w:rPr>
              <w:t xml:space="preserve"> </w:t>
            </w:r>
            <w:r>
              <w:rPr>
                <w:rFonts w:ascii="Book Antiqua" w:hAnsi="Book Antiqua" w:hint="eastAsia"/>
                <w:bCs/>
              </w:rPr>
              <w:t>(%)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52F99E13" w14:textId="08841293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(37.0</w:t>
            </w:r>
            <w:r>
              <w:rPr>
                <w:rFonts w:ascii="Book Antiqua" w:hAnsi="Book Antiqua"/>
                <w:bCs/>
              </w:rPr>
              <w:t>)</w:t>
            </w:r>
          </w:p>
        </w:tc>
      </w:tr>
      <w:tr w:rsidR="00BF61EF" w:rsidRPr="008B0649" w14:paraId="1F16BC67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1716F540" w14:textId="3C788804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MV-free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days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66CB44AE" w14:textId="5BECAB5E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19.5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(1.8-22.8)</w:t>
            </w:r>
          </w:p>
        </w:tc>
      </w:tr>
      <w:tr w:rsidR="00BF61EF" w:rsidRPr="008B0649" w14:paraId="2CF5E2DE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46467231" w14:textId="707846B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CRRT-free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days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1797932D" w14:textId="4CC77FA6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23.0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(13.3-27.0)</w:t>
            </w:r>
          </w:p>
        </w:tc>
      </w:tr>
      <w:tr w:rsidR="00BF61EF" w:rsidRPr="008B0649" w14:paraId="1C3A4AF8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700D16FE" w14:textId="6460FF42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ICU-free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days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4137FEE4" w14:textId="019A1013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17.0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(0.0-22.8)</w:t>
            </w:r>
          </w:p>
        </w:tc>
      </w:tr>
      <w:tr w:rsidR="00BF61EF" w:rsidRPr="008B0649" w14:paraId="09C889C1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035AD348" w14:textId="0ADD15B8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MODS</w:t>
            </w:r>
            <w:r>
              <w:rPr>
                <w:rFonts w:ascii="Book Antiqua" w:hAnsi="Book Antiqua" w:hint="eastAsia"/>
                <w:bCs/>
              </w:rPr>
              <w:t>,</w:t>
            </w:r>
            <w:r w:rsidR="00AD6792">
              <w:rPr>
                <w:rFonts w:ascii="Book Antiqua" w:hAnsi="Book Antiqua" w:hint="eastAsi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  <w:i/>
              </w:rPr>
              <w:t>n</w:t>
            </w:r>
            <w:r w:rsidR="00AD6792">
              <w:rPr>
                <w:rFonts w:ascii="Book Antiqua" w:hAnsi="Book Antiqua" w:hint="eastAsia"/>
                <w:bCs/>
              </w:rPr>
              <w:t xml:space="preserve"> </w:t>
            </w:r>
            <w:r>
              <w:rPr>
                <w:rFonts w:ascii="Book Antiqua" w:hAnsi="Book Antiqua" w:hint="eastAsia"/>
                <w:bCs/>
              </w:rPr>
              <w:t>(%)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4E6813B3" w14:textId="60F266E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(37.0</w:t>
            </w:r>
            <w:r>
              <w:rPr>
                <w:rFonts w:ascii="Book Antiqua" w:hAnsi="Book Antiqua"/>
                <w:bCs/>
              </w:rPr>
              <w:t>)</w:t>
            </w:r>
          </w:p>
        </w:tc>
      </w:tr>
      <w:tr w:rsidR="00BF61EF" w:rsidRPr="008B0649" w14:paraId="455943B6" w14:textId="77777777" w:rsidTr="00E11715">
        <w:tc>
          <w:tcPr>
            <w:tcW w:w="4820" w:type="dxa"/>
            <w:shd w:val="clear" w:color="auto" w:fill="FFFFFF"/>
          </w:tcPr>
          <w:p w14:paraId="6D596EC7" w14:textId="70EBC03A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Death</w:t>
            </w:r>
            <w:r w:rsidR="00AD6792">
              <w:rPr>
                <w:rFonts w:ascii="Book Antiqua" w:hAnsi="Book Antiqua"/>
                <w:bCs/>
              </w:rPr>
              <w:t>,</w:t>
            </w:r>
            <w:r w:rsidR="00AD6792">
              <w:rPr>
                <w:rFonts w:ascii="Book Antiqua" w:hAnsi="Book Antiqua" w:hint="eastAsia"/>
                <w:bCs/>
              </w:rPr>
              <w:t xml:space="preserve"> </w:t>
            </w:r>
            <w:r w:rsidR="00AD6792" w:rsidRPr="008B0649">
              <w:rPr>
                <w:rFonts w:ascii="Book Antiqua" w:hAnsi="Book Antiqua"/>
                <w:bCs/>
                <w:i/>
              </w:rPr>
              <w:t>n</w:t>
            </w:r>
            <w:r w:rsidR="00AD6792">
              <w:rPr>
                <w:rFonts w:ascii="Book Antiqua" w:hAnsi="Book Antiqua" w:hint="eastAsia"/>
                <w:bCs/>
              </w:rPr>
              <w:t xml:space="preserve"> (%)</w:t>
            </w:r>
          </w:p>
        </w:tc>
        <w:tc>
          <w:tcPr>
            <w:tcW w:w="3458" w:type="dxa"/>
            <w:shd w:val="clear" w:color="auto" w:fill="FFFFFF"/>
          </w:tcPr>
          <w:p w14:paraId="1AFBB4F1" w14:textId="03A44660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14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(25.9</w:t>
            </w:r>
            <w:r>
              <w:rPr>
                <w:rFonts w:ascii="Book Antiqua" w:hAnsi="Book Antiqua"/>
                <w:bCs/>
              </w:rPr>
              <w:t>)</w:t>
            </w:r>
          </w:p>
        </w:tc>
      </w:tr>
    </w:tbl>
    <w:p w14:paraId="0C8785DF" w14:textId="1B4742FE" w:rsidR="00BF61EF" w:rsidRPr="008B0649" w:rsidRDefault="00BF61EF" w:rsidP="00BF61EF">
      <w:pPr>
        <w:spacing w:line="360" w:lineRule="auto"/>
        <w:jc w:val="both"/>
        <w:rPr>
          <w:rFonts w:ascii="Book Antiqua" w:hAnsi="Book Antiqua"/>
        </w:rPr>
      </w:pPr>
      <w:r w:rsidRPr="008B0649">
        <w:rPr>
          <w:rFonts w:ascii="Book Antiqua" w:hAnsi="Book Antiqua"/>
        </w:rPr>
        <w:t>BMI</w:t>
      </w:r>
      <w:r>
        <w:rPr>
          <w:rFonts w:ascii="Book Antiqua" w:hAnsi="Book Antiqua" w:hint="eastAsia"/>
        </w:rPr>
        <w:t>:</w:t>
      </w:r>
      <w:r w:rsidR="00AD6792">
        <w:rPr>
          <w:rFonts w:ascii="Book Antiqua" w:hAnsi="Book Antiqua" w:hint="eastAsia"/>
          <w:lang w:eastAsia="zh-CN"/>
        </w:rPr>
        <w:t xml:space="preserve"> </w:t>
      </w:r>
      <w:r w:rsidRPr="00AB54A5">
        <w:rPr>
          <w:rFonts w:ascii="Book Antiqua" w:hAnsi="Book Antiqua"/>
          <w:caps/>
        </w:rPr>
        <w:t>b</w:t>
      </w:r>
      <w:r w:rsidRPr="008B0649">
        <w:rPr>
          <w:rFonts w:ascii="Book Antiqua" w:hAnsi="Book Antiqua"/>
        </w:rPr>
        <w:t>ody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mass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index;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AGI</w:t>
      </w:r>
      <w:r>
        <w:rPr>
          <w:rFonts w:ascii="Book Antiqua" w:hAnsi="Book Antiqua" w:hint="eastAsia"/>
        </w:rPr>
        <w:t>:</w:t>
      </w:r>
      <w:r w:rsidR="00AD6792">
        <w:rPr>
          <w:rFonts w:ascii="Book Antiqua" w:hAnsi="Book Antiqua" w:hint="eastAsia"/>
          <w:lang w:eastAsia="zh-CN"/>
        </w:rPr>
        <w:t xml:space="preserve"> </w:t>
      </w:r>
      <w:r w:rsidRPr="00AB54A5">
        <w:rPr>
          <w:rFonts w:ascii="Book Antiqua" w:hAnsi="Book Antiqua"/>
          <w:caps/>
        </w:rPr>
        <w:t>a</w:t>
      </w:r>
      <w:r w:rsidRPr="008B0649">
        <w:rPr>
          <w:rFonts w:ascii="Book Antiqua" w:hAnsi="Book Antiqua"/>
        </w:rPr>
        <w:t>cute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gastrointestinal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injury;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APACHE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II</w:t>
      </w:r>
      <w:r>
        <w:rPr>
          <w:rFonts w:ascii="Book Antiqua" w:hAnsi="Book Antiqua" w:hint="eastAsia"/>
        </w:rPr>
        <w:t>:</w:t>
      </w:r>
      <w:r w:rsidR="00AD6792">
        <w:rPr>
          <w:rFonts w:ascii="Book Antiqua" w:hAnsi="Book Antiqua" w:hint="eastAsia"/>
          <w:lang w:eastAsia="zh-CN"/>
        </w:rPr>
        <w:t xml:space="preserve"> </w:t>
      </w:r>
      <w:r w:rsidRPr="00AB54A5">
        <w:rPr>
          <w:rFonts w:ascii="Book Antiqua" w:hAnsi="Book Antiqua"/>
          <w:caps/>
        </w:rPr>
        <w:t>a</w:t>
      </w:r>
      <w:r w:rsidRPr="008B0649">
        <w:rPr>
          <w:rFonts w:ascii="Book Antiqua" w:hAnsi="Book Antiqua"/>
        </w:rPr>
        <w:t>cute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physiology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and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chronic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health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evaluation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II;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SOFA</w:t>
      </w:r>
      <w:r>
        <w:rPr>
          <w:rFonts w:ascii="Book Antiqua" w:hAnsi="Book Antiqua" w:hint="eastAsia"/>
        </w:rPr>
        <w:t>:</w:t>
      </w:r>
      <w:r w:rsidR="00AD6792">
        <w:rPr>
          <w:rFonts w:ascii="Book Antiqua" w:hAnsi="Book Antiqua" w:hint="eastAsia"/>
          <w:lang w:eastAsia="zh-CN"/>
        </w:rPr>
        <w:t xml:space="preserve"> </w:t>
      </w:r>
      <w:r w:rsidRPr="00AB54A5">
        <w:rPr>
          <w:rFonts w:ascii="Book Antiqua" w:hAnsi="Book Antiqua"/>
          <w:caps/>
        </w:rPr>
        <w:t>s</w:t>
      </w:r>
      <w:r w:rsidRPr="008B0649">
        <w:rPr>
          <w:rFonts w:ascii="Book Antiqua" w:hAnsi="Book Antiqua"/>
        </w:rPr>
        <w:t>equential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organ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failure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assessment;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lastRenderedPageBreak/>
        <w:t>MV</w:t>
      </w:r>
      <w:r>
        <w:rPr>
          <w:rFonts w:ascii="Book Antiqua" w:hAnsi="Book Antiqua" w:hint="eastAsia"/>
        </w:rPr>
        <w:t>:</w:t>
      </w:r>
      <w:r w:rsidR="00AD6792">
        <w:rPr>
          <w:rFonts w:ascii="Book Antiqua" w:hAnsi="Book Antiqua" w:hint="eastAsia"/>
          <w:lang w:eastAsia="zh-CN"/>
        </w:rPr>
        <w:t xml:space="preserve"> </w:t>
      </w:r>
      <w:r w:rsidRPr="00AB54A5">
        <w:rPr>
          <w:rFonts w:ascii="Book Antiqua" w:hAnsi="Book Antiqua"/>
          <w:caps/>
        </w:rPr>
        <w:t>m</w:t>
      </w:r>
      <w:r w:rsidRPr="008B0649">
        <w:rPr>
          <w:rFonts w:ascii="Book Antiqua" w:hAnsi="Book Antiqua"/>
        </w:rPr>
        <w:t>echanical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ventilation;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CRRT</w:t>
      </w:r>
      <w:r>
        <w:rPr>
          <w:rFonts w:ascii="Book Antiqua" w:hAnsi="Book Antiqua" w:hint="eastAsia"/>
        </w:rPr>
        <w:t>:</w:t>
      </w:r>
      <w:r w:rsidR="00AD6792">
        <w:rPr>
          <w:rFonts w:ascii="Book Antiqua" w:hAnsi="Book Antiqua" w:hint="eastAsia"/>
          <w:lang w:eastAsia="zh-CN"/>
        </w:rPr>
        <w:t xml:space="preserve"> </w:t>
      </w:r>
      <w:r w:rsidRPr="00AB54A5">
        <w:rPr>
          <w:rFonts w:ascii="Book Antiqua" w:hAnsi="Book Antiqua"/>
          <w:caps/>
        </w:rPr>
        <w:t>c</w:t>
      </w:r>
      <w:r w:rsidRPr="008B0649">
        <w:rPr>
          <w:rFonts w:ascii="Book Antiqua" w:hAnsi="Book Antiqua"/>
        </w:rPr>
        <w:t>ontinuous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renal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replacement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therapy;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ICU</w:t>
      </w:r>
      <w:r>
        <w:rPr>
          <w:rFonts w:ascii="Book Antiqua" w:hAnsi="Book Antiqua" w:hint="eastAsia"/>
        </w:rPr>
        <w:t>:</w:t>
      </w:r>
      <w:r w:rsidR="00AD6792">
        <w:rPr>
          <w:rFonts w:ascii="Book Antiqua" w:hAnsi="Book Antiqua" w:hint="eastAsia"/>
          <w:lang w:eastAsia="zh-CN"/>
        </w:rPr>
        <w:t xml:space="preserve"> </w:t>
      </w:r>
      <w:r w:rsidRPr="00AB54A5">
        <w:rPr>
          <w:rFonts w:ascii="Book Antiqua" w:hAnsi="Book Antiqua"/>
          <w:caps/>
        </w:rPr>
        <w:t>i</w:t>
      </w:r>
      <w:r w:rsidRPr="008B0649">
        <w:rPr>
          <w:rFonts w:ascii="Book Antiqua" w:hAnsi="Book Antiqua"/>
        </w:rPr>
        <w:t>ntensive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care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unit;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MODS</w:t>
      </w:r>
      <w:r>
        <w:rPr>
          <w:rFonts w:ascii="Book Antiqua" w:hAnsi="Book Antiqua" w:hint="eastAsia"/>
        </w:rPr>
        <w:t>:</w:t>
      </w:r>
      <w:r w:rsidR="00AD6792">
        <w:rPr>
          <w:rFonts w:ascii="Book Antiqua" w:hAnsi="Book Antiqua" w:hint="eastAsia"/>
          <w:lang w:eastAsia="zh-CN"/>
        </w:rPr>
        <w:t xml:space="preserve"> </w:t>
      </w:r>
      <w:r w:rsidRPr="00AB54A5">
        <w:rPr>
          <w:rFonts w:ascii="Book Antiqua" w:hAnsi="Book Antiqua"/>
          <w:caps/>
        </w:rPr>
        <w:t>m</w:t>
      </w:r>
      <w:r w:rsidRPr="008B0649">
        <w:rPr>
          <w:rFonts w:ascii="Book Antiqua" w:hAnsi="Book Antiqua"/>
        </w:rPr>
        <w:t>ultiple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organ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dysfunction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syndrome.</w:t>
      </w:r>
    </w:p>
    <w:p w14:paraId="46276CF1" w14:textId="14A0ECEA" w:rsidR="00BF61EF" w:rsidRPr="00AB54A5" w:rsidRDefault="00BF61EF" w:rsidP="00BF61EF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br w:type="page"/>
      </w:r>
      <w:r w:rsidRPr="00AB54A5">
        <w:rPr>
          <w:rFonts w:ascii="Book Antiqua" w:hAnsi="Book Antiqua"/>
          <w:b/>
        </w:rPr>
        <w:lastRenderedPageBreak/>
        <w:t>Table</w:t>
      </w:r>
      <w:r w:rsidR="00AD6792">
        <w:rPr>
          <w:rFonts w:ascii="Book Antiqua" w:hAnsi="Book Antiqua"/>
          <w:b/>
        </w:rPr>
        <w:t xml:space="preserve"> </w:t>
      </w:r>
      <w:r w:rsidRPr="00AB54A5">
        <w:rPr>
          <w:rFonts w:ascii="Book Antiqua" w:hAnsi="Book Antiqua"/>
          <w:b/>
        </w:rPr>
        <w:t>2</w:t>
      </w:r>
      <w:r w:rsidR="00AD6792">
        <w:rPr>
          <w:rFonts w:ascii="Book Antiqua" w:hAnsi="Book Antiqua"/>
          <w:b/>
        </w:rPr>
        <w:t xml:space="preserve"> </w:t>
      </w:r>
      <w:r w:rsidR="001E4751">
        <w:rPr>
          <w:rFonts w:ascii="Book Antiqua" w:hAnsi="Book Antiqua"/>
          <w:b/>
        </w:rPr>
        <w:t>N</w:t>
      </w:r>
      <w:r w:rsidRPr="00AB54A5">
        <w:rPr>
          <w:rFonts w:ascii="Book Antiqua" w:hAnsi="Book Antiqua"/>
          <w:b/>
        </w:rPr>
        <w:t>umber</w:t>
      </w:r>
      <w:r w:rsidR="00AD6792">
        <w:rPr>
          <w:rFonts w:ascii="Book Antiqua" w:hAnsi="Book Antiqua"/>
          <w:b/>
        </w:rPr>
        <w:t xml:space="preserve"> </w:t>
      </w:r>
      <w:r w:rsidRPr="00AB54A5">
        <w:rPr>
          <w:rFonts w:ascii="Book Antiqua" w:hAnsi="Book Antiqua"/>
          <w:b/>
        </w:rPr>
        <w:t>of</w:t>
      </w:r>
      <w:r w:rsidR="00AD6792">
        <w:rPr>
          <w:rFonts w:ascii="Book Antiqua" w:hAnsi="Book Antiqua"/>
          <w:b/>
        </w:rPr>
        <w:t xml:space="preserve"> </w:t>
      </w:r>
      <w:r w:rsidRPr="00AB54A5">
        <w:rPr>
          <w:rFonts w:ascii="Book Antiqua" w:hAnsi="Book Antiqua"/>
          <w:b/>
        </w:rPr>
        <w:t>patients</w:t>
      </w:r>
      <w:r w:rsidR="00AD6792">
        <w:rPr>
          <w:rFonts w:ascii="Book Antiqua" w:hAnsi="Book Antiqua"/>
          <w:b/>
        </w:rPr>
        <w:t xml:space="preserve"> </w:t>
      </w:r>
      <w:r w:rsidRPr="00AB54A5">
        <w:rPr>
          <w:rFonts w:ascii="Book Antiqua" w:hAnsi="Book Antiqua"/>
          <w:b/>
        </w:rPr>
        <w:t>with</w:t>
      </w:r>
      <w:r w:rsidR="00AD6792">
        <w:rPr>
          <w:rFonts w:ascii="Book Antiqua" w:hAnsi="Book Antiqua"/>
          <w:b/>
        </w:rPr>
        <w:t xml:space="preserve"> </w:t>
      </w:r>
      <w:r w:rsidRPr="00AB54A5">
        <w:rPr>
          <w:rFonts w:ascii="Book Antiqua" w:hAnsi="Book Antiqua"/>
          <w:b/>
        </w:rPr>
        <w:t>feeding</w:t>
      </w:r>
      <w:r w:rsidR="00AD6792">
        <w:rPr>
          <w:rFonts w:ascii="Book Antiqua" w:hAnsi="Book Antiqua"/>
          <w:b/>
        </w:rPr>
        <w:t xml:space="preserve"> </w:t>
      </w:r>
      <w:r w:rsidRPr="00AB54A5">
        <w:rPr>
          <w:rFonts w:ascii="Book Antiqua" w:hAnsi="Book Antiqua"/>
          <w:b/>
        </w:rPr>
        <w:t>intolerance</w:t>
      </w:r>
      <w:r w:rsidR="00AD6792">
        <w:rPr>
          <w:rFonts w:ascii="Book Antiqua" w:hAnsi="Book Antiqua"/>
          <w:b/>
        </w:rPr>
        <w:t xml:space="preserve"> </w:t>
      </w:r>
      <w:r w:rsidRPr="00AB54A5">
        <w:rPr>
          <w:rFonts w:ascii="Book Antiqua" w:hAnsi="Book Antiqua"/>
          <w:b/>
        </w:rPr>
        <w:t>and</w:t>
      </w:r>
      <w:r w:rsidR="001E4751">
        <w:rPr>
          <w:rFonts w:ascii="Book Antiqua" w:hAnsi="Book Antiqua"/>
          <w:b/>
        </w:rPr>
        <w:t xml:space="preserve"> </w:t>
      </w:r>
      <w:r w:rsidRPr="00AB54A5">
        <w:rPr>
          <w:rFonts w:ascii="Book Antiqua" w:hAnsi="Book Antiqua"/>
          <w:b/>
        </w:rPr>
        <w:t>clinical</w:t>
      </w:r>
      <w:r w:rsidR="00AD6792">
        <w:rPr>
          <w:rFonts w:ascii="Book Antiqua" w:hAnsi="Book Antiqua"/>
          <w:b/>
        </w:rPr>
        <w:t xml:space="preserve"> </w:t>
      </w:r>
      <w:r w:rsidRPr="00AB54A5">
        <w:rPr>
          <w:rFonts w:ascii="Book Antiqua" w:hAnsi="Book Antiqua"/>
          <w:b/>
        </w:rPr>
        <w:t>severity</w:t>
      </w:r>
      <w:r w:rsidR="00AD6792">
        <w:rPr>
          <w:rFonts w:ascii="Book Antiqua" w:hAnsi="Book Antiqua"/>
          <w:b/>
        </w:rPr>
        <w:t xml:space="preserve"> </w:t>
      </w:r>
      <w:r w:rsidRPr="00AB54A5">
        <w:rPr>
          <w:rFonts w:ascii="Book Antiqua" w:hAnsi="Book Antiqua"/>
          <w:b/>
        </w:rPr>
        <w:t>and</w:t>
      </w:r>
      <w:r w:rsidR="00AD6792">
        <w:rPr>
          <w:rFonts w:ascii="Book Antiqua" w:hAnsi="Book Antiqua"/>
          <w:b/>
        </w:rPr>
        <w:t xml:space="preserve"> </w:t>
      </w:r>
      <w:r w:rsidRPr="00AB54A5">
        <w:rPr>
          <w:rFonts w:ascii="Book Antiqua" w:hAnsi="Book Antiqua"/>
          <w:b/>
        </w:rPr>
        <w:t>outcome</w:t>
      </w:r>
      <w:r w:rsidR="00AD6792">
        <w:rPr>
          <w:rFonts w:ascii="Book Antiqua" w:hAnsi="Book Antiqua"/>
          <w:b/>
        </w:rPr>
        <w:t xml:space="preserve"> </w:t>
      </w:r>
      <w:r w:rsidRPr="00AB54A5">
        <w:rPr>
          <w:rFonts w:ascii="Book Antiqua" w:hAnsi="Book Antiqua"/>
          <w:b/>
        </w:rPr>
        <w:t>variables</w:t>
      </w:r>
    </w:p>
    <w:tbl>
      <w:tblPr>
        <w:tblW w:w="8506" w:type="dxa"/>
        <w:tblInd w:w="-34" w:type="dxa"/>
        <w:tblBorders>
          <w:top w:val="single" w:sz="8" w:space="0" w:color="000000"/>
          <w:bottom w:val="single" w:sz="8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984"/>
        <w:gridCol w:w="1843"/>
        <w:gridCol w:w="851"/>
      </w:tblGrid>
      <w:tr w:rsidR="00BF61EF" w:rsidRPr="008B0649" w14:paraId="4176DAFC" w14:textId="77777777" w:rsidTr="00E11715">
        <w:trPr>
          <w:trHeight w:val="90"/>
        </w:trPr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718B247A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02034EBD" w14:textId="7B1E98D5" w:rsidR="00BF61EF" w:rsidRPr="00AB54A5" w:rsidRDefault="00BF61EF" w:rsidP="00BF61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AB54A5">
              <w:rPr>
                <w:rFonts w:ascii="Book Antiqua" w:hAnsi="Book Antiqua"/>
                <w:b/>
                <w:bCs/>
              </w:rPr>
              <w:t>Group</w:t>
            </w:r>
            <w:r w:rsidR="00AD6792">
              <w:rPr>
                <w:rFonts w:ascii="Book Antiqua" w:hAnsi="Book Antiqua"/>
                <w:b/>
                <w:bCs/>
              </w:rPr>
              <w:t xml:space="preserve"> </w:t>
            </w:r>
            <w:r w:rsidRPr="00AB54A5">
              <w:rPr>
                <w:rFonts w:ascii="Book Antiqua" w:hAnsi="Book Antiqua"/>
                <w:b/>
                <w:bCs/>
              </w:rPr>
              <w:t>A</w:t>
            </w:r>
          </w:p>
          <w:p w14:paraId="53F06A39" w14:textId="1F3A6091" w:rsidR="00BF61EF" w:rsidRPr="00AB54A5" w:rsidRDefault="00BF61EF" w:rsidP="00BF61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AB54A5">
              <w:rPr>
                <w:rFonts w:ascii="Book Antiqua" w:hAnsi="Book Antiqua"/>
                <w:b/>
                <w:bCs/>
              </w:rPr>
              <w:t>(</w:t>
            </w:r>
            <w:r w:rsidRPr="00AB54A5">
              <w:rPr>
                <w:rFonts w:ascii="Book Antiqua" w:hAnsi="Book Antiqua"/>
                <w:b/>
                <w:bCs/>
                <w:i/>
              </w:rPr>
              <w:t>n</w:t>
            </w:r>
            <w:r w:rsidR="00AD6792">
              <w:rPr>
                <w:rFonts w:ascii="Book Antiqua" w:hAnsi="Book Antiqua"/>
                <w:b/>
                <w:bCs/>
                <w:i/>
              </w:rPr>
              <w:t xml:space="preserve"> </w:t>
            </w:r>
            <w:r w:rsidRPr="00AB54A5">
              <w:rPr>
                <w:rFonts w:ascii="Book Antiqua" w:hAnsi="Book Antiqua"/>
                <w:b/>
                <w:bCs/>
              </w:rPr>
              <w:t>=</w:t>
            </w:r>
            <w:r w:rsidR="00AD6792">
              <w:rPr>
                <w:rFonts w:ascii="Book Antiqua" w:hAnsi="Book Antiqua"/>
                <w:b/>
                <w:bCs/>
              </w:rPr>
              <w:t xml:space="preserve"> </w:t>
            </w:r>
            <w:r w:rsidRPr="00AB54A5">
              <w:rPr>
                <w:rFonts w:ascii="Book Antiqua" w:hAnsi="Book Antiqua"/>
                <w:b/>
                <w:bCs/>
              </w:rPr>
              <w:t>17)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4927E413" w14:textId="06E1171E" w:rsidR="00BF61EF" w:rsidRPr="00AB54A5" w:rsidRDefault="00BF61EF" w:rsidP="00BF61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AB54A5">
              <w:rPr>
                <w:rFonts w:ascii="Book Antiqua" w:hAnsi="Book Antiqua"/>
                <w:b/>
                <w:bCs/>
              </w:rPr>
              <w:t>Group</w:t>
            </w:r>
            <w:r w:rsidR="00AD6792">
              <w:rPr>
                <w:rFonts w:ascii="Book Antiqua" w:hAnsi="Book Antiqua"/>
                <w:b/>
                <w:bCs/>
              </w:rPr>
              <w:t xml:space="preserve"> </w:t>
            </w:r>
            <w:r w:rsidRPr="00AB54A5">
              <w:rPr>
                <w:rFonts w:ascii="Book Antiqua" w:hAnsi="Book Antiqua"/>
                <w:b/>
                <w:bCs/>
              </w:rPr>
              <w:t>B</w:t>
            </w:r>
          </w:p>
          <w:p w14:paraId="1A6595CE" w14:textId="1D9758F2" w:rsidR="00BF61EF" w:rsidRPr="00AB54A5" w:rsidRDefault="00BF61EF" w:rsidP="00BF61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AB54A5">
              <w:rPr>
                <w:rFonts w:ascii="Book Antiqua" w:hAnsi="Book Antiqua"/>
                <w:b/>
                <w:bCs/>
              </w:rPr>
              <w:t>(</w:t>
            </w:r>
            <w:r w:rsidRPr="00AB54A5">
              <w:rPr>
                <w:rFonts w:ascii="Book Antiqua" w:hAnsi="Book Antiqua"/>
                <w:b/>
                <w:bCs/>
                <w:i/>
              </w:rPr>
              <w:t>n</w:t>
            </w:r>
            <w:r w:rsidR="00AD6792">
              <w:rPr>
                <w:rFonts w:ascii="Book Antiqua" w:hAnsi="Book Antiqua"/>
                <w:b/>
                <w:bCs/>
                <w:i/>
              </w:rPr>
              <w:t xml:space="preserve"> </w:t>
            </w:r>
            <w:r w:rsidRPr="00AB54A5">
              <w:rPr>
                <w:rFonts w:ascii="Book Antiqua" w:hAnsi="Book Antiqua"/>
                <w:b/>
                <w:bCs/>
              </w:rPr>
              <w:t>=</w:t>
            </w:r>
            <w:r w:rsidR="00AD6792">
              <w:rPr>
                <w:rFonts w:ascii="Book Antiqua" w:hAnsi="Book Antiqua"/>
                <w:b/>
                <w:bCs/>
              </w:rPr>
              <w:t xml:space="preserve"> </w:t>
            </w:r>
            <w:r w:rsidRPr="00AB54A5">
              <w:rPr>
                <w:rFonts w:ascii="Book Antiqua" w:hAnsi="Book Antiqua"/>
                <w:b/>
                <w:bCs/>
              </w:rPr>
              <w:t>18)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4630BEB3" w14:textId="5DF71E16" w:rsidR="00BF61EF" w:rsidRPr="00AB54A5" w:rsidRDefault="00BF61EF" w:rsidP="00BF61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AB54A5">
              <w:rPr>
                <w:rFonts w:ascii="Book Antiqua" w:hAnsi="Book Antiqua"/>
                <w:b/>
                <w:bCs/>
              </w:rPr>
              <w:t>Group</w:t>
            </w:r>
            <w:r w:rsidR="00AD6792">
              <w:rPr>
                <w:rFonts w:ascii="Book Antiqua" w:hAnsi="Book Antiqua"/>
                <w:b/>
                <w:bCs/>
              </w:rPr>
              <w:t xml:space="preserve"> </w:t>
            </w:r>
            <w:r w:rsidRPr="00AB54A5">
              <w:rPr>
                <w:rFonts w:ascii="Book Antiqua" w:hAnsi="Book Antiqua"/>
                <w:b/>
                <w:bCs/>
              </w:rPr>
              <w:t>C</w:t>
            </w:r>
          </w:p>
          <w:p w14:paraId="5710C213" w14:textId="523BED37" w:rsidR="00BF61EF" w:rsidRPr="00AB54A5" w:rsidRDefault="00BF61EF" w:rsidP="00BF61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AB54A5">
              <w:rPr>
                <w:rFonts w:ascii="Book Antiqua" w:hAnsi="Book Antiqua"/>
                <w:b/>
                <w:bCs/>
              </w:rPr>
              <w:t>(</w:t>
            </w:r>
            <w:r w:rsidRPr="00AB54A5">
              <w:rPr>
                <w:rFonts w:ascii="Book Antiqua" w:hAnsi="Book Antiqua"/>
                <w:b/>
                <w:bCs/>
                <w:i/>
              </w:rPr>
              <w:t>n</w:t>
            </w:r>
            <w:r w:rsidR="00AD6792">
              <w:rPr>
                <w:rFonts w:ascii="Book Antiqua" w:hAnsi="Book Antiqua"/>
                <w:b/>
                <w:bCs/>
                <w:i/>
              </w:rPr>
              <w:t xml:space="preserve"> </w:t>
            </w:r>
            <w:r w:rsidRPr="00AB54A5">
              <w:rPr>
                <w:rFonts w:ascii="Book Antiqua" w:hAnsi="Book Antiqua"/>
                <w:b/>
                <w:bCs/>
              </w:rPr>
              <w:t>=</w:t>
            </w:r>
            <w:r w:rsidR="00AD6792">
              <w:rPr>
                <w:rFonts w:ascii="Book Antiqua" w:hAnsi="Book Antiqua"/>
                <w:b/>
                <w:bCs/>
              </w:rPr>
              <w:t xml:space="preserve"> </w:t>
            </w:r>
            <w:r w:rsidRPr="00AB54A5">
              <w:rPr>
                <w:rFonts w:ascii="Book Antiqua" w:hAnsi="Book Antiqua"/>
                <w:b/>
                <w:bCs/>
              </w:rPr>
              <w:t>19)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8F24611" w14:textId="4296494E" w:rsidR="00BF61EF" w:rsidRPr="00AB54A5" w:rsidRDefault="00BF61EF" w:rsidP="00BF61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AB54A5">
              <w:rPr>
                <w:rFonts w:ascii="Book Antiqua" w:hAnsi="Book Antiqua"/>
                <w:b/>
                <w:bCs/>
                <w:i/>
              </w:rPr>
              <w:t>P</w:t>
            </w:r>
            <w:r w:rsidR="00AD6792">
              <w:rPr>
                <w:rFonts w:ascii="Book Antiqua" w:hAnsi="Book Antiqua"/>
                <w:b/>
                <w:bCs/>
              </w:rPr>
              <w:t xml:space="preserve"> </w:t>
            </w:r>
            <w:r w:rsidRPr="00AB54A5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BF61EF" w:rsidRPr="008B0649" w14:paraId="294ECB01" w14:textId="77777777" w:rsidTr="00E11715">
        <w:tc>
          <w:tcPr>
            <w:tcW w:w="1985" w:type="dxa"/>
            <w:shd w:val="clear" w:color="auto" w:fill="FFFFFF"/>
          </w:tcPr>
          <w:p w14:paraId="07BBC31A" w14:textId="0B9A8D9C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Feeding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intolerance</w:t>
            </w:r>
            <w:r>
              <w:rPr>
                <w:rFonts w:ascii="Book Antiqua" w:hAnsi="Book Antiqua" w:hint="eastAsia"/>
                <w:bCs/>
              </w:rPr>
              <w:t>,</w:t>
            </w:r>
            <w:r w:rsidR="00AD6792">
              <w:rPr>
                <w:rFonts w:ascii="Book Antiqua" w:hAnsi="Book Antiqua" w:hint="eastAsi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  <w:i/>
              </w:rPr>
              <w:t>n</w:t>
            </w:r>
            <w:r w:rsidR="00AD6792">
              <w:rPr>
                <w:rFonts w:ascii="Book Antiqua" w:hAnsi="Book Antiqua" w:hint="eastAsia"/>
                <w:bCs/>
              </w:rPr>
              <w:t xml:space="preserve"> </w:t>
            </w:r>
            <w:r>
              <w:rPr>
                <w:rFonts w:ascii="Book Antiqua" w:hAnsi="Book Antiqua" w:hint="eastAsia"/>
                <w:bCs/>
              </w:rPr>
              <w:t>(%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14:paraId="49386FD9" w14:textId="3E2C9EBB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(11.8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984" w:type="dxa"/>
            <w:shd w:val="clear" w:color="auto" w:fill="FFFFFF"/>
          </w:tcPr>
          <w:p w14:paraId="1527A28A" w14:textId="2F697BFB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4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(22.2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14:paraId="2C933F48" w14:textId="55EA65AA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(52.6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14:paraId="27EF7B02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0.019</w:t>
            </w:r>
          </w:p>
        </w:tc>
      </w:tr>
      <w:tr w:rsidR="00BF61EF" w:rsidRPr="008B0649" w14:paraId="77F2DDB3" w14:textId="77777777" w:rsidTr="00E11715">
        <w:tc>
          <w:tcPr>
            <w:tcW w:w="1985" w:type="dxa"/>
            <w:shd w:val="clear" w:color="auto" w:fill="FFFFFF"/>
          </w:tcPr>
          <w:p w14:paraId="4ECE9F95" w14:textId="075D97D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MV-free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days</w:t>
            </w:r>
          </w:p>
        </w:tc>
        <w:tc>
          <w:tcPr>
            <w:tcW w:w="1843" w:type="dxa"/>
            <w:shd w:val="clear" w:color="auto" w:fill="FFFFFF"/>
          </w:tcPr>
          <w:p w14:paraId="67CCF623" w14:textId="30894593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19.0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(0.0-21.0)</w:t>
            </w:r>
          </w:p>
        </w:tc>
        <w:tc>
          <w:tcPr>
            <w:tcW w:w="1984" w:type="dxa"/>
            <w:shd w:val="clear" w:color="auto" w:fill="FFFFFF"/>
          </w:tcPr>
          <w:p w14:paraId="3D0B82D8" w14:textId="13DCFAD1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22.0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(1.0-25.0)</w:t>
            </w:r>
          </w:p>
        </w:tc>
        <w:tc>
          <w:tcPr>
            <w:tcW w:w="1843" w:type="dxa"/>
            <w:shd w:val="clear" w:color="auto" w:fill="FFFFFF"/>
          </w:tcPr>
          <w:p w14:paraId="7DA7620B" w14:textId="48FDF8A8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18.0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(4.0-22.5)</w:t>
            </w:r>
          </w:p>
        </w:tc>
        <w:tc>
          <w:tcPr>
            <w:tcW w:w="851" w:type="dxa"/>
            <w:shd w:val="clear" w:color="auto" w:fill="FFFFFF"/>
          </w:tcPr>
          <w:p w14:paraId="19694E70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0.347</w:t>
            </w:r>
          </w:p>
        </w:tc>
      </w:tr>
      <w:tr w:rsidR="00BF61EF" w:rsidRPr="008B0649" w14:paraId="5F994622" w14:textId="77777777" w:rsidTr="00E11715">
        <w:tc>
          <w:tcPr>
            <w:tcW w:w="1985" w:type="dxa"/>
            <w:shd w:val="clear" w:color="auto" w:fill="FFFFFF"/>
          </w:tcPr>
          <w:p w14:paraId="3B301304" w14:textId="71D2C02B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CRRT-free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days</w:t>
            </w:r>
          </w:p>
        </w:tc>
        <w:tc>
          <w:tcPr>
            <w:tcW w:w="1843" w:type="dxa"/>
            <w:shd w:val="clear" w:color="auto" w:fill="FFFFFF"/>
          </w:tcPr>
          <w:p w14:paraId="3E564503" w14:textId="073E9FCE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20.0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(12.0-28.0)</w:t>
            </w:r>
          </w:p>
        </w:tc>
        <w:tc>
          <w:tcPr>
            <w:tcW w:w="1984" w:type="dxa"/>
            <w:shd w:val="clear" w:color="auto" w:fill="FFFFFF"/>
          </w:tcPr>
          <w:p w14:paraId="0EA265A6" w14:textId="7CAE20AC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26.0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(7.8-28.0)</w:t>
            </w:r>
          </w:p>
        </w:tc>
        <w:tc>
          <w:tcPr>
            <w:tcW w:w="1843" w:type="dxa"/>
            <w:shd w:val="clear" w:color="auto" w:fill="FFFFFF"/>
          </w:tcPr>
          <w:p w14:paraId="072257D1" w14:textId="0C515BC1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22.0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(14.5-28.0)</w:t>
            </w:r>
          </w:p>
        </w:tc>
        <w:tc>
          <w:tcPr>
            <w:tcW w:w="851" w:type="dxa"/>
            <w:shd w:val="clear" w:color="auto" w:fill="FFFFFF"/>
          </w:tcPr>
          <w:p w14:paraId="4B8F9D7B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0.778</w:t>
            </w:r>
          </w:p>
        </w:tc>
      </w:tr>
      <w:tr w:rsidR="00BF61EF" w:rsidRPr="008B0649" w14:paraId="2257A6CD" w14:textId="77777777" w:rsidTr="00E11715">
        <w:tc>
          <w:tcPr>
            <w:tcW w:w="1985" w:type="dxa"/>
            <w:shd w:val="clear" w:color="auto" w:fill="FFFFFF"/>
          </w:tcPr>
          <w:p w14:paraId="16246703" w14:textId="480B471B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ICU-free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days</w:t>
            </w:r>
          </w:p>
        </w:tc>
        <w:tc>
          <w:tcPr>
            <w:tcW w:w="1843" w:type="dxa"/>
            <w:shd w:val="clear" w:color="auto" w:fill="FFFFFF"/>
          </w:tcPr>
          <w:p w14:paraId="0D909DB5" w14:textId="4E700EC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19.0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(0.0-23.0)</w:t>
            </w:r>
          </w:p>
        </w:tc>
        <w:tc>
          <w:tcPr>
            <w:tcW w:w="1984" w:type="dxa"/>
            <w:shd w:val="clear" w:color="auto" w:fill="FFFFFF"/>
          </w:tcPr>
          <w:p w14:paraId="7FFEE465" w14:textId="15033AA4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19.0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(0.0-21.8)</w:t>
            </w:r>
          </w:p>
        </w:tc>
        <w:tc>
          <w:tcPr>
            <w:tcW w:w="1843" w:type="dxa"/>
            <w:shd w:val="clear" w:color="auto" w:fill="FFFFFF"/>
          </w:tcPr>
          <w:p w14:paraId="708CE702" w14:textId="2B04D72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16.0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(0.0-21.0)</w:t>
            </w:r>
          </w:p>
        </w:tc>
        <w:tc>
          <w:tcPr>
            <w:tcW w:w="851" w:type="dxa"/>
            <w:shd w:val="clear" w:color="auto" w:fill="FFFFFF"/>
          </w:tcPr>
          <w:p w14:paraId="68871C5A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0.572</w:t>
            </w:r>
          </w:p>
        </w:tc>
      </w:tr>
      <w:tr w:rsidR="00BF61EF" w:rsidRPr="008B0649" w14:paraId="50D66262" w14:textId="77777777" w:rsidTr="00E11715">
        <w:tc>
          <w:tcPr>
            <w:tcW w:w="1985" w:type="dxa"/>
            <w:shd w:val="clear" w:color="auto" w:fill="FFFFFF"/>
          </w:tcPr>
          <w:p w14:paraId="17A6D4DA" w14:textId="54757F6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MODS</w:t>
            </w:r>
            <w:r>
              <w:rPr>
                <w:rFonts w:ascii="Book Antiqua" w:hAnsi="Book Antiqua" w:hint="eastAsia"/>
                <w:bCs/>
              </w:rPr>
              <w:t>,</w:t>
            </w:r>
            <w:r w:rsidR="00AD6792">
              <w:rPr>
                <w:rFonts w:ascii="Book Antiqua" w:hAnsi="Book Antiqua" w:hint="eastAsi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  <w:i/>
              </w:rPr>
              <w:t>n</w:t>
            </w:r>
            <w:r w:rsidR="00AD6792">
              <w:rPr>
                <w:rFonts w:ascii="Book Antiqua" w:hAnsi="Book Antiqua" w:hint="eastAsia"/>
                <w:bCs/>
              </w:rPr>
              <w:t xml:space="preserve"> </w:t>
            </w:r>
            <w:r>
              <w:rPr>
                <w:rFonts w:ascii="Book Antiqua" w:hAnsi="Book Antiqua" w:hint="eastAsia"/>
                <w:bCs/>
              </w:rPr>
              <w:t>(%)</w:t>
            </w:r>
          </w:p>
        </w:tc>
        <w:tc>
          <w:tcPr>
            <w:tcW w:w="1843" w:type="dxa"/>
            <w:shd w:val="clear" w:color="auto" w:fill="FFFFFF"/>
          </w:tcPr>
          <w:p w14:paraId="76406285" w14:textId="79FCF1B4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6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(35.3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984" w:type="dxa"/>
            <w:shd w:val="clear" w:color="auto" w:fill="FFFFFF"/>
          </w:tcPr>
          <w:p w14:paraId="1F10726B" w14:textId="39034AF9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8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(44.4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14:paraId="55022E23" w14:textId="558B13DE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6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(31.6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14:paraId="4FB0E88E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0.709</w:t>
            </w:r>
          </w:p>
        </w:tc>
      </w:tr>
      <w:tr w:rsidR="00BF61EF" w:rsidRPr="008B0649" w14:paraId="366E555F" w14:textId="77777777" w:rsidTr="00E11715">
        <w:tc>
          <w:tcPr>
            <w:tcW w:w="1985" w:type="dxa"/>
            <w:shd w:val="clear" w:color="auto" w:fill="FFFFFF"/>
          </w:tcPr>
          <w:p w14:paraId="4B89186D" w14:textId="74F9ED3B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Death</w:t>
            </w:r>
            <w:r>
              <w:rPr>
                <w:rFonts w:ascii="Book Antiqua" w:hAnsi="Book Antiqua" w:hint="eastAsia"/>
                <w:bCs/>
              </w:rPr>
              <w:t>,</w:t>
            </w:r>
            <w:r w:rsidR="00AD6792">
              <w:rPr>
                <w:rFonts w:ascii="Book Antiqua" w:hAnsi="Book Antiqua" w:hint="eastAsi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  <w:i/>
              </w:rPr>
              <w:t>n</w:t>
            </w:r>
            <w:r w:rsidR="00AD6792">
              <w:rPr>
                <w:rFonts w:ascii="Book Antiqua" w:hAnsi="Book Antiqua" w:hint="eastAsia"/>
                <w:bCs/>
              </w:rPr>
              <w:t xml:space="preserve"> </w:t>
            </w:r>
            <w:r>
              <w:rPr>
                <w:rFonts w:ascii="Book Antiqua" w:hAnsi="Book Antiqua" w:hint="eastAsia"/>
                <w:bCs/>
              </w:rPr>
              <w:t>(%)</w:t>
            </w:r>
          </w:p>
        </w:tc>
        <w:tc>
          <w:tcPr>
            <w:tcW w:w="1843" w:type="dxa"/>
            <w:shd w:val="clear" w:color="auto" w:fill="FFFFFF"/>
          </w:tcPr>
          <w:p w14:paraId="657AEABB" w14:textId="60632140" w:rsidR="00BF61EF" w:rsidRPr="008B0649" w:rsidRDefault="00BF61EF" w:rsidP="00BF61EF">
            <w:pPr>
              <w:tabs>
                <w:tab w:val="center" w:pos="813"/>
              </w:tabs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4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(23.5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984" w:type="dxa"/>
            <w:shd w:val="clear" w:color="auto" w:fill="FFFFFF"/>
          </w:tcPr>
          <w:p w14:paraId="378BFFAB" w14:textId="47AFE62B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5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(27.8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14:paraId="10DC2701" w14:textId="0DAAFB5D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5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(26.3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14:paraId="68D109B5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0.856</w:t>
            </w:r>
          </w:p>
        </w:tc>
      </w:tr>
    </w:tbl>
    <w:p w14:paraId="41CDF793" w14:textId="408A0186" w:rsidR="00BF61EF" w:rsidRPr="008B0649" w:rsidRDefault="00BF61EF" w:rsidP="00BF61EF">
      <w:pPr>
        <w:spacing w:line="360" w:lineRule="auto"/>
        <w:jc w:val="both"/>
        <w:rPr>
          <w:rFonts w:ascii="Book Antiqua" w:hAnsi="Book Antiqua"/>
        </w:rPr>
      </w:pPr>
      <w:r w:rsidRPr="008B0649">
        <w:rPr>
          <w:rFonts w:ascii="Book Antiqua" w:hAnsi="Book Antiqua"/>
        </w:rPr>
        <w:t>Group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A: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Patients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were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assigned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to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receive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30%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of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goal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caloric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requirement</w:t>
      </w:r>
      <w:r w:rsidR="001E4751">
        <w:rPr>
          <w:rFonts w:ascii="Book Antiqua" w:hAnsi="Book Antiqua"/>
        </w:rPr>
        <w:t>s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of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enteral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nutrition;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Group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B: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Patients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were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assigned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to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receive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60%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of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goal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caloric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requirement</w:t>
      </w:r>
      <w:r w:rsidR="001E4751">
        <w:rPr>
          <w:rFonts w:ascii="Book Antiqua" w:hAnsi="Book Antiqua"/>
        </w:rPr>
        <w:t>s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of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enteral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nutrition;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Group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C: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Patients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were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assigned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to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receive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100%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of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goal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caloric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requirement</w:t>
      </w:r>
      <w:r w:rsidR="001E4751">
        <w:rPr>
          <w:rFonts w:ascii="Book Antiqua" w:hAnsi="Book Antiqua"/>
        </w:rPr>
        <w:t>s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of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enteral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nutrition</w:t>
      </w:r>
      <w:r>
        <w:rPr>
          <w:rFonts w:ascii="Book Antiqua" w:hAnsi="Book Antiqua" w:hint="eastAsia"/>
        </w:rPr>
        <w:t>.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MV</w:t>
      </w:r>
      <w:r>
        <w:rPr>
          <w:rFonts w:ascii="Book Antiqua" w:hAnsi="Book Antiqua" w:hint="eastAsia"/>
        </w:rPr>
        <w:t>:</w:t>
      </w:r>
      <w:r w:rsidR="00AD6792">
        <w:rPr>
          <w:rFonts w:ascii="Book Antiqua" w:hAnsi="Book Antiqua" w:hint="eastAsia"/>
          <w:lang w:eastAsia="zh-CN"/>
        </w:rPr>
        <w:t xml:space="preserve"> </w:t>
      </w:r>
      <w:r w:rsidRPr="00AB54A5">
        <w:rPr>
          <w:rFonts w:ascii="Book Antiqua" w:hAnsi="Book Antiqua"/>
          <w:caps/>
        </w:rPr>
        <w:t>m</w:t>
      </w:r>
      <w:r w:rsidRPr="008B0649">
        <w:rPr>
          <w:rFonts w:ascii="Book Antiqua" w:hAnsi="Book Antiqua"/>
        </w:rPr>
        <w:t>echanical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ventilation;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CRRT</w:t>
      </w:r>
      <w:r>
        <w:rPr>
          <w:rFonts w:ascii="Book Antiqua" w:hAnsi="Book Antiqua" w:hint="eastAsia"/>
        </w:rPr>
        <w:t>:</w:t>
      </w:r>
      <w:r w:rsidR="00AD6792">
        <w:rPr>
          <w:rFonts w:ascii="Book Antiqua" w:hAnsi="Book Antiqua" w:hint="eastAsia"/>
          <w:lang w:eastAsia="zh-CN"/>
        </w:rPr>
        <w:t xml:space="preserve"> </w:t>
      </w:r>
      <w:r w:rsidRPr="00AB54A5">
        <w:rPr>
          <w:rFonts w:ascii="Book Antiqua" w:hAnsi="Book Antiqua"/>
          <w:caps/>
        </w:rPr>
        <w:t>c</w:t>
      </w:r>
      <w:r w:rsidRPr="008B0649">
        <w:rPr>
          <w:rFonts w:ascii="Book Antiqua" w:hAnsi="Book Antiqua"/>
        </w:rPr>
        <w:t>ontinuous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renal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replacement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therapy;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ICU</w:t>
      </w:r>
      <w:r>
        <w:rPr>
          <w:rFonts w:ascii="Book Antiqua" w:hAnsi="Book Antiqua" w:hint="eastAsia"/>
        </w:rPr>
        <w:t>:</w:t>
      </w:r>
      <w:r w:rsidR="00AD6792">
        <w:rPr>
          <w:rFonts w:ascii="Book Antiqua" w:hAnsi="Book Antiqua" w:hint="eastAsia"/>
          <w:lang w:eastAsia="zh-CN"/>
        </w:rPr>
        <w:t xml:space="preserve"> </w:t>
      </w:r>
      <w:r w:rsidRPr="00AB54A5">
        <w:rPr>
          <w:rFonts w:ascii="Book Antiqua" w:hAnsi="Book Antiqua"/>
          <w:caps/>
        </w:rPr>
        <w:t>i</w:t>
      </w:r>
      <w:r w:rsidRPr="008B0649">
        <w:rPr>
          <w:rFonts w:ascii="Book Antiqua" w:hAnsi="Book Antiqua"/>
        </w:rPr>
        <w:t>ntensive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care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unit;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MODS</w:t>
      </w:r>
      <w:r>
        <w:rPr>
          <w:rFonts w:ascii="Book Antiqua" w:hAnsi="Book Antiqua" w:hint="eastAsia"/>
        </w:rPr>
        <w:t>:</w:t>
      </w:r>
      <w:r w:rsidR="00AD6792">
        <w:rPr>
          <w:rFonts w:ascii="Book Antiqua" w:hAnsi="Book Antiqua" w:hint="eastAsia"/>
          <w:lang w:eastAsia="zh-CN"/>
        </w:rPr>
        <w:t xml:space="preserve"> </w:t>
      </w:r>
      <w:r w:rsidRPr="00AB54A5">
        <w:rPr>
          <w:rFonts w:ascii="Book Antiqua" w:hAnsi="Book Antiqua"/>
          <w:caps/>
        </w:rPr>
        <w:t>m</w:t>
      </w:r>
      <w:r w:rsidRPr="008B0649">
        <w:rPr>
          <w:rFonts w:ascii="Book Antiqua" w:hAnsi="Book Antiqua"/>
        </w:rPr>
        <w:t>ultiple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organ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dysfunction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syndrome.</w:t>
      </w:r>
    </w:p>
    <w:p w14:paraId="159FA8FB" w14:textId="770D94D7" w:rsidR="00BF61EF" w:rsidRPr="00AB54A5" w:rsidRDefault="00BF61EF" w:rsidP="00BF61EF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</w:rPr>
        <w:br w:type="page"/>
      </w:r>
      <w:r w:rsidRPr="00AB54A5">
        <w:rPr>
          <w:rFonts w:ascii="Book Antiqua" w:hAnsi="Book Antiqua"/>
          <w:b/>
        </w:rPr>
        <w:lastRenderedPageBreak/>
        <w:t>Table</w:t>
      </w:r>
      <w:r w:rsidR="00AD6792">
        <w:rPr>
          <w:rFonts w:ascii="Book Antiqua" w:hAnsi="Book Antiqua"/>
          <w:b/>
        </w:rPr>
        <w:t xml:space="preserve"> </w:t>
      </w:r>
      <w:r w:rsidRPr="00AB54A5">
        <w:rPr>
          <w:rFonts w:ascii="Book Antiqua" w:hAnsi="Book Antiqua"/>
          <w:b/>
        </w:rPr>
        <w:t>3</w:t>
      </w:r>
      <w:r w:rsidR="00AD6792">
        <w:rPr>
          <w:rFonts w:ascii="Book Antiqua" w:hAnsi="Book Antiqua"/>
          <w:b/>
        </w:rPr>
        <w:t xml:space="preserve"> </w:t>
      </w:r>
      <w:r w:rsidR="001E4751">
        <w:rPr>
          <w:rFonts w:ascii="Book Antiqua" w:hAnsi="Book Antiqua"/>
          <w:b/>
          <w:bCs/>
        </w:rPr>
        <w:t>I</w:t>
      </w:r>
      <w:r w:rsidRPr="00AB54A5">
        <w:rPr>
          <w:rFonts w:ascii="Book Antiqua" w:hAnsi="Book Antiqua"/>
          <w:b/>
        </w:rPr>
        <w:t>ncidence</w:t>
      </w:r>
      <w:r w:rsidR="00AD6792">
        <w:rPr>
          <w:rFonts w:ascii="Book Antiqua" w:hAnsi="Book Antiqua"/>
          <w:b/>
        </w:rPr>
        <w:t xml:space="preserve"> </w:t>
      </w:r>
      <w:r w:rsidRPr="00AB54A5">
        <w:rPr>
          <w:rFonts w:ascii="Book Antiqua" w:hAnsi="Book Antiqua"/>
          <w:b/>
        </w:rPr>
        <w:t>of</w:t>
      </w:r>
      <w:r w:rsidR="00AD6792">
        <w:rPr>
          <w:rFonts w:ascii="Book Antiqua" w:hAnsi="Book Antiqua"/>
          <w:b/>
        </w:rPr>
        <w:t xml:space="preserve"> </w:t>
      </w:r>
      <w:r w:rsidRPr="00AB54A5">
        <w:rPr>
          <w:rFonts w:ascii="Book Antiqua" w:hAnsi="Book Antiqua"/>
          <w:b/>
        </w:rPr>
        <w:t>f</w:t>
      </w:r>
      <w:r w:rsidRPr="00AB54A5">
        <w:rPr>
          <w:rFonts w:ascii="Book Antiqua" w:hAnsi="Book Antiqua"/>
          <w:b/>
          <w:bCs/>
        </w:rPr>
        <w:t>eeding</w:t>
      </w:r>
      <w:r w:rsidR="00AD6792">
        <w:rPr>
          <w:rFonts w:ascii="Book Antiqua" w:hAnsi="Book Antiqua"/>
          <w:b/>
          <w:bCs/>
        </w:rPr>
        <w:t xml:space="preserve"> </w:t>
      </w:r>
      <w:r w:rsidRPr="00AB54A5">
        <w:rPr>
          <w:rFonts w:ascii="Book Antiqua" w:hAnsi="Book Antiqua"/>
          <w:b/>
          <w:bCs/>
        </w:rPr>
        <w:t>intolerance</w:t>
      </w:r>
      <w:r w:rsidR="00AD6792">
        <w:rPr>
          <w:rFonts w:ascii="Book Antiqua" w:hAnsi="Book Antiqua"/>
          <w:b/>
        </w:rPr>
        <w:t xml:space="preserve"> </w:t>
      </w:r>
      <w:r w:rsidRPr="00AB54A5">
        <w:rPr>
          <w:rFonts w:ascii="Book Antiqua" w:hAnsi="Book Antiqua"/>
          <w:b/>
        </w:rPr>
        <w:t>symptoms</w:t>
      </w:r>
      <w:r>
        <w:rPr>
          <w:rFonts w:ascii="Book Antiqua" w:hAnsi="Book Antiqua" w:hint="eastAsia"/>
          <w:b/>
        </w:rPr>
        <w:t>,</w:t>
      </w:r>
      <w:r w:rsidR="00AD6792">
        <w:rPr>
          <w:rFonts w:ascii="Book Antiqua" w:hAnsi="Book Antiqua" w:hint="eastAsia"/>
          <w:b/>
        </w:rPr>
        <w:t xml:space="preserve"> </w:t>
      </w:r>
      <w:r w:rsidRPr="00AB54A5">
        <w:rPr>
          <w:rFonts w:ascii="Book Antiqua" w:hAnsi="Book Antiqua"/>
          <w:b/>
          <w:i/>
        </w:rPr>
        <w:t>n</w:t>
      </w:r>
      <w:r w:rsidR="00AD6792">
        <w:rPr>
          <w:rFonts w:ascii="Book Antiqua" w:hAnsi="Book Antiqua" w:hint="eastAsia"/>
          <w:b/>
        </w:rPr>
        <w:t xml:space="preserve"> </w:t>
      </w:r>
      <w:r>
        <w:rPr>
          <w:rFonts w:ascii="Book Antiqua" w:hAnsi="Book Antiqua" w:hint="eastAsia"/>
          <w:b/>
        </w:rPr>
        <w:t>(%)</w:t>
      </w:r>
    </w:p>
    <w:tbl>
      <w:tblPr>
        <w:tblW w:w="8506" w:type="dxa"/>
        <w:tblInd w:w="-34" w:type="dxa"/>
        <w:tblBorders>
          <w:top w:val="single" w:sz="8" w:space="0" w:color="000000"/>
          <w:bottom w:val="single" w:sz="8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403"/>
        <w:gridCol w:w="1275"/>
        <w:gridCol w:w="1560"/>
        <w:gridCol w:w="1417"/>
        <w:gridCol w:w="851"/>
      </w:tblGrid>
      <w:tr w:rsidR="00BF61EF" w:rsidRPr="008B0649" w14:paraId="04F237C6" w14:textId="77777777" w:rsidTr="00E11715">
        <w:trPr>
          <w:trHeight w:val="90"/>
        </w:trPr>
        <w:tc>
          <w:tcPr>
            <w:tcW w:w="34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29227236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298450F8" w14:textId="1D99258A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Group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A</w:t>
            </w:r>
          </w:p>
          <w:p w14:paraId="5422FB48" w14:textId="6425F2AC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(</w:t>
            </w:r>
            <w:r w:rsidRPr="008B0649">
              <w:rPr>
                <w:rFonts w:ascii="Book Antiqua" w:hAnsi="Book Antiqua"/>
                <w:bCs/>
                <w:i/>
              </w:rPr>
              <w:t>n</w:t>
            </w:r>
            <w:r w:rsidR="00AD6792">
              <w:rPr>
                <w:rFonts w:ascii="Book Antiqua" w:hAnsi="Book Antiqua"/>
                <w:bCs/>
                <w:i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=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17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AB54A5">
              <w:rPr>
                <w:rFonts w:ascii="Book Antiqua" w:hAnsi="Book Antiqua"/>
                <w:bCs/>
              </w:rPr>
              <w:t>×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7)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5D0ED40B" w14:textId="5D7E9C50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Group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B</w:t>
            </w:r>
          </w:p>
          <w:p w14:paraId="1CE99080" w14:textId="03C8E489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(</w:t>
            </w:r>
            <w:r w:rsidRPr="008B0649">
              <w:rPr>
                <w:rFonts w:ascii="Book Antiqua" w:hAnsi="Book Antiqua"/>
                <w:bCs/>
                <w:i/>
              </w:rPr>
              <w:t>n</w:t>
            </w:r>
            <w:r w:rsidR="00AD6792">
              <w:rPr>
                <w:rFonts w:ascii="Book Antiqua" w:hAnsi="Book Antiqua"/>
                <w:bCs/>
                <w:i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=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18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AB54A5">
              <w:rPr>
                <w:rFonts w:ascii="Book Antiqua" w:hAnsi="Book Antiqua"/>
                <w:bCs/>
              </w:rPr>
              <w:t>×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7)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4759448F" w14:textId="4D451DE5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Group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C</w:t>
            </w:r>
          </w:p>
          <w:p w14:paraId="46A7F56B" w14:textId="73EB6EB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(</w:t>
            </w:r>
            <w:r w:rsidRPr="008B0649">
              <w:rPr>
                <w:rFonts w:ascii="Book Antiqua" w:hAnsi="Book Antiqua"/>
                <w:bCs/>
                <w:i/>
              </w:rPr>
              <w:t>n</w:t>
            </w:r>
            <w:r w:rsidR="00AD6792">
              <w:rPr>
                <w:rFonts w:ascii="Book Antiqua" w:hAnsi="Book Antiqua"/>
                <w:bCs/>
                <w:i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=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19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AB54A5">
              <w:rPr>
                <w:rFonts w:ascii="Book Antiqua" w:hAnsi="Book Antiqua"/>
                <w:bCs/>
              </w:rPr>
              <w:t>×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7)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47EF10C" w14:textId="7726B64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  <w:i/>
              </w:rPr>
              <w:t>P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value</w:t>
            </w:r>
          </w:p>
        </w:tc>
      </w:tr>
      <w:tr w:rsidR="00BF61EF" w:rsidRPr="008B0649" w14:paraId="043D7DEA" w14:textId="77777777" w:rsidTr="00E11715">
        <w:tc>
          <w:tcPr>
            <w:tcW w:w="3403" w:type="dxa"/>
            <w:shd w:val="clear" w:color="auto" w:fill="FFFFFF"/>
          </w:tcPr>
          <w:p w14:paraId="5B52554F" w14:textId="60BE2562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Feeding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intolerance</w:t>
            </w:r>
          </w:p>
        </w:tc>
        <w:tc>
          <w:tcPr>
            <w:tcW w:w="1275" w:type="dxa"/>
            <w:shd w:val="clear" w:color="auto" w:fill="FFFFFF"/>
          </w:tcPr>
          <w:p w14:paraId="009FA240" w14:textId="7D0AA778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6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(5.0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560" w:type="dxa"/>
            <w:shd w:val="clear" w:color="auto" w:fill="FFFFFF"/>
          </w:tcPr>
          <w:p w14:paraId="07202FF8" w14:textId="304B8965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11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(8.7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14:paraId="78DCF1D7" w14:textId="008C4293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22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(16.5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14:paraId="4F36CC03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0.009</w:t>
            </w:r>
          </w:p>
        </w:tc>
      </w:tr>
      <w:tr w:rsidR="00BF61EF" w:rsidRPr="008B0649" w14:paraId="456BD2E3" w14:textId="77777777" w:rsidTr="00E11715">
        <w:tc>
          <w:tcPr>
            <w:tcW w:w="3403" w:type="dxa"/>
            <w:shd w:val="clear" w:color="auto" w:fill="FFFFFF"/>
          </w:tcPr>
          <w:p w14:paraId="46141FEC" w14:textId="0472DC68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Nausea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or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vomiting</w:t>
            </w:r>
          </w:p>
        </w:tc>
        <w:tc>
          <w:tcPr>
            <w:tcW w:w="1275" w:type="dxa"/>
            <w:shd w:val="clear" w:color="auto" w:fill="FFFFFF"/>
          </w:tcPr>
          <w:p w14:paraId="0D197721" w14:textId="13A04FBE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(1.7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560" w:type="dxa"/>
            <w:shd w:val="clear" w:color="auto" w:fill="FFFFFF"/>
          </w:tcPr>
          <w:p w14:paraId="24FBF106" w14:textId="48D10E8D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3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(2.4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14:paraId="705A4A52" w14:textId="79AD0741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3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(2.3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14:paraId="52E20F25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0.758</w:t>
            </w:r>
          </w:p>
        </w:tc>
      </w:tr>
      <w:tr w:rsidR="00BF61EF" w:rsidRPr="008B0649" w14:paraId="32A79C28" w14:textId="77777777" w:rsidTr="00E11715">
        <w:tc>
          <w:tcPr>
            <w:tcW w:w="3403" w:type="dxa"/>
            <w:shd w:val="clear" w:color="auto" w:fill="FFFFFF"/>
          </w:tcPr>
          <w:p w14:paraId="54861D23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Diarrhea</w:t>
            </w:r>
          </w:p>
        </w:tc>
        <w:tc>
          <w:tcPr>
            <w:tcW w:w="1275" w:type="dxa"/>
            <w:shd w:val="clear" w:color="auto" w:fill="FFFFFF"/>
          </w:tcPr>
          <w:p w14:paraId="3818BD47" w14:textId="50D8DED0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(1.7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560" w:type="dxa"/>
            <w:shd w:val="clear" w:color="auto" w:fill="FFFFFF"/>
          </w:tcPr>
          <w:p w14:paraId="28222669" w14:textId="3B6BDB6F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(1.6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14:paraId="412846E9" w14:textId="034153EA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8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(6.0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14:paraId="41353E66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0.046</w:t>
            </w:r>
          </w:p>
        </w:tc>
      </w:tr>
      <w:tr w:rsidR="00BF61EF" w:rsidRPr="008B0649" w14:paraId="569DFC5A" w14:textId="77777777" w:rsidTr="00E11715">
        <w:tc>
          <w:tcPr>
            <w:tcW w:w="3403" w:type="dxa"/>
            <w:shd w:val="clear" w:color="auto" w:fill="FFFFFF"/>
          </w:tcPr>
          <w:p w14:paraId="631E80D9" w14:textId="4A05AFFE" w:rsidR="00BF61EF" w:rsidRPr="008B0649" w:rsidRDefault="00BF61EF" w:rsidP="002E7298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Abdominal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pain</w:t>
            </w:r>
          </w:p>
        </w:tc>
        <w:tc>
          <w:tcPr>
            <w:tcW w:w="1275" w:type="dxa"/>
            <w:shd w:val="clear" w:color="auto" w:fill="FFFFFF"/>
          </w:tcPr>
          <w:p w14:paraId="2441E844" w14:textId="7014AF40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(0.0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560" w:type="dxa"/>
            <w:shd w:val="clear" w:color="auto" w:fill="FFFFFF"/>
          </w:tcPr>
          <w:p w14:paraId="0F782D9B" w14:textId="23E56D9D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(0.0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14:paraId="107A4FEE" w14:textId="3D3326BC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(0.8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14:paraId="3F590EEA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0.238</w:t>
            </w:r>
          </w:p>
        </w:tc>
      </w:tr>
      <w:tr w:rsidR="00BF61EF" w:rsidRPr="008B0649" w14:paraId="05D1642C" w14:textId="77777777" w:rsidTr="00E11715">
        <w:tc>
          <w:tcPr>
            <w:tcW w:w="3403" w:type="dxa"/>
            <w:shd w:val="clear" w:color="auto" w:fill="FFFFFF"/>
          </w:tcPr>
          <w:p w14:paraId="05E6DE44" w14:textId="38BE03C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Abdominal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distention</w:t>
            </w:r>
          </w:p>
        </w:tc>
        <w:tc>
          <w:tcPr>
            <w:tcW w:w="1275" w:type="dxa"/>
            <w:shd w:val="clear" w:color="auto" w:fill="FFFFFF"/>
          </w:tcPr>
          <w:p w14:paraId="04E99AD1" w14:textId="60345006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(0.8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560" w:type="dxa"/>
            <w:shd w:val="clear" w:color="auto" w:fill="FFFFFF"/>
          </w:tcPr>
          <w:p w14:paraId="10E4FBAD" w14:textId="544A037C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(1.6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14:paraId="3B97D4B8" w14:textId="2FA2E2BE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6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(4.5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14:paraId="4AC86B83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0.054</w:t>
            </w:r>
          </w:p>
        </w:tc>
      </w:tr>
      <w:tr w:rsidR="00BF61EF" w:rsidRPr="008B0649" w14:paraId="7A6DD110" w14:textId="77777777" w:rsidTr="00E11715">
        <w:tc>
          <w:tcPr>
            <w:tcW w:w="3403" w:type="dxa"/>
            <w:shd w:val="clear" w:color="auto" w:fill="FFFFFF"/>
          </w:tcPr>
          <w:p w14:paraId="4CFCAED2" w14:textId="1A6D7EFB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</w:rPr>
              <w:t>High</w:t>
            </w:r>
            <w:r w:rsidR="00AD6792">
              <w:rPr>
                <w:rFonts w:ascii="Book Antiqua" w:hAnsi="Book Antiqua"/>
              </w:rPr>
              <w:t xml:space="preserve"> </w:t>
            </w:r>
            <w:r w:rsidRPr="008B0649">
              <w:rPr>
                <w:rFonts w:ascii="Book Antiqua" w:hAnsi="Book Antiqua"/>
              </w:rPr>
              <w:t>gastric</w:t>
            </w:r>
            <w:r w:rsidR="00AD6792">
              <w:rPr>
                <w:rFonts w:ascii="Book Antiqua" w:hAnsi="Book Antiqua"/>
              </w:rPr>
              <w:t xml:space="preserve"> </w:t>
            </w:r>
            <w:r w:rsidRPr="008B0649">
              <w:rPr>
                <w:rFonts w:ascii="Book Antiqua" w:hAnsi="Book Antiqua"/>
              </w:rPr>
              <w:t>residuals</w:t>
            </w:r>
          </w:p>
        </w:tc>
        <w:tc>
          <w:tcPr>
            <w:tcW w:w="1275" w:type="dxa"/>
            <w:shd w:val="clear" w:color="auto" w:fill="FFFFFF"/>
          </w:tcPr>
          <w:p w14:paraId="14CB8908" w14:textId="0B652D6A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(0.8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560" w:type="dxa"/>
            <w:shd w:val="clear" w:color="auto" w:fill="FFFFFF"/>
          </w:tcPr>
          <w:p w14:paraId="5F54AA1B" w14:textId="6DBA646B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(1.6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14:paraId="4E0EC279" w14:textId="21BFC36E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(1.5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14:paraId="27476EAE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0.653</w:t>
            </w:r>
          </w:p>
        </w:tc>
      </w:tr>
      <w:tr w:rsidR="00BF61EF" w:rsidRPr="008B0649" w14:paraId="64974E2E" w14:textId="77777777" w:rsidTr="00E11715">
        <w:tc>
          <w:tcPr>
            <w:tcW w:w="3403" w:type="dxa"/>
            <w:shd w:val="clear" w:color="auto" w:fill="FFFFFF"/>
          </w:tcPr>
          <w:p w14:paraId="61FA5A6E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IAH</w:t>
            </w:r>
          </w:p>
        </w:tc>
        <w:tc>
          <w:tcPr>
            <w:tcW w:w="1275" w:type="dxa"/>
            <w:shd w:val="clear" w:color="auto" w:fill="FFFFFF"/>
          </w:tcPr>
          <w:p w14:paraId="5C6C2578" w14:textId="5ACE1620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(0.0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560" w:type="dxa"/>
            <w:shd w:val="clear" w:color="auto" w:fill="FFFFFF"/>
          </w:tcPr>
          <w:p w14:paraId="3BE661EF" w14:textId="6A2A0860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(0.8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14:paraId="1047D289" w14:textId="5DD40480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(0.8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14:paraId="2E649AE7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0.422</w:t>
            </w:r>
          </w:p>
        </w:tc>
      </w:tr>
      <w:tr w:rsidR="00BF61EF" w:rsidRPr="008B0649" w14:paraId="207FC381" w14:textId="77777777" w:rsidTr="00E11715">
        <w:tc>
          <w:tcPr>
            <w:tcW w:w="3403" w:type="dxa"/>
            <w:shd w:val="clear" w:color="auto" w:fill="FFFFFF"/>
          </w:tcPr>
          <w:p w14:paraId="1B9F38BE" w14:textId="65BC82C0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Paralytic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ileus</w:t>
            </w:r>
          </w:p>
        </w:tc>
        <w:tc>
          <w:tcPr>
            <w:tcW w:w="1275" w:type="dxa"/>
            <w:shd w:val="clear" w:color="auto" w:fill="FFFFFF"/>
          </w:tcPr>
          <w:p w14:paraId="4650986E" w14:textId="33289866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(0.0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560" w:type="dxa"/>
            <w:shd w:val="clear" w:color="auto" w:fill="FFFFFF"/>
          </w:tcPr>
          <w:p w14:paraId="1CF491C6" w14:textId="29351B46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(0.8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14:paraId="6D891C4A" w14:textId="1D7EDDDB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(0.8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14:paraId="400F2809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0.444</w:t>
            </w:r>
          </w:p>
        </w:tc>
      </w:tr>
    </w:tbl>
    <w:p w14:paraId="3C50D9DB" w14:textId="032AE5F5" w:rsidR="00D554FA" w:rsidRDefault="00BF61EF" w:rsidP="00BF61EF">
      <w:pPr>
        <w:spacing w:line="360" w:lineRule="auto"/>
        <w:jc w:val="both"/>
        <w:rPr>
          <w:rFonts w:ascii="Book Antiqua" w:hAnsi="Book Antiqua"/>
          <w:lang w:eastAsia="zh-CN"/>
        </w:rPr>
      </w:pPr>
      <w:r w:rsidRPr="008B0649">
        <w:rPr>
          <w:rFonts w:ascii="Book Antiqua" w:hAnsi="Book Antiqua"/>
        </w:rPr>
        <w:t>Group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A: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Patients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were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assigned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to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receive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30%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of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goal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caloric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requirement</w:t>
      </w:r>
      <w:r w:rsidR="001E4751">
        <w:rPr>
          <w:rFonts w:ascii="Book Antiqua" w:hAnsi="Book Antiqua"/>
        </w:rPr>
        <w:t>s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of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enteral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nutrition;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Group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B: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Patients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were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assigned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to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receive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60%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of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goal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caloric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requirement</w:t>
      </w:r>
      <w:r w:rsidR="001E4751">
        <w:rPr>
          <w:rFonts w:ascii="Book Antiqua" w:hAnsi="Book Antiqua"/>
        </w:rPr>
        <w:t>s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of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enteral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nutrition;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Group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C: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Patients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were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assigned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to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receive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100%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of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goal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caloric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requirement</w:t>
      </w:r>
      <w:r w:rsidR="001E4751">
        <w:rPr>
          <w:rFonts w:ascii="Book Antiqua" w:hAnsi="Book Antiqua"/>
        </w:rPr>
        <w:t>s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of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enteral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nutrition</w:t>
      </w:r>
      <w:r>
        <w:rPr>
          <w:rFonts w:ascii="Book Antiqua" w:hAnsi="Book Antiqua" w:hint="eastAsia"/>
        </w:rPr>
        <w:t>.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IAH</w:t>
      </w:r>
      <w:r>
        <w:rPr>
          <w:rFonts w:ascii="Book Antiqua" w:hAnsi="Book Antiqua" w:hint="eastAsia"/>
        </w:rPr>
        <w:t>:</w:t>
      </w:r>
      <w:r w:rsidR="00AD6792">
        <w:rPr>
          <w:rFonts w:ascii="Book Antiqua" w:hAnsi="Book Antiqua" w:hint="eastAsia"/>
          <w:lang w:eastAsia="zh-CN"/>
        </w:rPr>
        <w:t xml:space="preserve"> </w:t>
      </w:r>
      <w:r w:rsidRPr="00AB54A5">
        <w:rPr>
          <w:rFonts w:ascii="Book Antiqua" w:hAnsi="Book Antiqua"/>
          <w:caps/>
        </w:rPr>
        <w:t>i</w:t>
      </w:r>
      <w:r w:rsidRPr="008B0649">
        <w:rPr>
          <w:rFonts w:ascii="Book Antiqua" w:hAnsi="Book Antiqua"/>
        </w:rPr>
        <w:t>ntra-abdominal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hypertension.</w:t>
      </w:r>
    </w:p>
    <w:p w14:paraId="1FC4A573" w14:textId="77777777" w:rsidR="00D554FA" w:rsidRDefault="00D554FA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62E0D5E4" w14:textId="77777777" w:rsidR="00D554FA" w:rsidRDefault="00D554FA" w:rsidP="00D554FA">
      <w:pPr>
        <w:jc w:val="center"/>
        <w:rPr>
          <w:rFonts w:ascii="Book Antiqua" w:hAnsi="Book Antiqua"/>
        </w:rPr>
      </w:pPr>
    </w:p>
    <w:p w14:paraId="667A7CF8" w14:textId="77777777" w:rsidR="00D554FA" w:rsidRDefault="00D554FA" w:rsidP="00D554FA">
      <w:pPr>
        <w:jc w:val="center"/>
        <w:rPr>
          <w:rFonts w:ascii="Book Antiqua" w:hAnsi="Book Antiqua"/>
        </w:rPr>
      </w:pPr>
    </w:p>
    <w:p w14:paraId="04191A94" w14:textId="77777777" w:rsidR="00D554FA" w:rsidRDefault="00D554FA" w:rsidP="00D554FA">
      <w:pPr>
        <w:jc w:val="center"/>
        <w:rPr>
          <w:rFonts w:ascii="Book Antiqua" w:hAnsi="Book Antiqua"/>
        </w:rPr>
      </w:pPr>
    </w:p>
    <w:p w14:paraId="521D4322" w14:textId="77777777" w:rsidR="00D554FA" w:rsidRDefault="00D554FA" w:rsidP="00D554FA">
      <w:pPr>
        <w:jc w:val="center"/>
        <w:rPr>
          <w:rFonts w:ascii="Book Antiqua" w:hAnsi="Book Antiqua"/>
        </w:rPr>
      </w:pPr>
    </w:p>
    <w:p w14:paraId="47A53F00" w14:textId="77777777" w:rsidR="00D554FA" w:rsidRDefault="00D554FA" w:rsidP="00D554FA">
      <w:pPr>
        <w:jc w:val="center"/>
        <w:rPr>
          <w:rFonts w:ascii="Book Antiqua" w:hAnsi="Book Antiqua"/>
        </w:rPr>
      </w:pPr>
    </w:p>
    <w:p w14:paraId="296EC010" w14:textId="2DB9D19C" w:rsidR="00D554FA" w:rsidRDefault="00D554FA" w:rsidP="00D554FA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9BDB41D" wp14:editId="2D298AAD">
            <wp:extent cx="2499360" cy="1440180"/>
            <wp:effectExtent l="0" t="0" r="0" b="7620"/>
            <wp:docPr id="4" name="图片 4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AF038" w14:textId="77777777" w:rsidR="00D554FA" w:rsidRDefault="00D554FA" w:rsidP="00D554FA">
      <w:pPr>
        <w:jc w:val="center"/>
        <w:rPr>
          <w:rFonts w:ascii="Book Antiqua" w:hAnsi="Book Antiqua"/>
        </w:rPr>
      </w:pPr>
    </w:p>
    <w:p w14:paraId="3C6E55FB" w14:textId="77777777" w:rsidR="00D554FA" w:rsidRDefault="00D554FA" w:rsidP="00D554FA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6FE55C84" w14:textId="77777777" w:rsidR="00D554FA" w:rsidRDefault="00D554FA" w:rsidP="00D554F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D1B2817" w14:textId="77777777" w:rsidR="00D554FA" w:rsidRDefault="00D554FA" w:rsidP="00D554F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5DDE907" w14:textId="77777777" w:rsidR="00D554FA" w:rsidRDefault="00D554FA" w:rsidP="00D554F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D416FE2" w14:textId="77777777" w:rsidR="00D554FA" w:rsidRDefault="00D554FA" w:rsidP="00D554F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26E0FBC" w14:textId="77777777" w:rsidR="00D554FA" w:rsidRDefault="00D554FA" w:rsidP="00D554FA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35E88F2" w14:textId="77777777" w:rsidR="00D554FA" w:rsidRDefault="00D554FA" w:rsidP="00D554FA">
      <w:pPr>
        <w:jc w:val="center"/>
        <w:rPr>
          <w:rFonts w:ascii="Book Antiqua" w:hAnsi="Book Antiqua"/>
        </w:rPr>
      </w:pPr>
    </w:p>
    <w:p w14:paraId="4CB88A19" w14:textId="77777777" w:rsidR="00D554FA" w:rsidRDefault="00D554FA" w:rsidP="00D554FA">
      <w:pPr>
        <w:jc w:val="center"/>
        <w:rPr>
          <w:rFonts w:ascii="Book Antiqua" w:hAnsi="Book Antiqua"/>
        </w:rPr>
      </w:pPr>
    </w:p>
    <w:p w14:paraId="5E96C748" w14:textId="77777777" w:rsidR="00D554FA" w:rsidRDefault="00D554FA" w:rsidP="00D554FA">
      <w:pPr>
        <w:jc w:val="center"/>
        <w:rPr>
          <w:rFonts w:ascii="Book Antiqua" w:hAnsi="Book Antiqua"/>
        </w:rPr>
      </w:pPr>
    </w:p>
    <w:p w14:paraId="59680C11" w14:textId="0C79C731" w:rsidR="00D554FA" w:rsidRDefault="00D554FA" w:rsidP="00D554FA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DB3B984" wp14:editId="6381FAA7">
            <wp:extent cx="1447800" cy="1440180"/>
            <wp:effectExtent l="0" t="0" r="0" b="7620"/>
            <wp:docPr id="2" name="图片 2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3CC22" w14:textId="77777777" w:rsidR="00D554FA" w:rsidRDefault="00D554FA" w:rsidP="00D554FA">
      <w:pPr>
        <w:jc w:val="center"/>
        <w:rPr>
          <w:rFonts w:ascii="Book Antiqua" w:hAnsi="Book Antiqua"/>
        </w:rPr>
      </w:pPr>
    </w:p>
    <w:p w14:paraId="31DAF3AB" w14:textId="77777777" w:rsidR="00D554FA" w:rsidRDefault="00D554FA" w:rsidP="00D554FA">
      <w:pPr>
        <w:jc w:val="center"/>
        <w:rPr>
          <w:rFonts w:ascii="Book Antiqua" w:hAnsi="Book Antiqua"/>
        </w:rPr>
      </w:pPr>
    </w:p>
    <w:p w14:paraId="37C2AD41" w14:textId="77777777" w:rsidR="00D554FA" w:rsidRDefault="00D554FA" w:rsidP="00D554FA">
      <w:pPr>
        <w:jc w:val="center"/>
        <w:rPr>
          <w:rFonts w:ascii="Book Antiqua" w:hAnsi="Book Antiqua"/>
        </w:rPr>
      </w:pPr>
    </w:p>
    <w:p w14:paraId="427D710D" w14:textId="77777777" w:rsidR="00D554FA" w:rsidRDefault="00D554FA" w:rsidP="00D554FA">
      <w:pPr>
        <w:jc w:val="center"/>
        <w:rPr>
          <w:rFonts w:ascii="Book Antiqua" w:hAnsi="Book Antiqua"/>
        </w:rPr>
      </w:pPr>
    </w:p>
    <w:p w14:paraId="6166E2C7" w14:textId="77777777" w:rsidR="00D554FA" w:rsidRDefault="00D554FA" w:rsidP="00D554FA">
      <w:pPr>
        <w:jc w:val="center"/>
        <w:rPr>
          <w:rFonts w:ascii="Book Antiqua" w:hAnsi="Book Antiqua"/>
        </w:rPr>
      </w:pPr>
    </w:p>
    <w:p w14:paraId="4316CB14" w14:textId="77777777" w:rsidR="00D554FA" w:rsidRDefault="00D554FA" w:rsidP="00D554FA">
      <w:pPr>
        <w:jc w:val="center"/>
        <w:rPr>
          <w:rFonts w:ascii="Book Antiqua" w:hAnsi="Book Antiqua"/>
        </w:rPr>
      </w:pPr>
    </w:p>
    <w:p w14:paraId="5C798F7D" w14:textId="77777777" w:rsidR="00D554FA" w:rsidRDefault="00D554FA" w:rsidP="00D554FA">
      <w:pPr>
        <w:jc w:val="center"/>
        <w:rPr>
          <w:rFonts w:ascii="Book Antiqua" w:hAnsi="Book Antiqua"/>
        </w:rPr>
      </w:pPr>
    </w:p>
    <w:p w14:paraId="3E82845A" w14:textId="77777777" w:rsidR="00D554FA" w:rsidRDefault="00D554FA" w:rsidP="00D554FA">
      <w:pPr>
        <w:jc w:val="center"/>
        <w:rPr>
          <w:rFonts w:ascii="Book Antiqua" w:hAnsi="Book Antiqua"/>
        </w:rPr>
      </w:pPr>
    </w:p>
    <w:p w14:paraId="301C57A6" w14:textId="77777777" w:rsidR="00D554FA" w:rsidRDefault="00D554FA" w:rsidP="00D554FA">
      <w:pPr>
        <w:jc w:val="center"/>
        <w:rPr>
          <w:rFonts w:ascii="Book Antiqua" w:hAnsi="Book Antiqua"/>
        </w:rPr>
      </w:pPr>
    </w:p>
    <w:p w14:paraId="4A5B44CF" w14:textId="77777777" w:rsidR="00D554FA" w:rsidRDefault="00D554FA" w:rsidP="00D554FA">
      <w:pPr>
        <w:jc w:val="right"/>
        <w:rPr>
          <w:rFonts w:ascii="Book Antiqua" w:hAnsi="Book Antiqua"/>
          <w:color w:val="000000" w:themeColor="text1"/>
        </w:rPr>
      </w:pPr>
    </w:p>
    <w:p w14:paraId="2A6B9A4F" w14:textId="77777777" w:rsidR="00D554FA" w:rsidRDefault="00D554FA" w:rsidP="00D554FA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5F5962A9" w14:textId="77777777" w:rsidR="00EE1012" w:rsidRPr="00D554FA" w:rsidRDefault="00EE1012" w:rsidP="00BF61EF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EE1012" w:rsidRPr="00D554FA" w:rsidSect="00BD4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EBB6F" w14:textId="77777777" w:rsidR="000A1DA6" w:rsidRDefault="000A1DA6" w:rsidP="00BF61EF">
      <w:r>
        <w:separator/>
      </w:r>
    </w:p>
  </w:endnote>
  <w:endnote w:type="continuationSeparator" w:id="0">
    <w:p w14:paraId="63B4A90C" w14:textId="77777777" w:rsidR="000A1DA6" w:rsidRDefault="000A1DA6" w:rsidP="00BF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1208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7DF4A93" w14:textId="77777777" w:rsidR="00E11715" w:rsidRDefault="00E11715" w:rsidP="00BF61EF">
            <w:pPr>
              <w:pStyle w:val="a5"/>
              <w:jc w:val="right"/>
            </w:pPr>
            <w:r w:rsidRPr="00BF61E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BF61EF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BF61E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660465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18</w:t>
            </w:r>
            <w:r w:rsidRPr="00BF61E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BF61EF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BF61E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BF61EF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BF61E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660465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34</w:t>
            </w:r>
            <w:r w:rsidRPr="00BF61E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3CCA23" w14:textId="77777777" w:rsidR="00E11715" w:rsidRDefault="00E117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08179" w14:textId="77777777" w:rsidR="000A1DA6" w:rsidRDefault="000A1DA6" w:rsidP="00BF61EF">
      <w:r>
        <w:separator/>
      </w:r>
    </w:p>
  </w:footnote>
  <w:footnote w:type="continuationSeparator" w:id="0">
    <w:p w14:paraId="25F33B06" w14:textId="77777777" w:rsidR="000A1DA6" w:rsidRDefault="000A1DA6" w:rsidP="00BF6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31D24"/>
    <w:rsid w:val="00032378"/>
    <w:rsid w:val="00033CF7"/>
    <w:rsid w:val="000A1DA6"/>
    <w:rsid w:val="00101F1A"/>
    <w:rsid w:val="001C3BF0"/>
    <w:rsid w:val="001E4751"/>
    <w:rsid w:val="0023427F"/>
    <w:rsid w:val="002A6A57"/>
    <w:rsid w:val="002E7298"/>
    <w:rsid w:val="003B3955"/>
    <w:rsid w:val="003C0F7D"/>
    <w:rsid w:val="00444D75"/>
    <w:rsid w:val="004E6F20"/>
    <w:rsid w:val="00612D55"/>
    <w:rsid w:val="00630419"/>
    <w:rsid w:val="00660465"/>
    <w:rsid w:val="006C5AAE"/>
    <w:rsid w:val="006F265A"/>
    <w:rsid w:val="0070776B"/>
    <w:rsid w:val="007C6778"/>
    <w:rsid w:val="008B5651"/>
    <w:rsid w:val="00916A92"/>
    <w:rsid w:val="009610BB"/>
    <w:rsid w:val="009E2D36"/>
    <w:rsid w:val="009F02CB"/>
    <w:rsid w:val="00A77B3E"/>
    <w:rsid w:val="00A86A1B"/>
    <w:rsid w:val="00AA11AD"/>
    <w:rsid w:val="00AD6792"/>
    <w:rsid w:val="00B21CC9"/>
    <w:rsid w:val="00BD4851"/>
    <w:rsid w:val="00BF61EF"/>
    <w:rsid w:val="00C06BCB"/>
    <w:rsid w:val="00CA2A55"/>
    <w:rsid w:val="00CD23B2"/>
    <w:rsid w:val="00CE2190"/>
    <w:rsid w:val="00D237BC"/>
    <w:rsid w:val="00D554FA"/>
    <w:rsid w:val="00E11715"/>
    <w:rsid w:val="00EC7E79"/>
    <w:rsid w:val="00EE1012"/>
    <w:rsid w:val="00EF0646"/>
    <w:rsid w:val="00F40C8D"/>
    <w:rsid w:val="00FA3FE2"/>
    <w:rsid w:val="00FC4982"/>
    <w:rsid w:val="00FE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0B0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E1012"/>
    <w:rPr>
      <w:sz w:val="18"/>
      <w:szCs w:val="18"/>
    </w:rPr>
  </w:style>
  <w:style w:type="character" w:customStyle="1" w:styleId="Char">
    <w:name w:val="批注框文本 Char"/>
    <w:basedOn w:val="a0"/>
    <w:link w:val="a3"/>
    <w:rsid w:val="00EE1012"/>
    <w:rPr>
      <w:sz w:val="18"/>
      <w:szCs w:val="18"/>
    </w:rPr>
  </w:style>
  <w:style w:type="paragraph" w:styleId="a4">
    <w:name w:val="header"/>
    <w:basedOn w:val="a"/>
    <w:link w:val="Char0"/>
    <w:rsid w:val="00BF6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F61EF"/>
    <w:rPr>
      <w:sz w:val="18"/>
      <w:szCs w:val="18"/>
    </w:rPr>
  </w:style>
  <w:style w:type="paragraph" w:styleId="a5">
    <w:name w:val="footer"/>
    <w:basedOn w:val="a"/>
    <w:link w:val="Char1"/>
    <w:uiPriority w:val="99"/>
    <w:rsid w:val="00BF61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F61EF"/>
    <w:rPr>
      <w:sz w:val="18"/>
      <w:szCs w:val="18"/>
    </w:rPr>
  </w:style>
  <w:style w:type="character" w:styleId="a6">
    <w:name w:val="annotation reference"/>
    <w:basedOn w:val="a0"/>
    <w:rsid w:val="00F40C8D"/>
    <w:rPr>
      <w:sz w:val="21"/>
      <w:szCs w:val="21"/>
    </w:rPr>
  </w:style>
  <w:style w:type="paragraph" w:styleId="a7">
    <w:name w:val="annotation text"/>
    <w:basedOn w:val="a"/>
    <w:link w:val="Char2"/>
    <w:rsid w:val="00F40C8D"/>
  </w:style>
  <w:style w:type="character" w:customStyle="1" w:styleId="Char2">
    <w:name w:val="批注文字 Char"/>
    <w:basedOn w:val="a0"/>
    <w:link w:val="a7"/>
    <w:rsid w:val="00F40C8D"/>
    <w:rPr>
      <w:sz w:val="24"/>
      <w:szCs w:val="24"/>
    </w:rPr>
  </w:style>
  <w:style w:type="paragraph" w:styleId="a8">
    <w:name w:val="annotation subject"/>
    <w:basedOn w:val="a7"/>
    <w:next w:val="a7"/>
    <w:link w:val="Char3"/>
    <w:rsid w:val="00F40C8D"/>
    <w:rPr>
      <w:b/>
      <w:bCs/>
    </w:rPr>
  </w:style>
  <w:style w:type="character" w:customStyle="1" w:styleId="Char3">
    <w:name w:val="批注主题 Char"/>
    <w:basedOn w:val="Char2"/>
    <w:link w:val="a8"/>
    <w:rsid w:val="00F40C8D"/>
    <w:rPr>
      <w:b/>
      <w:bCs/>
      <w:sz w:val="24"/>
      <w:szCs w:val="24"/>
    </w:rPr>
  </w:style>
  <w:style w:type="character" w:styleId="a9">
    <w:name w:val="Hyperlink"/>
    <w:basedOn w:val="a0"/>
    <w:unhideWhenUsed/>
    <w:rsid w:val="00D55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E1012"/>
    <w:rPr>
      <w:sz w:val="18"/>
      <w:szCs w:val="18"/>
    </w:rPr>
  </w:style>
  <w:style w:type="character" w:customStyle="1" w:styleId="Char">
    <w:name w:val="批注框文本 Char"/>
    <w:basedOn w:val="a0"/>
    <w:link w:val="a3"/>
    <w:rsid w:val="00EE1012"/>
    <w:rPr>
      <w:sz w:val="18"/>
      <w:szCs w:val="18"/>
    </w:rPr>
  </w:style>
  <w:style w:type="paragraph" w:styleId="a4">
    <w:name w:val="header"/>
    <w:basedOn w:val="a"/>
    <w:link w:val="Char0"/>
    <w:rsid w:val="00BF6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F61EF"/>
    <w:rPr>
      <w:sz w:val="18"/>
      <w:szCs w:val="18"/>
    </w:rPr>
  </w:style>
  <w:style w:type="paragraph" w:styleId="a5">
    <w:name w:val="footer"/>
    <w:basedOn w:val="a"/>
    <w:link w:val="Char1"/>
    <w:uiPriority w:val="99"/>
    <w:rsid w:val="00BF61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F61EF"/>
    <w:rPr>
      <w:sz w:val="18"/>
      <w:szCs w:val="18"/>
    </w:rPr>
  </w:style>
  <w:style w:type="character" w:styleId="a6">
    <w:name w:val="annotation reference"/>
    <w:basedOn w:val="a0"/>
    <w:rsid w:val="00F40C8D"/>
    <w:rPr>
      <w:sz w:val="21"/>
      <w:szCs w:val="21"/>
    </w:rPr>
  </w:style>
  <w:style w:type="paragraph" w:styleId="a7">
    <w:name w:val="annotation text"/>
    <w:basedOn w:val="a"/>
    <w:link w:val="Char2"/>
    <w:rsid w:val="00F40C8D"/>
  </w:style>
  <w:style w:type="character" w:customStyle="1" w:styleId="Char2">
    <w:name w:val="批注文字 Char"/>
    <w:basedOn w:val="a0"/>
    <w:link w:val="a7"/>
    <w:rsid w:val="00F40C8D"/>
    <w:rPr>
      <w:sz w:val="24"/>
      <w:szCs w:val="24"/>
    </w:rPr>
  </w:style>
  <w:style w:type="paragraph" w:styleId="a8">
    <w:name w:val="annotation subject"/>
    <w:basedOn w:val="a7"/>
    <w:next w:val="a7"/>
    <w:link w:val="Char3"/>
    <w:rsid w:val="00F40C8D"/>
    <w:rPr>
      <w:b/>
      <w:bCs/>
    </w:rPr>
  </w:style>
  <w:style w:type="character" w:customStyle="1" w:styleId="Char3">
    <w:name w:val="批注主题 Char"/>
    <w:basedOn w:val="Char2"/>
    <w:link w:val="a8"/>
    <w:rsid w:val="00F40C8D"/>
    <w:rPr>
      <w:b/>
      <w:bCs/>
      <w:sz w:val="24"/>
      <w:szCs w:val="24"/>
    </w:rPr>
  </w:style>
  <w:style w:type="character" w:styleId="a9">
    <w:name w:val="Hyperlink"/>
    <w:basedOn w:val="a0"/>
    <w:unhideWhenUsed/>
    <w:rsid w:val="00D55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7642</Words>
  <Characters>43564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HP</cp:lastModifiedBy>
  <cp:revision>18</cp:revision>
  <dcterms:created xsi:type="dcterms:W3CDTF">2021-07-21T08:02:00Z</dcterms:created>
  <dcterms:modified xsi:type="dcterms:W3CDTF">2021-08-03T23:46:00Z</dcterms:modified>
</cp:coreProperties>
</file>