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84DB" w14:textId="4783C766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Name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Journal: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color w:val="000000"/>
        </w:rPr>
        <w:t>World</w:t>
      </w:r>
      <w:r w:rsidR="00BA6DB1" w:rsidRPr="00BA6DB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color w:val="000000"/>
        </w:rPr>
        <w:t>Journal</w:t>
      </w:r>
      <w:r w:rsidR="00BA6DB1" w:rsidRPr="00BA6DB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72258937" w14:textId="252F78E9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Manuscript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NO: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66448</w:t>
      </w:r>
    </w:p>
    <w:p w14:paraId="250E0402" w14:textId="58E85C21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Manuscript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Type: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SYSTEMATIC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REVIEWS</w:t>
      </w:r>
    </w:p>
    <w:p w14:paraId="25BC927A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4C0C50" w14:textId="1429655E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I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biomarker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strong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prognostic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mortality: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systematic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56814987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EEB289" w14:textId="2BD1A95B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Ashraf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Role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</w:p>
    <w:p w14:paraId="3843FA3A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E34F59" w14:textId="723B3A9D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A6DB1">
        <w:rPr>
          <w:rFonts w:ascii="Book Antiqua" w:eastAsia="Book Antiqua" w:hAnsi="Book Antiqua" w:cs="Book Antiqua"/>
          <w:color w:val="000000"/>
        </w:rPr>
        <w:t>Haleh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Ashraf,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Abbas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Soleimani,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Kazemi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saeid</w:t>
      </w:r>
      <w:proofErr w:type="spellEnd"/>
      <w:r w:rsidRPr="00BA6DB1">
        <w:rPr>
          <w:rFonts w:ascii="Book Antiqua" w:eastAsia="Book Antiqua" w:hAnsi="Book Antiqua" w:cs="Book Antiqua"/>
          <w:color w:val="000000"/>
        </w:rPr>
        <w:t>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Azadeh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Sadat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Naseri</w:t>
      </w:r>
      <w:proofErr w:type="spellEnd"/>
      <w:r w:rsidRPr="00BA6DB1">
        <w:rPr>
          <w:rFonts w:ascii="Book Antiqua" w:eastAsia="Book Antiqua" w:hAnsi="Book Antiqua" w:cs="Book Antiqua"/>
          <w:color w:val="000000"/>
        </w:rPr>
        <w:t>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Fazeleh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Majidi,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Niloufar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Peirovi</w:t>
      </w:r>
      <w:proofErr w:type="spellEnd"/>
      <w:r w:rsidRPr="00BA6DB1">
        <w:rPr>
          <w:rFonts w:ascii="Book Antiqua" w:eastAsia="Book Antiqua" w:hAnsi="Book Antiqua" w:cs="Book Antiqua"/>
          <w:color w:val="000000"/>
        </w:rPr>
        <w:t>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Shahrokh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Karbalai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Saleh</w:t>
      </w:r>
    </w:p>
    <w:p w14:paraId="0567DFBA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5A1A93" w14:textId="77777777" w:rsidR="00BA6DB1" w:rsidRPr="00BA6DB1" w:rsidRDefault="00BA6DB1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proofErr w:type="spellStart"/>
      <w:r w:rsidRPr="00BA6DB1">
        <w:rPr>
          <w:rFonts w:ascii="Book Antiqua" w:hAnsi="Book Antiqua"/>
          <w:b/>
          <w:bCs/>
          <w:color w:val="201F35"/>
        </w:rPr>
        <w:t>Haleh</w:t>
      </w:r>
      <w:proofErr w:type="spellEnd"/>
      <w:r w:rsidRPr="00BA6DB1">
        <w:rPr>
          <w:rFonts w:ascii="Book Antiqua" w:hAnsi="Book Antiqua"/>
          <w:b/>
          <w:bCs/>
          <w:color w:val="201F35"/>
        </w:rPr>
        <w:t xml:space="preserve"> Ashraf, Abbas Soleimani, Ali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Kazemi</w:t>
      </w:r>
      <w:proofErr w:type="spellEnd"/>
      <w:r w:rsidRPr="00BA6DB1"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saeid</w:t>
      </w:r>
      <w:proofErr w:type="spellEnd"/>
      <w:r w:rsidRPr="00BA6DB1">
        <w:rPr>
          <w:rFonts w:ascii="Book Antiqua" w:hAnsi="Book Antiqua"/>
          <w:b/>
          <w:bCs/>
          <w:color w:val="201F35"/>
        </w:rPr>
        <w:t xml:space="preserve">,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Azadeh</w:t>
      </w:r>
      <w:proofErr w:type="spellEnd"/>
      <w:r w:rsidRPr="00BA6DB1">
        <w:rPr>
          <w:rFonts w:ascii="Book Antiqua" w:hAnsi="Book Antiqua"/>
          <w:b/>
          <w:bCs/>
          <w:color w:val="201F35"/>
        </w:rPr>
        <w:t xml:space="preserve"> Sadat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Naseri</w:t>
      </w:r>
      <w:proofErr w:type="spellEnd"/>
      <w:r w:rsidRPr="00BA6DB1">
        <w:rPr>
          <w:rFonts w:ascii="Book Antiqua" w:hAnsi="Book Antiqua"/>
          <w:b/>
          <w:bCs/>
          <w:color w:val="201F35"/>
        </w:rPr>
        <w:t xml:space="preserve">,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Shahrokh</w:t>
      </w:r>
      <w:proofErr w:type="spellEnd"/>
      <w:r w:rsidRPr="00BA6DB1"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Karbalai</w:t>
      </w:r>
      <w:proofErr w:type="spellEnd"/>
      <w:r w:rsidRPr="00BA6DB1">
        <w:rPr>
          <w:rFonts w:ascii="Book Antiqua" w:hAnsi="Book Antiqua"/>
          <w:b/>
          <w:bCs/>
          <w:color w:val="201F35"/>
        </w:rPr>
        <w:t xml:space="preserve"> Saleh, </w:t>
      </w:r>
      <w:r w:rsidRPr="00BA6DB1">
        <w:rPr>
          <w:rFonts w:ascii="Book Antiqua" w:hAnsi="Book Antiqua"/>
          <w:color w:val="201F35"/>
        </w:rPr>
        <w:t>Department of Cardiology, Tehran University of Medical Sciences, Tehran 1136746911, Iran</w:t>
      </w:r>
    </w:p>
    <w:p w14:paraId="5E1DD76D" w14:textId="77777777" w:rsidR="00BA6DB1" w:rsidRPr="00BA6DB1" w:rsidRDefault="00BA6DB1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</w:p>
    <w:p w14:paraId="46D7EA86" w14:textId="0FDCC4E6" w:rsidR="00A77B3E" w:rsidRPr="00BA6DB1" w:rsidRDefault="00BA6DB1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proofErr w:type="spellStart"/>
      <w:r w:rsidRPr="00BA6DB1">
        <w:rPr>
          <w:rFonts w:ascii="Book Antiqua" w:hAnsi="Book Antiqua"/>
          <w:b/>
          <w:bCs/>
          <w:color w:val="201F35"/>
        </w:rPr>
        <w:t>Fazeleh</w:t>
      </w:r>
      <w:proofErr w:type="spellEnd"/>
      <w:r w:rsidRPr="00BA6DB1">
        <w:rPr>
          <w:rFonts w:ascii="Book Antiqua" w:hAnsi="Book Antiqua"/>
          <w:b/>
          <w:bCs/>
          <w:color w:val="201F35"/>
        </w:rPr>
        <w:t xml:space="preserve"> Majidi,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Niloufar</w:t>
      </w:r>
      <w:proofErr w:type="spellEnd"/>
      <w:r w:rsidRPr="00BA6DB1"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Peirovi</w:t>
      </w:r>
      <w:proofErr w:type="spellEnd"/>
      <w:r w:rsidRPr="00BA6DB1">
        <w:rPr>
          <w:rFonts w:ascii="Book Antiqua" w:hAnsi="Book Antiqua"/>
          <w:b/>
          <w:bCs/>
          <w:color w:val="201F35"/>
        </w:rPr>
        <w:t>, </w:t>
      </w:r>
      <w:proofErr w:type="spellStart"/>
      <w:r w:rsidRPr="00BA6DB1">
        <w:rPr>
          <w:rFonts w:ascii="Book Antiqua" w:hAnsi="Book Antiqua"/>
          <w:color w:val="201F35"/>
        </w:rPr>
        <w:t>Reserch</w:t>
      </w:r>
      <w:proofErr w:type="spellEnd"/>
      <w:r w:rsidRPr="00BA6DB1">
        <w:rPr>
          <w:rFonts w:ascii="Book Antiqua" w:hAnsi="Book Antiqua"/>
          <w:color w:val="201F35"/>
        </w:rPr>
        <w:t xml:space="preserve"> and Development Center, </w:t>
      </w:r>
      <w:proofErr w:type="spellStart"/>
      <w:r w:rsidRPr="00BA6DB1">
        <w:rPr>
          <w:rFonts w:ascii="Book Antiqua" w:hAnsi="Book Antiqua"/>
          <w:color w:val="201F35"/>
        </w:rPr>
        <w:t>Sina</w:t>
      </w:r>
      <w:proofErr w:type="spellEnd"/>
      <w:r w:rsidRPr="00BA6DB1">
        <w:rPr>
          <w:rFonts w:ascii="Book Antiqua" w:hAnsi="Book Antiqua"/>
          <w:color w:val="201F35"/>
        </w:rPr>
        <w:t xml:space="preserve"> Hospital, Tehran University of Medical Sciences, Tehran 1136746911, Iran</w:t>
      </w:r>
    </w:p>
    <w:p w14:paraId="237A55E4" w14:textId="77777777" w:rsidR="00BA6DB1" w:rsidRPr="00BA6DB1" w:rsidRDefault="00BA6DB1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4CF5E9" w14:textId="6C384582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Ashraf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Soleimani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Kazemi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saeid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Sadat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Naseri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Majidi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Peirovi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Karbalai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Saleh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contributed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equally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provided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critical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feedback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helped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shape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research,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analysis,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manuscript.</w:t>
      </w:r>
    </w:p>
    <w:p w14:paraId="7782E6AC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D85E6D" w14:textId="514B8522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b/>
          <w:bCs/>
          <w:color w:val="000000"/>
        </w:rPr>
        <w:t>Shahrokh</w:t>
      </w:r>
      <w:proofErr w:type="spellEnd"/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b/>
          <w:bCs/>
          <w:color w:val="000000"/>
        </w:rPr>
        <w:t>Karbalai</w:t>
      </w:r>
      <w:proofErr w:type="spellEnd"/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Saleh,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Department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Cardiology,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Tehran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University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Medical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Sciences,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Imam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Khomeini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Sina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Hospital,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Tehran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1136746911,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Iran.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saleh6948@yahoo.com</w:t>
      </w:r>
    </w:p>
    <w:p w14:paraId="4EAB64DF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49A0CC" w14:textId="2C6FCAA9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March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28,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2021</w:t>
      </w:r>
    </w:p>
    <w:p w14:paraId="43AA6729" w14:textId="58585CA5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July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2021</w:t>
      </w:r>
    </w:p>
    <w:p w14:paraId="7B445A72" w14:textId="59B5876E" w:rsidR="00A77B3E" w:rsidRPr="00612EAF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2EAF" w:rsidRPr="00612EAF">
        <w:rPr>
          <w:rFonts w:ascii="Book Antiqua" w:eastAsia="Book Antiqua" w:hAnsi="Book Antiqua" w:cs="Book Antiqua"/>
          <w:color w:val="000000"/>
        </w:rPr>
        <w:t>August 24, 2021</w:t>
      </w:r>
    </w:p>
    <w:p w14:paraId="084EBD5B" w14:textId="0C8DA9B5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4B8CA3B" w14:textId="77777777" w:rsidR="00BA6DB1" w:rsidRDefault="00BA6DB1" w:rsidP="00BA6D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6E0E346" w14:textId="77777777" w:rsidR="00BA6DB1" w:rsidRDefault="00BA6DB1" w:rsidP="00BA6D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64802A7" w14:textId="203330B9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Abstract</w:t>
      </w:r>
    </w:p>
    <w:p w14:paraId="139A79B1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BACKGROUND</w:t>
      </w:r>
    </w:p>
    <w:p w14:paraId="283B378B" w14:textId="6C95265D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circulating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blood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suffering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coronavirus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(COVID-19)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prognostic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poorer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</w:p>
    <w:p w14:paraId="02CEAAD6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7C9754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AIM</w:t>
      </w:r>
    </w:p>
    <w:p w14:paraId="3FC64537" w14:textId="03FFE636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literatures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approve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claim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systematically.</w:t>
      </w:r>
    </w:p>
    <w:p w14:paraId="345A1557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F17395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METHODS</w:t>
      </w:r>
    </w:p>
    <w:p w14:paraId="0FEC1830" w14:textId="0884061D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Two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blinded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reviewers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independently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screened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titles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abstracts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keywords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deeply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searching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databanks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PubMed,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SCOPUS,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Google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Scholar,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Web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knowledge,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followed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profoundly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appraisement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texts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appropriateness.</w:t>
      </w:r>
    </w:p>
    <w:p w14:paraId="6F68A30E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444414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RESULTS</w:t>
      </w:r>
    </w:p>
    <w:p w14:paraId="01F46DA4" w14:textId="2EF6D2D2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entered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final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categorized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two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10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describing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disease-related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complications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subgroups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serum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those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normal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ranges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biomarker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serum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concentration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across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non-survived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normal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markers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likelihood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[hazard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ratio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4.967,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0.001],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respiratory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distress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syndrome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5.914,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kidney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3.849,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intensive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unit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(ICU)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3.780,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following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pooled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analysis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significantly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concentration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marker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non-survived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(weighted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differences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22.278,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95%CI: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15.647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28.927,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0.001).</w:t>
      </w:r>
    </w:p>
    <w:p w14:paraId="191ECCCD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A38BFF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CONCLUSION</w:t>
      </w:r>
    </w:p>
    <w:p w14:paraId="163E96F9" w14:textId="6D52400A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Raising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linked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in-hospital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respiratory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distress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syndrome,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kidney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ICU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4.9,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5.9,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3.8,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times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those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initial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normal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concentration.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Thus,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baseline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prognostic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</w:p>
    <w:p w14:paraId="7A32800E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67A2BA" w14:textId="556727B6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Morbidity;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Cardiac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biomarker;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respiratory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distress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syndrome</w:t>
      </w:r>
      <w:proofErr w:type="gramEnd"/>
    </w:p>
    <w:p w14:paraId="68DAAD55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388825" w14:textId="29F4F74A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Ashraf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Soleimani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Kazemi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saeid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Sadat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Naseri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Majidi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Peirovi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Karbalai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Saleh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biomarker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prognostic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systematic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meta-analysis.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J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2021;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press</w:t>
      </w:r>
    </w:p>
    <w:p w14:paraId="1BCBCD5C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91F4B2" w14:textId="68B02608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systematically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literatures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claim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could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prognostic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coronavirus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2019.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According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findings,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regardless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history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myocardial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profile,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should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accurately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linked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in-hospital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respiratory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distress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syndrome,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kidney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intensive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unit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4.9,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5.9,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3.8,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times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those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initial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normal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concentration.</w:t>
      </w:r>
    </w:p>
    <w:p w14:paraId="1E654C4C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2CCE5C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4F57596" w14:textId="372BB102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new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coronavirus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known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coronavirus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(COVID-19)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(15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February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15)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infected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108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million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people,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leading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million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About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15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percent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experience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illness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resulting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percent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respiratory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syndrome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fever,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cough,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dyspnea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myalgia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1-4]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date,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confirmed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treatment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Therefore,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accurate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early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diagnosis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determination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prevent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further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progression.</w:t>
      </w:r>
    </w:p>
    <w:p w14:paraId="37ACF759" w14:textId="36BE517C" w:rsidR="00A77B3E" w:rsidRPr="00BA6DB1" w:rsidRDefault="00E96015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Along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respiratory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failure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prominent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debilitating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manifestation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multidimensional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organ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defects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detected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affected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certainly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resulting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from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virus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triggering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role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pro-inflammatory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cytokines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activation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secretion,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coagulation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abnormalities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complex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predispose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ischemic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thromboembolic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events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clinical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data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supported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link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infection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cardiac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cerebrovascular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ischemic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leading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disabilities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infection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suggested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promote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myocardial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leading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cardiac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arrhythmias,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myocardial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hypertrophy,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coronary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syndrome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heart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failure.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obvious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bidirectional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interaction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infection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however,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exact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mechanisms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responsible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defects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remains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elusive.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molecular-based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emphasize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central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role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pro-inflammatory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cascades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activation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interleukin-6,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interleukin-1beta,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tumor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necrosis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factor-α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flaring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events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specific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receptors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virus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ACE2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gateway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virus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enter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tissues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myocardium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seems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necessary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mentioned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injuries</w:t>
      </w:r>
      <w:r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evidence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close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association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effects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virus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underlying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hypertension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diabetes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ischemic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times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over.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body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evidence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highlights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ischemic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heart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myocardial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infarction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Pr="00BA6DB1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BA6DB1">
        <w:rPr>
          <w:rFonts w:ascii="Book Antiqua" w:eastAsia="Book Antiqua" w:hAnsi="Book Antiqua" w:cs="Book Antiqua"/>
          <w:color w:val="000000"/>
        </w:rPr>
        <w:t>.</w:t>
      </w:r>
    </w:p>
    <w:p w14:paraId="0199F4D7" w14:textId="40C11F07" w:rsidR="00A77B3E" w:rsidRPr="00BA6DB1" w:rsidRDefault="00E96015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Therefore,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relatively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prevalent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adversity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particularly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elderly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prior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predisposing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like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hypertension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diabetes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mellitus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lesions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ischemic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heart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attacks,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arrhythmias,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disorders.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regard,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considering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cardiac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biomarkers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marker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myocardial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damage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proven</w:t>
      </w:r>
      <w:r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BA6DB1">
        <w:rPr>
          <w:rFonts w:ascii="Book Antiqua" w:eastAsia="Book Antiqua" w:hAnsi="Book Antiqua" w:cs="Book Antiqua"/>
          <w:color w:val="000000"/>
        </w:rPr>
        <w:t>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seems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myocardial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arrhythmic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lesions,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marker.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circulating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blood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prognostic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mortality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systematically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literature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claim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could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prognostic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COVID-19.</w:t>
      </w:r>
    </w:p>
    <w:p w14:paraId="0A5297FA" w14:textId="77777777" w:rsidR="00A77B3E" w:rsidRPr="00BA6DB1" w:rsidRDefault="00A77B3E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D9D0A52" w14:textId="453E8564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A6DB1"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A6DB1"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CA1A91F" w14:textId="11CDE162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performing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systematic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meta-analysis,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guideline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“Preferred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Reporting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Items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Systematic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Meta-Analyses”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followed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first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step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after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explaining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study’s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question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specific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goals,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prospective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retrospective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comparative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evaluated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link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serum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two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parameters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considered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eligible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primary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assessment.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regard,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deeply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searching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databanks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PubMed,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SCOPUS,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Google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Scholar,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Web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knowledge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planned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from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inception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October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2020;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keywords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‘covid-19’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‘sars-cov-2’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‘2019-ncov’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‘troponin’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‘mortality’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‘death’.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searches,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papers,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presentations,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letter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editors,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abstracts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without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text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excluded.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Non-English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excluded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from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meta-analysis.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cases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lack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text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correspondence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made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author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charge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obtain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lack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original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removed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from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study.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done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two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blinded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reviewers,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screening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titles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abstracts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followed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profound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appraisement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texts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independently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appropriateness.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disagreement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judged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checked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again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another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last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arbiter.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eligibility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reasons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papers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schematically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Figure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hazard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blindly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two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authors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Cochrane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tool,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afore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finalizing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meta-analysis.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qualitatively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classified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uncertain,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low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bias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Accordingly,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following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domains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typically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specify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bias: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how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select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participants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(selection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bias),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how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perform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measurement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management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disease-related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in-hospital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how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manage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confounders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missing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data.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permanent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effects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random-effects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significant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heterogeneity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across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data)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models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obtained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pooled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relative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95%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confidence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interval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corresponding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A6DB1">
        <w:rPr>
          <w:rFonts w:ascii="Book Antiqua" w:eastAsia="Book Antiqua" w:hAnsi="Book Antiqua" w:cs="Book Antiqua"/>
          <w:color w:val="000000"/>
        </w:rPr>
        <w:t>-values)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obtained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pooled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dichotomous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data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difference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(MD)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incongruity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evaluated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determining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A6DB1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sensitivity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analysis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performed,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which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observational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critical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excluded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from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analysis.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Publication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appraised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rank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correlation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test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affirmed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funnel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plot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analysis.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Reported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two-tailed,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hypothesis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testing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results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assumed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statistically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significant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0.05.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Comprehensive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Meta-Analysis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Software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(CMA,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version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3.0)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statistical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analysis.</w:t>
      </w:r>
    </w:p>
    <w:p w14:paraId="50E1C45E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3731E4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081AAA1" w14:textId="581CD12E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selection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process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shown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Figure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field,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216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prepared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database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searching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beginning.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removed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137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duplicated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subject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systematic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first,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79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initially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under-screened.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Fifty-nine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excluded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based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titles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abstracts.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extant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specified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subsequent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eligibility.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excluded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because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data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contents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completed.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Eventually,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qualified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final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analysis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17-32]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Table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describes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baseline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characteristics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Evaluation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publication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systematic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demonstrated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approximately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supposed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low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unclear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biases;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hence,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obtained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results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could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considered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valid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supposed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(Figure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2).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</w:p>
    <w:p w14:paraId="697BC22C" w14:textId="0AD60B65" w:rsidR="00A77B3E" w:rsidRPr="00BA6DB1" w:rsidRDefault="00E96015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entered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final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categorized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two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10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describing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disease-related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complications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subgroups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serum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those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normal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ranges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biomarker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Fonts w:ascii="Book Antiqua" w:eastAsia="Book Antiqua" w:hAnsi="Book Antiqua" w:cs="Book Antiqua"/>
          <w:color w:val="000000"/>
          <w:vertAlign w:val="superscript"/>
        </w:rPr>
        <w:t>17-26]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serum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concentration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across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non-survived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groups</w:t>
      </w:r>
      <w:r w:rsidRPr="00BA6DB1">
        <w:rPr>
          <w:rFonts w:ascii="Book Antiqua" w:eastAsia="Book Antiqua" w:hAnsi="Book Antiqua" w:cs="Book Antiqua"/>
          <w:color w:val="000000"/>
          <w:vertAlign w:val="superscript"/>
        </w:rPr>
        <w:t>[18-33]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point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concerning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meta-analysis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first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different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laboratory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units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course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could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matched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through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unit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conversion.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However,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different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techniques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employed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assessment,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type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prospective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retrospective,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different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cutoff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considered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defining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abnormal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time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considering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patients’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follow-up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might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lead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heterogeneity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across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two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measured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meta-analysis.</w:t>
      </w:r>
    </w:p>
    <w:p w14:paraId="4BD4F87C" w14:textId="3C36C2A6" w:rsidR="00A77B3E" w:rsidRPr="00BA6DB1" w:rsidRDefault="00E96015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Overall,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10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early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morbidity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without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serum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(Table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1).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regard,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normal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range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4566)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1846).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average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age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participants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two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59.8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years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71.2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years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respectively.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First,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overall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serum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estimated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32.2%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(95%CI: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25.0%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40.5%)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admitted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hospitals.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normal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marker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(Table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likelihood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[hazard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ratio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4.967,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95%CI: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2.883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8.557,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0.001],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respiratory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distress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syndrome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(ARDS)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5.914,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95%CI: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3.027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11.555,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kidney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3.849,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95%CI: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3.112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4.760,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intensive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unit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(ICU)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3.780,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95%CI: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2.405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5.943,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following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abnormal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could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effectively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(Figure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3).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heterogeneity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across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relevant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A6DB1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ranged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74.877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91.317.</w:t>
      </w:r>
    </w:p>
    <w:p w14:paraId="444D9978" w14:textId="7A4C7114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second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concerning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difference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non-survived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suffering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(Table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3),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pooled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analysis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significantly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concentration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non-survived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(weighted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22.278,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95%CI: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15.647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28.927,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statistical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heterogeneity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significant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A6DB1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99.123.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significant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publication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evidenced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either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funnel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plot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asymmetry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Egger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test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comparative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analyses.</w:t>
      </w:r>
    </w:p>
    <w:p w14:paraId="70056410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DCA0FE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018E865" w14:textId="61921AD2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High-sensitive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known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specific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cardiac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biomarker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diagnosing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ischemic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cardiac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poorer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observations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among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critically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who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suffering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from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especially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those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who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require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intensive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suggested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marker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hospitalization.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regard,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recent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focused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point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initially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measuring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hospitalized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definitive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diagnosis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especially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occurring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in-hospital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certainly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possible.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shown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systematic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baseline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strongly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but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valuable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sequels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ARDS,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kidney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requiring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ICU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appearance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each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complications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indicators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(particularly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ICU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admission).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Therefore,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valuable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indicator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Overall,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indicated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meta-analysis,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linked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in-hospital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ARDS,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kidney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ICU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4.9,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5.9,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3.8,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times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those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initial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normal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concentration.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should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parameter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other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known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parameters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valuable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non-survived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those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disease-related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adverse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events.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Despite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demonstrating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poorer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results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exposed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heterogeneity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across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findings.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heterogeneity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explained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first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difference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insignificant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divergent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cutoff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points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defined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raising,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difference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baseline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characteristics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populations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especially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respect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profiles,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sample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size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time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patients’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following–up,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techniques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measuring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concentration.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However,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despite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heterogeneities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across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marker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should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considered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important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consequences.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meta-analysis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Lippi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i/>
          <w:iCs/>
          <w:color w:val="000000"/>
        </w:rPr>
        <w:t>et</w:t>
      </w:r>
      <w:r w:rsidR="00BA6DB1" w:rsidRPr="00BA6DB1">
        <w:rPr>
          <w:rStyle w:val="jlqj4b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A6DB1">
        <w:rPr>
          <w:rStyle w:val="jlqj4b"/>
          <w:rFonts w:ascii="Book Antiqua" w:eastAsia="Book Antiqua" w:hAnsi="Book Antiqua" w:cs="Book Antiqua"/>
          <w:i/>
          <w:iCs/>
          <w:color w:val="000000"/>
        </w:rPr>
        <w:t>al</w:t>
      </w:r>
      <w:r w:rsidR="00415F4C" w:rsidRPr="00BA6DB1">
        <w:rPr>
          <w:rStyle w:val="jlqj4b"/>
          <w:rFonts w:ascii="Book Antiqua" w:eastAsia="Book Antiqua" w:hAnsi="Book Antiqua" w:cs="Book Antiqua"/>
          <w:i/>
          <w:iCs/>
          <w:color w:val="000000"/>
          <w:vertAlign w:val="superscript"/>
        </w:rPr>
        <w:t>[</w:t>
      </w:r>
      <w:proofErr w:type="gramEnd"/>
      <w:r w:rsidRPr="00BA6DB1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33]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demonstrated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significant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association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elevated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level,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despite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their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high</w:t>
      </w:r>
      <w:r w:rsidR="00BA6DB1" w:rsidRPr="00BA6DB1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jlqj4b"/>
          <w:rFonts w:ascii="Book Antiqua" w:eastAsia="Book Antiqua" w:hAnsi="Book Antiqua" w:cs="Book Antiqua"/>
          <w:color w:val="000000"/>
        </w:rPr>
        <w:t>heterogeneity.</w:t>
      </w:r>
    </w:p>
    <w:p w14:paraId="16984668" w14:textId="638B3240" w:rsidR="00A77B3E" w:rsidRPr="00BA6DB1" w:rsidRDefault="00E96015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Regarding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association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probable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mechanisms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delivered.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Firstly,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revealed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rates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shown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closely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linked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6DB1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19]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respiratory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viral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infections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especially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when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lead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sepsis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also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associated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Recently,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quadrilateral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mediator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loop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revealed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describing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association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outcome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34,35]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four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loops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include: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(1)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Secretion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pro-inflammatory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cytokines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favored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ACE2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receptor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suppression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induced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oxidative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endothelial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dysfunction;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(2)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Microangiopathy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prothrombotic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states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usually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stimulated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both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oxidative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endothelial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dysfunction;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(3)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Myocardial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infarction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induced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directly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viral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invasion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inflammatory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cascades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activation;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(4)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Myocarditis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inflammatory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DB1">
        <w:rPr>
          <w:rFonts w:ascii="Book Antiqua" w:eastAsia="Book Antiqua" w:hAnsi="Book Antiqua" w:cs="Book Antiqua"/>
          <w:color w:val="000000"/>
        </w:rPr>
        <w:t>reactions</w:t>
      </w:r>
      <w:r w:rsidR="00415F4C" w:rsidRPr="00BA6DB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6DB1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36]</w:t>
      </w:r>
      <w:r w:rsidRPr="00BA6DB1">
        <w:rPr>
          <w:rFonts w:ascii="Book Antiqua" w:eastAsia="Book Antiqua" w:hAnsi="Book Antiqua" w:cs="Book Antiqua"/>
          <w:color w:val="000000"/>
        </w:rPr>
        <w:t>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</w:p>
    <w:p w14:paraId="6AD1C3D8" w14:textId="77777777" w:rsidR="00A77B3E" w:rsidRPr="00BA6DB1" w:rsidRDefault="00A77B3E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0C531AED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B3CA779" w14:textId="7072D05F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conclusion,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according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findings,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regardless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history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myocardial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profile,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should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accurately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because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morbidity.</w:t>
      </w:r>
    </w:p>
    <w:p w14:paraId="10F1C1B3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A0A381" w14:textId="3851EC34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A6DB1"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EAD5D8A" w14:textId="470AD493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BA6D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BEA2A28" w14:textId="5B357BFD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coronavirus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(COVID-19)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morbidity.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strongly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sequels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hgKElc"/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hgKElc"/>
          <w:rFonts w:ascii="Book Antiqua" w:eastAsia="Book Antiqua" w:hAnsi="Book Antiqua" w:cs="Book Antiqua"/>
          <w:color w:val="000000"/>
        </w:rPr>
        <w:t>respiratory</w:t>
      </w:r>
      <w:r w:rsidR="00BA6DB1" w:rsidRPr="00BA6DB1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hgKElc"/>
          <w:rFonts w:ascii="Book Antiqua" w:eastAsia="Book Antiqua" w:hAnsi="Book Antiqua" w:cs="Book Antiqua"/>
          <w:color w:val="000000"/>
        </w:rPr>
        <w:t>distress</w:t>
      </w:r>
      <w:r w:rsidR="00BA6DB1" w:rsidRPr="00BA6DB1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hgKElc"/>
          <w:rFonts w:ascii="Book Antiqua" w:eastAsia="Book Antiqua" w:hAnsi="Book Antiqua" w:cs="Book Antiqua"/>
          <w:color w:val="000000"/>
        </w:rPr>
        <w:t>syndrome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(ARDS),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kidney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hgKElc"/>
          <w:rFonts w:ascii="Book Antiqua" w:eastAsia="Book Antiqua" w:hAnsi="Book Antiqua" w:cs="Book Antiqua"/>
          <w:color w:val="000000"/>
        </w:rPr>
        <w:t>Intensive</w:t>
      </w:r>
      <w:r w:rsidR="00BA6DB1" w:rsidRPr="00BA6DB1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hgKElc"/>
          <w:rFonts w:ascii="Book Antiqua" w:eastAsia="Book Antiqua" w:hAnsi="Book Antiqua" w:cs="Book Antiqua"/>
          <w:color w:val="000000"/>
        </w:rPr>
        <w:t>care</w:t>
      </w:r>
      <w:r w:rsidR="00BA6DB1" w:rsidRPr="00BA6DB1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Style w:val="hgKElc"/>
          <w:rFonts w:ascii="Book Antiqua" w:eastAsia="Book Antiqua" w:hAnsi="Book Antiqua" w:cs="Book Antiqua"/>
          <w:color w:val="000000"/>
        </w:rPr>
        <w:t>units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(ICU)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requirement.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</w:p>
    <w:p w14:paraId="6160351E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E2B204" w14:textId="2D23292F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BA6D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DD40F6F" w14:textId="5CED6CE8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Accurate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early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diagnosis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determination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prevent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further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progression.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circulating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blood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suffering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prognostic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poorer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systematically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literatures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approve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claim.</w:t>
      </w:r>
    </w:p>
    <w:p w14:paraId="1B60CFD9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1265FC" w14:textId="61C6741C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BA6D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8DF708E" w14:textId="4F07F4DE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circulating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blood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patients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suffering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strong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prognostic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factor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poorer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outcome.</w:t>
      </w:r>
    </w:p>
    <w:p w14:paraId="4EEDC2BD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54AD9F" w14:textId="4F269F82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BA6D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59561E3" w14:textId="1CF7A194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Deeply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searching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databanks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planned.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evaluated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link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serum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two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parameters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severity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considered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eligible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primary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assessment.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papers,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presentations,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letter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editors,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non-English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studies,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abstracts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without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text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excluded.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done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two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blinded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reviewers,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screening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titles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abstracts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followed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profound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appraisement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full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texts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independently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inclusion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appropriateness.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disagreement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between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them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judged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checked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again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another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last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arbiter.</w:t>
      </w:r>
    </w:p>
    <w:p w14:paraId="5ED912FC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BA3F5D" w14:textId="537AE1CE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BA6D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C1DA941" w14:textId="0BA5C43B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Comparing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outcome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disease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normal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level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markers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increased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likelihood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death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[hazard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ratio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4.967,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0.001],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respiratory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distress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syndrome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5.914,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acute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kidney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3.849,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ICU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(HR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=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3.780,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following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raise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pooled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analysis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significantly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concentration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marker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compared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non-survived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group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(weighted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mean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differences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22.278,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95%CI: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15.647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28.927,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&lt;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0.001).</w:t>
      </w:r>
    </w:p>
    <w:p w14:paraId="08F2ED9F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92996B" w14:textId="690BCEC9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BA6D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514819B" w14:textId="60B29F86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conclusion,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according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our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findings,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regardless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history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myocardial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injuries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presence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risk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profile,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should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accurately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because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morbidity.</w:t>
      </w:r>
    </w:p>
    <w:p w14:paraId="4EBCC1B8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608257" w14:textId="464C4A25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BA6D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3751CEC" w14:textId="205C04B8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troponin-I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should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accurately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assessed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admission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because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high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predicting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value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COVID-19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related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mortality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morbidity.</w:t>
      </w:r>
    </w:p>
    <w:p w14:paraId="5EE350FD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A6F025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C57AD69" w14:textId="7A90179D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We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indebted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Research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Development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Center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Sina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Hospital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their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technical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help.</w:t>
      </w:r>
    </w:p>
    <w:p w14:paraId="1AA45330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181B33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REFERENCES</w:t>
      </w:r>
    </w:p>
    <w:p w14:paraId="2D6B5E03" w14:textId="6408BF59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1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World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Health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Organization</w:t>
      </w:r>
      <w:r w:rsidRPr="00BA6DB1">
        <w:rPr>
          <w:rFonts w:ascii="Book Antiqua" w:hAnsi="Book Antiqua"/>
          <w:color w:val="201F35"/>
        </w:rPr>
        <w:t>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Coronavirus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(COVID-19)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Weekly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Epidemiological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Update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Weekly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Operational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Update.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[cited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February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2021].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Available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from: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https://www.who.int/emergencies/diseases/novel-coronavirus-2019/situation-reports</w:t>
      </w:r>
    </w:p>
    <w:p w14:paraId="0B026F90" w14:textId="413DA52B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2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  <w:shd w:val="clear" w:color="auto" w:fill="FFFFFF"/>
        </w:rPr>
        <w:t>Guan</w:t>
      </w:r>
      <w:r w:rsidR="00BA6DB1" w:rsidRPr="00BA6DB1">
        <w:rPr>
          <w:rFonts w:ascii="Book Antiqua" w:hAnsi="Book Antiqua"/>
          <w:b/>
          <w:bCs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b/>
          <w:bCs/>
          <w:color w:val="201F35"/>
          <w:shd w:val="clear" w:color="auto" w:fill="FFFFFF"/>
        </w:rPr>
        <w:t>WJ</w:t>
      </w:r>
      <w:r w:rsidRPr="00BA6DB1">
        <w:rPr>
          <w:rFonts w:ascii="Book Antiqua" w:hAnsi="Book Antiqua"/>
          <w:color w:val="201F35"/>
          <w:shd w:val="clear" w:color="auto" w:fill="FFFFFF"/>
        </w:rPr>
        <w:t>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Ni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ZY,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Hu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Y,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Liang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WH,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proofErr w:type="spellStart"/>
      <w:r w:rsidRPr="00BA6DB1">
        <w:rPr>
          <w:rFonts w:ascii="Book Antiqua" w:hAnsi="Book Antiqua"/>
          <w:color w:val="201F35"/>
          <w:shd w:val="clear" w:color="auto" w:fill="FFFFFF"/>
        </w:rPr>
        <w:t>Ou</w:t>
      </w:r>
      <w:proofErr w:type="spellEnd"/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CQ,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He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JX,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Shan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H,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Lei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CL,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Hui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DSC,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Du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B,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Li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LJ,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Zeng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G,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Yuen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KY,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Chen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RC,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Tang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CL,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Wang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T,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Chen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PY,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Xiang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J,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Li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SY,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Wang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JL,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Liang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ZJ,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Peng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YX,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Wei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Y,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Hu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YH,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Peng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P,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Wang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JM,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JY,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Chen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Z,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Li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G,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Zheng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ZJ,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proofErr w:type="spellStart"/>
      <w:r w:rsidRPr="00BA6DB1">
        <w:rPr>
          <w:rFonts w:ascii="Book Antiqua" w:hAnsi="Book Antiqua"/>
          <w:color w:val="201F35"/>
          <w:shd w:val="clear" w:color="auto" w:fill="FFFFFF"/>
        </w:rPr>
        <w:t>Qiu</w:t>
      </w:r>
      <w:proofErr w:type="spellEnd"/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SQ,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Luo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J,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Ye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CJ,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Zhu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SY,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Zhong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NS;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China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Medical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Treatment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Expert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Group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for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Covid-19.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Clinical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Characteristics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of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Coronavirus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Disease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2019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in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China.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i/>
          <w:iCs/>
          <w:color w:val="201F35"/>
          <w:shd w:val="clear" w:color="auto" w:fill="FFFFFF"/>
        </w:rPr>
        <w:t>N</w:t>
      </w:r>
      <w:r w:rsidR="00BA6DB1" w:rsidRPr="00BA6DB1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  <w:shd w:val="clear" w:color="auto" w:fill="FFFFFF"/>
        </w:rPr>
        <w:t>Engl</w:t>
      </w:r>
      <w:proofErr w:type="spellEnd"/>
      <w:r w:rsidR="00BA6DB1" w:rsidRPr="00BA6DB1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i/>
          <w:iCs/>
          <w:color w:val="201F35"/>
          <w:shd w:val="clear" w:color="auto" w:fill="FFFFFF"/>
        </w:rPr>
        <w:t>J</w:t>
      </w:r>
      <w:r w:rsidR="00BA6DB1" w:rsidRPr="00BA6DB1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i/>
          <w:iCs/>
          <w:color w:val="201F35"/>
          <w:shd w:val="clear" w:color="auto" w:fill="FFFFFF"/>
        </w:rPr>
        <w:t>Med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2020;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b/>
          <w:bCs/>
          <w:color w:val="201F35"/>
          <w:shd w:val="clear" w:color="auto" w:fill="FFFFFF"/>
        </w:rPr>
        <w:t>382</w:t>
      </w:r>
      <w:r w:rsidRPr="00BA6DB1">
        <w:rPr>
          <w:rFonts w:ascii="Book Antiqua" w:hAnsi="Book Antiqua"/>
          <w:color w:val="201F35"/>
          <w:shd w:val="clear" w:color="auto" w:fill="FFFFFF"/>
        </w:rPr>
        <w:t>: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1708-1720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[PMID: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32109013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DOI: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10.1056/NEJMoa2002032]</w:t>
      </w:r>
    </w:p>
    <w:p w14:paraId="777E8BF3" w14:textId="00AA45CE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Yang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X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Shu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Xia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Zou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Yuan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Shang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Clinical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course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outcomes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critically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ill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SARS-CoV-2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pneumonia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Wuhan,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China: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single-centered,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retrospective,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observational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study.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Lancet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Respir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Med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8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475-481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32105632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10.1016/S2213-2600(20)30079-5]</w:t>
      </w:r>
    </w:p>
    <w:p w14:paraId="4CCBE2A9" w14:textId="29590EE3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4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Ai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T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Hou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Chen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Lv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Tao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Q,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Sun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Xia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Correlation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Chest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RT-PCR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Testing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Coronavirus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(COVID-19)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China: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Report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1014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Cases.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Radiology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296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E32-E40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32101510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10.1148/radiol.2020200642]</w:t>
      </w:r>
    </w:p>
    <w:p w14:paraId="44C35120" w14:textId="139B05FD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5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Tay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MZ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Poh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Rénia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MacAry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LFP.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trinity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immunity,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inflammation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intervention.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Nat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Rev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Immunol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20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363-374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32346093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10.1038/s41577-020-0311-8]</w:t>
      </w:r>
    </w:p>
    <w:p w14:paraId="140C0967" w14:textId="1D9B2E35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6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Bikdeli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B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Madhavan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MV,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Jimenez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Chuich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Dreyfus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Driggin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Nigoghossian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Ageno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Madjid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Guo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LV,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Giri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Cushman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Quéré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Dimakakos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EP,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Gibson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Lippi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Favaloro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Fareed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Caprini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Tafur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Burton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JR,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Francese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DP,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EY,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Falanga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McLintock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Hunt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Spyropoulos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AC,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Barnes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GD,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Eikelboom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JW,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Weinberg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Schulman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Carrier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Piazza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Beckman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Steg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PG,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Stone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GW,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Rosenkranz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Goldhaber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SZ,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Parikh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Monreal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Krumholz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Konstantinides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SV,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Weitz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JI,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Lip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GYH;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Global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Thrombosis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Collaborative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Group,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Endorsed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ISTH,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NATF,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ESVM,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IUA,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Supported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ESC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Working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Group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Pulmonary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Circulation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Right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Ventricular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Function.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Thrombotic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Thromboembolic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Implications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Prevention,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Antithrombotic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Therapy,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Follow-Up: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JACC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State-of-the-Art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Review.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Am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Coll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75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2950-2973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32311448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10.1016/j.jacc.2020.04.031]</w:t>
      </w:r>
    </w:p>
    <w:p w14:paraId="2CD1608D" w14:textId="78DA69F9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7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Connors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JM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Levy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JH.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Thromboinflammation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hypercoagulability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Thromb</w:t>
      </w:r>
      <w:proofErr w:type="spellEnd"/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Haemost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18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1559-1561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32302453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10.1111/jth.14849]</w:t>
      </w:r>
    </w:p>
    <w:p w14:paraId="7771DA89" w14:textId="67B3A001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8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Madjid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M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Safavi-Naeini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Solomon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SD,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Vardeny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Potential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Effects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Coronaviruses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Cardiovascular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System: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Review.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JAMA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831-840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32219363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10.1001/jamacardio.2020.1286]</w:t>
      </w:r>
    </w:p>
    <w:p w14:paraId="65D9A763" w14:textId="14BB7DDD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9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Clerkin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KJ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Fried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Raikhelkar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Sayer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Griffin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Masoumi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Jain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SS,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Burkhoff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Kumaraiah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Rabbani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Schwartz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Uriel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N.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gramStart"/>
      <w:r w:rsidRPr="00BA6DB1">
        <w:rPr>
          <w:rFonts w:ascii="Book Antiqua" w:hAnsi="Book Antiqua"/>
          <w:color w:val="201F35"/>
        </w:rPr>
        <w:t>Cardiovascular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</w:t>
      </w:r>
      <w:proofErr w:type="gramEnd"/>
      <w:r w:rsidRPr="00BA6DB1">
        <w:rPr>
          <w:rFonts w:ascii="Book Antiqua" w:hAnsi="Book Antiqua"/>
          <w:color w:val="201F35"/>
        </w:rPr>
        <w:t>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Circulation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141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1648-1655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32200663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10.1161/CIRCULATIONAHA.120.046941]</w:t>
      </w:r>
    </w:p>
    <w:p w14:paraId="69F77746" w14:textId="42755257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10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Riphagen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S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Gomez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Gonzalez-Martinez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Wilkinson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N,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Theocharis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Hyperinflammatory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shock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children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during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pandemic.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Lancet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395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1607-1608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32386565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10.1016/S0140-6736(20)31094-1]</w:t>
      </w:r>
    </w:p>
    <w:p w14:paraId="55A7B15D" w14:textId="5D14500F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11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Centers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for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Disease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Control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and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Prevention</w:t>
      </w:r>
      <w:r w:rsidRPr="00BA6DB1">
        <w:rPr>
          <w:rFonts w:ascii="Book Antiqua" w:hAnsi="Book Antiqua"/>
          <w:color w:val="201F35"/>
        </w:rPr>
        <w:t>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Underlying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Medical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Conditions.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[cited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February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2021].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Available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from: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https://cdc.gov/coronavirus/2019-ncov/hcp/clinical-care/underlyingconditions.html</w:t>
      </w:r>
    </w:p>
    <w:p w14:paraId="1D4C1D12" w14:textId="2483D49D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12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Wu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Z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McGoogan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JM.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Characteristics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Important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Lessons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gramStart"/>
      <w:r w:rsidRPr="00BA6DB1">
        <w:rPr>
          <w:rFonts w:ascii="Book Antiqua" w:hAnsi="Book Antiqua"/>
          <w:color w:val="201F35"/>
        </w:rPr>
        <w:t>From</w:t>
      </w:r>
      <w:proofErr w:type="gram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Coronavirus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(COVID-19)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Outbreak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China: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Summary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Report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72</w:t>
      </w:r>
      <w:r w:rsidRPr="00BA6DB1">
        <w:rPr>
          <w:rFonts w:ascii="Times New Roman" w:hAnsi="Times New Roman" w:cs="Times New Roman"/>
          <w:color w:val="201F35"/>
        </w:rPr>
        <w:t> </w:t>
      </w:r>
      <w:r w:rsidRPr="00BA6DB1">
        <w:rPr>
          <w:rFonts w:ascii="Book Antiqua" w:hAnsi="Book Antiqua"/>
          <w:color w:val="201F35"/>
        </w:rPr>
        <w:t>314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Cases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From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Chinese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Center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Control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Prevention.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JAMA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323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1239-1242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32091533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10.1001/jama.2020.2648]</w:t>
      </w:r>
    </w:p>
    <w:p w14:paraId="0C03FEAE" w14:textId="3642ADB7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13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Babapoor-Farrokhran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S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Gill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Walker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Rasekhi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RT,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Bozorgnia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Amanullah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Myocardial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injury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Possible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mechanisms.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Life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Sci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253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117723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32360126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10.1016/j.lfs.2020.117723]</w:t>
      </w:r>
    </w:p>
    <w:p w14:paraId="104E0319" w14:textId="2E7C5D1B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14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Salvatici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M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Barbieri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Cioffi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SMG,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Morenghi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Leone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FP,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Maura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Moriello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Sandri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MT.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Association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between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cardiac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troponin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mortality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Biomarkers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25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634-640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33003961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10.1080/1354750X.2020.1831609]</w:t>
      </w:r>
    </w:p>
    <w:p w14:paraId="1BD99E2A" w14:textId="1FEC628D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15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Liberati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A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Altman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DG,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Tetzlaff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Mulrow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Gøtzsche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PC,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Ioannidis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JP,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Clarke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Devereaux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PJ,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Kleijnen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Moher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PRISMA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statement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reporting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systematic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reviews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meta-analyses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studies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that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evaluate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healthcare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interventions: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explanation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elaboration.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BMJ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2009;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339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b2700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19622552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10.1136/</w:t>
      </w:r>
      <w:proofErr w:type="gramStart"/>
      <w:r w:rsidRPr="00BA6DB1">
        <w:rPr>
          <w:rFonts w:ascii="Book Antiqua" w:hAnsi="Book Antiqua"/>
          <w:color w:val="201F35"/>
        </w:rPr>
        <w:t>bmj.b</w:t>
      </w:r>
      <w:proofErr w:type="gramEnd"/>
      <w:r w:rsidRPr="00BA6DB1">
        <w:rPr>
          <w:rFonts w:ascii="Book Antiqua" w:hAnsi="Book Antiqua"/>
          <w:color w:val="201F35"/>
        </w:rPr>
        <w:t>2700]</w:t>
      </w:r>
    </w:p>
    <w:p w14:paraId="0695810F" w14:textId="1C3BB2DC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16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Higgins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Altman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Sterne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Chapter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8: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Assessing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risk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bias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included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studies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gramStart"/>
      <w:r w:rsidRPr="00BA6DB1">
        <w:rPr>
          <w:rFonts w:ascii="Book Antiqua" w:hAnsi="Book Antiqua"/>
          <w:color w:val="201F35"/>
        </w:rPr>
        <w:t>In</w:t>
      </w:r>
      <w:proofErr w:type="gramEnd"/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Higgins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JPT.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Cochrane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Handbook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systematic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reviews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interventions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version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6.2.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Cochrane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Collaboration,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2017: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520</w:t>
      </w:r>
      <w:r w:rsidR="00BA6DB1" w:rsidRPr="00BA6DB1">
        <w:rPr>
          <w:rFonts w:ascii="Book Antiqua" w:hAnsi="Book Antiqua"/>
          <w:color w:val="201F35"/>
        </w:rPr>
        <w:t xml:space="preserve"> </w:t>
      </w:r>
    </w:p>
    <w:p w14:paraId="3084E116" w14:textId="25781C94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17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Arcari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L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Luciani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Cacciotti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Musumeci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MB,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Spuntarelli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V,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Pistella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Martolini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Manzo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Pucci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Marone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Melandri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Ansalone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Santini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Martelletti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Volpe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De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Biase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Incidence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determinants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high-sensitivity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troponin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natriuretic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peptides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elevation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admission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hospitalized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pneumonia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Intern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Emerg</w:t>
      </w:r>
      <w:proofErr w:type="spellEnd"/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Med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15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1467-1476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32986136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10.1007/s11739-020-02498-7]</w:t>
      </w:r>
    </w:p>
    <w:p w14:paraId="74BBCB27" w14:textId="3601D368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18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Fan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ZX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Zheng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Xiang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ZJ,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Zhai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Jiang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Qiu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SQ,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Analysis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influencing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factors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related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elevated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serum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troponin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level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Yichang,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China.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Cardiovasc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Diagn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Ther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10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678-686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32968624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10.21037/cdt-20-510]</w:t>
      </w:r>
    </w:p>
    <w:p w14:paraId="636D7FEA" w14:textId="3EA7ADAF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Guo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T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Chen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Cardiovascular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Implications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Fatal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Outcomes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gramStart"/>
      <w:r w:rsidRPr="00BA6DB1">
        <w:rPr>
          <w:rFonts w:ascii="Book Antiqua" w:hAnsi="Book Antiqua"/>
          <w:color w:val="201F35"/>
        </w:rPr>
        <w:t>With</w:t>
      </w:r>
      <w:proofErr w:type="gram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Coronavirus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(COVID-19).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JAMA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811-818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32219356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10.1001/jamacardio.2020.1017]</w:t>
      </w:r>
    </w:p>
    <w:p w14:paraId="7AD131CF" w14:textId="37172557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20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Lala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A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Johnson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KW,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Januzzi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JL,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Russak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AJ,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Paranjpe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Richter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Zhao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Somani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Van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Vleck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Vaid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Chaudhry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Freitas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JK,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Fayad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Pinney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SP,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Levin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Charney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Bagiella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Narula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Glicksberg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Nadkarni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Mancini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Fuster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V;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Mount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Sinai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Informatics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Center.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Prevalence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Impact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Myocardial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Injury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Hospitalized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Infection.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Am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Coll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76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533-546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32517963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10.1016/j.jacc.2020.06.007]</w:t>
      </w:r>
    </w:p>
    <w:p w14:paraId="4670D16D" w14:textId="60A52F2F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21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Lombardi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CM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Carubelli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V,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Iorio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Inciardi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Bellasi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Canale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Camporotondo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Catagnano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Dalla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Vecchia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Giovinazzo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Maccagni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Mapelli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Margonato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Monzo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Nuzzi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V,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Oriecuia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Peveri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Pozzi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Provenzale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Sarullo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Tomasoni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Ameri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Gnecchi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Leonardi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Merlo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Agostoni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Carugo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Danzi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GB,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Guazzi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La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Rovere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MT,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Mortara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Piepoli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Porto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Sinagra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Volterrani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Specchia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Metra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Senni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Association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Troponin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Levels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Mortality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Italian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Hospitalized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Coronavirus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2019: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Results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Multicenter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Study.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JAMA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1274-1280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32845276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10.1001/jamacardio.2020.3538]</w:t>
      </w:r>
    </w:p>
    <w:p w14:paraId="711F2CEB" w14:textId="217032E4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22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Lorente</w:t>
      </w:r>
      <w:proofErr w:type="spellEnd"/>
      <w:r w:rsidRPr="00BA6DB1">
        <w:rPr>
          <w:rFonts w:ascii="Book Antiqua" w:hAnsi="Book Antiqua"/>
          <w:b/>
          <w:bCs/>
          <w:color w:val="201F35"/>
        </w:rPr>
        <w:t>-Ros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A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Monteagudo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Ruiz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Rincón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Ortega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Pérez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Rivas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Martínez-Moya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Sanromán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Manzano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Alonso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GL,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Ibáñez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Zamorano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JL.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Myocardial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injury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determination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improves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risk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stratification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predicts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mortality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patients.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27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489-496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32589258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10.5603/</w:t>
      </w:r>
      <w:proofErr w:type="gramStart"/>
      <w:r w:rsidRPr="00BA6DB1">
        <w:rPr>
          <w:rFonts w:ascii="Book Antiqua" w:hAnsi="Book Antiqua"/>
          <w:color w:val="201F35"/>
        </w:rPr>
        <w:t>CJ.a</w:t>
      </w:r>
      <w:proofErr w:type="gramEnd"/>
      <w:r w:rsidRPr="00BA6DB1">
        <w:rPr>
          <w:rFonts w:ascii="Book Antiqua" w:hAnsi="Book Antiqua"/>
          <w:color w:val="201F35"/>
        </w:rPr>
        <w:t>2020.0089]</w:t>
      </w:r>
    </w:p>
    <w:p w14:paraId="540B29E8" w14:textId="21A8167C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23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Raad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M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Dabbagh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Gorgis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Chehab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Dagher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Jamoor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K,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Hussein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Cook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Van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Harn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Singh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McCord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Parikh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Cardiac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Injury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Patterns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Inpatient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Outcomes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Among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Admitted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Am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133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154-161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32829913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10.1016/j.amjcard.2020.07.040]</w:t>
      </w:r>
    </w:p>
    <w:p w14:paraId="4B5390E8" w14:textId="58212EC2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24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Karbalai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Saleh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S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Oraii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Soleimani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Hadadi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Shajari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Montazeri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Moradi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Talebpour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Sadat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Naseri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Balali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Akhbari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Ashraf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association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between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cardiac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injury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outcomes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hospitalized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Intern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Emerg</w:t>
      </w:r>
      <w:proofErr w:type="spellEnd"/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Med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15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1415-1424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32772283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10.1007/s11739-020-02466-1]</w:t>
      </w:r>
    </w:p>
    <w:p w14:paraId="5FEAF623" w14:textId="57C0CB6D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25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Shah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P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Doshi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Chenna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Owens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Cobb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Ivey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Newton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Mccarley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K.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Prognostic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Value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Elevated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Cardiac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Troponin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Hospitalized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Am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135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150-153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32861733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10.1016/j.amjcard.2020.08.041]</w:t>
      </w:r>
    </w:p>
    <w:p w14:paraId="53F17F18" w14:textId="724DF29B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26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Singh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N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Anchan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RK,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Besser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SA,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Belkin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MN,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Cruz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MD,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Lee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Mehta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N,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Nguyen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AB,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Alenghat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FJ.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High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sensitivity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Troponin-T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prediction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adverse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events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Biomarkers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25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626-633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32981387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10.1080/1354750X.2020.1829056]</w:t>
      </w:r>
    </w:p>
    <w:p w14:paraId="72A5A883" w14:textId="772DE073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27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Aladağ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N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Atabey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RD.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role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concomitant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cardiovascular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cardiac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biomarkers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predicting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mortality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critical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Acta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2021;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76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132-139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32883169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10.1080/00015385.2020.1810914]</w:t>
      </w:r>
    </w:p>
    <w:p w14:paraId="583E9FE7" w14:textId="57289991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28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Deng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Q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Zhou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Cheng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Ping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Zhou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Q.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Suspected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myocardial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injury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Evidence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from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front-line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clinical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observation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Wuhan,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China.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Int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311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116-121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32291207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10.1016/j.ijcard.2020.03.087]</w:t>
      </w:r>
    </w:p>
    <w:p w14:paraId="75893390" w14:textId="4B32C45B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29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Nie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SF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Xie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Gao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XL,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Lv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SL,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Qiu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Liao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Zhou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Cheng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Cardiac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Troponin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Independent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Predictor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Mortality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Hospitalized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Circulation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142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608-610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32539541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10.1161/CIRCULATIONAHA.120.048789]</w:t>
      </w:r>
    </w:p>
    <w:p w14:paraId="2B8C0291" w14:textId="1215527C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30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Rath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D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Petersen-Uribe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Á,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Avdiu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Witzel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K,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Jaeger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Zdanyte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Heinzmann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Tavlaki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Müller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K,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Gawaz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MP.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Impaired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cardiac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function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associated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mortality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acute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infection.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Clin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Res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109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1491-1499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32537662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10.1007/s00392-020-01683-0]</w:t>
      </w:r>
    </w:p>
    <w:p w14:paraId="354B33D7" w14:textId="62AAA33E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31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Shi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S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Qin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Shen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Xiang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Zhao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Q,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Huang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Huang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Characteristics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clinical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significance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myocardial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injury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severe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coronavirus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2019.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Eur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Heart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41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2070-2079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32391877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10.1093/</w:t>
      </w:r>
      <w:proofErr w:type="spellStart"/>
      <w:r w:rsidRPr="00BA6DB1">
        <w:rPr>
          <w:rFonts w:ascii="Book Antiqua" w:hAnsi="Book Antiqua"/>
          <w:color w:val="201F35"/>
        </w:rPr>
        <w:t>eurheartj</w:t>
      </w:r>
      <w:proofErr w:type="spellEnd"/>
      <w:r w:rsidRPr="00BA6DB1">
        <w:rPr>
          <w:rFonts w:ascii="Book Antiqua" w:hAnsi="Book Antiqua"/>
          <w:color w:val="201F35"/>
        </w:rPr>
        <w:t>/ehaa408]</w:t>
      </w:r>
    </w:p>
    <w:p w14:paraId="21109DAB" w14:textId="1189BD00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  <w:shd w:val="clear" w:color="auto" w:fill="FFFFFF"/>
        </w:rPr>
      </w:pPr>
      <w:r w:rsidRPr="00BA6DB1">
        <w:rPr>
          <w:rFonts w:ascii="Book Antiqua" w:hAnsi="Book Antiqua"/>
          <w:color w:val="201F35"/>
        </w:rPr>
        <w:t>32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  <w:shd w:val="clear" w:color="auto" w:fill="FFFFFF"/>
        </w:rPr>
        <w:t>Yang</w:t>
      </w:r>
      <w:r w:rsidR="00BA6DB1" w:rsidRPr="00BA6DB1">
        <w:rPr>
          <w:rFonts w:ascii="Book Antiqua" w:hAnsi="Book Antiqua"/>
          <w:b/>
          <w:bCs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b/>
          <w:bCs/>
          <w:color w:val="201F35"/>
          <w:shd w:val="clear" w:color="auto" w:fill="FFFFFF"/>
        </w:rPr>
        <w:t>C</w:t>
      </w:r>
      <w:r w:rsidRPr="00BA6DB1">
        <w:rPr>
          <w:rFonts w:ascii="Book Antiqua" w:hAnsi="Book Antiqua"/>
          <w:color w:val="201F35"/>
          <w:shd w:val="clear" w:color="auto" w:fill="FFFFFF"/>
        </w:rPr>
        <w:t>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F,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W,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Cao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G,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J,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Huang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S,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Zhu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M,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Tu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Wang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J,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proofErr w:type="spellStart"/>
      <w:r w:rsidRPr="00BA6DB1">
        <w:rPr>
          <w:rFonts w:ascii="Book Antiqua" w:hAnsi="Book Antiqua"/>
          <w:color w:val="201F35"/>
          <w:shd w:val="clear" w:color="auto" w:fill="FFFFFF"/>
        </w:rPr>
        <w:t>Xiong</w:t>
      </w:r>
      <w:proofErr w:type="spellEnd"/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B.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Myocardial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injury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and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risk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factors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for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mortality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in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patients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with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COVID-19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pneumonia.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i/>
          <w:iCs/>
          <w:color w:val="201F35"/>
          <w:shd w:val="clear" w:color="auto" w:fill="FFFFFF"/>
        </w:rPr>
        <w:t>Int</w:t>
      </w:r>
      <w:r w:rsidR="00BA6DB1" w:rsidRPr="00BA6DB1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i/>
          <w:iCs/>
          <w:color w:val="201F35"/>
          <w:shd w:val="clear" w:color="auto" w:fill="FFFFFF"/>
        </w:rPr>
        <w:t>J</w:t>
      </w:r>
      <w:r w:rsidR="00BA6DB1" w:rsidRPr="00BA6DB1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  <w:shd w:val="clear" w:color="auto" w:fill="FFFFFF"/>
        </w:rPr>
        <w:t>Cardiol</w:t>
      </w:r>
      <w:proofErr w:type="spellEnd"/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2021;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b/>
          <w:bCs/>
          <w:color w:val="201F35"/>
          <w:shd w:val="clear" w:color="auto" w:fill="FFFFFF"/>
        </w:rPr>
        <w:t>326</w:t>
      </w:r>
      <w:r w:rsidRPr="00BA6DB1">
        <w:rPr>
          <w:rFonts w:ascii="Book Antiqua" w:hAnsi="Book Antiqua"/>
          <w:color w:val="201F35"/>
          <w:shd w:val="clear" w:color="auto" w:fill="FFFFFF"/>
        </w:rPr>
        <w:t>: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230-236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[PMID: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32979425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DOI:</w:t>
      </w:r>
      <w:r w:rsidR="00BA6DB1" w:rsidRPr="00BA6DB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BA6DB1">
        <w:rPr>
          <w:rFonts w:ascii="Book Antiqua" w:hAnsi="Book Antiqua"/>
          <w:color w:val="201F35"/>
          <w:shd w:val="clear" w:color="auto" w:fill="FFFFFF"/>
        </w:rPr>
        <w:t>10.1016/j.ijcard.2020.09.048]</w:t>
      </w:r>
    </w:p>
    <w:p w14:paraId="157D6571" w14:textId="0509CA87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33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Lippi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G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Lavie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CJ,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Sanchis-Gomar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Cardiac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troponin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coronavirus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(COVID-19):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Evidence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from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meta-analysis.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Prog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Cardiovasc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Dis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63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390-391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32169400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10.1016/j.pcad.2020.03.001]</w:t>
      </w:r>
    </w:p>
    <w:p w14:paraId="06A95BFF" w14:textId="5783445A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34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Shi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S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Qin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Shen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Gong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Zhao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Q,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Huang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Huang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Association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Cardiac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Injury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gramStart"/>
      <w:r w:rsidRPr="00BA6DB1">
        <w:rPr>
          <w:rFonts w:ascii="Book Antiqua" w:hAnsi="Book Antiqua"/>
          <w:color w:val="201F35"/>
        </w:rPr>
        <w:t>With</w:t>
      </w:r>
      <w:proofErr w:type="gram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Mortality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Hospitalized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Wuhan,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China.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JAMA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i/>
          <w:iCs/>
          <w:color w:val="201F35"/>
        </w:rPr>
        <w:t>Cardiol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802-810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32211816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10.1001/jamacardio.2020.0950]</w:t>
      </w:r>
    </w:p>
    <w:p w14:paraId="2A3B051A" w14:textId="1FBD1E03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35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Zhou</w:t>
      </w:r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F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Xiang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Song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Guan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Wei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Li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Xu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J,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Tu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Zhang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Y,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Chen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H,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Cao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B.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Clinical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course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and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risk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factors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for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mortality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of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adult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with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COVID-19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Wuhan,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China: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a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retrospective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cohort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study.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Lancet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395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1054-1062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32171076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10.1016/S0140-6736(20)30566-3]</w:t>
      </w:r>
    </w:p>
    <w:p w14:paraId="353F8A84" w14:textId="5ECB2EE6" w:rsidR="002268C9" w:rsidRPr="00BA6DB1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BA6DB1">
        <w:rPr>
          <w:rFonts w:ascii="Book Antiqua" w:hAnsi="Book Antiqua"/>
          <w:color w:val="201F35"/>
        </w:rPr>
        <w:t>36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b/>
          <w:bCs/>
          <w:color w:val="201F35"/>
        </w:rPr>
        <w:t>Tersalvi</w:t>
      </w:r>
      <w:proofErr w:type="spellEnd"/>
      <w:r w:rsidR="00BA6DB1" w:rsidRPr="00BA6DB1">
        <w:rPr>
          <w:rFonts w:ascii="Book Antiqua" w:hAnsi="Book Antiqua"/>
          <w:b/>
          <w:bCs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G</w:t>
      </w:r>
      <w:r w:rsidRPr="00BA6DB1">
        <w:rPr>
          <w:rFonts w:ascii="Book Antiqua" w:hAnsi="Book Antiqua"/>
          <w:color w:val="201F35"/>
        </w:rPr>
        <w:t>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Vicenzi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Calabretta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Biasco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L,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spellStart"/>
      <w:r w:rsidRPr="00BA6DB1">
        <w:rPr>
          <w:rFonts w:ascii="Book Antiqua" w:hAnsi="Book Antiqua"/>
          <w:color w:val="201F35"/>
        </w:rPr>
        <w:t>Pedrazzini</w:t>
      </w:r>
      <w:proofErr w:type="spell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G,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Winterton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Elevated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Troponin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in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Patients</w:t>
      </w:r>
      <w:r w:rsidR="00BA6DB1" w:rsidRPr="00BA6DB1">
        <w:rPr>
          <w:rFonts w:ascii="Book Antiqua" w:hAnsi="Book Antiqua"/>
          <w:color w:val="201F35"/>
        </w:rPr>
        <w:t xml:space="preserve"> </w:t>
      </w:r>
      <w:proofErr w:type="gramStart"/>
      <w:r w:rsidRPr="00BA6DB1">
        <w:rPr>
          <w:rFonts w:ascii="Book Antiqua" w:hAnsi="Book Antiqua"/>
          <w:color w:val="201F35"/>
        </w:rPr>
        <w:t>With</w:t>
      </w:r>
      <w:proofErr w:type="gramEnd"/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Coronavirus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Disease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2019: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Possible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Mechanisms.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J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Card</w:t>
      </w:r>
      <w:r w:rsidR="00BA6DB1" w:rsidRPr="00BA6DB1">
        <w:rPr>
          <w:rFonts w:ascii="Book Antiqua" w:hAnsi="Book Antiqua"/>
          <w:i/>
          <w:iCs/>
          <w:color w:val="201F35"/>
        </w:rPr>
        <w:t xml:space="preserve"> </w:t>
      </w:r>
      <w:r w:rsidRPr="00BA6DB1">
        <w:rPr>
          <w:rFonts w:ascii="Book Antiqua" w:hAnsi="Book Antiqua"/>
          <w:i/>
          <w:iCs/>
          <w:color w:val="201F35"/>
        </w:rPr>
        <w:t>Fail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2020;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b/>
          <w:bCs/>
          <w:color w:val="201F35"/>
        </w:rPr>
        <w:t>26</w:t>
      </w:r>
      <w:r w:rsidRPr="00BA6DB1">
        <w:rPr>
          <w:rFonts w:ascii="Book Antiqua" w:hAnsi="Book Antiqua"/>
          <w:color w:val="201F35"/>
        </w:rPr>
        <w:t>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470-475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[PMID: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32315733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DOI:</w:t>
      </w:r>
      <w:r w:rsidR="00BA6DB1" w:rsidRPr="00BA6DB1">
        <w:rPr>
          <w:rFonts w:ascii="Book Antiqua" w:hAnsi="Book Antiqua"/>
          <w:color w:val="201F35"/>
        </w:rPr>
        <w:t xml:space="preserve"> </w:t>
      </w:r>
      <w:r w:rsidRPr="00BA6DB1">
        <w:rPr>
          <w:rFonts w:ascii="Book Antiqua" w:hAnsi="Book Antiqua"/>
          <w:color w:val="201F35"/>
        </w:rPr>
        <w:t>10.1016/j.cardfail.2020.04.009]</w:t>
      </w:r>
    </w:p>
    <w:p w14:paraId="22019C01" w14:textId="7E89F339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CA92BA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A6DB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6BC489" w14:textId="7777777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Footnotes</w:t>
      </w:r>
    </w:p>
    <w:p w14:paraId="615F82E0" w14:textId="56A69906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authors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declare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conflicts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interest.</w:t>
      </w:r>
    </w:p>
    <w:p w14:paraId="282CB3AD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F5C7B1" w14:textId="1C702F9D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authors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have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read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PRISMA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2009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Checklist,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prepared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revised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according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PRISMA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2009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Checklist.</w:t>
      </w:r>
    </w:p>
    <w:p w14:paraId="50FAB4F4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FCE4CF" w14:textId="7EDB3E4D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A6DB1" w:rsidRPr="00BA6D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open-access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article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that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was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selected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in-house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editor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fully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peer-reviewed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external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reviewers.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distributed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accordance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with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Creative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Commons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Attribution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(CC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BY-NC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4.0)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license,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which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permits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others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to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distribute,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remix,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adapt,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build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upon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work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non-commercially,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license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their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derivative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works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on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different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terms,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provided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original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work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properly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cited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the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use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is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non-commercial.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See: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CE2AFD1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7FBDDE" w14:textId="3C3948BB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Manuscript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source: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Unsolicited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Manuscript</w:t>
      </w:r>
    </w:p>
    <w:p w14:paraId="52A3B86D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E71213" w14:textId="1CA78B8A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Peer-review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started: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March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28,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2021</w:t>
      </w:r>
    </w:p>
    <w:p w14:paraId="54AD52FE" w14:textId="54397D80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First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decision: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April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28,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2021</w:t>
      </w:r>
    </w:p>
    <w:p w14:paraId="1855D04A" w14:textId="3B1B4009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Article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in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press: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F245D95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26E789" w14:textId="66673ECB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Specialty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type: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Cardiac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and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Cardiovascular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Systems</w:t>
      </w:r>
    </w:p>
    <w:p w14:paraId="6C8D3468" w14:textId="731FFCA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Country/Territory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of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origin: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Iran</w:t>
      </w:r>
    </w:p>
    <w:p w14:paraId="0020581F" w14:textId="27E2B929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Peer-review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report’s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scientific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quality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E144BF" w14:textId="064669D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Grade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A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(Excellent):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</w:t>
      </w:r>
    </w:p>
    <w:p w14:paraId="24174907" w14:textId="5A52FF36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Grade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(Very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good):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B</w:t>
      </w:r>
    </w:p>
    <w:p w14:paraId="2C595A26" w14:textId="5CF6DFA7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Grade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(Good):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C</w:t>
      </w:r>
    </w:p>
    <w:p w14:paraId="7AE43E04" w14:textId="154D2374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Grade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(Fair):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</w:t>
      </w:r>
    </w:p>
    <w:p w14:paraId="212C13F8" w14:textId="3AA1BCA9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color w:val="000000"/>
        </w:rPr>
        <w:t>Grade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E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(Poor):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0</w:t>
      </w:r>
    </w:p>
    <w:p w14:paraId="3306D5F4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72D4DD" w14:textId="77777777" w:rsid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P-Reviewer: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Azarbakhsh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Peng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D,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DB1">
        <w:rPr>
          <w:rFonts w:ascii="Book Antiqua" w:eastAsia="Book Antiqua" w:hAnsi="Book Antiqua" w:cs="Book Antiqua"/>
          <w:color w:val="000000"/>
        </w:rPr>
        <w:t>Poggio</w:t>
      </w:r>
      <w:proofErr w:type="spellEnd"/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PD,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Wu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HHL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S-Editor: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Liu</w:t>
      </w:r>
      <w:r w:rsidR="00BA6DB1" w:rsidRPr="00BA6DB1">
        <w:rPr>
          <w:rFonts w:ascii="Book Antiqua" w:eastAsia="Book Antiqua" w:hAnsi="Book Antiqua" w:cs="Book Antiqua"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color w:val="000000"/>
        </w:rPr>
        <w:t>M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L-Editor: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P-Editor: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EB1C6C9" w14:textId="77777777" w:rsidR="00BA6DB1" w:rsidRDefault="00BA6DB1" w:rsidP="00BA6D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802A424" w14:textId="335CEB0B" w:rsidR="00A77B3E" w:rsidRPr="00BA6DB1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DB1">
        <w:rPr>
          <w:rFonts w:ascii="Book Antiqua" w:eastAsia="Book Antiqua" w:hAnsi="Book Antiqua" w:cs="Book Antiqua"/>
          <w:b/>
          <w:color w:val="000000"/>
        </w:rPr>
        <w:t>Figure</w:t>
      </w:r>
      <w:r w:rsidR="00BA6DB1" w:rsidRPr="00BA6DB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6DB1">
        <w:rPr>
          <w:rFonts w:ascii="Book Antiqua" w:eastAsia="Book Antiqua" w:hAnsi="Book Antiqua" w:cs="Book Antiqua"/>
          <w:b/>
          <w:color w:val="000000"/>
        </w:rPr>
        <w:t>Legends</w:t>
      </w:r>
    </w:p>
    <w:p w14:paraId="34387AEF" w14:textId="35AC1EE2" w:rsidR="002268C9" w:rsidRPr="00BA6DB1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A6DB1"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15673D7D" wp14:editId="165204AE">
            <wp:extent cx="4151630" cy="36657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30" cy="3671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D0F5EB" w14:textId="2B36552A" w:rsidR="002268C9" w:rsidRPr="00BA6DB1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  <w:color w:val="000000"/>
        </w:rPr>
      </w:pPr>
      <w:r w:rsidRPr="00BA6DB1">
        <w:rPr>
          <w:rFonts w:ascii="Book Antiqua" w:eastAsia="Calibri" w:hAnsi="Book Antiqua"/>
          <w:b/>
          <w:bCs/>
          <w:color w:val="000000"/>
        </w:rPr>
        <w:t>Figure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1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The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flowchart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of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screening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the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eligible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studies.</w:t>
      </w:r>
    </w:p>
    <w:p w14:paraId="6C772311" w14:textId="3B54BCA1" w:rsidR="002268C9" w:rsidRPr="00BA6DB1" w:rsidRDefault="002268C9" w:rsidP="00BA6DB1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  <w:r w:rsidRPr="00BA6DB1">
        <w:rPr>
          <w:rFonts w:ascii="Book Antiqua" w:eastAsia="Calibri" w:hAnsi="Book Antiqua"/>
          <w:color w:val="000000"/>
        </w:rPr>
        <w:br w:type="page"/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="003A290C" w:rsidRPr="00BA6DB1">
        <w:rPr>
          <w:rFonts w:ascii="Book Antiqua" w:eastAsia="Calibri" w:hAnsi="Book Antiqua"/>
          <w:noProof/>
          <w:color w:val="000000"/>
        </w:rPr>
        <w:drawing>
          <wp:inline distT="0" distB="0" distL="0" distR="0" wp14:anchorId="49418FD1" wp14:editId="6FFC3583">
            <wp:extent cx="5742940" cy="48647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00761" w14:textId="2FE1F5F4" w:rsidR="002268C9" w:rsidRPr="00BA6DB1" w:rsidRDefault="002268C9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eastAsia="zh-CN"/>
        </w:rPr>
      </w:pPr>
      <w:r w:rsidRPr="00BA6DB1">
        <w:rPr>
          <w:rFonts w:ascii="Book Antiqua" w:eastAsia="Calibri" w:hAnsi="Book Antiqua"/>
          <w:b/>
          <w:bCs/>
          <w:color w:val="000000"/>
        </w:rPr>
        <w:t>Figure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2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The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Assessment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of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the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risk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of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bias</w:t>
      </w:r>
      <w:r w:rsidRPr="00BA6DB1">
        <w:rPr>
          <w:rFonts w:ascii="Book Antiqua" w:hAnsi="Book Antiqua"/>
          <w:b/>
          <w:bCs/>
          <w:color w:val="000000"/>
          <w:lang w:eastAsia="zh-CN"/>
        </w:rPr>
        <w:t>.</w:t>
      </w:r>
    </w:p>
    <w:p w14:paraId="5CA7DDF7" w14:textId="77777777" w:rsidR="002268C9" w:rsidRPr="00BA6DB1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</w:rPr>
      </w:pPr>
      <w:r w:rsidRPr="00BA6DB1">
        <w:rPr>
          <w:rFonts w:ascii="Book Antiqua" w:eastAsia="Calibri" w:hAnsi="Book Antiqua"/>
          <w:color w:val="000000"/>
        </w:rPr>
        <w:br w:type="page"/>
      </w:r>
      <w:r w:rsidRPr="00BA6DB1">
        <w:rPr>
          <w:rFonts w:ascii="Book Antiqua" w:eastAsia="Calibri" w:hAnsi="Book Antiqua"/>
          <w:noProof/>
          <w:color w:val="000000"/>
        </w:rPr>
        <w:drawing>
          <wp:inline distT="0" distB="0" distL="0" distR="0" wp14:anchorId="198534DE" wp14:editId="2649E079">
            <wp:extent cx="3714659" cy="338000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82" cy="338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BD3BB" w14:textId="397CD1AF" w:rsidR="002268C9" w:rsidRPr="00BA6DB1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color w:val="000000"/>
        </w:rPr>
      </w:pPr>
      <w:r w:rsidRPr="00BA6DB1">
        <w:rPr>
          <w:rFonts w:ascii="Book Antiqua" w:eastAsia="Calibri" w:hAnsi="Book Antiqua"/>
          <w:b/>
          <w:bCs/>
          <w:color w:val="000000"/>
        </w:rPr>
        <w:t>Figure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3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The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hazard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ratio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in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BA6DB1">
        <w:rPr>
          <w:rFonts w:ascii="Book Antiqua" w:eastAsia="Calibri" w:hAnsi="Book Antiqua"/>
          <w:b/>
          <w:bCs/>
          <w:color w:val="000000"/>
        </w:rPr>
        <w:t>coronavirus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BA6DB1">
        <w:rPr>
          <w:rFonts w:ascii="Book Antiqua" w:eastAsia="Calibri" w:hAnsi="Book Antiqua"/>
          <w:b/>
          <w:bCs/>
          <w:color w:val="000000"/>
        </w:rPr>
        <w:t>disease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BA6DB1">
        <w:rPr>
          <w:rFonts w:ascii="Book Antiqua" w:eastAsia="Calibri" w:hAnsi="Book Antiqua"/>
          <w:b/>
          <w:bCs/>
          <w:color w:val="000000"/>
        </w:rPr>
        <w:t>2019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related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death.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A: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Acute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respiratory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distress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syndrome;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B: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Acute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kidney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injury;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C: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ICU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admission;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D: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In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the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group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with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raised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troponin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as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compared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to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group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with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normal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level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of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this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marker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in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pooled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assessment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of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the</w:t>
      </w:r>
      <w:r w:rsidR="00BA6DB1" w:rsidRPr="00BA6DB1">
        <w:rPr>
          <w:rFonts w:ascii="Book Antiqua" w:eastAsia="Calibri" w:hAnsi="Book Antiqua"/>
          <w:color w:val="000000"/>
        </w:rPr>
        <w:t xml:space="preserve"> </w:t>
      </w:r>
      <w:r w:rsidRPr="00BA6DB1">
        <w:rPr>
          <w:rFonts w:ascii="Book Antiqua" w:eastAsia="Calibri" w:hAnsi="Book Antiqua"/>
          <w:color w:val="000000"/>
        </w:rPr>
        <w:t>studies.</w:t>
      </w:r>
    </w:p>
    <w:p w14:paraId="2EFB42BE" w14:textId="6147DDFB" w:rsidR="00415F4C" w:rsidRPr="00BA6DB1" w:rsidRDefault="00415F4C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color w:val="000000"/>
        </w:rPr>
        <w:sectPr w:rsidR="00415F4C" w:rsidRPr="00BA6D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3C5015" w14:textId="7FC4FE70" w:rsidR="002268C9" w:rsidRPr="00BA6DB1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  <w:color w:val="000000"/>
        </w:rPr>
      </w:pPr>
      <w:r w:rsidRPr="00BA6DB1">
        <w:rPr>
          <w:rFonts w:ascii="Book Antiqua" w:eastAsia="Calibri" w:hAnsi="Book Antiqua"/>
          <w:b/>
          <w:bCs/>
          <w:color w:val="000000"/>
        </w:rPr>
        <w:t>Table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1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The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baseline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details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of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studies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included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in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our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meta-analysis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considering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the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groups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with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raised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and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normal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values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of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troponin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I</w:t>
      </w:r>
    </w:p>
    <w:tbl>
      <w:tblPr>
        <w:tblStyle w:val="ab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156"/>
        <w:gridCol w:w="2039"/>
        <w:gridCol w:w="1410"/>
        <w:gridCol w:w="1732"/>
        <w:gridCol w:w="1410"/>
      </w:tblGrid>
      <w:tr w:rsidR="002268C9" w:rsidRPr="00BA6DB1" w14:paraId="0A22FD37" w14:textId="77777777" w:rsidTr="00415F4C"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D92666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Ref.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A2D8C4" w14:textId="24242FA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Country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62BC82" w14:textId="610DAE7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Population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E690E1" w14:textId="537CDFAB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Mean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age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50F6C7" w14:textId="2F1E2669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Male/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>f</w:t>
            </w: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emale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1837D7" w14:textId="3EF6B6D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Cutoff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for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TnI</w:t>
            </w:r>
            <w:proofErr w:type="spellEnd"/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raising</w:t>
            </w:r>
          </w:p>
        </w:tc>
      </w:tr>
      <w:tr w:rsidR="002268C9" w:rsidRPr="00BA6DB1" w14:paraId="1AEDF9CE" w14:textId="77777777" w:rsidTr="00415F4C">
        <w:tc>
          <w:tcPr>
            <w:tcW w:w="862" w:type="pct"/>
            <w:tcBorders>
              <w:top w:val="single" w:sz="4" w:space="0" w:color="auto"/>
            </w:tcBorders>
            <w:hideMark/>
          </w:tcPr>
          <w:p w14:paraId="7B58CCBE" w14:textId="6884224A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Arcari</w:t>
            </w:r>
            <w:proofErr w:type="spellEnd"/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17]</w:t>
            </w:r>
          </w:p>
        </w:tc>
        <w:tc>
          <w:tcPr>
            <w:tcW w:w="618" w:type="pct"/>
            <w:tcBorders>
              <w:top w:val="single" w:sz="4" w:space="0" w:color="auto"/>
            </w:tcBorders>
            <w:hideMark/>
          </w:tcPr>
          <w:p w14:paraId="18B383D8" w14:textId="7C9B1E22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Italy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hideMark/>
          </w:tcPr>
          <w:p w14:paraId="39D5C1D2" w14:textId="0463338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39</w:t>
            </w:r>
          </w:p>
          <w:p w14:paraId="587972A6" w14:textId="20E0574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64</w:t>
            </w:r>
          </w:p>
        </w:tc>
        <w:tc>
          <w:tcPr>
            <w:tcW w:w="753" w:type="pct"/>
            <w:tcBorders>
              <w:top w:val="single" w:sz="4" w:space="0" w:color="auto"/>
            </w:tcBorders>
            <w:hideMark/>
          </w:tcPr>
          <w:p w14:paraId="46303095" w14:textId="7F8DCD46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66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17</w:t>
            </w:r>
          </w:p>
          <w:p w14:paraId="41C49BA5" w14:textId="381623D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79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</w:tcBorders>
            <w:hideMark/>
          </w:tcPr>
          <w:p w14:paraId="2E93E8C7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28/11</w:t>
            </w:r>
          </w:p>
          <w:p w14:paraId="7B55D9FB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19/45</w:t>
            </w:r>
          </w:p>
        </w:tc>
        <w:tc>
          <w:tcPr>
            <w:tcW w:w="753" w:type="pct"/>
            <w:tcBorders>
              <w:top w:val="single" w:sz="4" w:space="0" w:color="auto"/>
            </w:tcBorders>
            <w:hideMark/>
          </w:tcPr>
          <w:p w14:paraId="27985B29" w14:textId="151E661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14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pg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/m</w:t>
            </w:r>
            <w:r w:rsidR="00415F4C" w:rsidRPr="00BA6DB1">
              <w:rPr>
                <w:rFonts w:ascii="Book Antiqua" w:eastAsia="Calibri" w:hAnsi="Book Antiqua"/>
                <w:color w:val="000000"/>
              </w:rPr>
              <w:t>L</w:t>
            </w:r>
          </w:p>
        </w:tc>
      </w:tr>
      <w:tr w:rsidR="002268C9" w:rsidRPr="00BA6DB1" w14:paraId="2CE96874" w14:textId="77777777" w:rsidTr="00415F4C">
        <w:tc>
          <w:tcPr>
            <w:tcW w:w="862" w:type="pct"/>
            <w:hideMark/>
          </w:tcPr>
          <w:p w14:paraId="10FB1A92" w14:textId="6B1ECB4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Fan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18]</w:t>
            </w:r>
          </w:p>
        </w:tc>
        <w:tc>
          <w:tcPr>
            <w:tcW w:w="618" w:type="pct"/>
            <w:hideMark/>
          </w:tcPr>
          <w:p w14:paraId="0C370A57" w14:textId="2687D39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China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9" w:type="pct"/>
            <w:hideMark/>
          </w:tcPr>
          <w:p w14:paraId="36946108" w14:textId="0ED9EB4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67</w:t>
            </w:r>
          </w:p>
          <w:p w14:paraId="755B36EF" w14:textId="7CA7F70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22</w:t>
            </w:r>
          </w:p>
        </w:tc>
        <w:tc>
          <w:tcPr>
            <w:tcW w:w="753" w:type="pct"/>
            <w:hideMark/>
          </w:tcPr>
          <w:p w14:paraId="47577685" w14:textId="3DA0DA3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58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15</w:t>
            </w:r>
          </w:p>
          <w:p w14:paraId="016AA45C" w14:textId="6996CF7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71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12</w:t>
            </w:r>
          </w:p>
        </w:tc>
        <w:tc>
          <w:tcPr>
            <w:tcW w:w="925" w:type="pct"/>
            <w:hideMark/>
          </w:tcPr>
          <w:p w14:paraId="7330214E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38/29</w:t>
            </w:r>
          </w:p>
          <w:p w14:paraId="187A9CE8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11/11</w:t>
            </w:r>
          </w:p>
        </w:tc>
        <w:tc>
          <w:tcPr>
            <w:tcW w:w="753" w:type="pct"/>
            <w:hideMark/>
          </w:tcPr>
          <w:p w14:paraId="32E24121" w14:textId="519BF6F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0.01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μg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/L</w:t>
            </w:r>
          </w:p>
        </w:tc>
      </w:tr>
      <w:tr w:rsidR="002268C9" w:rsidRPr="00BA6DB1" w14:paraId="63637FFF" w14:textId="77777777" w:rsidTr="00415F4C">
        <w:tc>
          <w:tcPr>
            <w:tcW w:w="862" w:type="pct"/>
            <w:hideMark/>
          </w:tcPr>
          <w:p w14:paraId="1158FF56" w14:textId="1A2D81C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Guo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19]</w:t>
            </w:r>
          </w:p>
        </w:tc>
        <w:tc>
          <w:tcPr>
            <w:tcW w:w="618" w:type="pct"/>
            <w:hideMark/>
          </w:tcPr>
          <w:p w14:paraId="1E484DE0" w14:textId="1C15C34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China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9" w:type="pct"/>
            <w:hideMark/>
          </w:tcPr>
          <w:p w14:paraId="56E056BA" w14:textId="7265A165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135</w:t>
            </w:r>
          </w:p>
          <w:p w14:paraId="776BFAEE" w14:textId="10770DF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52</w:t>
            </w:r>
          </w:p>
        </w:tc>
        <w:tc>
          <w:tcPr>
            <w:tcW w:w="753" w:type="pct"/>
            <w:hideMark/>
          </w:tcPr>
          <w:p w14:paraId="048662BE" w14:textId="45941AC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53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</w:t>
            </w:r>
          </w:p>
          <w:p w14:paraId="3286C441" w14:textId="74EA7EC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71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9</w:t>
            </w:r>
          </w:p>
        </w:tc>
        <w:tc>
          <w:tcPr>
            <w:tcW w:w="925" w:type="pct"/>
            <w:hideMark/>
          </w:tcPr>
          <w:p w14:paraId="7723B20C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57/78</w:t>
            </w:r>
          </w:p>
          <w:p w14:paraId="2F727EA8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34/18</w:t>
            </w:r>
          </w:p>
        </w:tc>
        <w:tc>
          <w:tcPr>
            <w:tcW w:w="753" w:type="pct"/>
            <w:hideMark/>
          </w:tcPr>
          <w:p w14:paraId="5671B617" w14:textId="2E28B646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99</w:t>
            </w:r>
            <w:r w:rsidRPr="00BA6DB1">
              <w:rPr>
                <w:rFonts w:ascii="Book Antiqua" w:eastAsia="Calibri" w:hAnsi="Book Antiqua"/>
                <w:color w:val="000000"/>
                <w:vertAlign w:val="superscript"/>
              </w:rPr>
              <w:t>th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percentile</w:t>
            </w:r>
          </w:p>
        </w:tc>
      </w:tr>
      <w:tr w:rsidR="002268C9" w:rsidRPr="00BA6DB1" w14:paraId="59457C35" w14:textId="77777777" w:rsidTr="00415F4C">
        <w:tc>
          <w:tcPr>
            <w:tcW w:w="862" w:type="pct"/>
            <w:hideMark/>
          </w:tcPr>
          <w:p w14:paraId="7B324C33" w14:textId="4460911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Lala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20]</w:t>
            </w:r>
          </w:p>
        </w:tc>
        <w:tc>
          <w:tcPr>
            <w:tcW w:w="618" w:type="pct"/>
            <w:hideMark/>
          </w:tcPr>
          <w:p w14:paraId="53A23650" w14:textId="303674D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United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States</w:t>
            </w:r>
          </w:p>
        </w:tc>
        <w:tc>
          <w:tcPr>
            <w:tcW w:w="1089" w:type="pct"/>
            <w:hideMark/>
          </w:tcPr>
          <w:p w14:paraId="110A8996" w14:textId="6B8DAAA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2206</w:t>
            </w:r>
          </w:p>
          <w:p w14:paraId="5C4CEFE5" w14:textId="04B457D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530</w:t>
            </w:r>
          </w:p>
        </w:tc>
        <w:tc>
          <w:tcPr>
            <w:tcW w:w="753" w:type="pct"/>
            <w:hideMark/>
          </w:tcPr>
          <w:p w14:paraId="0E9C0B12" w14:textId="3A6E861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66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</w:t>
            </w:r>
          </w:p>
          <w:p w14:paraId="13617414" w14:textId="7D753B8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68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15</w:t>
            </w:r>
          </w:p>
        </w:tc>
        <w:tc>
          <w:tcPr>
            <w:tcW w:w="925" w:type="pct"/>
            <w:hideMark/>
          </w:tcPr>
          <w:p w14:paraId="1CAEE222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1312/894</w:t>
            </w:r>
          </w:p>
          <w:p w14:paraId="7C25F509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318/212</w:t>
            </w:r>
          </w:p>
        </w:tc>
        <w:tc>
          <w:tcPr>
            <w:tcW w:w="753" w:type="pct"/>
            <w:hideMark/>
          </w:tcPr>
          <w:p w14:paraId="57364D6F" w14:textId="189F0762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0.09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</w:tc>
      </w:tr>
      <w:tr w:rsidR="002268C9" w:rsidRPr="00BA6DB1" w14:paraId="5A4B717D" w14:textId="77777777" w:rsidTr="00415F4C">
        <w:tc>
          <w:tcPr>
            <w:tcW w:w="862" w:type="pct"/>
            <w:hideMark/>
          </w:tcPr>
          <w:p w14:paraId="59BAD1C6" w14:textId="0E1224E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Lombardi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eastAsia="Calibri" w:hAnsi="Book Antiqua"/>
                <w:color w:val="000000"/>
                <w:vertAlign w:val="superscript"/>
              </w:rPr>
              <w:t>21]</w:t>
            </w:r>
          </w:p>
        </w:tc>
        <w:tc>
          <w:tcPr>
            <w:tcW w:w="618" w:type="pct"/>
            <w:hideMark/>
          </w:tcPr>
          <w:p w14:paraId="6F0E6E92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Italy</w:t>
            </w:r>
          </w:p>
        </w:tc>
        <w:tc>
          <w:tcPr>
            <w:tcW w:w="1089" w:type="pct"/>
            <w:hideMark/>
          </w:tcPr>
          <w:p w14:paraId="17B4C87C" w14:textId="760C6CB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336</w:t>
            </w:r>
          </w:p>
          <w:p w14:paraId="0D7BF0D3" w14:textId="70EBC6A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278</w:t>
            </w:r>
          </w:p>
        </w:tc>
        <w:tc>
          <w:tcPr>
            <w:tcW w:w="753" w:type="pct"/>
            <w:hideMark/>
          </w:tcPr>
          <w:p w14:paraId="66D295D5" w14:textId="3E279FA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64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</w:t>
            </w:r>
          </w:p>
          <w:p w14:paraId="37CAFBA6" w14:textId="30F59A3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71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12</w:t>
            </w:r>
          </w:p>
        </w:tc>
        <w:tc>
          <w:tcPr>
            <w:tcW w:w="925" w:type="pct"/>
            <w:hideMark/>
          </w:tcPr>
          <w:p w14:paraId="0124DF08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234/102</w:t>
            </w:r>
          </w:p>
          <w:p w14:paraId="7E8CF392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201/77</w:t>
            </w:r>
          </w:p>
        </w:tc>
        <w:tc>
          <w:tcPr>
            <w:tcW w:w="753" w:type="pct"/>
            <w:hideMark/>
          </w:tcPr>
          <w:p w14:paraId="006914B1" w14:textId="6187C7A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99</w:t>
            </w:r>
            <w:r w:rsidRPr="00BA6DB1">
              <w:rPr>
                <w:rFonts w:ascii="Book Antiqua" w:eastAsia="Calibri" w:hAnsi="Book Antiqua"/>
                <w:color w:val="000000"/>
                <w:vertAlign w:val="superscript"/>
              </w:rPr>
              <w:t>th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percentile</w:t>
            </w:r>
          </w:p>
        </w:tc>
      </w:tr>
      <w:tr w:rsidR="002268C9" w:rsidRPr="00BA6DB1" w14:paraId="5D0F3DEC" w14:textId="77777777" w:rsidTr="00415F4C">
        <w:tc>
          <w:tcPr>
            <w:tcW w:w="862" w:type="pct"/>
            <w:hideMark/>
          </w:tcPr>
          <w:p w14:paraId="1B4DA22E" w14:textId="6AA6AD32" w:rsidR="002268C9" w:rsidRPr="00BA6DB1" w:rsidRDefault="003A290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Lorente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-Ros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="002268C9"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="002268C9" w:rsidRPr="00BA6DB1">
              <w:rPr>
                <w:rFonts w:ascii="Book Antiqua" w:hAnsi="Book Antiqua"/>
                <w:i/>
                <w:color w:val="000000"/>
              </w:rPr>
              <w:t>al</w:t>
            </w:r>
            <w:r w:rsidR="002268C9"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2268C9" w:rsidRPr="00BA6DB1">
              <w:rPr>
                <w:rFonts w:ascii="Book Antiqua" w:hAnsi="Book Antiqua"/>
                <w:color w:val="000000"/>
                <w:vertAlign w:val="superscript"/>
              </w:rPr>
              <w:t>22]</w:t>
            </w:r>
          </w:p>
        </w:tc>
        <w:tc>
          <w:tcPr>
            <w:tcW w:w="618" w:type="pct"/>
            <w:hideMark/>
          </w:tcPr>
          <w:p w14:paraId="0C537171" w14:textId="59D4A2F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Spain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9" w:type="pct"/>
            <w:hideMark/>
          </w:tcPr>
          <w:p w14:paraId="7833AE66" w14:textId="2D769C2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560</w:t>
            </w:r>
          </w:p>
          <w:p w14:paraId="71B681A7" w14:textId="40B6514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147</w:t>
            </w:r>
          </w:p>
        </w:tc>
        <w:tc>
          <w:tcPr>
            <w:tcW w:w="753" w:type="pct"/>
            <w:hideMark/>
          </w:tcPr>
          <w:p w14:paraId="0198D497" w14:textId="1D1A053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63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12</w:t>
            </w:r>
          </w:p>
          <w:p w14:paraId="5F204E24" w14:textId="1CDCEFB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78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14</w:t>
            </w:r>
          </w:p>
        </w:tc>
        <w:tc>
          <w:tcPr>
            <w:tcW w:w="925" w:type="pct"/>
            <w:hideMark/>
          </w:tcPr>
          <w:p w14:paraId="75629823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367/193</w:t>
            </w:r>
          </w:p>
          <w:p w14:paraId="627372F2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77/70</w:t>
            </w:r>
          </w:p>
        </w:tc>
        <w:tc>
          <w:tcPr>
            <w:tcW w:w="753" w:type="pct"/>
            <w:hideMark/>
          </w:tcPr>
          <w:p w14:paraId="020D8E0D" w14:textId="5FFC34C9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14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ng/L</w:t>
            </w:r>
          </w:p>
        </w:tc>
      </w:tr>
      <w:tr w:rsidR="002268C9" w:rsidRPr="00BA6DB1" w14:paraId="4E4BFAA8" w14:textId="77777777" w:rsidTr="00415F4C">
        <w:tc>
          <w:tcPr>
            <w:tcW w:w="862" w:type="pct"/>
            <w:hideMark/>
          </w:tcPr>
          <w:p w14:paraId="2CC75F3B" w14:textId="11CFD94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Raad</w:t>
            </w:r>
            <w:proofErr w:type="spellEnd"/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23]</w:t>
            </w:r>
          </w:p>
        </w:tc>
        <w:tc>
          <w:tcPr>
            <w:tcW w:w="618" w:type="pct"/>
            <w:hideMark/>
          </w:tcPr>
          <w:p w14:paraId="779D1267" w14:textId="643AE21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United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States</w:t>
            </w:r>
          </w:p>
        </w:tc>
        <w:tc>
          <w:tcPr>
            <w:tcW w:w="1089" w:type="pct"/>
            <w:hideMark/>
          </w:tcPr>
          <w:p w14:paraId="5FD7ED8E" w14:textId="3EE8ED3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630</w:t>
            </w:r>
          </w:p>
          <w:p w14:paraId="79C14F67" w14:textId="3A0812A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390</w:t>
            </w:r>
          </w:p>
        </w:tc>
        <w:tc>
          <w:tcPr>
            <w:tcW w:w="753" w:type="pct"/>
            <w:hideMark/>
          </w:tcPr>
          <w:p w14:paraId="08101510" w14:textId="1CC4FD5B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59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11</w:t>
            </w:r>
          </w:p>
          <w:p w14:paraId="6C04B6FD" w14:textId="45A564E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70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</w:t>
            </w:r>
          </w:p>
        </w:tc>
        <w:tc>
          <w:tcPr>
            <w:tcW w:w="925" w:type="pct"/>
            <w:hideMark/>
          </w:tcPr>
          <w:p w14:paraId="0BED0040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280/350</w:t>
            </w:r>
          </w:p>
          <w:p w14:paraId="1E2F3FF0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229/161</w:t>
            </w:r>
          </w:p>
        </w:tc>
        <w:tc>
          <w:tcPr>
            <w:tcW w:w="753" w:type="pct"/>
            <w:hideMark/>
          </w:tcPr>
          <w:p w14:paraId="15B4A5DE" w14:textId="73D7888B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18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ng/L</w:t>
            </w:r>
          </w:p>
        </w:tc>
      </w:tr>
      <w:tr w:rsidR="002268C9" w:rsidRPr="00BA6DB1" w14:paraId="28018445" w14:textId="77777777" w:rsidTr="00415F4C">
        <w:tc>
          <w:tcPr>
            <w:tcW w:w="862" w:type="pct"/>
            <w:hideMark/>
          </w:tcPr>
          <w:p w14:paraId="53DBE409" w14:textId="6F544395" w:rsidR="002268C9" w:rsidRPr="00BA6DB1" w:rsidRDefault="003A290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Karbalai</w:t>
            </w:r>
            <w:proofErr w:type="spellEnd"/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Saleh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2268C9"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="002268C9" w:rsidRPr="00BA6DB1">
              <w:rPr>
                <w:rFonts w:ascii="Book Antiqua" w:hAnsi="Book Antiqua"/>
                <w:i/>
                <w:color w:val="000000"/>
              </w:rPr>
              <w:t>al</w:t>
            </w:r>
            <w:r w:rsidR="002268C9"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2268C9" w:rsidRPr="00BA6DB1">
              <w:rPr>
                <w:rFonts w:ascii="Book Antiqua" w:hAnsi="Book Antiqua"/>
                <w:color w:val="000000"/>
                <w:vertAlign w:val="superscript"/>
              </w:rPr>
              <w:t>24]</w:t>
            </w:r>
          </w:p>
        </w:tc>
        <w:tc>
          <w:tcPr>
            <w:tcW w:w="618" w:type="pct"/>
            <w:hideMark/>
          </w:tcPr>
          <w:p w14:paraId="35C8016A" w14:textId="504056A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Iran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9" w:type="pct"/>
            <w:hideMark/>
          </w:tcPr>
          <w:p w14:paraId="54EB18AC" w14:textId="0421A4E5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271</w:t>
            </w:r>
          </w:p>
          <w:p w14:paraId="5A1E5E2B" w14:textId="287C23F9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115</w:t>
            </w:r>
          </w:p>
        </w:tc>
        <w:tc>
          <w:tcPr>
            <w:tcW w:w="753" w:type="pct"/>
            <w:hideMark/>
          </w:tcPr>
          <w:p w14:paraId="5A0F6FBC" w14:textId="536BF1F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57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15</w:t>
            </w:r>
          </w:p>
          <w:p w14:paraId="1D3E7084" w14:textId="55BC3A5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65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15</w:t>
            </w:r>
          </w:p>
        </w:tc>
        <w:tc>
          <w:tcPr>
            <w:tcW w:w="925" w:type="pct"/>
            <w:hideMark/>
          </w:tcPr>
          <w:p w14:paraId="7F6F3D09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167/104</w:t>
            </w:r>
          </w:p>
          <w:p w14:paraId="69856E3D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69/46</w:t>
            </w:r>
          </w:p>
        </w:tc>
        <w:tc>
          <w:tcPr>
            <w:tcW w:w="753" w:type="pct"/>
            <w:hideMark/>
          </w:tcPr>
          <w:p w14:paraId="3EE3109F" w14:textId="7BEC93C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99</w:t>
            </w:r>
            <w:r w:rsidRPr="00BA6DB1">
              <w:rPr>
                <w:rFonts w:ascii="Book Antiqua" w:eastAsia="Calibri" w:hAnsi="Book Antiqua"/>
                <w:color w:val="000000"/>
                <w:vertAlign w:val="superscript"/>
              </w:rPr>
              <w:t>th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percentile</w:t>
            </w:r>
          </w:p>
        </w:tc>
      </w:tr>
      <w:tr w:rsidR="002268C9" w:rsidRPr="00BA6DB1" w14:paraId="79C2EE8B" w14:textId="77777777" w:rsidTr="00415F4C">
        <w:tc>
          <w:tcPr>
            <w:tcW w:w="862" w:type="pct"/>
            <w:hideMark/>
          </w:tcPr>
          <w:p w14:paraId="5D3C231B" w14:textId="70544EF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Shah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25]</w:t>
            </w:r>
          </w:p>
        </w:tc>
        <w:tc>
          <w:tcPr>
            <w:tcW w:w="618" w:type="pct"/>
            <w:hideMark/>
          </w:tcPr>
          <w:p w14:paraId="671BAD0E" w14:textId="099DC2B2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United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States</w:t>
            </w:r>
          </w:p>
        </w:tc>
        <w:tc>
          <w:tcPr>
            <w:tcW w:w="1089" w:type="pct"/>
            <w:hideMark/>
          </w:tcPr>
          <w:p w14:paraId="2BCAE1A8" w14:textId="562D68E2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193</w:t>
            </w:r>
          </w:p>
          <w:p w14:paraId="213FAF44" w14:textId="4431A89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116</w:t>
            </w:r>
          </w:p>
        </w:tc>
        <w:tc>
          <w:tcPr>
            <w:tcW w:w="753" w:type="pct"/>
            <w:hideMark/>
          </w:tcPr>
          <w:p w14:paraId="23339740" w14:textId="2E9B551A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59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14</w:t>
            </w:r>
          </w:p>
          <w:p w14:paraId="0D3E3A09" w14:textId="43FDBE22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68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14</w:t>
            </w:r>
          </w:p>
        </w:tc>
        <w:tc>
          <w:tcPr>
            <w:tcW w:w="925" w:type="pct"/>
            <w:hideMark/>
          </w:tcPr>
          <w:p w14:paraId="27451F32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70/123</w:t>
            </w:r>
          </w:p>
          <w:p w14:paraId="21CA9649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62/54</w:t>
            </w:r>
          </w:p>
        </w:tc>
        <w:tc>
          <w:tcPr>
            <w:tcW w:w="753" w:type="pct"/>
            <w:hideMark/>
          </w:tcPr>
          <w:p w14:paraId="73F42F2E" w14:textId="129B11C5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0.05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</w:tc>
      </w:tr>
      <w:tr w:rsidR="002268C9" w:rsidRPr="00BA6DB1" w14:paraId="1856F001" w14:textId="77777777" w:rsidTr="00415F4C">
        <w:tc>
          <w:tcPr>
            <w:tcW w:w="862" w:type="pct"/>
            <w:hideMark/>
          </w:tcPr>
          <w:p w14:paraId="46464DFF" w14:textId="0AF5C829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Singh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26]</w:t>
            </w:r>
          </w:p>
        </w:tc>
        <w:tc>
          <w:tcPr>
            <w:tcW w:w="618" w:type="pct"/>
            <w:hideMark/>
          </w:tcPr>
          <w:p w14:paraId="122B0116" w14:textId="04D38C1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United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States</w:t>
            </w:r>
          </w:p>
        </w:tc>
        <w:tc>
          <w:tcPr>
            <w:tcW w:w="1089" w:type="pct"/>
            <w:hideMark/>
          </w:tcPr>
          <w:p w14:paraId="16D56D7B" w14:textId="272ABF89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129</w:t>
            </w:r>
          </w:p>
          <w:p w14:paraId="14D5BBE9" w14:textId="24705A3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132</w:t>
            </w:r>
          </w:p>
        </w:tc>
        <w:tc>
          <w:tcPr>
            <w:tcW w:w="753" w:type="pct"/>
            <w:hideMark/>
          </w:tcPr>
          <w:p w14:paraId="6696A445" w14:textId="6E23EFC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53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11</w:t>
            </w:r>
          </w:p>
          <w:p w14:paraId="3C28E7F9" w14:textId="67EF4AC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71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12</w:t>
            </w:r>
          </w:p>
        </w:tc>
        <w:tc>
          <w:tcPr>
            <w:tcW w:w="925" w:type="pct"/>
            <w:hideMark/>
          </w:tcPr>
          <w:p w14:paraId="08580D6F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54/75</w:t>
            </w:r>
          </w:p>
          <w:p w14:paraId="350803DD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70/62</w:t>
            </w:r>
          </w:p>
        </w:tc>
        <w:tc>
          <w:tcPr>
            <w:tcW w:w="753" w:type="pct"/>
          </w:tcPr>
          <w:p w14:paraId="0F88F308" w14:textId="770BB4C5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17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ng/L</w:t>
            </w:r>
          </w:p>
          <w:p w14:paraId="13E020CC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</w:tbl>
    <w:p w14:paraId="5A420B30" w14:textId="2DC026BC" w:rsidR="002268C9" w:rsidRPr="00BA6DB1" w:rsidRDefault="00BA6DB1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color w:val="000000"/>
        </w:rPr>
      </w:pPr>
      <w:r w:rsidRPr="00BA6DB1">
        <w:rPr>
          <w:rFonts w:ascii="Book Antiqua" w:eastAsia="Calibri" w:hAnsi="Book Antiqua"/>
          <w:color w:val="000000"/>
        </w:rPr>
        <w:t xml:space="preserve"> </w:t>
      </w:r>
    </w:p>
    <w:p w14:paraId="32B40C73" w14:textId="2AF46182" w:rsidR="002268C9" w:rsidRPr="00BA6DB1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  <w:color w:val="000000"/>
        </w:rPr>
      </w:pPr>
      <w:r w:rsidRPr="00BA6DB1">
        <w:rPr>
          <w:rFonts w:ascii="Book Antiqua" w:eastAsia="Calibri" w:hAnsi="Book Antiqua"/>
          <w:color w:val="000000"/>
        </w:rPr>
        <w:br w:type="page"/>
      </w:r>
      <w:r w:rsidRPr="00BA6DB1">
        <w:rPr>
          <w:rFonts w:ascii="Book Antiqua" w:eastAsia="Calibri" w:hAnsi="Book Antiqua"/>
          <w:b/>
          <w:bCs/>
          <w:color w:val="000000"/>
        </w:rPr>
        <w:t>Table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2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The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outcome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of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BA6DB1">
        <w:rPr>
          <w:rFonts w:ascii="Book Antiqua" w:eastAsia="Calibri" w:hAnsi="Book Antiqua"/>
          <w:b/>
          <w:bCs/>
          <w:color w:val="000000"/>
        </w:rPr>
        <w:t>coronavirus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BA6DB1">
        <w:rPr>
          <w:rFonts w:ascii="Book Antiqua" w:eastAsia="Calibri" w:hAnsi="Book Antiqua"/>
          <w:b/>
          <w:bCs/>
          <w:color w:val="000000"/>
        </w:rPr>
        <w:t>disease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BA6DB1">
        <w:rPr>
          <w:rFonts w:ascii="Book Antiqua" w:eastAsia="Calibri" w:hAnsi="Book Antiqua"/>
          <w:b/>
          <w:bCs/>
          <w:color w:val="000000"/>
        </w:rPr>
        <w:t>2019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considering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the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groups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with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raised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and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normal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values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of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troponin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</w:p>
    <w:tbl>
      <w:tblPr>
        <w:tblStyle w:val="ab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486"/>
        <w:gridCol w:w="1647"/>
        <w:gridCol w:w="1572"/>
        <w:gridCol w:w="1572"/>
        <w:gridCol w:w="1571"/>
      </w:tblGrid>
      <w:tr w:rsidR="002268C9" w:rsidRPr="00BA6DB1" w14:paraId="15278501" w14:textId="77777777" w:rsidTr="00415F4C"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4E73B7" w14:textId="143F76A6" w:rsidR="002268C9" w:rsidRPr="00BA6DB1" w:rsidRDefault="00415F4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R</w:t>
            </w:r>
            <w:r w:rsidRPr="00BA6DB1">
              <w:rPr>
                <w:rFonts w:ascii="Book Antiqua" w:eastAsiaTheme="minorEastAsia" w:hAnsi="Book Antiqua"/>
                <w:b/>
                <w:bCs/>
                <w:color w:val="000000"/>
              </w:rPr>
              <w:t>ef</w:t>
            </w: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BA0874" w14:textId="5BB872FB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TnI</w:t>
            </w:r>
            <w:proofErr w:type="spellEnd"/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rate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E2FCDE" w14:textId="6891EDF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Death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rate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0BA95D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ARDS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6D3106" w14:textId="1E7C7BC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Kidney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injury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FE7DA9" w14:textId="429E6612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ICU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admission</w:t>
            </w:r>
          </w:p>
        </w:tc>
      </w:tr>
      <w:tr w:rsidR="002268C9" w:rsidRPr="00BA6DB1" w14:paraId="3E186AA9" w14:textId="77777777" w:rsidTr="00415F4C">
        <w:tc>
          <w:tcPr>
            <w:tcW w:w="807" w:type="pct"/>
            <w:tcBorders>
              <w:top w:val="single" w:sz="4" w:space="0" w:color="auto"/>
            </w:tcBorders>
            <w:hideMark/>
          </w:tcPr>
          <w:p w14:paraId="28262B37" w14:textId="48689205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Arcari</w:t>
            </w:r>
            <w:proofErr w:type="spellEnd"/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17]</w:t>
            </w:r>
          </w:p>
        </w:tc>
        <w:tc>
          <w:tcPr>
            <w:tcW w:w="794" w:type="pct"/>
            <w:tcBorders>
              <w:top w:val="single" w:sz="4" w:space="0" w:color="auto"/>
            </w:tcBorders>
            <w:hideMark/>
          </w:tcPr>
          <w:p w14:paraId="5B54AB21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39/103</w:t>
            </w:r>
          </w:p>
        </w:tc>
        <w:tc>
          <w:tcPr>
            <w:tcW w:w="880" w:type="pct"/>
            <w:tcBorders>
              <w:top w:val="single" w:sz="4" w:space="0" w:color="auto"/>
            </w:tcBorders>
            <w:hideMark/>
          </w:tcPr>
          <w:p w14:paraId="5A35FC22" w14:textId="2F12696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12</w:t>
            </w:r>
          </w:p>
          <w:p w14:paraId="64169AD0" w14:textId="0CF3ED0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</w:tcBorders>
            <w:hideMark/>
          </w:tcPr>
          <w:p w14:paraId="523DFE12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tcBorders>
              <w:top w:val="single" w:sz="4" w:space="0" w:color="auto"/>
            </w:tcBorders>
            <w:hideMark/>
          </w:tcPr>
          <w:p w14:paraId="2F48D095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tcBorders>
              <w:top w:val="single" w:sz="4" w:space="0" w:color="auto"/>
            </w:tcBorders>
            <w:hideMark/>
          </w:tcPr>
          <w:p w14:paraId="1776A804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</w:tr>
      <w:tr w:rsidR="002268C9" w:rsidRPr="00BA6DB1" w14:paraId="3E03185F" w14:textId="77777777" w:rsidTr="00415F4C">
        <w:tc>
          <w:tcPr>
            <w:tcW w:w="807" w:type="pct"/>
            <w:hideMark/>
          </w:tcPr>
          <w:p w14:paraId="49C09AA1" w14:textId="17309A45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Fan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18]</w:t>
            </w:r>
          </w:p>
        </w:tc>
        <w:tc>
          <w:tcPr>
            <w:tcW w:w="794" w:type="pct"/>
            <w:hideMark/>
          </w:tcPr>
          <w:p w14:paraId="7CF8E608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22/89</w:t>
            </w:r>
          </w:p>
        </w:tc>
        <w:tc>
          <w:tcPr>
            <w:tcW w:w="880" w:type="pct"/>
            <w:hideMark/>
          </w:tcPr>
          <w:p w14:paraId="739DAF0C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hideMark/>
          </w:tcPr>
          <w:p w14:paraId="0351602A" w14:textId="15BFFF0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20</w:t>
            </w:r>
          </w:p>
          <w:p w14:paraId="63E2E806" w14:textId="7E44A99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12</w:t>
            </w:r>
          </w:p>
        </w:tc>
        <w:tc>
          <w:tcPr>
            <w:tcW w:w="840" w:type="pct"/>
            <w:hideMark/>
          </w:tcPr>
          <w:p w14:paraId="12EC13F0" w14:textId="1C06DBD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9</w:t>
            </w:r>
          </w:p>
          <w:p w14:paraId="05C59BEF" w14:textId="65FF10B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10</w:t>
            </w:r>
          </w:p>
        </w:tc>
        <w:tc>
          <w:tcPr>
            <w:tcW w:w="840" w:type="pct"/>
            <w:hideMark/>
          </w:tcPr>
          <w:p w14:paraId="08FBC6B7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</w:tr>
      <w:tr w:rsidR="002268C9" w:rsidRPr="00BA6DB1" w14:paraId="3DBD9DDD" w14:textId="77777777" w:rsidTr="00415F4C">
        <w:tc>
          <w:tcPr>
            <w:tcW w:w="807" w:type="pct"/>
            <w:hideMark/>
          </w:tcPr>
          <w:p w14:paraId="17CACFB4" w14:textId="3E2F485A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Guo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19]</w:t>
            </w:r>
          </w:p>
        </w:tc>
        <w:tc>
          <w:tcPr>
            <w:tcW w:w="794" w:type="pct"/>
            <w:hideMark/>
          </w:tcPr>
          <w:p w14:paraId="5A8EE20A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52/187</w:t>
            </w:r>
          </w:p>
        </w:tc>
        <w:tc>
          <w:tcPr>
            <w:tcW w:w="880" w:type="pct"/>
            <w:hideMark/>
          </w:tcPr>
          <w:p w14:paraId="36827592" w14:textId="78E8148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TnI:3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</w:t>
            </w:r>
          </w:p>
          <w:p w14:paraId="45E53702" w14:textId="002F814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12</w:t>
            </w:r>
          </w:p>
        </w:tc>
        <w:tc>
          <w:tcPr>
            <w:tcW w:w="840" w:type="pct"/>
            <w:hideMark/>
          </w:tcPr>
          <w:p w14:paraId="057C20D2" w14:textId="3871F87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30</w:t>
            </w:r>
          </w:p>
          <w:p w14:paraId="0603CAA5" w14:textId="3473102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16</w:t>
            </w:r>
          </w:p>
        </w:tc>
        <w:tc>
          <w:tcPr>
            <w:tcW w:w="840" w:type="pct"/>
            <w:hideMark/>
          </w:tcPr>
          <w:p w14:paraId="5A81D1D0" w14:textId="77D555B6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14</w:t>
            </w:r>
          </w:p>
          <w:p w14:paraId="415B0968" w14:textId="61E4534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4</w:t>
            </w:r>
          </w:p>
        </w:tc>
        <w:tc>
          <w:tcPr>
            <w:tcW w:w="840" w:type="pct"/>
            <w:hideMark/>
          </w:tcPr>
          <w:p w14:paraId="5C84A363" w14:textId="736872C9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31</w:t>
            </w:r>
          </w:p>
          <w:p w14:paraId="677CE72D" w14:textId="336573A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14</w:t>
            </w:r>
          </w:p>
        </w:tc>
      </w:tr>
      <w:tr w:rsidR="002268C9" w:rsidRPr="00BA6DB1" w14:paraId="5257296B" w14:textId="77777777" w:rsidTr="00415F4C">
        <w:tc>
          <w:tcPr>
            <w:tcW w:w="807" w:type="pct"/>
            <w:hideMark/>
          </w:tcPr>
          <w:p w14:paraId="2E5DEC12" w14:textId="4A187215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Lala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20]</w:t>
            </w:r>
          </w:p>
        </w:tc>
        <w:tc>
          <w:tcPr>
            <w:tcW w:w="794" w:type="pct"/>
            <w:hideMark/>
          </w:tcPr>
          <w:p w14:paraId="64363EA3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530/2736</w:t>
            </w:r>
          </w:p>
        </w:tc>
        <w:tc>
          <w:tcPr>
            <w:tcW w:w="880" w:type="pct"/>
            <w:hideMark/>
          </w:tcPr>
          <w:p w14:paraId="100DD3BA" w14:textId="14DD39F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223</w:t>
            </w:r>
          </w:p>
          <w:p w14:paraId="7D80383F" w14:textId="042DD89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102</w:t>
            </w:r>
          </w:p>
        </w:tc>
        <w:tc>
          <w:tcPr>
            <w:tcW w:w="840" w:type="pct"/>
            <w:hideMark/>
          </w:tcPr>
          <w:p w14:paraId="3AFAB323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hideMark/>
          </w:tcPr>
          <w:p w14:paraId="3EB70F12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hideMark/>
          </w:tcPr>
          <w:p w14:paraId="0FC9F8B6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</w:tr>
      <w:tr w:rsidR="002268C9" w:rsidRPr="00BA6DB1" w14:paraId="66B8EB3A" w14:textId="77777777" w:rsidTr="00415F4C">
        <w:tc>
          <w:tcPr>
            <w:tcW w:w="807" w:type="pct"/>
            <w:hideMark/>
          </w:tcPr>
          <w:p w14:paraId="74DCDCC3" w14:textId="33337B2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Lombardi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21]</w:t>
            </w:r>
          </w:p>
        </w:tc>
        <w:tc>
          <w:tcPr>
            <w:tcW w:w="794" w:type="pct"/>
            <w:hideMark/>
          </w:tcPr>
          <w:p w14:paraId="580E1E73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278/614</w:t>
            </w:r>
          </w:p>
        </w:tc>
        <w:tc>
          <w:tcPr>
            <w:tcW w:w="880" w:type="pct"/>
            <w:hideMark/>
          </w:tcPr>
          <w:p w14:paraId="30B2F420" w14:textId="5901A2AB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102</w:t>
            </w:r>
          </w:p>
          <w:p w14:paraId="5C4C3B00" w14:textId="029F759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43</w:t>
            </w:r>
          </w:p>
        </w:tc>
        <w:tc>
          <w:tcPr>
            <w:tcW w:w="840" w:type="pct"/>
            <w:hideMark/>
          </w:tcPr>
          <w:p w14:paraId="738064DC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hideMark/>
          </w:tcPr>
          <w:p w14:paraId="1FAA4169" w14:textId="7EACCAA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41</w:t>
            </w:r>
          </w:p>
          <w:p w14:paraId="619C2BCA" w14:textId="648B900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</w:t>
            </w:r>
          </w:p>
        </w:tc>
        <w:tc>
          <w:tcPr>
            <w:tcW w:w="840" w:type="pct"/>
            <w:hideMark/>
          </w:tcPr>
          <w:p w14:paraId="3F48CBA2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</w:tr>
      <w:tr w:rsidR="002268C9" w:rsidRPr="00BA6DB1" w14:paraId="7E697EAE" w14:textId="77777777" w:rsidTr="00415F4C">
        <w:tc>
          <w:tcPr>
            <w:tcW w:w="807" w:type="pct"/>
            <w:hideMark/>
          </w:tcPr>
          <w:p w14:paraId="5F25070E" w14:textId="2AE1D673" w:rsidR="002268C9" w:rsidRPr="00BA6DB1" w:rsidRDefault="003A290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Lorente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-Ros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="002268C9"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="002268C9" w:rsidRPr="00BA6DB1">
              <w:rPr>
                <w:rFonts w:ascii="Book Antiqua" w:hAnsi="Book Antiqua"/>
                <w:i/>
                <w:color w:val="000000"/>
              </w:rPr>
              <w:t>al</w:t>
            </w:r>
            <w:r w:rsidR="002268C9"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2268C9" w:rsidRPr="00BA6DB1">
              <w:rPr>
                <w:rFonts w:ascii="Book Antiqua" w:hAnsi="Book Antiqua"/>
                <w:color w:val="000000"/>
                <w:vertAlign w:val="superscript"/>
              </w:rPr>
              <w:t>22]</w:t>
            </w:r>
          </w:p>
        </w:tc>
        <w:tc>
          <w:tcPr>
            <w:tcW w:w="794" w:type="pct"/>
            <w:hideMark/>
          </w:tcPr>
          <w:p w14:paraId="2A8C8F03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147/707</w:t>
            </w:r>
          </w:p>
        </w:tc>
        <w:tc>
          <w:tcPr>
            <w:tcW w:w="880" w:type="pct"/>
            <w:hideMark/>
          </w:tcPr>
          <w:p w14:paraId="6D572148" w14:textId="7B5CF22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60</w:t>
            </w:r>
          </w:p>
          <w:p w14:paraId="42A4B407" w14:textId="09BA9E89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130</w:t>
            </w:r>
          </w:p>
        </w:tc>
        <w:tc>
          <w:tcPr>
            <w:tcW w:w="840" w:type="pct"/>
            <w:hideMark/>
          </w:tcPr>
          <w:p w14:paraId="439B4789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hideMark/>
          </w:tcPr>
          <w:p w14:paraId="37142830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hideMark/>
          </w:tcPr>
          <w:p w14:paraId="1B5695FA" w14:textId="4CE06869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7</w:t>
            </w:r>
          </w:p>
          <w:p w14:paraId="63C457CF" w14:textId="7FB21E1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5</w:t>
            </w:r>
          </w:p>
        </w:tc>
      </w:tr>
      <w:tr w:rsidR="002268C9" w:rsidRPr="00BA6DB1" w14:paraId="55C4C677" w14:textId="77777777" w:rsidTr="00415F4C">
        <w:tc>
          <w:tcPr>
            <w:tcW w:w="807" w:type="pct"/>
            <w:hideMark/>
          </w:tcPr>
          <w:p w14:paraId="302DDB4A" w14:textId="7017C51A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Raad</w:t>
            </w:r>
            <w:proofErr w:type="spellEnd"/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23]</w:t>
            </w:r>
          </w:p>
        </w:tc>
        <w:tc>
          <w:tcPr>
            <w:tcW w:w="794" w:type="pct"/>
            <w:hideMark/>
          </w:tcPr>
          <w:p w14:paraId="6A4265F2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390/1020</w:t>
            </w:r>
          </w:p>
        </w:tc>
        <w:tc>
          <w:tcPr>
            <w:tcW w:w="880" w:type="pct"/>
            <w:hideMark/>
          </w:tcPr>
          <w:p w14:paraId="104DDA5F" w14:textId="0F2A134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128</w:t>
            </w:r>
          </w:p>
          <w:p w14:paraId="15BF1FBE" w14:textId="6889149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52</w:t>
            </w:r>
          </w:p>
        </w:tc>
        <w:tc>
          <w:tcPr>
            <w:tcW w:w="840" w:type="pct"/>
            <w:hideMark/>
          </w:tcPr>
          <w:p w14:paraId="60317C76" w14:textId="0C22E2B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93</w:t>
            </w:r>
          </w:p>
          <w:p w14:paraId="65809CCC" w14:textId="688E9C0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64</w:t>
            </w:r>
          </w:p>
        </w:tc>
        <w:tc>
          <w:tcPr>
            <w:tcW w:w="840" w:type="pct"/>
            <w:hideMark/>
          </w:tcPr>
          <w:p w14:paraId="120C2776" w14:textId="4ECD3206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224</w:t>
            </w:r>
          </w:p>
          <w:p w14:paraId="77529C2D" w14:textId="284728D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TnI:178</w:t>
            </w:r>
          </w:p>
        </w:tc>
        <w:tc>
          <w:tcPr>
            <w:tcW w:w="840" w:type="pct"/>
            <w:hideMark/>
          </w:tcPr>
          <w:p w14:paraId="373E6109" w14:textId="02FC86C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105</w:t>
            </w:r>
          </w:p>
          <w:p w14:paraId="6F1D6551" w14:textId="76FB9FA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TnI:93</w:t>
            </w:r>
          </w:p>
        </w:tc>
      </w:tr>
      <w:tr w:rsidR="002268C9" w:rsidRPr="00BA6DB1" w14:paraId="7A2482F2" w14:textId="77777777" w:rsidTr="00415F4C">
        <w:tc>
          <w:tcPr>
            <w:tcW w:w="807" w:type="pct"/>
            <w:hideMark/>
          </w:tcPr>
          <w:p w14:paraId="78FEAEC0" w14:textId="749DEE3E" w:rsidR="002268C9" w:rsidRPr="00BA6DB1" w:rsidRDefault="003A290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Karbalai</w:t>
            </w:r>
            <w:proofErr w:type="spellEnd"/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Saleh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2268C9"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="002268C9" w:rsidRPr="00BA6DB1">
              <w:rPr>
                <w:rFonts w:ascii="Book Antiqua" w:hAnsi="Book Antiqua"/>
                <w:i/>
                <w:color w:val="000000"/>
              </w:rPr>
              <w:t>al</w:t>
            </w:r>
            <w:r w:rsidR="002268C9"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2268C9" w:rsidRPr="00BA6DB1">
              <w:rPr>
                <w:rFonts w:ascii="Book Antiqua" w:hAnsi="Book Antiqua"/>
                <w:color w:val="000000"/>
                <w:vertAlign w:val="superscript"/>
              </w:rPr>
              <w:t>24]</w:t>
            </w:r>
          </w:p>
        </w:tc>
        <w:tc>
          <w:tcPr>
            <w:tcW w:w="794" w:type="pct"/>
            <w:hideMark/>
          </w:tcPr>
          <w:p w14:paraId="5D82EEB0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115/386</w:t>
            </w:r>
          </w:p>
        </w:tc>
        <w:tc>
          <w:tcPr>
            <w:tcW w:w="880" w:type="pct"/>
            <w:hideMark/>
          </w:tcPr>
          <w:p w14:paraId="030BC85B" w14:textId="19640BAB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47</w:t>
            </w:r>
          </w:p>
          <w:p w14:paraId="76120C8B" w14:textId="6AA71A3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30</w:t>
            </w:r>
          </w:p>
        </w:tc>
        <w:tc>
          <w:tcPr>
            <w:tcW w:w="840" w:type="pct"/>
            <w:hideMark/>
          </w:tcPr>
          <w:p w14:paraId="2D782743" w14:textId="58CE5E0B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46</w:t>
            </w:r>
          </w:p>
          <w:p w14:paraId="7586FBFF" w14:textId="1DB07C8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30</w:t>
            </w:r>
          </w:p>
        </w:tc>
        <w:tc>
          <w:tcPr>
            <w:tcW w:w="840" w:type="pct"/>
            <w:hideMark/>
          </w:tcPr>
          <w:p w14:paraId="567E4A7D" w14:textId="3E3CEA6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35</w:t>
            </w:r>
          </w:p>
          <w:p w14:paraId="45FC8A22" w14:textId="09BFE2CA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25</w:t>
            </w:r>
          </w:p>
        </w:tc>
        <w:tc>
          <w:tcPr>
            <w:tcW w:w="840" w:type="pct"/>
            <w:hideMark/>
          </w:tcPr>
          <w:p w14:paraId="044C0356" w14:textId="1D44D7D6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41</w:t>
            </w:r>
          </w:p>
          <w:p w14:paraId="7328AA91" w14:textId="595BE21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38</w:t>
            </w:r>
          </w:p>
        </w:tc>
      </w:tr>
      <w:tr w:rsidR="002268C9" w:rsidRPr="00BA6DB1" w14:paraId="1458256C" w14:textId="77777777" w:rsidTr="00415F4C">
        <w:tc>
          <w:tcPr>
            <w:tcW w:w="807" w:type="pct"/>
            <w:hideMark/>
          </w:tcPr>
          <w:p w14:paraId="65C06AEF" w14:textId="7CAF49A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Shah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25]</w:t>
            </w:r>
          </w:p>
        </w:tc>
        <w:tc>
          <w:tcPr>
            <w:tcW w:w="794" w:type="pct"/>
            <w:hideMark/>
          </w:tcPr>
          <w:p w14:paraId="21D337C1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116/309</w:t>
            </w:r>
          </w:p>
        </w:tc>
        <w:tc>
          <w:tcPr>
            <w:tcW w:w="880" w:type="pct"/>
            <w:hideMark/>
          </w:tcPr>
          <w:p w14:paraId="3F0EB44A" w14:textId="52794B72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44</w:t>
            </w:r>
          </w:p>
          <w:p w14:paraId="3227582B" w14:textId="740E5CA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22</w:t>
            </w:r>
          </w:p>
        </w:tc>
        <w:tc>
          <w:tcPr>
            <w:tcW w:w="840" w:type="pct"/>
            <w:hideMark/>
          </w:tcPr>
          <w:p w14:paraId="2A6E48EE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hideMark/>
          </w:tcPr>
          <w:p w14:paraId="63F0AE19" w14:textId="5ED01212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</w:t>
            </w:r>
          </w:p>
          <w:p w14:paraId="2353D48B" w14:textId="52465DE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5</w:t>
            </w:r>
          </w:p>
        </w:tc>
        <w:tc>
          <w:tcPr>
            <w:tcW w:w="840" w:type="pct"/>
            <w:hideMark/>
          </w:tcPr>
          <w:p w14:paraId="620D9BB4" w14:textId="3B8571F0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58</w:t>
            </w:r>
          </w:p>
          <w:p w14:paraId="3F1B45F9" w14:textId="7C16E13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52</w:t>
            </w:r>
          </w:p>
        </w:tc>
      </w:tr>
      <w:tr w:rsidR="002268C9" w:rsidRPr="00BA6DB1" w14:paraId="7D51F294" w14:textId="77777777" w:rsidTr="00415F4C">
        <w:tc>
          <w:tcPr>
            <w:tcW w:w="807" w:type="pct"/>
            <w:hideMark/>
          </w:tcPr>
          <w:p w14:paraId="14A04A0C" w14:textId="34EA981A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Singh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26]</w:t>
            </w:r>
          </w:p>
        </w:tc>
        <w:tc>
          <w:tcPr>
            <w:tcW w:w="794" w:type="pct"/>
          </w:tcPr>
          <w:p w14:paraId="64456F78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132/276</w:t>
            </w:r>
          </w:p>
          <w:p w14:paraId="56D248E0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80" w:type="pct"/>
            <w:hideMark/>
          </w:tcPr>
          <w:p w14:paraId="5C42A3FF" w14:textId="18FDE832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20</w:t>
            </w:r>
          </w:p>
          <w:p w14:paraId="039A59B0" w14:textId="1A03F07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5</w:t>
            </w:r>
          </w:p>
        </w:tc>
        <w:tc>
          <w:tcPr>
            <w:tcW w:w="840" w:type="pct"/>
            <w:hideMark/>
          </w:tcPr>
          <w:p w14:paraId="536F6591" w14:textId="3DC14D1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29</w:t>
            </w:r>
          </w:p>
          <w:p w14:paraId="73984117" w14:textId="5ECE625A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10</w:t>
            </w:r>
          </w:p>
        </w:tc>
        <w:tc>
          <w:tcPr>
            <w:tcW w:w="840" w:type="pct"/>
            <w:hideMark/>
          </w:tcPr>
          <w:p w14:paraId="33061242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hideMark/>
          </w:tcPr>
          <w:p w14:paraId="0AF72E0B" w14:textId="5ACAC5A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63</w:t>
            </w:r>
          </w:p>
          <w:p w14:paraId="47AE1B16" w14:textId="067085C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TnI</w:t>
            </w:r>
            <w:proofErr w:type="spellEnd"/>
            <w:r w:rsidRPr="00BA6DB1">
              <w:rPr>
                <w:rFonts w:ascii="Book Antiqua" w:eastAsia="Calibri" w:hAnsi="Book Antiqua"/>
                <w:color w:val="000000"/>
              </w:rPr>
              <w:t>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25</w:t>
            </w:r>
          </w:p>
        </w:tc>
      </w:tr>
    </w:tbl>
    <w:p w14:paraId="4BD424EE" w14:textId="4BEBD3B3" w:rsidR="002268C9" w:rsidRPr="00BA6DB1" w:rsidRDefault="00BA6DB1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color w:val="000000"/>
        </w:rPr>
      </w:pPr>
      <w:r w:rsidRPr="00BA6DB1">
        <w:rPr>
          <w:rFonts w:ascii="Book Antiqua" w:eastAsia="Calibri" w:hAnsi="Book Antiqua"/>
          <w:color w:val="000000"/>
        </w:rPr>
        <w:t xml:space="preserve"> </w:t>
      </w:r>
    </w:p>
    <w:p w14:paraId="2499A065" w14:textId="230EBA38" w:rsidR="002268C9" w:rsidRPr="00BA6DB1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  <w:color w:val="000000"/>
        </w:rPr>
      </w:pPr>
      <w:r w:rsidRPr="00BA6DB1">
        <w:rPr>
          <w:rFonts w:ascii="Book Antiqua" w:eastAsia="Calibri" w:hAnsi="Book Antiqua"/>
          <w:color w:val="000000"/>
        </w:rPr>
        <w:br w:type="page"/>
      </w:r>
      <w:r w:rsidRPr="00BA6DB1">
        <w:rPr>
          <w:rFonts w:ascii="Book Antiqua" w:eastAsia="Calibri" w:hAnsi="Book Antiqua"/>
          <w:b/>
          <w:bCs/>
          <w:color w:val="000000"/>
        </w:rPr>
        <w:t>Table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3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The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baseline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details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of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studies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included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in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our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meta-analysis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considering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the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survived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and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non-survived</w:t>
      </w:r>
      <w:r w:rsidR="00BA6DB1" w:rsidRPr="00BA6DB1">
        <w:rPr>
          <w:rFonts w:ascii="Book Antiqua" w:eastAsia="Calibri" w:hAnsi="Book Antiqua"/>
          <w:b/>
          <w:bCs/>
          <w:color w:val="000000"/>
        </w:rPr>
        <w:t xml:space="preserve"> </w:t>
      </w:r>
      <w:r w:rsidRPr="00BA6DB1">
        <w:rPr>
          <w:rFonts w:ascii="Book Antiqua" w:eastAsia="Calibri" w:hAnsi="Book Antiqua"/>
          <w:b/>
          <w:bCs/>
          <w:color w:val="000000"/>
        </w:rPr>
        <w:t>groups</w:t>
      </w:r>
    </w:p>
    <w:tbl>
      <w:tblPr>
        <w:tblStyle w:val="ab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1214"/>
        <w:gridCol w:w="1809"/>
        <w:gridCol w:w="843"/>
        <w:gridCol w:w="1594"/>
        <w:gridCol w:w="2651"/>
      </w:tblGrid>
      <w:tr w:rsidR="002268C9" w:rsidRPr="00BA6DB1" w14:paraId="66A6796B" w14:textId="77777777" w:rsidTr="00415F4C"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AB05AE" w14:textId="06093DBC" w:rsidR="002268C9" w:rsidRPr="00BA6DB1" w:rsidRDefault="00415F4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Ref.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05A686" w14:textId="43773D0B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Country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D23301" w14:textId="17358AF9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Population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FB7C6B" w14:textId="1FDE464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Mean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age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E0BA30" w14:textId="3CF6A09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Male/</w:t>
            </w:r>
            <w:r w:rsidR="00BA6DB1" w:rsidRPr="00BA6DB1">
              <w:rPr>
                <w:rFonts w:ascii="Book Antiqua" w:eastAsiaTheme="minorEastAsia" w:hAnsi="Book Antiqua"/>
                <w:b/>
                <w:bCs/>
                <w:color w:val="000000"/>
              </w:rPr>
              <w:t>f</w:t>
            </w: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emale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538872" w14:textId="70DAA5F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Mean</w:t>
            </w:r>
            <w:r w:rsidR="00BA6DB1" w:rsidRPr="00BA6DB1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proofErr w:type="spellStart"/>
            <w:r w:rsidRPr="00BA6DB1">
              <w:rPr>
                <w:rFonts w:ascii="Book Antiqua" w:eastAsia="Calibri" w:hAnsi="Book Antiqua"/>
                <w:b/>
                <w:bCs/>
                <w:color w:val="000000"/>
              </w:rPr>
              <w:t>TnI</w:t>
            </w:r>
            <w:proofErr w:type="spellEnd"/>
          </w:p>
        </w:tc>
      </w:tr>
      <w:tr w:rsidR="002268C9" w:rsidRPr="00BA6DB1" w14:paraId="6EE7B4A0" w14:textId="77777777" w:rsidTr="00415F4C">
        <w:tc>
          <w:tcPr>
            <w:tcW w:w="559" w:type="pct"/>
            <w:tcBorders>
              <w:top w:val="single" w:sz="4" w:space="0" w:color="auto"/>
            </w:tcBorders>
            <w:hideMark/>
          </w:tcPr>
          <w:p w14:paraId="1B8CEF64" w14:textId="58625B0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Aladağ</w:t>
            </w:r>
            <w:proofErr w:type="spellEnd"/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and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eastAsia="Calibri" w:hAnsi="Book Antiqua"/>
                <w:color w:val="000000"/>
              </w:rPr>
              <w:t>Atabey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27]</w:t>
            </w:r>
          </w:p>
        </w:tc>
        <w:tc>
          <w:tcPr>
            <w:tcW w:w="595" w:type="pct"/>
            <w:tcBorders>
              <w:top w:val="single" w:sz="4" w:space="0" w:color="auto"/>
            </w:tcBorders>
            <w:hideMark/>
          </w:tcPr>
          <w:p w14:paraId="08C889ED" w14:textId="148FF21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Turkey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hideMark/>
          </w:tcPr>
          <w:p w14:paraId="105FFE3A" w14:textId="6C8E129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35</w:t>
            </w:r>
          </w:p>
          <w:p w14:paraId="4DA8A23A" w14:textId="68F476B5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</w:tcBorders>
            <w:hideMark/>
          </w:tcPr>
          <w:p w14:paraId="59647CE3" w14:textId="603B3279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68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14</w:t>
            </w:r>
          </w:p>
          <w:p w14:paraId="7F17E6EE" w14:textId="56FA493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68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15</w:t>
            </w:r>
          </w:p>
        </w:tc>
        <w:tc>
          <w:tcPr>
            <w:tcW w:w="754" w:type="pct"/>
            <w:tcBorders>
              <w:top w:val="single" w:sz="4" w:space="0" w:color="auto"/>
            </w:tcBorders>
            <w:hideMark/>
          </w:tcPr>
          <w:p w14:paraId="530329D4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22/13</w:t>
            </w:r>
          </w:p>
          <w:p w14:paraId="3B687D1D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6/9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hideMark/>
          </w:tcPr>
          <w:p w14:paraId="329485DF" w14:textId="7314922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0.001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  <w:p w14:paraId="06E088AB" w14:textId="1FD1C5F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0.010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</w:tc>
      </w:tr>
      <w:tr w:rsidR="002268C9" w:rsidRPr="00BA6DB1" w14:paraId="0BEBBD70" w14:textId="77777777" w:rsidTr="00415F4C">
        <w:tc>
          <w:tcPr>
            <w:tcW w:w="559" w:type="pct"/>
            <w:hideMark/>
          </w:tcPr>
          <w:p w14:paraId="4A095A48" w14:textId="1AB2C02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Deng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28]</w:t>
            </w:r>
          </w:p>
        </w:tc>
        <w:tc>
          <w:tcPr>
            <w:tcW w:w="595" w:type="pct"/>
            <w:hideMark/>
          </w:tcPr>
          <w:p w14:paraId="63D9553E" w14:textId="4C8066BA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China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53" w:type="pct"/>
            <w:hideMark/>
          </w:tcPr>
          <w:p w14:paraId="23A82A9B" w14:textId="797364B6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212</w:t>
            </w:r>
          </w:p>
          <w:p w14:paraId="05773230" w14:textId="1AD415D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52</w:t>
            </w:r>
          </w:p>
        </w:tc>
        <w:tc>
          <w:tcPr>
            <w:tcW w:w="527" w:type="pct"/>
            <w:hideMark/>
          </w:tcPr>
          <w:p w14:paraId="48CCFF8D" w14:textId="319A284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62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11</w:t>
            </w:r>
          </w:p>
          <w:p w14:paraId="7B74B330" w14:textId="39393D15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74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15</w:t>
            </w:r>
          </w:p>
        </w:tc>
        <w:tc>
          <w:tcPr>
            <w:tcW w:w="754" w:type="pct"/>
            <w:hideMark/>
          </w:tcPr>
          <w:p w14:paraId="470B3904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97/115</w:t>
            </w:r>
          </w:p>
          <w:p w14:paraId="14971C9B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33/19</w:t>
            </w:r>
          </w:p>
        </w:tc>
        <w:tc>
          <w:tcPr>
            <w:tcW w:w="1511" w:type="pct"/>
            <w:hideMark/>
          </w:tcPr>
          <w:p w14:paraId="04312B19" w14:textId="16A9A40E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0.006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  <w:p w14:paraId="6D4F07D1" w14:textId="5020DB26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0.051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</w:tc>
      </w:tr>
      <w:tr w:rsidR="002268C9" w:rsidRPr="00BA6DB1" w14:paraId="7E46AE70" w14:textId="77777777" w:rsidTr="00415F4C">
        <w:tc>
          <w:tcPr>
            <w:tcW w:w="559" w:type="pct"/>
            <w:hideMark/>
          </w:tcPr>
          <w:p w14:paraId="6DCF235D" w14:textId="07865D87" w:rsidR="002268C9" w:rsidRPr="00BA6DB1" w:rsidRDefault="00EE383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Liberati</w:t>
            </w:r>
            <w:proofErr w:type="spellEnd"/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2268C9"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="002268C9" w:rsidRPr="00BA6DB1">
              <w:rPr>
                <w:rFonts w:ascii="Book Antiqua" w:hAnsi="Book Antiqua"/>
                <w:i/>
                <w:color w:val="000000"/>
              </w:rPr>
              <w:t>al</w:t>
            </w:r>
            <w:r w:rsidR="002268C9"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2268C9" w:rsidRPr="00BA6DB1">
              <w:rPr>
                <w:rFonts w:ascii="Book Antiqua" w:hAnsi="Book Antiqua"/>
                <w:color w:val="000000"/>
                <w:vertAlign w:val="superscript"/>
              </w:rPr>
              <w:t>15]</w:t>
            </w:r>
          </w:p>
        </w:tc>
        <w:tc>
          <w:tcPr>
            <w:tcW w:w="595" w:type="pct"/>
            <w:hideMark/>
          </w:tcPr>
          <w:p w14:paraId="3E8C9109" w14:textId="57AD19D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Italy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53" w:type="pct"/>
            <w:hideMark/>
          </w:tcPr>
          <w:p w14:paraId="31A4CFA0" w14:textId="5D948B05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425</w:t>
            </w:r>
          </w:p>
          <w:p w14:paraId="1ABE004C" w14:textId="51AFE14A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98</w:t>
            </w:r>
          </w:p>
        </w:tc>
        <w:tc>
          <w:tcPr>
            <w:tcW w:w="527" w:type="pct"/>
            <w:hideMark/>
          </w:tcPr>
          <w:p w14:paraId="061E2EEB" w14:textId="566618E5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61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</w:t>
            </w:r>
          </w:p>
          <w:p w14:paraId="4EFA8F8A" w14:textId="7AACFF0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76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10</w:t>
            </w:r>
          </w:p>
        </w:tc>
        <w:tc>
          <w:tcPr>
            <w:tcW w:w="754" w:type="pct"/>
            <w:hideMark/>
          </w:tcPr>
          <w:p w14:paraId="7D617460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287/138</w:t>
            </w:r>
          </w:p>
          <w:p w14:paraId="1EBA7F83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68/30</w:t>
            </w:r>
          </w:p>
        </w:tc>
        <w:tc>
          <w:tcPr>
            <w:tcW w:w="1511" w:type="pct"/>
            <w:hideMark/>
          </w:tcPr>
          <w:p w14:paraId="73BA8925" w14:textId="1A0E023B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0.006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  <w:p w14:paraId="562C585C" w14:textId="76F5865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0.036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</w:tc>
      </w:tr>
      <w:tr w:rsidR="002268C9" w:rsidRPr="00BA6DB1" w14:paraId="43953C32" w14:textId="77777777" w:rsidTr="00415F4C">
        <w:tc>
          <w:tcPr>
            <w:tcW w:w="559" w:type="pct"/>
            <w:hideMark/>
          </w:tcPr>
          <w:p w14:paraId="789F09E7" w14:textId="7CB752B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proofErr w:type="spellStart"/>
            <w:r w:rsidRPr="00BA6DB1">
              <w:rPr>
                <w:rFonts w:ascii="Book Antiqua" w:eastAsia="Calibri" w:hAnsi="Book Antiqua"/>
                <w:color w:val="000000"/>
              </w:rPr>
              <w:t>Nie</w:t>
            </w:r>
            <w:proofErr w:type="spellEnd"/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29]</w:t>
            </w:r>
          </w:p>
        </w:tc>
        <w:tc>
          <w:tcPr>
            <w:tcW w:w="595" w:type="pct"/>
            <w:hideMark/>
          </w:tcPr>
          <w:p w14:paraId="084BCFA5" w14:textId="44837D18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China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53" w:type="pct"/>
            <w:hideMark/>
          </w:tcPr>
          <w:p w14:paraId="5F698FA2" w14:textId="04065DA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200</w:t>
            </w:r>
          </w:p>
          <w:p w14:paraId="6FB81782" w14:textId="7D8D47F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111</w:t>
            </w:r>
          </w:p>
        </w:tc>
        <w:tc>
          <w:tcPr>
            <w:tcW w:w="527" w:type="pct"/>
            <w:hideMark/>
          </w:tcPr>
          <w:p w14:paraId="046AD862" w14:textId="670A346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60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11</w:t>
            </w:r>
          </w:p>
          <w:p w14:paraId="11FBC859" w14:textId="631DC82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72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12</w:t>
            </w:r>
          </w:p>
        </w:tc>
        <w:tc>
          <w:tcPr>
            <w:tcW w:w="754" w:type="pct"/>
            <w:hideMark/>
          </w:tcPr>
          <w:p w14:paraId="0341C046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180/20</w:t>
            </w:r>
          </w:p>
          <w:p w14:paraId="0C79EAEA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88/23</w:t>
            </w:r>
          </w:p>
        </w:tc>
        <w:tc>
          <w:tcPr>
            <w:tcW w:w="1511" w:type="pct"/>
            <w:hideMark/>
          </w:tcPr>
          <w:p w14:paraId="3C35D04D" w14:textId="48A19EB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0.002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  <w:p w14:paraId="7784FAC4" w14:textId="5BF8510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0.032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</w:tc>
      </w:tr>
      <w:tr w:rsidR="002268C9" w:rsidRPr="00BA6DB1" w14:paraId="68D9CECA" w14:textId="77777777" w:rsidTr="00415F4C">
        <w:tc>
          <w:tcPr>
            <w:tcW w:w="559" w:type="pct"/>
            <w:hideMark/>
          </w:tcPr>
          <w:p w14:paraId="4F3321E8" w14:textId="1CA4BFC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Rath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30]</w:t>
            </w:r>
          </w:p>
        </w:tc>
        <w:tc>
          <w:tcPr>
            <w:tcW w:w="595" w:type="pct"/>
            <w:hideMark/>
          </w:tcPr>
          <w:p w14:paraId="77A88FA7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Germany</w:t>
            </w:r>
          </w:p>
        </w:tc>
        <w:tc>
          <w:tcPr>
            <w:tcW w:w="1053" w:type="pct"/>
            <w:hideMark/>
          </w:tcPr>
          <w:p w14:paraId="189BF9B9" w14:textId="0EC828D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107</w:t>
            </w:r>
          </w:p>
          <w:p w14:paraId="32C7F205" w14:textId="4BC9BED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16</w:t>
            </w:r>
          </w:p>
        </w:tc>
        <w:tc>
          <w:tcPr>
            <w:tcW w:w="527" w:type="pct"/>
            <w:hideMark/>
          </w:tcPr>
          <w:p w14:paraId="3B9C6C0E" w14:textId="088CF1E4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67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15</w:t>
            </w:r>
          </w:p>
          <w:p w14:paraId="7AEA1E70" w14:textId="6ECC185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73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16</w:t>
            </w:r>
          </w:p>
        </w:tc>
        <w:tc>
          <w:tcPr>
            <w:tcW w:w="754" w:type="pct"/>
            <w:hideMark/>
          </w:tcPr>
          <w:p w14:paraId="029EA83A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65/42</w:t>
            </w:r>
          </w:p>
          <w:p w14:paraId="1BA85E2A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12/4</w:t>
            </w:r>
          </w:p>
        </w:tc>
        <w:tc>
          <w:tcPr>
            <w:tcW w:w="1511" w:type="pct"/>
            <w:hideMark/>
          </w:tcPr>
          <w:p w14:paraId="3E8C344E" w14:textId="0340F278" w:rsidR="00415F4C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0.014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</w:p>
          <w:p w14:paraId="2531215E" w14:textId="2F6CBB9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0.024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</w:tc>
      </w:tr>
      <w:tr w:rsidR="002268C9" w:rsidRPr="00BA6DB1" w14:paraId="1D2B9843" w14:textId="77777777" w:rsidTr="00415F4C">
        <w:tc>
          <w:tcPr>
            <w:tcW w:w="559" w:type="pct"/>
            <w:hideMark/>
          </w:tcPr>
          <w:p w14:paraId="06DF0BB4" w14:textId="3DE35963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Shi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31]</w:t>
            </w:r>
          </w:p>
        </w:tc>
        <w:tc>
          <w:tcPr>
            <w:tcW w:w="595" w:type="pct"/>
            <w:hideMark/>
          </w:tcPr>
          <w:p w14:paraId="35D0B695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China</w:t>
            </w:r>
          </w:p>
        </w:tc>
        <w:tc>
          <w:tcPr>
            <w:tcW w:w="1053" w:type="pct"/>
            <w:hideMark/>
          </w:tcPr>
          <w:p w14:paraId="22F942D4" w14:textId="64A70452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609</w:t>
            </w:r>
          </w:p>
          <w:p w14:paraId="4F858A8B" w14:textId="01F031BF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62</w:t>
            </w:r>
          </w:p>
        </w:tc>
        <w:tc>
          <w:tcPr>
            <w:tcW w:w="527" w:type="pct"/>
            <w:hideMark/>
          </w:tcPr>
          <w:p w14:paraId="5120D3EE" w14:textId="1C86F1C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61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</w:t>
            </w:r>
          </w:p>
          <w:p w14:paraId="736F3EB4" w14:textId="04B6E3DA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74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15</w:t>
            </w:r>
          </w:p>
        </w:tc>
        <w:tc>
          <w:tcPr>
            <w:tcW w:w="754" w:type="pct"/>
            <w:hideMark/>
          </w:tcPr>
          <w:p w14:paraId="0DC57927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287/322</w:t>
            </w:r>
          </w:p>
          <w:p w14:paraId="6BC58716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35/27</w:t>
            </w:r>
          </w:p>
        </w:tc>
        <w:tc>
          <w:tcPr>
            <w:tcW w:w="1511" w:type="pct"/>
            <w:hideMark/>
          </w:tcPr>
          <w:p w14:paraId="13DC407F" w14:textId="464C211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0.006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  <w:p w14:paraId="03A2F207" w14:textId="3057D122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0.023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</w:tc>
      </w:tr>
      <w:tr w:rsidR="002268C9" w:rsidRPr="00BA6DB1" w14:paraId="7622ECE1" w14:textId="77777777" w:rsidTr="00415F4C">
        <w:tc>
          <w:tcPr>
            <w:tcW w:w="559" w:type="pct"/>
            <w:hideMark/>
          </w:tcPr>
          <w:p w14:paraId="2C7D1224" w14:textId="71B06C6C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Yang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BA6DB1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BA6DB1">
              <w:rPr>
                <w:rFonts w:ascii="Book Antiqua" w:hAnsi="Book Antiqua"/>
                <w:i/>
                <w:color w:val="000000"/>
              </w:rPr>
              <w:t xml:space="preserve"> </w:t>
            </w:r>
            <w:proofErr w:type="gramStart"/>
            <w:r w:rsidRPr="00BA6DB1">
              <w:rPr>
                <w:rFonts w:ascii="Book Antiqua" w:hAnsi="Book Antiqua"/>
                <w:i/>
                <w:color w:val="000000"/>
              </w:rPr>
              <w:t>al</w:t>
            </w:r>
            <w:r w:rsidRPr="00BA6DB1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Pr="00BA6DB1">
              <w:rPr>
                <w:rFonts w:ascii="Book Antiqua" w:hAnsi="Book Antiqua"/>
                <w:color w:val="000000"/>
                <w:vertAlign w:val="superscript"/>
              </w:rPr>
              <w:t>32]</w:t>
            </w:r>
          </w:p>
        </w:tc>
        <w:tc>
          <w:tcPr>
            <w:tcW w:w="595" w:type="pct"/>
            <w:hideMark/>
          </w:tcPr>
          <w:p w14:paraId="552DB3B6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China</w:t>
            </w:r>
          </w:p>
        </w:tc>
        <w:tc>
          <w:tcPr>
            <w:tcW w:w="1053" w:type="pct"/>
            <w:hideMark/>
          </w:tcPr>
          <w:p w14:paraId="555435A4" w14:textId="5CBF69CD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145</w:t>
            </w:r>
          </w:p>
          <w:p w14:paraId="1A9ABD55" w14:textId="6D6412D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58</w:t>
            </w:r>
          </w:p>
        </w:tc>
        <w:tc>
          <w:tcPr>
            <w:tcW w:w="527" w:type="pct"/>
            <w:hideMark/>
          </w:tcPr>
          <w:p w14:paraId="3D5E16CF" w14:textId="52C7804A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57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13</w:t>
            </w:r>
          </w:p>
          <w:p w14:paraId="5D9DCE20" w14:textId="7B03373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67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±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15</w:t>
            </w:r>
          </w:p>
        </w:tc>
        <w:tc>
          <w:tcPr>
            <w:tcW w:w="754" w:type="pct"/>
            <w:hideMark/>
          </w:tcPr>
          <w:p w14:paraId="09F9940B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77/68</w:t>
            </w:r>
          </w:p>
          <w:p w14:paraId="46B12B7C" w14:textId="77777777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38/20</w:t>
            </w:r>
          </w:p>
        </w:tc>
        <w:tc>
          <w:tcPr>
            <w:tcW w:w="1511" w:type="pct"/>
            <w:hideMark/>
          </w:tcPr>
          <w:p w14:paraId="15DE0473" w14:textId="1EE3E0C1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0.004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  <w:p w14:paraId="015D5F70" w14:textId="2F38DE1B" w:rsidR="002268C9" w:rsidRPr="00BA6DB1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BA6DB1">
              <w:rPr>
                <w:rFonts w:ascii="Book Antiqua" w:eastAsia="Calibri" w:hAnsi="Book Antiqua"/>
                <w:color w:val="000000"/>
              </w:rPr>
              <w:t>Non-survived: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0.020</w:t>
            </w:r>
            <w:r w:rsidR="00BA6DB1" w:rsidRPr="00BA6DB1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BA6DB1">
              <w:rPr>
                <w:rFonts w:ascii="Book Antiqua" w:eastAsia="Calibri" w:hAnsi="Book Antiqua"/>
                <w:color w:val="000000"/>
              </w:rPr>
              <w:t>ng/mL</w:t>
            </w:r>
          </w:p>
        </w:tc>
      </w:tr>
    </w:tbl>
    <w:p w14:paraId="785FD17E" w14:textId="008E160F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color w:val="000000"/>
        </w:rPr>
      </w:pPr>
    </w:p>
    <w:sectPr w:rsidR="00A77B3E" w:rsidRPr="00BA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10F5" w14:textId="77777777" w:rsidR="00FB4FD7" w:rsidRDefault="00FB4FD7" w:rsidP="002268C9">
      <w:r>
        <w:separator/>
      </w:r>
    </w:p>
  </w:endnote>
  <w:endnote w:type="continuationSeparator" w:id="0">
    <w:p w14:paraId="5F51A559" w14:textId="77777777" w:rsidR="00FB4FD7" w:rsidRDefault="00FB4FD7" w:rsidP="0022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515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908CE" w14:textId="569768AE" w:rsidR="00E96015" w:rsidRDefault="00E96015" w:rsidP="00E96015">
            <w:pPr>
              <w:pStyle w:val="a5"/>
              <w:jc w:val="right"/>
            </w:pPr>
            <w:r w:rsidRPr="00E960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704E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960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704E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27</w: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5FD13D" w14:textId="77777777" w:rsidR="00E96015" w:rsidRDefault="00E960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B377" w14:textId="77777777" w:rsidR="00FB4FD7" w:rsidRDefault="00FB4FD7" w:rsidP="002268C9">
      <w:r>
        <w:separator/>
      </w:r>
    </w:p>
  </w:footnote>
  <w:footnote w:type="continuationSeparator" w:id="0">
    <w:p w14:paraId="2D54D0C5" w14:textId="77777777" w:rsidR="00FB4FD7" w:rsidRDefault="00FB4FD7" w:rsidP="0022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268C9"/>
    <w:rsid w:val="003A290C"/>
    <w:rsid w:val="00415F4C"/>
    <w:rsid w:val="004704EA"/>
    <w:rsid w:val="004C4848"/>
    <w:rsid w:val="00612EAF"/>
    <w:rsid w:val="00A77B3E"/>
    <w:rsid w:val="00BA6DB1"/>
    <w:rsid w:val="00CA2A55"/>
    <w:rsid w:val="00E96015"/>
    <w:rsid w:val="00EE3839"/>
    <w:rsid w:val="00F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9D13C4"/>
  <w15:docId w15:val="{AD06992F-7744-4AD7-B973-4E6EC83A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</w:style>
  <w:style w:type="character" w:customStyle="1" w:styleId="hgKElc">
    <w:name w:val="hgKElc"/>
    <w:basedOn w:val="a0"/>
  </w:style>
  <w:style w:type="paragraph" w:styleId="a3">
    <w:name w:val="header"/>
    <w:basedOn w:val="a"/>
    <w:link w:val="a4"/>
    <w:unhideWhenUsed/>
    <w:rsid w:val="0022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6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8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8C9"/>
    <w:rPr>
      <w:sz w:val="18"/>
      <w:szCs w:val="18"/>
    </w:rPr>
  </w:style>
  <w:style w:type="character" w:styleId="a7">
    <w:name w:val="annotation reference"/>
    <w:basedOn w:val="a0"/>
    <w:semiHidden/>
    <w:unhideWhenUsed/>
    <w:rsid w:val="002268C9"/>
    <w:rPr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2268C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9">
    <w:name w:val="annotation text"/>
    <w:basedOn w:val="a"/>
    <w:link w:val="aa"/>
    <w:semiHidden/>
    <w:unhideWhenUsed/>
    <w:rsid w:val="002268C9"/>
  </w:style>
  <w:style w:type="character" w:customStyle="1" w:styleId="aa">
    <w:name w:val="批注文字 字符"/>
    <w:basedOn w:val="a0"/>
    <w:link w:val="a9"/>
    <w:semiHidden/>
    <w:rsid w:val="002268C9"/>
    <w:rPr>
      <w:sz w:val="24"/>
      <w:szCs w:val="24"/>
    </w:rPr>
  </w:style>
  <w:style w:type="table" w:styleId="ab">
    <w:name w:val="Table Grid"/>
    <w:basedOn w:val="a1"/>
    <w:uiPriority w:val="59"/>
    <w:rsid w:val="002268C9"/>
    <w:rPr>
      <w:rFonts w:eastAsia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rsid w:val="002268C9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rsid w:val="004704EA"/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rsid w:val="0047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5746</Words>
  <Characters>31927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Fazeleh Majidi</dc:creator>
  <cp:lastModifiedBy>Jin-Lei Wang</cp:lastModifiedBy>
  <cp:revision>6</cp:revision>
  <dcterms:created xsi:type="dcterms:W3CDTF">2021-08-22T03:51:00Z</dcterms:created>
  <dcterms:modified xsi:type="dcterms:W3CDTF">2021-08-24T09:30:00Z</dcterms:modified>
</cp:coreProperties>
</file>