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084DB" w14:textId="4783C766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color w:val="000000"/>
        </w:rPr>
        <w:t>Name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color w:val="000000"/>
        </w:rPr>
        <w:t>Journal: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color w:val="000000"/>
        </w:rPr>
        <w:t>World</w:t>
      </w:r>
      <w:r w:rsidR="00BA6DB1" w:rsidRPr="00AC44B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color w:val="000000"/>
        </w:rPr>
        <w:t>Journal</w:t>
      </w:r>
      <w:r w:rsidR="00BA6DB1" w:rsidRPr="00AC44B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color w:val="000000"/>
        </w:rPr>
        <w:t>Meta-Analysis</w:t>
      </w:r>
    </w:p>
    <w:p w14:paraId="72258937" w14:textId="252F78E9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color w:val="000000"/>
        </w:rPr>
        <w:t>Manuscript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color w:val="000000"/>
        </w:rPr>
        <w:t>NO: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66448</w:t>
      </w:r>
    </w:p>
    <w:p w14:paraId="250E0402" w14:textId="58E85C21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color w:val="000000"/>
        </w:rPr>
        <w:t>Manuscript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color w:val="000000"/>
        </w:rPr>
        <w:t>Type: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SYSTEMATIC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REVIEWS</w:t>
      </w:r>
    </w:p>
    <w:p w14:paraId="25BC927A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E4C0C50" w14:textId="1429655E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bCs/>
          <w:color w:val="000000"/>
        </w:rPr>
        <w:t>Troponin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I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biomarker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strong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prognostic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factor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predicting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mortality: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systematic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review</w:t>
      </w:r>
    </w:p>
    <w:p w14:paraId="56814987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8EEB289" w14:textId="2BD1A95B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Ashraf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et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C44BE">
        <w:rPr>
          <w:rFonts w:ascii="Book Antiqua" w:eastAsia="Book Antiqua" w:hAnsi="Book Antiqua" w:cs="Book Antiqua"/>
          <w:color w:val="000000"/>
        </w:rPr>
        <w:t>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Role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</w:p>
    <w:p w14:paraId="3843FA3A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2E34F59" w14:textId="723B3A9D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Haleh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Ashraf,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Abbas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Soleimani,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Kazemi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saeid,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Azadeh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Sadat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Naseri,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Fazeleh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Majidi,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Niloufar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Peirovi,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Shahrokh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Karbalai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Saleh</w:t>
      </w:r>
    </w:p>
    <w:p w14:paraId="0567DFBA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F5A1A93" w14:textId="6CDDD1C4" w:rsidR="00BA6DB1" w:rsidRDefault="00BA6DB1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b/>
          <w:bCs/>
          <w:color w:val="201F35"/>
        </w:rPr>
        <w:t>Haleh Ashraf, Abbas Soleimani, Ali Kazemi saeid, Azadeh Sadat Naseri, Shahrokh Karbalai Saleh, </w:t>
      </w:r>
      <w:r w:rsidRPr="00AC44BE">
        <w:rPr>
          <w:rFonts w:ascii="Book Antiqua" w:hAnsi="Book Antiqua"/>
          <w:color w:val="201F35"/>
        </w:rPr>
        <w:t>Department of Cardiology, Tehran University of Medical Sciences, Tehran 1136746911, Iran</w:t>
      </w:r>
    </w:p>
    <w:p w14:paraId="14C5467D" w14:textId="77777777" w:rsidR="004C6CE7" w:rsidRPr="00AC44BE" w:rsidRDefault="004C6CE7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</w:p>
    <w:p w14:paraId="6F2DEDAB" w14:textId="77777777" w:rsidR="004C6CE7" w:rsidRPr="00623914" w:rsidRDefault="004C6CE7" w:rsidP="004C6CE7">
      <w:pPr>
        <w:spacing w:line="480" w:lineRule="auto"/>
        <w:jc w:val="both"/>
        <w:rPr>
          <w:rFonts w:ascii="Book Antiqua" w:hAnsi="Book Antiqua"/>
          <w:color w:val="201F35"/>
        </w:rPr>
      </w:pPr>
      <w:r w:rsidRPr="000F4F26">
        <w:rPr>
          <w:rFonts w:ascii="Book Antiqua" w:eastAsia="Book Antiqua" w:hAnsi="Book Antiqua" w:cs="Book Antiqua"/>
          <w:b/>
          <w:bCs/>
          <w:color w:val="000000"/>
        </w:rPr>
        <w:t xml:space="preserve">Haleh Ashraf, </w:t>
      </w:r>
      <w:r w:rsidRPr="00623914">
        <w:rPr>
          <w:rFonts w:ascii="Book Antiqua" w:hAnsi="Book Antiqua"/>
          <w:color w:val="201F35"/>
        </w:rPr>
        <w:t>Cardiac Primary Prevention Research Center (CPPRC), Cardiovascular Diseases Research Institute, Tehran University of Medical Sciences, Tehran, Iran, zip code 1411713138</w:t>
      </w:r>
    </w:p>
    <w:p w14:paraId="5CEFCCC1" w14:textId="77777777" w:rsidR="004C6CE7" w:rsidRDefault="004C6CE7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201F35"/>
        </w:rPr>
      </w:pPr>
    </w:p>
    <w:p w14:paraId="46D7EA86" w14:textId="60DEC31B" w:rsidR="00A77B3E" w:rsidRPr="00AC44BE" w:rsidRDefault="00BA6DB1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b/>
          <w:bCs/>
          <w:color w:val="201F35"/>
        </w:rPr>
        <w:t>Fazeleh Majidi, Niloufar Peirovi, </w:t>
      </w:r>
      <w:r w:rsidRPr="00AC44BE">
        <w:rPr>
          <w:rFonts w:ascii="Book Antiqua" w:hAnsi="Book Antiqua"/>
          <w:color w:val="201F35"/>
        </w:rPr>
        <w:t>Reserch and Development Center, Sina Hospital, Tehran University of Medical Sciences, Tehran 1136746911, Iran</w:t>
      </w:r>
    </w:p>
    <w:p w14:paraId="237A55E4" w14:textId="77777777" w:rsidR="00BA6DB1" w:rsidRPr="00AC44BE" w:rsidRDefault="00BA6DB1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44CF5E9" w14:textId="6C384582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Ashraf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Soleimani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Kazemi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saeid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Sadat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Naseri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Majidi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Peirovi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Karbalai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Saleh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have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contributed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equally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provided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critical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feedback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helped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shape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research,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analysis,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manuscript.</w:t>
      </w:r>
    </w:p>
    <w:p w14:paraId="7782E6AC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3D85E6D" w14:textId="514B8522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Shahrokh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Karbalai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Saleh,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Department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Cardiology,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Tehran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University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Medical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Sciences,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Imam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Khomeini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Sina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Hospital,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Tehran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1136746911,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Iran.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saleh6948@yahoo.com</w:t>
      </w:r>
    </w:p>
    <w:p w14:paraId="4EAB64DF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049A0CC" w14:textId="2C6FCAA9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March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28,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2021</w:t>
      </w:r>
    </w:p>
    <w:p w14:paraId="43AA6729" w14:textId="58585CA5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July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3,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2021</w:t>
      </w:r>
    </w:p>
    <w:p w14:paraId="7B445A72" w14:textId="59B5876E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12EAF" w:rsidRPr="00AC44BE">
        <w:rPr>
          <w:rFonts w:ascii="Book Antiqua" w:eastAsia="Book Antiqua" w:hAnsi="Book Antiqua" w:cs="Book Antiqua"/>
          <w:color w:val="000000"/>
        </w:rPr>
        <w:t>August 24, 2021</w:t>
      </w:r>
    </w:p>
    <w:p w14:paraId="084EBD5B" w14:textId="04E01B45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922AF" w:rsidRPr="00AC44BE">
        <w:rPr>
          <w:rFonts w:ascii="Book Antiqua" w:eastAsia="Book Antiqua" w:hAnsi="Book Antiqua" w:cs="Book Antiqua"/>
          <w:color w:val="000000"/>
        </w:rPr>
        <w:t>August 28, 2021</w:t>
      </w:r>
    </w:p>
    <w:p w14:paraId="64B8CA3B" w14:textId="77777777" w:rsidR="00BA6DB1" w:rsidRPr="00AC44BE" w:rsidRDefault="00BA6DB1" w:rsidP="00BA6DB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66E0E346" w14:textId="77777777" w:rsidR="00BA6DB1" w:rsidRPr="00AC44BE" w:rsidRDefault="00BA6DB1" w:rsidP="00BA6DB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64802A7" w14:textId="203330B9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color w:val="000000"/>
        </w:rPr>
        <w:t>Abstract</w:t>
      </w:r>
    </w:p>
    <w:p w14:paraId="139A79B1" w14:textId="77777777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BACKGROUND</w:t>
      </w:r>
    </w:p>
    <w:p w14:paraId="283B378B" w14:textId="6C95265D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increase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circulating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blood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suffering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coronavirus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2019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(COVID-19)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strong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prognostic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factor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predicting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poorer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outcome.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</w:p>
    <w:p w14:paraId="02CEAAD6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7C9754" w14:textId="77777777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AIM</w:t>
      </w:r>
    </w:p>
    <w:p w14:paraId="3FC64537" w14:textId="03FFE636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review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literatures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approve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claim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systematically.</w:t>
      </w:r>
    </w:p>
    <w:p w14:paraId="345A1557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F17395" w14:textId="77777777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METHODS</w:t>
      </w:r>
    </w:p>
    <w:p w14:paraId="0FEC1830" w14:textId="0884061D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Two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blinded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reviewers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independently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screened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titles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abstracts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manuscripts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using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keywords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deeply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searching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databanks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including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PubMed,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SCOPUS,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Google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Scholar,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Web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knowledge,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followed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profoundly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appraisement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full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texts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inclusion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appropriateness.</w:t>
      </w:r>
    </w:p>
    <w:p w14:paraId="6F68A30E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C444414" w14:textId="77777777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RESULTS</w:t>
      </w:r>
    </w:p>
    <w:p w14:paraId="01F46DA4" w14:textId="2EF6D2D2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manuscripts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entered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final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assessment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categorized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two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groups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including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10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manuscripts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describing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comparing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death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disease-related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complications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between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subgroups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raised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serum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lastRenderedPageBreak/>
        <w:t>those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normal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ranges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biomarker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7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manuscripts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comparing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serum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concentration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across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survived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non-survived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groups.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Comparing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outcome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groups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raised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normal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markers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showed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increased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likelihood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death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[hazard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ratio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(HR)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=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4.967,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&lt;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0.001],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acute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respiratory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distress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syndrome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(HR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=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5.914,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&lt;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0.001),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acute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kidney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injury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(HR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=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3.849,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&lt;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0.001),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intensive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unit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(ICU)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admission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(HR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=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3.780,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&lt;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0.001)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following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raise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pooled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analysis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showed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significantly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higher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concentration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marker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survived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group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compared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non-survived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group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(weighted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differences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22.278,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95%CI: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15.647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28.927,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&lt;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0.001).</w:t>
      </w:r>
    </w:p>
    <w:p w14:paraId="191ECCCD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DA38BFF" w14:textId="77777777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CONCLUSION</w:t>
      </w:r>
    </w:p>
    <w:p w14:paraId="163E96F9" w14:textId="6D52400A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Raising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admission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linked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increase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risk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in-hospital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death,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acute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respiratory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distress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syndrome,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kidney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injury,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ICU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admission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4.9,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5.9,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3.8,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3.7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times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compared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those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initial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normal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concentration.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Thus,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raising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baseline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value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prognostic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factor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poor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outcome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</w:p>
    <w:p w14:paraId="7A32800E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67A2BA" w14:textId="556727B6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Troponin-I;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COVID-19;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Mortality;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Morbidity;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Cardiac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biomarker;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Acute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respiratory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distress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syndrome</w:t>
      </w:r>
    </w:p>
    <w:p w14:paraId="04455045" w14:textId="77777777" w:rsidR="007609F6" w:rsidRDefault="007609F6" w:rsidP="007609F6">
      <w:pPr>
        <w:spacing w:line="360" w:lineRule="auto"/>
        <w:jc w:val="both"/>
        <w:rPr>
          <w:lang w:eastAsia="zh-CN"/>
        </w:rPr>
      </w:pPr>
    </w:p>
    <w:p w14:paraId="722514B2" w14:textId="77777777" w:rsidR="007609F6" w:rsidRDefault="007609F6" w:rsidP="007609F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1397E242" w14:textId="77777777" w:rsidR="007609F6" w:rsidRDefault="007609F6" w:rsidP="007609F6">
      <w:pPr>
        <w:spacing w:line="360" w:lineRule="auto"/>
        <w:jc w:val="both"/>
        <w:rPr>
          <w:lang w:eastAsia="zh-CN"/>
        </w:rPr>
      </w:pPr>
    </w:p>
    <w:p w14:paraId="064E2DE1" w14:textId="2353FE7B" w:rsidR="006069FA" w:rsidRDefault="007609F6" w:rsidP="007609F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hAnsi="Book Antiqua" w:cs="Book Antiqua"/>
          <w:b/>
          <w:color w:val="000000"/>
          <w:lang w:eastAsia="zh-CN"/>
        </w:rPr>
        <w:t>Citation:</w:t>
      </w:r>
      <w:r>
        <w:rPr>
          <w:rFonts w:ascii="Book Antiqua" w:hAnsi="Book Antiqua" w:cs="Book Antiqua"/>
          <w:color w:val="000000"/>
          <w:lang w:eastAsia="zh-CN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Ashraf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H,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Soleimani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A,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Kazemi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saeid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A,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Sadat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Naseri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A,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Majidi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F,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Peirovi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N,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Karbalai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Saleh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S.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Troponin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biomarker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strong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prognostic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factor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predicting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mortality: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systematic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review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meta-analysis.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i/>
          <w:iCs/>
          <w:color w:val="000000"/>
        </w:rPr>
        <w:t>J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i/>
          <w:iCs/>
          <w:color w:val="000000"/>
        </w:rPr>
        <w:t>Meta-Anal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E96015" w:rsidRPr="00AC44BE">
        <w:rPr>
          <w:rFonts w:ascii="Book Antiqua" w:eastAsia="Book Antiqua" w:hAnsi="Book Antiqua" w:cs="Book Antiqua"/>
          <w:color w:val="000000"/>
        </w:rPr>
        <w:t>2021;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F91349" w:rsidRPr="00AC44BE">
        <w:rPr>
          <w:rFonts w:ascii="Book Antiqua" w:eastAsia="Book Antiqua" w:hAnsi="Book Antiqua" w:cs="Book Antiqua"/>
          <w:color w:val="000000"/>
        </w:rPr>
        <w:t xml:space="preserve">9(4): </w:t>
      </w:r>
      <w:r w:rsidR="006069FA" w:rsidRPr="006069FA">
        <w:rPr>
          <w:rFonts w:ascii="Book Antiqua" w:eastAsia="Book Antiqua" w:hAnsi="Book Antiqua" w:cs="Book Antiqua"/>
          <w:color w:val="000000"/>
        </w:rPr>
        <w:t>342-352</w:t>
      </w:r>
      <w:r w:rsidR="00F91349" w:rsidRPr="00AC44BE">
        <w:rPr>
          <w:rFonts w:ascii="Book Antiqua" w:eastAsia="Book Antiqua" w:hAnsi="Book Antiqua" w:cs="Book Antiqua"/>
          <w:color w:val="000000"/>
        </w:rPr>
        <w:t xml:space="preserve"> </w:t>
      </w:r>
    </w:p>
    <w:p w14:paraId="1A93D5EB" w14:textId="15FD635E" w:rsidR="006069FA" w:rsidRDefault="00F91349" w:rsidP="007609F6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44BE">
        <w:rPr>
          <w:rFonts w:ascii="Book Antiqua" w:eastAsia="Book Antiqua" w:hAnsi="Book Antiqua" w:cs="Book Antiqua"/>
          <w:color w:val="000000"/>
        </w:rPr>
        <w:t>URL: https://www.wjgnet.com/2308-3840/full/v9/i4/</w:t>
      </w:r>
      <w:r w:rsidR="006069FA" w:rsidRPr="006069FA">
        <w:rPr>
          <w:rFonts w:ascii="Book Antiqua" w:eastAsia="Book Antiqua" w:hAnsi="Book Antiqua" w:cs="Book Antiqua"/>
          <w:color w:val="000000"/>
        </w:rPr>
        <w:t>342</w:t>
      </w:r>
      <w:r w:rsidRPr="00AC44BE">
        <w:rPr>
          <w:rFonts w:ascii="Book Antiqua" w:eastAsia="Book Antiqua" w:hAnsi="Book Antiqua" w:cs="Book Antiqua"/>
          <w:color w:val="000000"/>
        </w:rPr>
        <w:t xml:space="preserve">.htm  </w:t>
      </w:r>
    </w:p>
    <w:p w14:paraId="28388825" w14:textId="06ADCAE5" w:rsidR="00A77B3E" w:rsidRPr="00AC44BE" w:rsidRDefault="00F91349" w:rsidP="007609F6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DOI: https://dx.doi.org/10.13105/wjma.v9.i4.</w:t>
      </w:r>
      <w:r w:rsidR="006069FA" w:rsidRPr="006069FA">
        <w:rPr>
          <w:rFonts w:ascii="Book Antiqua" w:eastAsia="Book Antiqua" w:hAnsi="Book Antiqua" w:cs="Book Antiqua"/>
          <w:color w:val="000000"/>
        </w:rPr>
        <w:t>342</w:t>
      </w:r>
    </w:p>
    <w:p w14:paraId="1BCBCD5C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91F4B2" w14:textId="68B02608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bCs/>
          <w:color w:val="000000"/>
        </w:rPr>
        <w:lastRenderedPageBreak/>
        <w:t>Core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systematically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reviewed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literatures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claim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increase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could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prognostic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factor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predicting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severity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mortality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coronavirus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2019.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According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findings,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regardless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history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myocardial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injuries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presence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cardiovascular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risk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profile,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value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should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accurately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assessed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admission.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Raising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admission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linked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increase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risk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in-hospital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death,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acute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respiratory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distress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syndrome,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kidney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injury,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intensive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unit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admission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4.9,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5.9,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3.8,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3.7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times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compared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those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initial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normal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concentration.</w:t>
      </w:r>
    </w:p>
    <w:p w14:paraId="1E654C4C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2CCE5C" w14:textId="77777777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4F57596" w14:textId="372BB102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new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coronavirus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known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coronavirus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2019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(COVID-19)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far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(15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February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15)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infected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108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million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people,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leading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million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deaths.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About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15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20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percent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experience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severe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illness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resulting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3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percent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mortality.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presents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acute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respiratory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syndrome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fever,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cough,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dyspnea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myalgia</w:t>
      </w:r>
      <w:r w:rsidR="00415F4C" w:rsidRPr="00AC44B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C44BE">
        <w:rPr>
          <w:rFonts w:ascii="Book Antiqua" w:eastAsia="Book Antiqua" w:hAnsi="Book Antiqua" w:cs="Book Antiqua"/>
          <w:color w:val="000000"/>
          <w:vertAlign w:val="superscript"/>
        </w:rPr>
        <w:t>1-4]</w:t>
      </w:r>
      <w:r w:rsidRPr="00AC44BE">
        <w:rPr>
          <w:rFonts w:ascii="Book Antiqua" w:eastAsia="Book Antiqua" w:hAnsi="Book Antiqua" w:cs="Book Antiqua"/>
          <w:color w:val="000000"/>
        </w:rPr>
        <w:t>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date,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confirmed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treatment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Therefore,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accurate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early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diagnosis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determination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severity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prevent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further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progression.</w:t>
      </w:r>
    </w:p>
    <w:p w14:paraId="37ACF759" w14:textId="36BE517C" w:rsidR="00A77B3E" w:rsidRPr="00AC44BE" w:rsidRDefault="00E96015" w:rsidP="00BA6DB1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Along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acute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respiratory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failure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prominent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debilitating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manifestation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multidimensional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organ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defects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have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been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also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detected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affected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certainly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resulting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from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virus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triggering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role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pro-inflammatory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cytokines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activation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secretion,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coagulation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abnormalities</w:t>
      </w:r>
      <w:r w:rsidR="00415F4C" w:rsidRPr="00AC44B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C44BE">
        <w:rPr>
          <w:rFonts w:ascii="Book Antiqua" w:eastAsia="Book Antiqua" w:hAnsi="Book Antiqua" w:cs="Book Antiqua"/>
          <w:color w:val="000000"/>
          <w:vertAlign w:val="superscript"/>
        </w:rPr>
        <w:t>5,6]</w:t>
      </w:r>
      <w:r w:rsidRPr="00AC44BE">
        <w:rPr>
          <w:rFonts w:ascii="Book Antiqua" w:eastAsia="Book Antiqua" w:hAnsi="Book Antiqua" w:cs="Book Antiqua"/>
          <w:color w:val="000000"/>
        </w:rPr>
        <w:t>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complex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such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events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predispose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cardiovascular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ischemic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thromboembolic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events</w:t>
      </w:r>
      <w:r w:rsidR="00415F4C" w:rsidRPr="00AC44B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C44BE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AC44BE">
        <w:rPr>
          <w:rFonts w:ascii="Book Antiqua" w:eastAsia="Book Antiqua" w:hAnsi="Book Antiqua" w:cs="Book Antiqua"/>
          <w:color w:val="000000"/>
        </w:rPr>
        <w:t>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Some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clinical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data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have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supported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strong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link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infection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cardiac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cerebrovascular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ischemic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events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leading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high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mortality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disabilities</w:t>
      </w:r>
      <w:r w:rsidR="00415F4C" w:rsidRPr="00AC44B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C44BE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AC44BE">
        <w:rPr>
          <w:rFonts w:ascii="Book Antiqua" w:eastAsia="Book Antiqua" w:hAnsi="Book Antiqua" w:cs="Book Antiqua"/>
          <w:color w:val="000000"/>
        </w:rPr>
        <w:t>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infection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now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suggested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promote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myocardial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injuries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leading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cardiac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arrhythmias,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myocardial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hypertrophy,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acute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coronary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syndrome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even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acute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heart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failure.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obvious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bidirectional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interaction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between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cardiovascular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system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infection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however,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exact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mechanisms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responsible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such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cardiovascular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defects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remains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elusive.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Some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molecular-based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studies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emphasize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lastRenderedPageBreak/>
        <w:t>central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role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pro-inflammatory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cascades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such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activation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interleukin-6,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interleukin-1beta,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tumor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necrosis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factor-α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flaring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factors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such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events</w:t>
      </w:r>
      <w:r w:rsidR="00415F4C" w:rsidRPr="00AC44B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C44BE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AC44BE">
        <w:rPr>
          <w:rFonts w:ascii="Book Antiqua" w:eastAsia="Book Antiqua" w:hAnsi="Book Antiqua" w:cs="Book Antiqua"/>
          <w:color w:val="000000"/>
        </w:rPr>
        <w:t>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Also,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presence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some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specific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receptors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virus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such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ACE2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gateway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virus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enter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tissues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such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myocardium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seems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necessary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mentioned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injuries</w:t>
      </w:r>
      <w:r w:rsidRPr="00AC44BE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Pr="00AC44BE">
        <w:rPr>
          <w:rFonts w:ascii="Book Antiqua" w:eastAsia="Book Antiqua" w:hAnsi="Book Antiqua" w:cs="Book Antiqua"/>
          <w:color w:val="000000"/>
        </w:rPr>
        <w:t>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also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strong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evidence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close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association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between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effects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virus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underlying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cardiovascular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risk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factors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such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hypertension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diabetes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presence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risk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factors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increases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risk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ischemic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events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many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times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over.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body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evidence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highlights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high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risk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ischemic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heart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such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myocardial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infarction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Pr="00AC44BE">
        <w:rPr>
          <w:rFonts w:ascii="Book Antiqua" w:eastAsia="Book Antiqua" w:hAnsi="Book Antiqua" w:cs="Book Antiqua"/>
          <w:color w:val="000000"/>
          <w:vertAlign w:val="superscript"/>
        </w:rPr>
        <w:t>[11,12]</w:t>
      </w:r>
      <w:r w:rsidRPr="00AC44BE">
        <w:rPr>
          <w:rFonts w:ascii="Book Antiqua" w:eastAsia="Book Antiqua" w:hAnsi="Book Antiqua" w:cs="Book Antiqua"/>
          <w:color w:val="000000"/>
        </w:rPr>
        <w:t>.</w:t>
      </w:r>
    </w:p>
    <w:p w14:paraId="0199F4D7" w14:textId="40C11F07" w:rsidR="00A77B3E" w:rsidRPr="00AC44BE" w:rsidRDefault="00E96015" w:rsidP="00BA6DB1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Therefore,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one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relatively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prevalent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adversity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particularly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elderly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prior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predisposing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factors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like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hypertension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diabetes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mellitus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cardiovascular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lesions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ischemic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heart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attacks,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arrhythmias,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vascular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disorders.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regard,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considering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increase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cardiac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biomarkers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such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marker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myocardial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damage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been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fully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proven</w:t>
      </w:r>
      <w:r w:rsidRPr="00AC44BE">
        <w:rPr>
          <w:rFonts w:ascii="Book Antiqua" w:eastAsia="Book Antiqua" w:hAnsi="Book Antiqua" w:cs="Book Antiqua"/>
          <w:color w:val="000000"/>
          <w:vertAlign w:val="superscript"/>
        </w:rPr>
        <w:t>[13]</w:t>
      </w:r>
      <w:r w:rsidRPr="00AC44BE">
        <w:rPr>
          <w:rFonts w:ascii="Book Antiqua" w:eastAsia="Book Antiqua" w:hAnsi="Book Antiqua" w:cs="Book Antiqua"/>
          <w:color w:val="000000"/>
        </w:rPr>
        <w:t>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seems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myocardial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arrhythmic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lesions,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increase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marker.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increase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circulating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blood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also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prognostic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factor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predicting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severity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mortality</w:t>
      </w:r>
      <w:r w:rsidR="00415F4C" w:rsidRPr="00AC44B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C44BE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AC44BE">
        <w:rPr>
          <w:rFonts w:ascii="Book Antiqua" w:eastAsia="Book Antiqua" w:hAnsi="Book Antiqua" w:cs="Book Antiqua"/>
          <w:color w:val="000000"/>
        </w:rPr>
        <w:t>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study,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systematically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reviewed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literature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claim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increase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could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prognostic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factor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predicting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severity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mortality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COVID-19.</w:t>
      </w:r>
    </w:p>
    <w:p w14:paraId="0A5297FA" w14:textId="77777777" w:rsidR="00A77B3E" w:rsidRPr="00AC44BE" w:rsidRDefault="00A77B3E" w:rsidP="00BA6DB1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1D9D0A52" w14:textId="453E8564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BA6DB1" w:rsidRPr="00AC44B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C44BE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BA6DB1" w:rsidRPr="00AC44B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C44BE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2CA1A91F" w14:textId="23D6D5C0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performing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present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systematic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review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meta-analysis,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full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guideline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“Preferred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Reporting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Items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Systematic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Reviews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Meta-Analyses”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followed</w:t>
      </w:r>
      <w:r w:rsidR="00415F4C" w:rsidRPr="00AC44B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C44BE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AC44BE">
        <w:rPr>
          <w:rFonts w:ascii="Book Antiqua" w:eastAsia="Book Antiqua" w:hAnsi="Book Antiqua" w:cs="Book Antiqua"/>
          <w:color w:val="000000"/>
        </w:rPr>
        <w:t>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first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step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after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explaining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study’s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question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specific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goals,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prospective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retrospective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comparative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studies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evaluated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link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between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serum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two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related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parameters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including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severity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mortality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considered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eligible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primary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assessment.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regard,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deeply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searching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manuscript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databanks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including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PubMed,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SCOPUS,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Google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lastRenderedPageBreak/>
        <w:t>Scholar,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Web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knowledge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planned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from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inception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October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2020;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keywords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were: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‘covid-19’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‘sars-cov-2’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‘2019-ncov’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‘troponin’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‘mortality’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‘death’.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searches,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review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papers,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presentations,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letter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editors,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abstracts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without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full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text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access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excluded.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Non-English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studies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excluded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from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meta-analysis.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Also,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cases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lack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access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full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text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articles,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correspondence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made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author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charge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articles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obtain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full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article,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lack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access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original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article;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removed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from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study.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manuscript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reviewing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done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two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blinded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reviewers,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screening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titles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abstracts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followed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profound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appraisement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full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texts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independently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inclusion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appropriateness.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presence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disagreement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between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judged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checked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again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another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reviewer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last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arbiter.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eligibility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reasons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including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papers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schematically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presented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Figure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1.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bias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hazard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blindly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assessed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two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authors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using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Cochrane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risk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bias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tool,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afore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finalizing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meta-analysis.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bias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qualitatively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classified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high,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uncertain,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low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bias</w:t>
      </w:r>
      <w:r w:rsidR="00415F4C" w:rsidRPr="00AC44B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C44BE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AC44BE">
        <w:rPr>
          <w:rFonts w:ascii="Book Antiqua" w:eastAsia="Book Antiqua" w:hAnsi="Book Antiqua" w:cs="Book Antiqua"/>
          <w:color w:val="000000"/>
        </w:rPr>
        <w:t>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Accordingly,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following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domains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typically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specify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bias: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2C19BB" w:rsidRPr="00AC44BE">
        <w:rPr>
          <w:rFonts w:ascii="Book Antiqua" w:eastAsia="Book Antiqua" w:hAnsi="Book Antiqua" w:cs="Book Antiqua"/>
          <w:color w:val="000000"/>
        </w:rPr>
        <w:t>H</w:t>
      </w:r>
      <w:r w:rsidRPr="00AC44BE">
        <w:rPr>
          <w:rFonts w:ascii="Book Antiqua" w:eastAsia="Book Antiqua" w:hAnsi="Book Antiqua" w:cs="Book Antiqua"/>
          <w:color w:val="000000"/>
        </w:rPr>
        <w:t>ow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select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participants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(selection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bias),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how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perform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measurement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along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management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disease-related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outcomes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including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severity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in-hospital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death,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how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manage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confounders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missing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data.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permanent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effects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random-effects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significant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heterogeneity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across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data)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models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obtained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pooled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relative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risk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95%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confidence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interval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corresponding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AC44BE">
        <w:rPr>
          <w:rFonts w:ascii="Book Antiqua" w:eastAsia="Book Antiqua" w:hAnsi="Book Antiqua" w:cs="Book Antiqua"/>
          <w:color w:val="000000"/>
        </w:rPr>
        <w:t>-values)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severity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death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due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raising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obtained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pooled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dichotomous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data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using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difference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(MD)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incongruity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between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studies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evaluated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determining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AC44BE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values.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sensitivity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analysis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also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performed,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which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observational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studies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critical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risk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bias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excluded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from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analysis.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Publication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bias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also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appraised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rank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correlation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test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also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affirmed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funnel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plot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analysis.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Reported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values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two-tailed,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hypothesis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testing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results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assumed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statistically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significant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=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0.05.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Comprehensive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Meta-Analysis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Software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(CMA,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version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3.0)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statistical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analysis.</w:t>
      </w:r>
    </w:p>
    <w:p w14:paraId="50E1C45E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03731E4" w14:textId="77777777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081AAA1" w14:textId="581CD12E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study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selection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process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shown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Figure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1.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field,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216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articles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prepared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database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searching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beginning.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removed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137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articles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duplicated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unrelated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subject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systematic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review.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first,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79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articles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initially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under-screened.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Fifty-nine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articles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excluded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based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titles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abstracts.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extant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20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articles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specified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subsequent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eligibility.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also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excluded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3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articles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because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data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contents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completed.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Eventually,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17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articles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qualified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final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analysis</w:t>
      </w:r>
      <w:r w:rsidR="00415F4C" w:rsidRPr="00AC44B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C44BE">
        <w:rPr>
          <w:rFonts w:ascii="Book Antiqua" w:eastAsia="Book Antiqua" w:hAnsi="Book Antiqua" w:cs="Book Antiqua"/>
          <w:color w:val="000000"/>
          <w:vertAlign w:val="superscript"/>
        </w:rPr>
        <w:t>17-32]</w:t>
      </w:r>
      <w:r w:rsidRPr="00AC44BE">
        <w:rPr>
          <w:rFonts w:ascii="Book Antiqua" w:eastAsia="Book Antiqua" w:hAnsi="Book Antiqua" w:cs="Book Antiqua"/>
          <w:color w:val="000000"/>
        </w:rPr>
        <w:t>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Table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1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describes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baseline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characteristics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included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studies.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Evaluation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publication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systematic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bias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demonstrated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approximately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articles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supposed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low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risk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unclear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biases;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hence,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obtained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results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could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considered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valid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none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articles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supposed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have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high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risk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bias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(Figure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2).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</w:p>
    <w:p w14:paraId="697BC22C" w14:textId="0AD60B65" w:rsidR="00A77B3E" w:rsidRPr="00AC44BE" w:rsidRDefault="00E96015" w:rsidP="00BA6DB1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manuscripts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entered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final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assessment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categorized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two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groups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including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10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manuscripts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describing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comparing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death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disease-related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complications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between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subgroups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raised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serum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those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normal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ranges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biomarker</w:t>
      </w:r>
      <w:r w:rsidR="00415F4C" w:rsidRPr="00AC44B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C44BE">
        <w:rPr>
          <w:rFonts w:ascii="Book Antiqua" w:eastAsia="Book Antiqua" w:hAnsi="Book Antiqua" w:cs="Book Antiqua"/>
          <w:color w:val="000000"/>
          <w:vertAlign w:val="superscript"/>
        </w:rPr>
        <w:t>17-26]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7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manuscripts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comparing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serum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concentration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across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survived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non-survived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groups</w:t>
      </w:r>
      <w:r w:rsidRPr="00AC44BE">
        <w:rPr>
          <w:rFonts w:ascii="Book Antiqua" w:eastAsia="Book Antiqua" w:hAnsi="Book Antiqua" w:cs="Book Antiqua"/>
          <w:color w:val="000000"/>
          <w:vertAlign w:val="superscript"/>
        </w:rPr>
        <w:t>[18-33]</w:t>
      </w:r>
      <w:r w:rsidRPr="00AC44BE">
        <w:rPr>
          <w:rFonts w:ascii="Book Antiqua" w:eastAsia="Book Antiqua" w:hAnsi="Book Antiqua" w:cs="Book Antiqua"/>
          <w:color w:val="000000"/>
        </w:rPr>
        <w:t>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point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concerning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present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meta-analysis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first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present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value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different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laboratory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units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course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could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matched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through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unit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conversion.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However,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different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techniques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employed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value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assessment,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type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study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prospective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retrospective,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different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cutoff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values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considered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defining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abnormal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raise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time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considering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patients’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follow-up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might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lead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high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heterogeneity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across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two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groups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measured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meta-analysis.</w:t>
      </w:r>
    </w:p>
    <w:p w14:paraId="4BD4F87C" w14:textId="3C36C2A6" w:rsidR="00A77B3E" w:rsidRPr="00AC44BE" w:rsidRDefault="00E96015" w:rsidP="00BA6DB1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Overall,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10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studies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assessed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early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mortality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morbidity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groups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without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raised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serum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(Table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1).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regard,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outcome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compared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between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group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normal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range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=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4566)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group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raised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=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1846).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average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age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participants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two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lastRenderedPageBreak/>
        <w:t>groups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59.8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years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71.2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years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respectively.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First,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overall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rate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raising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serum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estimated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32.2%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(95%CI: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25.0%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40.5%)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admitted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hospitals.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Comparing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outcome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groups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raised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normal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marker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(Table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showed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increased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likelihood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death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[hazard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ratio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(HR)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=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4.967,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95%CI: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2.883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8.557,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&lt;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0.001],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acute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respiratory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distress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syndrome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(ARDS)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(HR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=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5.914,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95%CI: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3.027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11.555,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&lt;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0.001),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acute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kidney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injury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(HR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=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3.849,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95%CI: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3.112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4.760,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&lt;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0.001),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also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intensive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unit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(ICU)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admission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(HR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=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3.780,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95%CI: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2.405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5.943,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&lt;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0.001)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following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raise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thus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abnormal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value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admission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could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effectively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predict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poor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outcome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(Figure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3).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heterogeneity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across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studies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assessment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outcome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relevant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AC44BE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values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ranged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74.877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91.317.</w:t>
      </w:r>
    </w:p>
    <w:p w14:paraId="444D9978" w14:textId="7A4C7114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second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assessment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concerning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difference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value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between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survived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non-survived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suffering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(Table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3),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pooled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analysis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showed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significantly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higher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concentration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survived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group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compared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non-survived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group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(weighted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22.278,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95%CI: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15.647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28.927,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&lt;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0.001).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statistical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heterogeneity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significant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I</w:t>
      </w:r>
      <w:r w:rsidRPr="00AC44BE">
        <w:rPr>
          <w:rFonts w:ascii="Book Antiqua" w:eastAsia="Book Antiqua" w:hAnsi="Book Antiqua" w:cs="Book Antiqua"/>
          <w:i/>
          <w:iCs/>
          <w:color w:val="000000"/>
          <w:vertAlign w:val="superscript"/>
        </w:rPr>
        <w:t>2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99.123.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showed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significant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publication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bias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evidenced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either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funnel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plot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asymmetry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Egger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test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comparative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analyses.</w:t>
      </w:r>
    </w:p>
    <w:p w14:paraId="70056410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9DCA0FE" w14:textId="77777777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4018E865" w14:textId="61921AD2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High-sensitive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been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known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strong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even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specific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cardiac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biomarker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diagnosing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ischemic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cardiac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injury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predicting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poorer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outcome.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observations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among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critically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who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suffering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from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especially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those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who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require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intensive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also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suggested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higher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marker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admission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hospitalization.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regard,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recent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studies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have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focused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point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initially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measuring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hospitalized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due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definitive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diagnosis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predicting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outcomes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especially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occurring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in-hospital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death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severity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certainly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possible.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shown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systematic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review,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assessing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baseline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only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strongly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predict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death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</w:t>
      </w:r>
      <w:r w:rsidRPr="00AC44BE">
        <w:rPr>
          <w:rFonts w:ascii="Book Antiqua" w:eastAsia="Book Antiqua" w:hAnsi="Book Antiqua" w:cs="Book Antiqua"/>
          <w:color w:val="000000"/>
        </w:rPr>
        <w:lastRenderedPageBreak/>
        <w:t>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but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also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valuable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factor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predict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sequels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including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ARDS,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kidney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injury,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requiring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ICU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admission.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Due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fact,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appearance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each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complications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indicators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severity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(particularly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ICU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admission).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Therefore,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raising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valuable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indicator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severity.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Overall,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indicated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meta-analysis,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raising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admission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linked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increased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risk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in-hospital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death,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ARDS,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kidney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injury,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ICU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admission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4.9,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5.9,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3.8,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3.7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times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compared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those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initial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normal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concentration.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should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parameter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along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other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known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predictive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parameters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valuable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predict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non-survived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those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disease-related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adverse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events.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Despite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demonstrating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value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strong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predictor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poorer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outcomes,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results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exposed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high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heterogeneity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across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findings.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Such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heterogeneity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explained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first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difference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insignificant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divergent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cutoff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points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defined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raising,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also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difference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baseline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characteristics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study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populations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especially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respect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presence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cardiovascular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risk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profiles,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sample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size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studies,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time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patients’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following–up,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techniques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measuring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concentration.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However,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despite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such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heterogeneities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across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studies,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marker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should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also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considered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important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strong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predictor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consequences.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jlqj4b"/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jlqj4b"/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jlqj4b"/>
          <w:rFonts w:ascii="Book Antiqua" w:eastAsia="Book Antiqua" w:hAnsi="Book Antiqua" w:cs="Book Antiqua"/>
          <w:color w:val="000000"/>
        </w:rPr>
        <w:t>meta-analysis</w:t>
      </w:r>
      <w:r w:rsidR="00BA6DB1" w:rsidRPr="00AC44BE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jlqj4b"/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jlqj4b"/>
          <w:rFonts w:ascii="Book Antiqua" w:eastAsia="Book Antiqua" w:hAnsi="Book Antiqua" w:cs="Book Antiqua"/>
          <w:color w:val="000000"/>
        </w:rPr>
        <w:t>Lippi</w:t>
      </w:r>
      <w:r w:rsidR="00BA6DB1" w:rsidRPr="00AC44BE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jlqj4b"/>
          <w:rFonts w:ascii="Book Antiqua" w:eastAsia="Book Antiqua" w:hAnsi="Book Antiqua" w:cs="Book Antiqua"/>
          <w:i/>
          <w:iCs/>
          <w:color w:val="000000"/>
        </w:rPr>
        <w:t>et</w:t>
      </w:r>
      <w:r w:rsidR="00BA6DB1" w:rsidRPr="00AC44BE">
        <w:rPr>
          <w:rStyle w:val="jlqj4b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Style w:val="jlqj4b"/>
          <w:rFonts w:ascii="Book Antiqua" w:eastAsia="Book Antiqua" w:hAnsi="Book Antiqua" w:cs="Book Antiqua"/>
          <w:i/>
          <w:iCs/>
          <w:color w:val="000000"/>
        </w:rPr>
        <w:t>al</w:t>
      </w:r>
      <w:r w:rsidR="00415F4C" w:rsidRPr="00AC44BE">
        <w:rPr>
          <w:rStyle w:val="jlqj4b"/>
          <w:rFonts w:ascii="Book Antiqua" w:eastAsia="Book Antiqua" w:hAnsi="Book Antiqua" w:cs="Book Antiqua"/>
          <w:i/>
          <w:iCs/>
          <w:color w:val="000000"/>
          <w:vertAlign w:val="superscript"/>
        </w:rPr>
        <w:t>[</w:t>
      </w:r>
      <w:r w:rsidRPr="00AC44BE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33]</w:t>
      </w:r>
      <w:r w:rsidR="00BA6DB1" w:rsidRPr="00AC44BE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jlqj4b"/>
          <w:rFonts w:ascii="Book Antiqua" w:eastAsia="Book Antiqua" w:hAnsi="Book Antiqua" w:cs="Book Antiqua"/>
          <w:color w:val="000000"/>
        </w:rPr>
        <w:t>demonstrated</w:t>
      </w:r>
      <w:r w:rsidR="00BA6DB1" w:rsidRPr="00AC44BE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jlqj4b"/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jlqj4b"/>
          <w:rFonts w:ascii="Book Antiqua" w:eastAsia="Book Antiqua" w:hAnsi="Book Antiqua" w:cs="Book Antiqua"/>
          <w:color w:val="000000"/>
        </w:rPr>
        <w:t>significant</w:t>
      </w:r>
      <w:r w:rsidR="00BA6DB1" w:rsidRPr="00AC44BE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jlqj4b"/>
          <w:rFonts w:ascii="Book Antiqua" w:eastAsia="Book Antiqua" w:hAnsi="Book Antiqua" w:cs="Book Antiqua"/>
          <w:color w:val="000000"/>
        </w:rPr>
        <w:t>association</w:t>
      </w:r>
      <w:r w:rsidR="00BA6DB1" w:rsidRPr="00AC44BE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jlqj4b"/>
          <w:rFonts w:ascii="Book Antiqua" w:eastAsia="Book Antiqua" w:hAnsi="Book Antiqua" w:cs="Book Antiqua"/>
          <w:color w:val="000000"/>
        </w:rPr>
        <w:t>between</w:t>
      </w:r>
      <w:r w:rsidR="00BA6DB1" w:rsidRPr="00AC44BE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jlqj4b"/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jlqj4b"/>
          <w:rFonts w:ascii="Book Antiqua" w:eastAsia="Book Antiqua" w:hAnsi="Book Antiqua" w:cs="Book Antiqua"/>
          <w:color w:val="000000"/>
        </w:rPr>
        <w:t>severity</w:t>
      </w:r>
      <w:r w:rsidR="00BA6DB1" w:rsidRPr="00AC44BE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jlqj4b"/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jlqj4b"/>
          <w:rFonts w:ascii="Book Antiqua" w:eastAsia="Book Antiqua" w:hAnsi="Book Antiqua" w:cs="Book Antiqua"/>
          <w:color w:val="000000"/>
        </w:rPr>
        <w:t>elevated</w:t>
      </w:r>
      <w:r w:rsidR="00BA6DB1" w:rsidRPr="00AC44BE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jlqj4b"/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jlqj4b"/>
          <w:rFonts w:ascii="Book Antiqua" w:eastAsia="Book Antiqua" w:hAnsi="Book Antiqua" w:cs="Book Antiqua"/>
          <w:color w:val="000000"/>
        </w:rPr>
        <w:t>level,</w:t>
      </w:r>
      <w:r w:rsidR="00BA6DB1" w:rsidRPr="00AC44BE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jlqj4b"/>
          <w:rFonts w:ascii="Book Antiqua" w:eastAsia="Book Antiqua" w:hAnsi="Book Antiqua" w:cs="Book Antiqua"/>
          <w:color w:val="000000"/>
        </w:rPr>
        <w:t>despite</w:t>
      </w:r>
      <w:r w:rsidR="00BA6DB1" w:rsidRPr="00AC44BE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jlqj4b"/>
          <w:rFonts w:ascii="Book Antiqua" w:eastAsia="Book Antiqua" w:hAnsi="Book Antiqua" w:cs="Book Antiqua"/>
          <w:color w:val="000000"/>
        </w:rPr>
        <w:t>their</w:t>
      </w:r>
      <w:r w:rsidR="00BA6DB1" w:rsidRPr="00AC44BE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jlqj4b"/>
          <w:rFonts w:ascii="Book Antiqua" w:eastAsia="Book Antiqua" w:hAnsi="Book Antiqua" w:cs="Book Antiqua"/>
          <w:color w:val="000000"/>
        </w:rPr>
        <w:t>high</w:t>
      </w:r>
      <w:r w:rsidR="00BA6DB1" w:rsidRPr="00AC44BE">
        <w:rPr>
          <w:rStyle w:val="jlqj4b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jlqj4b"/>
          <w:rFonts w:ascii="Book Antiqua" w:eastAsia="Book Antiqua" w:hAnsi="Book Antiqua" w:cs="Book Antiqua"/>
          <w:color w:val="000000"/>
        </w:rPr>
        <w:t>heterogeneity.</w:t>
      </w:r>
    </w:p>
    <w:p w14:paraId="16984668" w14:textId="638B3240" w:rsidR="00A77B3E" w:rsidRPr="00AC44BE" w:rsidRDefault="00E96015" w:rsidP="00BA6DB1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Regarding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association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between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raise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outcome,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some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probable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mechanisms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have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been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delivered.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Firstly,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been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revealed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raised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had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higher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rates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cardiovascular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risk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factors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now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shown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closely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linked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increased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risk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death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severity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="00415F4C" w:rsidRPr="00AC44B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C44BE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19]</w:t>
      </w:r>
      <w:r w:rsidRPr="00AC44BE">
        <w:rPr>
          <w:rFonts w:ascii="Book Antiqua" w:eastAsia="Book Antiqua" w:hAnsi="Book Antiqua" w:cs="Book Antiqua"/>
          <w:color w:val="000000"/>
        </w:rPr>
        <w:t>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Also,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severe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respiratory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viral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infections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especially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when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lead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sepsis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also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associated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increasing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Recently,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quadrilateral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mediator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loop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revealed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describing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association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between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raising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outcome</w:t>
      </w:r>
      <w:r w:rsidR="00415F4C" w:rsidRPr="00AC44B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C44BE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34,35]</w:t>
      </w:r>
      <w:r w:rsidRPr="00AC44BE">
        <w:rPr>
          <w:rFonts w:ascii="Book Antiqua" w:eastAsia="Book Antiqua" w:hAnsi="Book Antiqua" w:cs="Book Antiqua"/>
          <w:color w:val="000000"/>
        </w:rPr>
        <w:t>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four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loops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include: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(1)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Secretion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pro-inflammatory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cytokines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raised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favored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ACE2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receptor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suppression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induced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oxidative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stress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lastRenderedPageBreak/>
        <w:t>endothelial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dysfunction;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(2)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Microangiopathy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prothrombotic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states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usually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stimulated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both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oxidative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stress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endothelial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dysfunction;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(3)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Myocardial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infarction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induced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directly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viral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invasion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inflammatory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cascades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activation;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(4)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Myocarditis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inflammatory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reactions</w:t>
      </w:r>
      <w:r w:rsidR="00415F4C" w:rsidRPr="00AC44BE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AC44BE">
        <w:rPr>
          <w:rStyle w:val="jlqj4b"/>
          <w:rFonts w:ascii="Book Antiqua" w:eastAsia="Book Antiqua" w:hAnsi="Book Antiqua" w:cs="Book Antiqua"/>
          <w:color w:val="000000"/>
          <w:vertAlign w:val="superscript"/>
        </w:rPr>
        <w:t>36]</w:t>
      </w:r>
      <w:r w:rsidRPr="00AC44BE">
        <w:rPr>
          <w:rFonts w:ascii="Book Antiqua" w:eastAsia="Book Antiqua" w:hAnsi="Book Antiqua" w:cs="Book Antiqua"/>
          <w:color w:val="000000"/>
        </w:rPr>
        <w:t>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</w:p>
    <w:p w14:paraId="6AD1C3D8" w14:textId="77777777" w:rsidR="00A77B3E" w:rsidRPr="00AC44BE" w:rsidRDefault="00A77B3E" w:rsidP="00BA6DB1">
      <w:pPr>
        <w:adjustRightInd w:val="0"/>
        <w:snapToGrid w:val="0"/>
        <w:spacing w:line="360" w:lineRule="auto"/>
        <w:ind w:firstLine="480"/>
        <w:jc w:val="both"/>
        <w:rPr>
          <w:rFonts w:ascii="Book Antiqua" w:hAnsi="Book Antiqua"/>
        </w:rPr>
      </w:pPr>
    </w:p>
    <w:p w14:paraId="0C531AED" w14:textId="77777777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B3CA779" w14:textId="7072D05F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conclusion,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according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findings,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regardless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history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myocardial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injuries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presence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cardiovascular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risk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profile,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value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should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accurately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assessed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admission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because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high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predicting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value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related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mortality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morbidity.</w:t>
      </w:r>
    </w:p>
    <w:p w14:paraId="10F1C1B3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5A0A381" w14:textId="3851EC34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BA6DB1" w:rsidRPr="00AC44BE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AC44BE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1EAD5D8A" w14:textId="470AD493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A6DB1" w:rsidRPr="00AC44B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7BEA2A28" w14:textId="5B357BFD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admission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high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predicting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value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coronavirus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2019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(COVID-19)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related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mortality.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admission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high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predicting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value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related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morbidity.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strongly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predict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sequels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including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hgKElc"/>
          <w:rFonts w:ascii="Book Antiqua" w:eastAsia="Book Antiqua" w:hAnsi="Book Antiqua" w:cs="Book Antiqua"/>
          <w:color w:val="000000"/>
        </w:rPr>
        <w:t>acute</w:t>
      </w:r>
      <w:r w:rsidR="00BA6DB1" w:rsidRPr="00AC44BE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hgKElc"/>
          <w:rFonts w:ascii="Book Antiqua" w:eastAsia="Book Antiqua" w:hAnsi="Book Antiqua" w:cs="Book Antiqua"/>
          <w:color w:val="000000"/>
        </w:rPr>
        <w:t>respiratory</w:t>
      </w:r>
      <w:r w:rsidR="00BA6DB1" w:rsidRPr="00AC44BE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hgKElc"/>
          <w:rFonts w:ascii="Book Antiqua" w:eastAsia="Book Antiqua" w:hAnsi="Book Antiqua" w:cs="Book Antiqua"/>
          <w:color w:val="000000"/>
        </w:rPr>
        <w:t>distress</w:t>
      </w:r>
      <w:r w:rsidR="00BA6DB1" w:rsidRPr="00AC44BE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hgKElc"/>
          <w:rFonts w:ascii="Book Antiqua" w:eastAsia="Book Antiqua" w:hAnsi="Book Antiqua" w:cs="Book Antiqua"/>
          <w:color w:val="000000"/>
        </w:rPr>
        <w:t>syndrome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(ARDS),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kidney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injury,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hgKElc"/>
          <w:rFonts w:ascii="Book Antiqua" w:eastAsia="Book Antiqua" w:hAnsi="Book Antiqua" w:cs="Book Antiqua"/>
          <w:color w:val="000000"/>
        </w:rPr>
        <w:t>Intensive</w:t>
      </w:r>
      <w:r w:rsidR="00BA6DB1" w:rsidRPr="00AC44BE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hgKElc"/>
          <w:rFonts w:ascii="Book Antiqua" w:eastAsia="Book Antiqua" w:hAnsi="Book Antiqua" w:cs="Book Antiqua"/>
          <w:color w:val="000000"/>
        </w:rPr>
        <w:t>care</w:t>
      </w:r>
      <w:r w:rsidR="00BA6DB1" w:rsidRPr="00AC44BE">
        <w:rPr>
          <w:rStyle w:val="hgKElc"/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Style w:val="hgKElc"/>
          <w:rFonts w:ascii="Book Antiqua" w:eastAsia="Book Antiqua" w:hAnsi="Book Antiqua" w:cs="Book Antiqua"/>
          <w:color w:val="000000"/>
        </w:rPr>
        <w:t>units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(ICU)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admission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requirement.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</w:p>
    <w:p w14:paraId="6160351E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2E2B204" w14:textId="2D23292F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A6DB1" w:rsidRPr="00AC44B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DD40F6F" w14:textId="5CED6CE8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Accurate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early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diagnosis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determination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severity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prevent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further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progression.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increase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circulating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blood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suffering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strong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prognostic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factor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predicting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poorer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outcome.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systematically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reviewed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literatures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approve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claim.</w:t>
      </w:r>
    </w:p>
    <w:p w14:paraId="1B60CFD9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C1265FC" w14:textId="61C6741C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A6DB1" w:rsidRPr="00AC44B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18DF708E" w14:textId="4F07F4DE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increase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circulating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blood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patients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suffering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strong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prognostic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factor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predicting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poorer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outcome.</w:t>
      </w:r>
    </w:p>
    <w:p w14:paraId="4EEDC2BD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54AD9F" w14:textId="4F269F82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BA6DB1" w:rsidRPr="00AC44B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559561E3" w14:textId="1CF7A194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Deeply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searching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manuscript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databanks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planned.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studies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evaluated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link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between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serum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two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related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parameters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including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severity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mortality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considered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eligible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primary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assessment.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review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papers,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presentations,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letter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editors,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non-English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studies,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abstracts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without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full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text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access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excluded.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manuscript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reviewing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done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two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blinded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reviewers,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screening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titles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abstracts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followed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profound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appraisement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full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texts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independently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inclusion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appropriateness.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presence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disagreement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between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them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judged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checked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again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another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reviewer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last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arbiter.</w:t>
      </w:r>
    </w:p>
    <w:p w14:paraId="5ED912FC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8BA3F5D" w14:textId="537AE1CE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A6DB1" w:rsidRPr="00AC44B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C1DA941" w14:textId="0BA5C43B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Comparing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outcome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disease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groups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raised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normal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level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markers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showed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increased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likelihood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death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[hazard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ratio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(HR)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=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4.967,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&lt;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0.001],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acute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respiratory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distress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syndrome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(HR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=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5.914,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&lt;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0.001),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acute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kidney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injury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(HR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=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3.849,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&lt;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0.001),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ICU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admission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(HR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=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3.780,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&lt;</w:t>
      </w:r>
      <w:r w:rsidR="00BA6DB1" w:rsidRPr="00AC44B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0.001)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following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raise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pooled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analysis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showed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significantly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higher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concentration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marker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survived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group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compared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non-survived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group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(weighted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mean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differences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22.278,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95%CI: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15.647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28.927,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i/>
          <w:iCs/>
          <w:color w:val="000000"/>
        </w:rPr>
        <w:t>P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&lt;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0.001).</w:t>
      </w:r>
    </w:p>
    <w:p w14:paraId="08F2ED9F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A92996B" w14:textId="690BCEC9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A6DB1" w:rsidRPr="00AC44B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1514819B" w14:textId="60B29F86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conclusion,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according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our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findings,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regardless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history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myocardial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injuries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presence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cardiovascular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risk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profile,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value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should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accurately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assessed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admission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because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high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predicting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value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related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mortality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morbidity.</w:t>
      </w:r>
    </w:p>
    <w:p w14:paraId="4EBCC1B8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608257" w14:textId="464C4A25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BA6DB1" w:rsidRPr="00AC44BE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23751CEC" w14:textId="205C04B8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value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troponin-I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should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accurately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assessed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admission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because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high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predicting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value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COVID-19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related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mortality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morbidity.</w:t>
      </w:r>
    </w:p>
    <w:p w14:paraId="5EE350FD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1A6F025" w14:textId="77777777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C57AD69" w14:textId="7A90179D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We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indebted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Research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Development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Center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Sina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Hospital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their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technical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help.</w:t>
      </w:r>
    </w:p>
    <w:p w14:paraId="1AA45330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D181B33" w14:textId="77777777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color w:val="000000"/>
        </w:rPr>
        <w:t>REFERENCES</w:t>
      </w:r>
    </w:p>
    <w:p w14:paraId="2D6B5E03" w14:textId="6408BF59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1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World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Health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Organization</w:t>
      </w:r>
      <w:r w:rsidRPr="00AC44BE">
        <w:rPr>
          <w:rFonts w:ascii="Book Antiqua" w:hAnsi="Book Antiqua"/>
          <w:color w:val="201F35"/>
        </w:rPr>
        <w:t>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Coronavirus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disease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(COVID-19)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Weekly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Epidemiological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Update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Weekly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Operational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Update.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[cited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16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February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2021].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Available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from: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https://www.who.int/emergencies/diseases/novel-coronavirus-2019/situation-reports</w:t>
      </w:r>
    </w:p>
    <w:p w14:paraId="0B026F90" w14:textId="413DA52B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2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  <w:shd w:val="clear" w:color="auto" w:fill="FFFFFF"/>
        </w:rPr>
        <w:t>Guan</w:t>
      </w:r>
      <w:r w:rsidR="00BA6DB1" w:rsidRPr="00AC44BE">
        <w:rPr>
          <w:rFonts w:ascii="Book Antiqua" w:hAnsi="Book Antiqua"/>
          <w:b/>
          <w:bCs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b/>
          <w:bCs/>
          <w:color w:val="201F35"/>
          <w:shd w:val="clear" w:color="auto" w:fill="FFFFFF"/>
        </w:rPr>
        <w:t>WJ</w:t>
      </w:r>
      <w:r w:rsidRPr="00AC44BE">
        <w:rPr>
          <w:rFonts w:ascii="Book Antiqua" w:hAnsi="Book Antiqua"/>
          <w:color w:val="201F35"/>
          <w:shd w:val="clear" w:color="auto" w:fill="FFFFFF"/>
        </w:rPr>
        <w:t>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Ni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ZY,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Hu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Y,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Liang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WH,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Ou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CQ,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He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JX,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Liu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L,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Shan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H,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Lei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CL,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Hui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DSC,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Du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B,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Li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LJ,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Zeng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G,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Yuen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KY,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Chen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RC,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Tang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CL,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Wang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T,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Chen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PY,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Xiang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J,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Li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SY,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Wang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JL,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Liang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ZJ,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Peng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YX,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Wei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L,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Liu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Y,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Hu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YH,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Peng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P,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Wang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JM,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Liu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JY,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Chen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Z,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Li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G,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Zheng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ZJ,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Qiu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SQ,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Luo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J,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Ye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CJ,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Zhu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SY,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Zhong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NS;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China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Medical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Treatment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Expert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Group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for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Covid-19.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Clinical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Characteristics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of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Coronavirus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Disease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2019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in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China.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i/>
          <w:iCs/>
          <w:color w:val="201F35"/>
          <w:shd w:val="clear" w:color="auto" w:fill="FFFFFF"/>
        </w:rPr>
        <w:t>N</w:t>
      </w:r>
      <w:r w:rsidR="00BA6DB1" w:rsidRPr="00AC44BE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i/>
          <w:iCs/>
          <w:color w:val="201F35"/>
          <w:shd w:val="clear" w:color="auto" w:fill="FFFFFF"/>
        </w:rPr>
        <w:t>Engl</w:t>
      </w:r>
      <w:r w:rsidR="00BA6DB1" w:rsidRPr="00AC44BE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i/>
          <w:iCs/>
          <w:color w:val="201F35"/>
          <w:shd w:val="clear" w:color="auto" w:fill="FFFFFF"/>
        </w:rPr>
        <w:t>J</w:t>
      </w:r>
      <w:r w:rsidR="00BA6DB1" w:rsidRPr="00AC44BE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i/>
          <w:iCs/>
          <w:color w:val="201F35"/>
          <w:shd w:val="clear" w:color="auto" w:fill="FFFFFF"/>
        </w:rPr>
        <w:t>Med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2020;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b/>
          <w:bCs/>
          <w:color w:val="201F35"/>
          <w:shd w:val="clear" w:color="auto" w:fill="FFFFFF"/>
        </w:rPr>
        <w:t>382</w:t>
      </w:r>
      <w:r w:rsidRPr="00AC44BE">
        <w:rPr>
          <w:rFonts w:ascii="Book Antiqua" w:hAnsi="Book Antiqua"/>
          <w:color w:val="201F35"/>
          <w:shd w:val="clear" w:color="auto" w:fill="FFFFFF"/>
        </w:rPr>
        <w:t>: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1708-1720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[PMID: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32109013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DOI: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10.1056/NEJMoa2002032]</w:t>
      </w:r>
    </w:p>
    <w:p w14:paraId="777E8BF3" w14:textId="00AA45CE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3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Yang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X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Xu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Shu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Xia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Liu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Zhang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Zou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X,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Yuan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Shang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Clinical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course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outcomes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critically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ill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patients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with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SARS-CoV-2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pneumonia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Wuhan,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China: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single-centered,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retrospective,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observational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study.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Lancet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Respir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Med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8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475-481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32105632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10.1016/S2213-2600(20)30079-5]</w:t>
      </w:r>
    </w:p>
    <w:p w14:paraId="4CCBE2A9" w14:textId="29590EE3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4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Ai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T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Hou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Zhan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Chen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Lv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Tao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Q,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Sun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Xia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Correlation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Chest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RT-PCR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Testing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for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Coronavirus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Disease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2019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(COVID-19)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China: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Report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1014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Cases.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Radiology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296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E32-E40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32101510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10.1148/radiol.2020200642]</w:t>
      </w:r>
    </w:p>
    <w:p w14:paraId="44C35120" w14:textId="139B05FD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5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Tay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MZ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Poh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Rénia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MacAry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LFP.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The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trinity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COVID-19: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immunity,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inflammation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intervention.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Nat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Rev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Immunol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20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363-374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32346093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10.1038/s41577-020-0311-8]</w:t>
      </w:r>
    </w:p>
    <w:p w14:paraId="140C0967" w14:textId="1D9B2E35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6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Bikdeli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B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Madhavan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MV,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Jimenez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Chuich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Dreyfus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Driggin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Nigoghossian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Ageno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Madjid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Guo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LV,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Giri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Cushman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Quéré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Dimakakos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EP,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lastRenderedPageBreak/>
        <w:t>Gibson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Lippi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Favaloro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Fareed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Caprini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Tafur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Burton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JR,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Francese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DP,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EY,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Falanga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McLintock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Hunt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Spyropoulos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AC,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Barnes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GD,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Eikelboom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JW,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Weinberg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Schulman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Carrier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Piazza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Beckman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Steg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PG,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Stone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GW,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Rosenkranz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Goldhaber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SZ,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Parikh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Monreal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Krumholz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Konstantinides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SV,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Weitz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JI,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Lip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GYH;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Global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COVID-19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Thrombosis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Collaborative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Group,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Endorsed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the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ISTH,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NATF,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ESVM,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the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IUA,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Supported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the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ESC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Working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Group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Pulmonary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Circulation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Right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Ventricular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Function.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COVID-19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Thrombotic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Thromboembolic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Disease: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Implications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for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Prevention,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Antithrombotic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Therapy,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Follow-Up: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JACC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State-of-the-Art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Review.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J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Am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Coll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Cardiol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75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2950-2973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32311448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10.1016/j.jacc.2020.04.031]</w:t>
      </w:r>
    </w:p>
    <w:p w14:paraId="2CD1608D" w14:textId="78DA69F9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7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Connors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JM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Levy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JH.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Thromboinflammation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the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hypercoagulability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COVID-19.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J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Thromb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Haemost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18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1559-1561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32302453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10.1111/jth.14849]</w:t>
      </w:r>
    </w:p>
    <w:p w14:paraId="7771DA89" w14:textId="67B3A001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8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Madjid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M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Safavi-Naeini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Solomon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SD,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Vardeny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Potential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Effects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Coronaviruses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the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Cardiovascular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System: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Review.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JAMA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Cardiol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5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831-840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32219363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10.1001/jamacardio.2020.1286]</w:t>
      </w:r>
    </w:p>
    <w:p w14:paraId="65D9A763" w14:textId="14BB7DDD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Clerkin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KJ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Fried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Raikhelkar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Sayer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Griffin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Masoumi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Jain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SS,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Burkhoff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Kumaraiah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Rabbani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Schwartz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Uriel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N.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COVID-19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Cardiovascular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Disease.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Circulation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141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1648-1655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32200663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10.1161/CIRCULATIONAHA.120.046941]</w:t>
      </w:r>
    </w:p>
    <w:p w14:paraId="69F77746" w14:textId="42755257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10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Riphagen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S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Gomez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X,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Gonzalez-Martinez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Wilkinson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N,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Theocharis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Hyperinflammatory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shock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children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during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COVID-19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pandemic.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Lancet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395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1607-1608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32386565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10.1016/S0140-6736(20)31094-1]</w:t>
      </w:r>
    </w:p>
    <w:p w14:paraId="55A7B15D" w14:textId="5D14500F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11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Centers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for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Disease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Control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and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Prevention</w:t>
      </w:r>
      <w:r w:rsidRPr="00AC44BE">
        <w:rPr>
          <w:rFonts w:ascii="Book Antiqua" w:hAnsi="Book Antiqua"/>
          <w:color w:val="201F35"/>
        </w:rPr>
        <w:t>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Underlying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Medical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Conditions.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[cited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16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February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2021].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Available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from: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https://cdc.gov/coronavirus/2019-ncov/hcp/clinical-care/underlyingconditions.html</w:t>
      </w:r>
    </w:p>
    <w:p w14:paraId="1D4C1D12" w14:textId="2483D49D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12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Wu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Z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McGoogan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JM.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Characteristics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Important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Lessons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From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the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Coronavirus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Disease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2019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(COVID-19)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Outbreak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China: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Summary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Report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72</w:t>
      </w:r>
      <w:r w:rsidRPr="00AC44BE">
        <w:rPr>
          <w:rFonts w:ascii="Times New Roman" w:hAnsi="Times New Roman" w:cs="Times New Roman"/>
          <w:color w:val="201F35"/>
        </w:rPr>
        <w:t> </w:t>
      </w:r>
      <w:r w:rsidRPr="00AC44BE">
        <w:rPr>
          <w:rFonts w:ascii="Book Antiqua" w:hAnsi="Book Antiqua"/>
          <w:color w:val="201F35"/>
        </w:rPr>
        <w:t>314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Cases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From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the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Chinese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Center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for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Disease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Control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Prevention.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JAMA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323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1239-1242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32091533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10.1001/jama.2020.2648]</w:t>
      </w:r>
    </w:p>
    <w:p w14:paraId="0C03FEAE" w14:textId="3642ADB7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lastRenderedPageBreak/>
        <w:t>13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Babapoor-Farrokhran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S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Gill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Walker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Rasekhi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RT,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Bozorgnia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Amanullah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Myocardial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injury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COVID-19: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Possible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mechanisms.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Life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Sci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253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117723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32360126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10.1016/j.lfs.2020.117723]</w:t>
      </w:r>
    </w:p>
    <w:p w14:paraId="104E0319" w14:textId="2E7C5D1B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14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Salvatici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M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Barbieri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Cioffi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SMG,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Morenghi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Leone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FP,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Maura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Moriello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Sandri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MT.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Association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between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cardiac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troponin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mortality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patients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with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COVID-19.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Biomarkers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25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634-640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33003961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10.1080/1354750X.2020.1831609]</w:t>
      </w:r>
    </w:p>
    <w:p w14:paraId="1BD99E2A" w14:textId="1FEC628D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15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Liberati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A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Altman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DG,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Tetzlaff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Mulrow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Gøtzsche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PC,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Ioannidis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JP,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Clarke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Devereaux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Kleijnen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Moher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The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PRISMA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statement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for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reporting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systematic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reviews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meta-analyses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studies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that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evaluate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healthcare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interventions: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explanation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elaboration.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BMJ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2009;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339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b2700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19622552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10.1136/bmj.b2700]</w:t>
      </w:r>
    </w:p>
    <w:p w14:paraId="0695810F" w14:textId="1C3BB2DC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16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Higgins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Altman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Sterne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Chapter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8: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Assessing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risk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bias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included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studies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Higgins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JPT.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Cochrane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Handbook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for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systematic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reviews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interventions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version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6.2.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The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Cochrane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Collaboration,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2017: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520</w:t>
      </w:r>
      <w:r w:rsidR="00BA6DB1" w:rsidRPr="00AC44BE">
        <w:rPr>
          <w:rFonts w:ascii="Book Antiqua" w:hAnsi="Book Antiqua"/>
          <w:color w:val="201F35"/>
        </w:rPr>
        <w:t xml:space="preserve"> </w:t>
      </w:r>
    </w:p>
    <w:p w14:paraId="3084E116" w14:textId="25781C94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17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Arcari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L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Luciani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Cacciotti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Musumeci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MB,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Spuntarelli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V,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Pistella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Martolini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Manzo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Pucci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Marone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Melandri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Ansalone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Santini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Martelletti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Volpe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Biase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Incidence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determinants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high-sensitivity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troponin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natriuretic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peptides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elevation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admission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hospitalized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COVID-19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pneumonia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patients.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Intern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Emerg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Med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15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1467-1476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32986136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10.1007/s11739-020-02498-7]</w:t>
      </w:r>
    </w:p>
    <w:p w14:paraId="74BBCB27" w14:textId="3601D368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18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Fan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ZX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Zhang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Zheng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Xiang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Zhai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YH,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Jiang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Qiu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SQ,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Analysis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influencing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factors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related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elevated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serum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troponin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level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for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COVID-19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patients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Yichang,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China.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Cardiovasc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Diagn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Ther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10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678-686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32968624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10.21037/cdt-20-510]</w:t>
      </w:r>
    </w:p>
    <w:p w14:paraId="636D7FEA" w14:textId="3EA7ADAF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19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Guo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T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Fan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Chen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X,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Zhang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Wan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X,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Cardiovascular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Implications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Fatal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Outcomes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Patients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With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Coronavirus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Disease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2019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(COVID-19).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JAMA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Cardiol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5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811-818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32219356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10.1001/jamacardio.2020.1017]</w:t>
      </w:r>
    </w:p>
    <w:p w14:paraId="7AD131CF" w14:textId="37172557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20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Lala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A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Johnson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KW,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Januzzi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JL,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Russak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Paranjpe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Richter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Zhao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Somani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Van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Vleck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Vaid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Chaudhry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Freitas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JK,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Fayad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Pinney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SP,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Levin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Charney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lastRenderedPageBreak/>
        <w:t>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Bagiella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Narula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Glicksberg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BS,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Nadkarni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Mancini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Fuster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V;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Mount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Sinai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Informatics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Center.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Prevalence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Impact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Myocardial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Injury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Patients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Hospitalized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With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COVID-19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Infection.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J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Am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Coll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Cardiol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76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533-546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32517963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10.1016/j.jacc.2020.06.007]</w:t>
      </w:r>
    </w:p>
    <w:p w14:paraId="4670D16D" w14:textId="60A52F2F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21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Lombardi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CM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Carubelli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V,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Iorio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Inciardi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Bellasi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Canale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Camporotondo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Catagnano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Dalla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Vecchia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Giovinazzo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Maccagni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Mapelli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Margonato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Monzo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Nuzzi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V,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Oriecuia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Peveri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Pozzi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Provenzale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Sarullo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Tomasoni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Ameri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Gnecchi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Leonardi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Merlo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Agostoni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Carugo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Danzi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GB,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Guazzi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Rovere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MT,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Mortara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Piepoli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Porto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Sinagra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Volterrani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Specchia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Metra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Senni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Association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Troponin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Levels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With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Mortality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Italian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Patients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Hospitalized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With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Coronavirus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Disease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2019: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Results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Multicenter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Study.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JAMA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Cardiol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5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1274-1280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32845276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10.1001/jamacardio.2020.3538]</w:t>
      </w:r>
    </w:p>
    <w:p w14:paraId="711F2CEB" w14:textId="217032E4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22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Lorente-Ros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A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Monteagudo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Ruiz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Rincón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Ortega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Pérez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Rivas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Martínez-Moya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Sanromán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Manzano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Alonso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GL,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Ibáñez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Zamorano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JL.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Myocardial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injury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determination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improves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risk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stratification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predicts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mortality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COVID-19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patients.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Cardiol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J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27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489-496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32589258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10.5603/CJ.a2020.0089]</w:t>
      </w:r>
    </w:p>
    <w:p w14:paraId="540B29E8" w14:textId="21A8167C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23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Raad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M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Dabbagh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Gorgis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Yan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Chehab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Dagher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Jamoor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K,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Hussein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IH,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Cook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Van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Harn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Singh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McCord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Parikh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Cardiac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Injury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Patterns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Inpatient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Outcomes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Among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Patients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Admitted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With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COVID-19.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Am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J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Cardiol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133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154-161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32829913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10.1016/j.amjcard.2020.07.040]</w:t>
      </w:r>
    </w:p>
    <w:p w14:paraId="4B5390E8" w14:textId="58212EC2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24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Karbalai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Saleh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S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Oraii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Soleimani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Hadadi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Shajari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Montazeri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Moradi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Talebpour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Sadat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Naseri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Balali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Akhbari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Ashraf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The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association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between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cardiac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injury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outcomes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hospitalized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patients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with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COVID-19.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Intern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Emerg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Med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15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1415-1424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32772283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10.1007/s11739-020-02466-1]</w:t>
      </w:r>
    </w:p>
    <w:p w14:paraId="5FEAF623" w14:textId="57C0CB6D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25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Shah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P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Doshi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Chenna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Owens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Cobb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Ivey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Newton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Mccarley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K.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Prognostic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Value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Elevated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Cardiac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Troponin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Hospitalized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Covid-19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Patients.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Am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J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Cardiol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135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150-153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32861733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10.1016/j.amjcard.2020.08.041]</w:t>
      </w:r>
    </w:p>
    <w:p w14:paraId="53F17F18" w14:textId="724DF29B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26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Singh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N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Anchan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RK,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Besser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Belkin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MN,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Cruz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MD,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Lee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Mehta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N,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Nguyen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AB,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Alenghat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FJ.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High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sensitivity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Troponin-T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for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prediction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adverse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events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patients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lastRenderedPageBreak/>
        <w:t>with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COVID-19.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Biomarkers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25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626-633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32981387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10.1080/1354750X.2020.1829056]</w:t>
      </w:r>
    </w:p>
    <w:p w14:paraId="72A5A883" w14:textId="772DE073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27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Aladağ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N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Atabey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RD.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The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role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concomitant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cardiovascular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diseases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cardiac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biomarkers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for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predicting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mortality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critical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COVID-19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patients.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Acta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Cardiol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2021;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76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132-139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32883169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10.1080/00015385.2020.1810914]</w:t>
      </w:r>
    </w:p>
    <w:p w14:paraId="583E9FE7" w14:textId="57289991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28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Deng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Q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Zhang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Zhou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X,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Cheng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Yan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Ping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Zhou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Q.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Suspected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myocardial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injury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patients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with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COVID-19: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Evidence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from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front-line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clinical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observation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Wuhan,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China.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Int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J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Cardiol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311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116-121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32291207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10.1016/j.ijcard.2020.03.087]</w:t>
      </w:r>
    </w:p>
    <w:p w14:paraId="75893390" w14:textId="4B32C45B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29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Nie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SF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Xie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HB,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ZH,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Gao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XL,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Lv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Zhang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XB,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SL,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Qiu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ZH,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Liao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YH,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Zhou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ZH,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Cheng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X.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Cardiac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Troponin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Independent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Predictor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for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Mortality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Hospitalized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Patients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With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COVID-19.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Circulation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142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608-610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32539541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10.1161/CIRCULATIONAHA.120.048789]</w:t>
      </w:r>
    </w:p>
    <w:p w14:paraId="2B8C0291" w14:textId="1215527C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30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Rath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D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Petersen-Uribe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Á,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Avdiu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Witzel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K,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Jaeger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Zdanyte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Heinzmann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Tavlaki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Müller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K,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Gawaz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MP.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Impaired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cardiac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function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associated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with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mortality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patients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with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acute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COVID-19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infection.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Clin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Res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Cardiol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109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1491-1499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32537662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10.1007/s00392-020-01683-0]</w:t>
      </w:r>
    </w:p>
    <w:p w14:paraId="354B33D7" w14:textId="62AAA33E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31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Shi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S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Qin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Liu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Shen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Liu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X,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Xiang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Zhao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Q,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Huang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Huang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Characteristics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clinical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significance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myocardial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injury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patients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with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severe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coronavirus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disease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2019.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Eur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Heart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J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41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2070-2079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32391877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10.1093/eurheartj/ehaa408]</w:t>
      </w:r>
    </w:p>
    <w:p w14:paraId="21109DAB" w14:textId="1189BD00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  <w:shd w:val="clear" w:color="auto" w:fill="FFFFFF"/>
        </w:rPr>
      </w:pPr>
      <w:r w:rsidRPr="00AC44BE">
        <w:rPr>
          <w:rFonts w:ascii="Book Antiqua" w:hAnsi="Book Antiqua"/>
          <w:color w:val="201F35"/>
        </w:rPr>
        <w:t>32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  <w:shd w:val="clear" w:color="auto" w:fill="FFFFFF"/>
        </w:rPr>
        <w:t>Yang</w:t>
      </w:r>
      <w:r w:rsidR="00BA6DB1" w:rsidRPr="00AC44BE">
        <w:rPr>
          <w:rFonts w:ascii="Book Antiqua" w:hAnsi="Book Antiqua"/>
          <w:b/>
          <w:bCs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b/>
          <w:bCs/>
          <w:color w:val="201F35"/>
          <w:shd w:val="clear" w:color="auto" w:fill="FFFFFF"/>
        </w:rPr>
        <w:t>C</w:t>
      </w:r>
      <w:r w:rsidRPr="00AC44BE">
        <w:rPr>
          <w:rFonts w:ascii="Book Antiqua" w:hAnsi="Book Antiqua"/>
          <w:color w:val="201F35"/>
          <w:shd w:val="clear" w:color="auto" w:fill="FFFFFF"/>
        </w:rPr>
        <w:t>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Liu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F,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Liu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W,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Cao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G,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Liu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J,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Huang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S,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Zhu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M,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Tu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C,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Wang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J,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Xiong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B.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Myocardial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injury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and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risk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factors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for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mortality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in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patients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with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COVID-19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pneumonia.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i/>
          <w:iCs/>
          <w:color w:val="201F35"/>
          <w:shd w:val="clear" w:color="auto" w:fill="FFFFFF"/>
        </w:rPr>
        <w:t>Int</w:t>
      </w:r>
      <w:r w:rsidR="00BA6DB1" w:rsidRPr="00AC44BE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i/>
          <w:iCs/>
          <w:color w:val="201F35"/>
          <w:shd w:val="clear" w:color="auto" w:fill="FFFFFF"/>
        </w:rPr>
        <w:t>J</w:t>
      </w:r>
      <w:r w:rsidR="00BA6DB1" w:rsidRPr="00AC44BE">
        <w:rPr>
          <w:rFonts w:ascii="Book Antiqua" w:hAnsi="Book Antiqua"/>
          <w:i/>
          <w:iCs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i/>
          <w:iCs/>
          <w:color w:val="201F35"/>
          <w:shd w:val="clear" w:color="auto" w:fill="FFFFFF"/>
        </w:rPr>
        <w:t>Cardiol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2021;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b/>
          <w:bCs/>
          <w:color w:val="201F35"/>
          <w:shd w:val="clear" w:color="auto" w:fill="FFFFFF"/>
        </w:rPr>
        <w:t>326</w:t>
      </w:r>
      <w:r w:rsidRPr="00AC44BE">
        <w:rPr>
          <w:rFonts w:ascii="Book Antiqua" w:hAnsi="Book Antiqua"/>
          <w:color w:val="201F35"/>
          <w:shd w:val="clear" w:color="auto" w:fill="FFFFFF"/>
        </w:rPr>
        <w:t>: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230-236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[PMID: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32979425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DOI:</w:t>
      </w:r>
      <w:r w:rsidR="00BA6DB1" w:rsidRPr="00AC44BE">
        <w:rPr>
          <w:rFonts w:ascii="Book Antiqua" w:hAnsi="Book Antiqua"/>
          <w:color w:val="201F35"/>
          <w:shd w:val="clear" w:color="auto" w:fill="FFFFFF"/>
        </w:rPr>
        <w:t xml:space="preserve"> </w:t>
      </w:r>
      <w:r w:rsidRPr="00AC44BE">
        <w:rPr>
          <w:rFonts w:ascii="Book Antiqua" w:hAnsi="Book Antiqua"/>
          <w:color w:val="201F35"/>
          <w:shd w:val="clear" w:color="auto" w:fill="FFFFFF"/>
        </w:rPr>
        <w:t>10.1016/j.ijcard.2020.09.048]</w:t>
      </w:r>
    </w:p>
    <w:p w14:paraId="157D6571" w14:textId="0509CA87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33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Lippi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G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Lavie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Sanchis-Gomar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Cardiac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troponin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patients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with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coronavirus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disease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2019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(COVID-19):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Evidence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from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meta-analysis.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Prog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Cardiovasc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Dis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63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390-391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32169400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10.1016/j.pcad.2020.03.001]</w:t>
      </w:r>
    </w:p>
    <w:p w14:paraId="06A95BFF" w14:textId="5783445A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34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Shi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S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Qin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Shen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Liu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Gong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Liu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X,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Liang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Zhao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Q,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Huang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Huang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Association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Cardiac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Injury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With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Mortality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Hospitalized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Patients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lastRenderedPageBreak/>
        <w:t>With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COVID-19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Wuhan,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China.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JAMA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Cardiol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5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802-810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32211816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10.1001/jamacardio.2020.0950]</w:t>
      </w:r>
    </w:p>
    <w:p w14:paraId="2A3B051A" w14:textId="1FBD1E03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35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Zhou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F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Fan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Liu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Liu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Xiang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Song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X,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Guan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Wei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X,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Xu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J,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Tu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Zhang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Y,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Chen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H,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Clinical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course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and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risk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factors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for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mortality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of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adult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inpatients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with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COVID-19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Wuhan,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China: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retrospective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cohort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study.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Lancet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395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1054-1062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32171076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10.1016/S0140-6736(20)30566-3]</w:t>
      </w:r>
    </w:p>
    <w:p w14:paraId="353F8A84" w14:textId="5ECB2EE6" w:rsidR="002268C9" w:rsidRPr="00AC44BE" w:rsidRDefault="002268C9" w:rsidP="00BA6DB1">
      <w:pPr>
        <w:pStyle w:val="a8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AC44BE">
        <w:rPr>
          <w:rFonts w:ascii="Book Antiqua" w:hAnsi="Book Antiqua"/>
          <w:color w:val="201F35"/>
        </w:rPr>
        <w:t>36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Tersalvi</w:t>
      </w:r>
      <w:r w:rsidR="00BA6DB1" w:rsidRPr="00AC44BE">
        <w:rPr>
          <w:rFonts w:ascii="Book Antiqua" w:hAnsi="Book Antiqua"/>
          <w:b/>
          <w:bCs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G</w:t>
      </w:r>
      <w:r w:rsidRPr="00AC44BE">
        <w:rPr>
          <w:rFonts w:ascii="Book Antiqua" w:hAnsi="Book Antiqua"/>
          <w:color w:val="201F35"/>
        </w:rPr>
        <w:t>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Vicenzi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Calabretta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Biasco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L,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Pedrazzini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G,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Winterton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Elevated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Troponin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in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Patients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With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Coronavirus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Disease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2019: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Possible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Mechanisms.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J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Card</w:t>
      </w:r>
      <w:r w:rsidR="00BA6DB1" w:rsidRPr="00AC44BE">
        <w:rPr>
          <w:rFonts w:ascii="Book Antiqua" w:hAnsi="Book Antiqua"/>
          <w:i/>
          <w:iCs/>
          <w:color w:val="201F35"/>
        </w:rPr>
        <w:t xml:space="preserve"> </w:t>
      </w:r>
      <w:r w:rsidRPr="00AC44BE">
        <w:rPr>
          <w:rFonts w:ascii="Book Antiqua" w:hAnsi="Book Antiqua"/>
          <w:i/>
          <w:iCs/>
          <w:color w:val="201F35"/>
        </w:rPr>
        <w:t>Fail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2020;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b/>
          <w:bCs/>
          <w:color w:val="201F35"/>
        </w:rPr>
        <w:t>26</w:t>
      </w:r>
      <w:r w:rsidRPr="00AC44BE">
        <w:rPr>
          <w:rFonts w:ascii="Book Antiqua" w:hAnsi="Book Antiqua"/>
          <w:color w:val="201F35"/>
        </w:rPr>
        <w:t>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470-475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[PMID: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32315733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DOI:</w:t>
      </w:r>
      <w:r w:rsidR="00BA6DB1" w:rsidRPr="00AC44BE">
        <w:rPr>
          <w:rFonts w:ascii="Book Antiqua" w:hAnsi="Book Antiqua"/>
          <w:color w:val="201F35"/>
        </w:rPr>
        <w:t xml:space="preserve"> </w:t>
      </w:r>
      <w:r w:rsidRPr="00AC44BE">
        <w:rPr>
          <w:rFonts w:ascii="Book Antiqua" w:hAnsi="Book Antiqua"/>
          <w:color w:val="201F35"/>
        </w:rPr>
        <w:t>10.1016/j.cardfail.2020.04.009]</w:t>
      </w:r>
    </w:p>
    <w:p w14:paraId="22019C01" w14:textId="7E89F339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CA92BA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AC44BE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6BC489" w14:textId="77777777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615F82E0" w14:textId="56A69906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authors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declare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conflicts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interest.</w:t>
      </w:r>
    </w:p>
    <w:p w14:paraId="282CB3AD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F5C7B1" w14:textId="1C702F9D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authors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have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read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PRISMA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2009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Checklist,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manuscript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prepared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revised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according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PRISMA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2009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Checklist.</w:t>
      </w:r>
    </w:p>
    <w:p w14:paraId="50FAB4F4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CFCE4CF" w14:textId="7EDB3E4D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BA6DB1" w:rsidRPr="00AC44BE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article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open-access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article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that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was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selected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in-house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editor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fully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peer-reviewed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external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reviewers.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distributed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accordance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with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Creative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Commons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Attribution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NonCommercial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(CC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BY-NC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4.0)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license,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which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permits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others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distribute,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remix,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adapt,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build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upon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work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non-commercially,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license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their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derivative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works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on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different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terms,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provided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original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work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properly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cited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the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use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is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non-commercial.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See: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4CE2AFD1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F7FBDDE" w14:textId="3C3948BB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color w:val="000000"/>
        </w:rPr>
        <w:t>Manuscript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color w:val="000000"/>
        </w:rPr>
        <w:t>source: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Unsolicited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Manuscript</w:t>
      </w:r>
    </w:p>
    <w:p w14:paraId="52A3B86D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DE71213" w14:textId="1CA78B8A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color w:val="000000"/>
        </w:rPr>
        <w:t>Peer-review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color w:val="000000"/>
        </w:rPr>
        <w:t>started: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March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28,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2021</w:t>
      </w:r>
    </w:p>
    <w:p w14:paraId="54AD52FE" w14:textId="54397D80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color w:val="000000"/>
        </w:rPr>
        <w:t>First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color w:val="000000"/>
        </w:rPr>
        <w:t>decision: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April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28,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2021</w:t>
      </w:r>
    </w:p>
    <w:p w14:paraId="1855D04A" w14:textId="6978BF00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color w:val="000000"/>
        </w:rPr>
        <w:t>Article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color w:val="000000"/>
        </w:rPr>
        <w:t>in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color w:val="000000"/>
        </w:rPr>
        <w:t>press: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10D14" w:rsidRPr="00AC44BE">
        <w:rPr>
          <w:rFonts w:ascii="Book Antiqua" w:eastAsia="Book Antiqua" w:hAnsi="Book Antiqua" w:cs="Book Antiqua"/>
          <w:color w:val="000000"/>
        </w:rPr>
        <w:t>August 24, 2021</w:t>
      </w:r>
    </w:p>
    <w:p w14:paraId="2F245D95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126E789" w14:textId="66673ECB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color w:val="000000"/>
        </w:rPr>
        <w:t>Specialty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color w:val="000000"/>
        </w:rPr>
        <w:t>type: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Cardiac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and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Cardiovascular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Systems</w:t>
      </w:r>
    </w:p>
    <w:p w14:paraId="6C8D3468" w14:textId="731FFCA7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color w:val="000000"/>
        </w:rPr>
        <w:t>Country/Territory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color w:val="000000"/>
        </w:rPr>
        <w:t>of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color w:val="000000"/>
        </w:rPr>
        <w:t>origin: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Iran</w:t>
      </w:r>
    </w:p>
    <w:p w14:paraId="0020581F" w14:textId="27E2B929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color w:val="000000"/>
        </w:rPr>
        <w:t>Peer-review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color w:val="000000"/>
        </w:rPr>
        <w:t>report’s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color w:val="000000"/>
        </w:rPr>
        <w:t>scientific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color w:val="000000"/>
        </w:rPr>
        <w:t>quality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3E144BF" w14:textId="064669D7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Grade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(Excellent):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0</w:t>
      </w:r>
    </w:p>
    <w:p w14:paraId="24174907" w14:textId="5A52FF36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Grade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(Very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good):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B</w:t>
      </w:r>
    </w:p>
    <w:p w14:paraId="2C595A26" w14:textId="5CF6DFA7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Grade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(Good):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C</w:t>
      </w:r>
    </w:p>
    <w:p w14:paraId="7AE43E04" w14:textId="154D2374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Grade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(Fair):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0</w:t>
      </w:r>
    </w:p>
    <w:p w14:paraId="212C13F8" w14:textId="3AA1BCA9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color w:val="000000"/>
        </w:rPr>
        <w:t>Grade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E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(Poor):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0</w:t>
      </w:r>
    </w:p>
    <w:p w14:paraId="3306D5F4" w14:textId="77777777" w:rsidR="00A77B3E" w:rsidRPr="00AC44BE" w:rsidRDefault="00A77B3E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F72D4DD" w14:textId="625B1758" w:rsidR="00BA6DB1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C44BE"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Azarbakhsh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Peng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D,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Poggio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PD,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Wu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HHL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color w:val="000000"/>
        </w:rPr>
        <w:t>S-Editor: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Liu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color w:val="000000"/>
        </w:rPr>
        <w:t>M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color w:val="000000"/>
        </w:rPr>
        <w:t>L-Editor: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color w:val="000000"/>
        </w:rPr>
        <w:t>P-Editor:</w:t>
      </w:r>
      <w:r w:rsidR="00BA6DB1" w:rsidRPr="00AC44BE">
        <w:rPr>
          <w:rFonts w:ascii="Book Antiqua" w:eastAsia="Book Antiqua" w:hAnsi="Book Antiqua" w:cs="Book Antiqua"/>
          <w:color w:val="000000"/>
        </w:rPr>
        <w:t xml:space="preserve"> </w:t>
      </w:r>
      <w:r w:rsidR="004649FA" w:rsidRPr="00AC44BE">
        <w:rPr>
          <w:rFonts w:ascii="Book Antiqua" w:eastAsia="Book Antiqua" w:hAnsi="Book Antiqua" w:cs="Book Antiqua"/>
          <w:color w:val="000000"/>
        </w:rPr>
        <w:t>L</w:t>
      </w:r>
      <w:r w:rsidR="004649FA" w:rsidRPr="00AC44BE">
        <w:rPr>
          <w:rFonts w:ascii="Book Antiqua" w:eastAsia="Book Antiqua" w:hAnsi="Book Antiqua" w:cs="Book Antiqua" w:hint="eastAsia"/>
          <w:color w:val="000000"/>
        </w:rPr>
        <w:t>i</w:t>
      </w:r>
      <w:r w:rsidR="004649FA" w:rsidRPr="00AC44BE">
        <w:rPr>
          <w:rFonts w:ascii="Book Antiqua" w:eastAsia="Book Antiqua" w:hAnsi="Book Antiqua" w:cs="Book Antiqua"/>
          <w:color w:val="000000"/>
        </w:rPr>
        <w:t xml:space="preserve"> JH</w:t>
      </w:r>
    </w:p>
    <w:p w14:paraId="0EB1C6C9" w14:textId="77777777" w:rsidR="00BA6DB1" w:rsidRPr="00AC44BE" w:rsidRDefault="00BA6DB1" w:rsidP="00BA6DB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802A424" w14:textId="335CEB0B" w:rsidR="00A77B3E" w:rsidRPr="00AC44BE" w:rsidRDefault="00E96015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AC44BE">
        <w:rPr>
          <w:rFonts w:ascii="Book Antiqua" w:eastAsia="Book Antiqua" w:hAnsi="Book Antiqua" w:cs="Book Antiqua"/>
          <w:b/>
          <w:color w:val="000000"/>
        </w:rPr>
        <w:t>Figure</w:t>
      </w:r>
      <w:r w:rsidR="00BA6DB1" w:rsidRPr="00AC44BE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C44BE">
        <w:rPr>
          <w:rFonts w:ascii="Book Antiqua" w:eastAsia="Book Antiqua" w:hAnsi="Book Antiqua" w:cs="Book Antiqua"/>
          <w:b/>
          <w:color w:val="000000"/>
        </w:rPr>
        <w:t>Legends</w:t>
      </w:r>
    </w:p>
    <w:p w14:paraId="34387AEF" w14:textId="35AC1EE2" w:rsidR="002268C9" w:rsidRPr="00AC44BE" w:rsidRDefault="002268C9" w:rsidP="00BA6DB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AC44BE">
        <w:rPr>
          <w:rFonts w:ascii="Book Antiqua" w:eastAsia="Book Antiqua" w:hAnsi="Book Antiqua" w:cs="Book Antiqua"/>
          <w:b/>
          <w:noProof/>
          <w:color w:val="000000"/>
        </w:rPr>
        <w:drawing>
          <wp:inline distT="0" distB="0" distL="0" distR="0" wp14:anchorId="15673D7D" wp14:editId="165204AE">
            <wp:extent cx="4151630" cy="3665771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8030" cy="3671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D0F5EB" w14:textId="2B36552A" w:rsidR="002268C9" w:rsidRPr="00AC44BE" w:rsidRDefault="002268C9" w:rsidP="00BA6DB1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b/>
          <w:bCs/>
          <w:color w:val="000000"/>
        </w:rPr>
      </w:pPr>
      <w:r w:rsidRPr="00AC44BE">
        <w:rPr>
          <w:rFonts w:ascii="Book Antiqua" w:eastAsia="Calibri" w:hAnsi="Book Antiqua"/>
          <w:b/>
          <w:bCs/>
          <w:color w:val="000000"/>
        </w:rPr>
        <w:t>Figure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1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The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flowchart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of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screening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the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eligible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studies.</w:t>
      </w:r>
    </w:p>
    <w:p w14:paraId="6C772311" w14:textId="3B54BCA1" w:rsidR="002268C9" w:rsidRPr="00AC44BE" w:rsidRDefault="002268C9" w:rsidP="00BA6DB1">
      <w:pPr>
        <w:adjustRightInd w:val="0"/>
        <w:snapToGrid w:val="0"/>
        <w:spacing w:line="360" w:lineRule="auto"/>
        <w:jc w:val="both"/>
        <w:rPr>
          <w:rFonts w:ascii="Book Antiqua" w:hAnsi="Book Antiqua" w:cstheme="majorBidi"/>
          <w:color w:val="000000" w:themeColor="text1"/>
        </w:rPr>
      </w:pPr>
      <w:r w:rsidRPr="00AC44BE">
        <w:rPr>
          <w:rFonts w:ascii="Book Antiqua" w:eastAsia="Calibri" w:hAnsi="Book Antiqua"/>
          <w:color w:val="000000"/>
        </w:rPr>
        <w:br w:type="page"/>
      </w:r>
      <w:r w:rsidR="00BA6DB1" w:rsidRPr="00AC44BE">
        <w:rPr>
          <w:rFonts w:ascii="Book Antiqua" w:eastAsia="Calibri" w:hAnsi="Book Antiqua"/>
          <w:color w:val="000000"/>
        </w:rPr>
        <w:lastRenderedPageBreak/>
        <w:t xml:space="preserve"> </w:t>
      </w:r>
      <w:r w:rsidR="003A290C" w:rsidRPr="00AC44BE">
        <w:rPr>
          <w:rFonts w:ascii="Book Antiqua" w:eastAsia="Calibri" w:hAnsi="Book Antiqua"/>
          <w:noProof/>
          <w:color w:val="000000"/>
        </w:rPr>
        <w:drawing>
          <wp:inline distT="0" distB="0" distL="0" distR="0" wp14:anchorId="49418FD1" wp14:editId="6FFC3583">
            <wp:extent cx="5742940" cy="486473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486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800761" w14:textId="2FE1F5F4" w:rsidR="002268C9" w:rsidRPr="00AC44BE" w:rsidRDefault="002268C9" w:rsidP="00BA6DB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  <w:color w:val="000000"/>
          <w:lang w:eastAsia="zh-CN"/>
        </w:rPr>
      </w:pPr>
      <w:r w:rsidRPr="00AC44BE">
        <w:rPr>
          <w:rFonts w:ascii="Book Antiqua" w:eastAsia="Calibri" w:hAnsi="Book Antiqua"/>
          <w:b/>
          <w:bCs/>
          <w:color w:val="000000"/>
        </w:rPr>
        <w:t>Figure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2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The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Assessment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of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the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risk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of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bias</w:t>
      </w:r>
      <w:r w:rsidRPr="00AC44BE">
        <w:rPr>
          <w:rFonts w:ascii="Book Antiqua" w:hAnsi="Book Antiqua"/>
          <w:b/>
          <w:bCs/>
          <w:color w:val="000000"/>
          <w:lang w:eastAsia="zh-CN"/>
        </w:rPr>
        <w:t>.</w:t>
      </w:r>
    </w:p>
    <w:p w14:paraId="5CA7DDF7" w14:textId="77777777" w:rsidR="002268C9" w:rsidRPr="00AC44BE" w:rsidRDefault="002268C9" w:rsidP="00BA6DB1">
      <w:pPr>
        <w:adjustRightInd w:val="0"/>
        <w:snapToGrid w:val="0"/>
        <w:spacing w:line="360" w:lineRule="auto"/>
        <w:jc w:val="both"/>
        <w:rPr>
          <w:rFonts w:ascii="Book Antiqua" w:eastAsia="宋体" w:hAnsi="Book Antiqua" w:cs="Arial"/>
        </w:rPr>
      </w:pPr>
      <w:r w:rsidRPr="00AC44BE">
        <w:rPr>
          <w:rFonts w:ascii="Book Antiqua" w:eastAsia="Calibri" w:hAnsi="Book Antiqua"/>
          <w:color w:val="000000"/>
        </w:rPr>
        <w:br w:type="page"/>
      </w:r>
      <w:r w:rsidRPr="00AC44BE">
        <w:rPr>
          <w:rFonts w:ascii="Book Antiqua" w:eastAsia="Calibri" w:hAnsi="Book Antiqua"/>
          <w:noProof/>
          <w:color w:val="000000"/>
        </w:rPr>
        <w:lastRenderedPageBreak/>
        <w:drawing>
          <wp:inline distT="0" distB="0" distL="0" distR="0" wp14:anchorId="198534DE" wp14:editId="2649E079">
            <wp:extent cx="3714659" cy="3380002"/>
            <wp:effectExtent l="0" t="0" r="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82" cy="338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1BD3BB" w14:textId="397CD1AF" w:rsidR="002268C9" w:rsidRPr="00AC44BE" w:rsidRDefault="002268C9" w:rsidP="00BA6DB1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color w:val="000000"/>
        </w:rPr>
      </w:pPr>
      <w:r w:rsidRPr="00AC44BE">
        <w:rPr>
          <w:rFonts w:ascii="Book Antiqua" w:eastAsia="Calibri" w:hAnsi="Book Antiqua"/>
          <w:b/>
          <w:bCs/>
          <w:color w:val="000000"/>
        </w:rPr>
        <w:t>Figure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3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The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hazard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ratio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in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="00415F4C" w:rsidRPr="00AC44BE">
        <w:rPr>
          <w:rFonts w:ascii="Book Antiqua" w:eastAsia="Calibri" w:hAnsi="Book Antiqua"/>
          <w:b/>
          <w:bCs/>
          <w:color w:val="000000"/>
        </w:rPr>
        <w:t>coronavirus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="00415F4C" w:rsidRPr="00AC44BE">
        <w:rPr>
          <w:rFonts w:ascii="Book Antiqua" w:eastAsia="Calibri" w:hAnsi="Book Antiqua"/>
          <w:b/>
          <w:bCs/>
          <w:color w:val="000000"/>
        </w:rPr>
        <w:t>disease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="00415F4C" w:rsidRPr="00AC44BE">
        <w:rPr>
          <w:rFonts w:ascii="Book Antiqua" w:eastAsia="Calibri" w:hAnsi="Book Antiqua"/>
          <w:b/>
          <w:bCs/>
          <w:color w:val="000000"/>
        </w:rPr>
        <w:t>2019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related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death.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A: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Acute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respiratory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distress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syndrome;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B: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Acute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kidney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injury;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C: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ICU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admission;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D: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In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the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group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with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raised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troponin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as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compared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to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group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with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normal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level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of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this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marker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in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pooled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assessment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of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the</w:t>
      </w:r>
      <w:r w:rsidR="00BA6DB1" w:rsidRPr="00AC44BE">
        <w:rPr>
          <w:rFonts w:ascii="Book Antiqua" w:eastAsia="Calibri" w:hAnsi="Book Antiqua"/>
          <w:color w:val="000000"/>
        </w:rPr>
        <w:t xml:space="preserve"> </w:t>
      </w:r>
      <w:r w:rsidRPr="00AC44BE">
        <w:rPr>
          <w:rFonts w:ascii="Book Antiqua" w:eastAsia="Calibri" w:hAnsi="Book Antiqua"/>
          <w:color w:val="000000"/>
        </w:rPr>
        <w:t>studies.</w:t>
      </w:r>
    </w:p>
    <w:p w14:paraId="2EFB42BE" w14:textId="6147DDFB" w:rsidR="00415F4C" w:rsidRPr="00AC44BE" w:rsidRDefault="00415F4C" w:rsidP="00BA6DB1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color w:val="000000"/>
        </w:rPr>
        <w:sectPr w:rsidR="00415F4C" w:rsidRPr="00AC44B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3C5015" w14:textId="7FC4FE70" w:rsidR="002268C9" w:rsidRPr="00AC44BE" w:rsidRDefault="002268C9" w:rsidP="00BA6DB1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b/>
          <w:bCs/>
          <w:color w:val="000000"/>
        </w:rPr>
      </w:pPr>
      <w:r w:rsidRPr="00AC44BE">
        <w:rPr>
          <w:rFonts w:ascii="Book Antiqua" w:eastAsia="Calibri" w:hAnsi="Book Antiqua"/>
          <w:b/>
          <w:bCs/>
          <w:color w:val="000000"/>
        </w:rPr>
        <w:lastRenderedPageBreak/>
        <w:t>Table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1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The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baseline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details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of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studies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included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in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our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meta-analysis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considering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the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groups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with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raised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and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normal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values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of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troponin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I</w:t>
      </w:r>
    </w:p>
    <w:tbl>
      <w:tblPr>
        <w:tblStyle w:val="ab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1156"/>
        <w:gridCol w:w="2039"/>
        <w:gridCol w:w="1410"/>
        <w:gridCol w:w="1732"/>
        <w:gridCol w:w="1410"/>
      </w:tblGrid>
      <w:tr w:rsidR="002268C9" w:rsidRPr="00AC44BE" w14:paraId="0A22FD37" w14:textId="77777777" w:rsidTr="0090616C">
        <w:tc>
          <w:tcPr>
            <w:tcW w:w="8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D92666" w14:textId="77777777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Ref.</w:t>
            </w:r>
          </w:p>
        </w:tc>
        <w:tc>
          <w:tcPr>
            <w:tcW w:w="61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1A2D8C4" w14:textId="24242FAD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Country</w:t>
            </w:r>
            <w:r w:rsidR="00BA6DB1" w:rsidRPr="00AC44BE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108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F62BC82" w14:textId="610DAE7F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Population</w:t>
            </w:r>
            <w:r w:rsidR="00BA6DB1" w:rsidRPr="00AC44BE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9E690E1" w14:textId="537CDFAB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Mean</w:t>
            </w:r>
            <w:r w:rsidR="00BA6DB1" w:rsidRPr="00AC44BE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age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D50F6C7" w14:textId="2F1E2669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Male/</w:t>
            </w:r>
            <w:r w:rsidR="00BA6DB1" w:rsidRPr="00AC44BE">
              <w:rPr>
                <w:rFonts w:ascii="Book Antiqua" w:eastAsia="Calibri" w:hAnsi="Book Antiqua"/>
                <w:b/>
                <w:bCs/>
                <w:color w:val="000000"/>
              </w:rPr>
              <w:t>f</w:t>
            </w: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emale</w:t>
            </w:r>
          </w:p>
        </w:tc>
        <w:tc>
          <w:tcPr>
            <w:tcW w:w="75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61837D7" w14:textId="3EF6B6D1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Cutoff</w:t>
            </w:r>
            <w:r w:rsidR="00BA6DB1" w:rsidRPr="00AC44BE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for</w:t>
            </w:r>
            <w:r w:rsidR="00BA6DB1" w:rsidRPr="00AC44BE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TnI</w:t>
            </w:r>
            <w:r w:rsidR="00BA6DB1" w:rsidRPr="00AC44BE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raising</w:t>
            </w:r>
          </w:p>
        </w:tc>
      </w:tr>
      <w:tr w:rsidR="0090616C" w:rsidRPr="00AC44BE" w14:paraId="1AEDF9CE" w14:textId="77777777" w:rsidTr="0090616C">
        <w:trPr>
          <w:trHeight w:val="351"/>
        </w:trPr>
        <w:tc>
          <w:tcPr>
            <w:tcW w:w="862" w:type="pct"/>
            <w:vMerge w:val="restart"/>
            <w:tcBorders>
              <w:top w:val="single" w:sz="4" w:space="0" w:color="auto"/>
            </w:tcBorders>
            <w:hideMark/>
          </w:tcPr>
          <w:p w14:paraId="7B58CCBE" w14:textId="6884224A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Arcari </w:t>
            </w:r>
            <w:r w:rsidRPr="00AC44BE">
              <w:rPr>
                <w:rFonts w:ascii="Book Antiqua" w:hAnsi="Book Antiqua"/>
                <w:i/>
                <w:color w:val="000000"/>
              </w:rPr>
              <w:t>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[17]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</w:tcBorders>
            <w:hideMark/>
          </w:tcPr>
          <w:p w14:paraId="18B383D8" w14:textId="7C9B1E22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Italy </w:t>
            </w:r>
          </w:p>
        </w:tc>
        <w:tc>
          <w:tcPr>
            <w:tcW w:w="1089" w:type="pct"/>
            <w:tcBorders>
              <w:top w:val="single" w:sz="4" w:space="0" w:color="auto"/>
            </w:tcBorders>
            <w:hideMark/>
          </w:tcPr>
          <w:p w14:paraId="587972A6" w14:textId="287916D3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39</w:t>
            </w:r>
          </w:p>
        </w:tc>
        <w:tc>
          <w:tcPr>
            <w:tcW w:w="753" w:type="pct"/>
            <w:tcBorders>
              <w:top w:val="single" w:sz="4" w:space="0" w:color="auto"/>
            </w:tcBorders>
            <w:hideMark/>
          </w:tcPr>
          <w:p w14:paraId="41C49BA5" w14:textId="09C2CA5E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66 ± 17</w:t>
            </w:r>
          </w:p>
        </w:tc>
        <w:tc>
          <w:tcPr>
            <w:tcW w:w="925" w:type="pct"/>
            <w:tcBorders>
              <w:top w:val="single" w:sz="4" w:space="0" w:color="auto"/>
            </w:tcBorders>
            <w:hideMark/>
          </w:tcPr>
          <w:p w14:paraId="7B55D9FB" w14:textId="5D638144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28/11</w:t>
            </w:r>
          </w:p>
        </w:tc>
        <w:tc>
          <w:tcPr>
            <w:tcW w:w="753" w:type="pct"/>
            <w:tcBorders>
              <w:top w:val="single" w:sz="4" w:space="0" w:color="auto"/>
            </w:tcBorders>
            <w:hideMark/>
          </w:tcPr>
          <w:p w14:paraId="27985B29" w14:textId="151E661E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14 pg/mL</w:t>
            </w:r>
          </w:p>
        </w:tc>
      </w:tr>
      <w:tr w:rsidR="0090616C" w:rsidRPr="00AC44BE" w14:paraId="706BA349" w14:textId="77777777" w:rsidTr="0090616C">
        <w:trPr>
          <w:trHeight w:val="538"/>
        </w:trPr>
        <w:tc>
          <w:tcPr>
            <w:tcW w:w="862" w:type="pct"/>
            <w:vMerge/>
          </w:tcPr>
          <w:p w14:paraId="63298D0B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618" w:type="pct"/>
            <w:vMerge/>
          </w:tcPr>
          <w:p w14:paraId="4C14C8B8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1089" w:type="pct"/>
          </w:tcPr>
          <w:p w14:paraId="54651FFF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64</w:t>
            </w:r>
          </w:p>
        </w:tc>
        <w:tc>
          <w:tcPr>
            <w:tcW w:w="753" w:type="pct"/>
          </w:tcPr>
          <w:p w14:paraId="46895BB8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79 ± 13</w:t>
            </w:r>
          </w:p>
        </w:tc>
        <w:tc>
          <w:tcPr>
            <w:tcW w:w="925" w:type="pct"/>
          </w:tcPr>
          <w:p w14:paraId="1E9072C5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19/45</w:t>
            </w:r>
          </w:p>
        </w:tc>
        <w:tc>
          <w:tcPr>
            <w:tcW w:w="753" w:type="pct"/>
          </w:tcPr>
          <w:p w14:paraId="268FA9A3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</w:tr>
      <w:tr w:rsidR="0090616C" w:rsidRPr="00AC44BE" w14:paraId="2CE96874" w14:textId="77777777" w:rsidTr="0090616C">
        <w:trPr>
          <w:trHeight w:val="401"/>
        </w:trPr>
        <w:tc>
          <w:tcPr>
            <w:tcW w:w="862" w:type="pct"/>
            <w:vMerge w:val="restart"/>
            <w:hideMark/>
          </w:tcPr>
          <w:p w14:paraId="10FB1A92" w14:textId="6B1ECB43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Fan </w:t>
            </w:r>
            <w:r w:rsidRPr="00AC44BE">
              <w:rPr>
                <w:rFonts w:ascii="Book Antiqua" w:hAnsi="Book Antiqua"/>
                <w:i/>
                <w:color w:val="000000"/>
              </w:rPr>
              <w:t>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[18]</w:t>
            </w:r>
          </w:p>
        </w:tc>
        <w:tc>
          <w:tcPr>
            <w:tcW w:w="618" w:type="pct"/>
            <w:vMerge w:val="restart"/>
            <w:hideMark/>
          </w:tcPr>
          <w:p w14:paraId="0C370A57" w14:textId="2687D398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China </w:t>
            </w:r>
          </w:p>
        </w:tc>
        <w:tc>
          <w:tcPr>
            <w:tcW w:w="1089" w:type="pct"/>
            <w:hideMark/>
          </w:tcPr>
          <w:p w14:paraId="755B36EF" w14:textId="31588916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67</w:t>
            </w:r>
          </w:p>
        </w:tc>
        <w:tc>
          <w:tcPr>
            <w:tcW w:w="753" w:type="pct"/>
            <w:hideMark/>
          </w:tcPr>
          <w:p w14:paraId="016AA45C" w14:textId="0908E5D8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58 ± 15</w:t>
            </w:r>
          </w:p>
        </w:tc>
        <w:tc>
          <w:tcPr>
            <w:tcW w:w="925" w:type="pct"/>
            <w:hideMark/>
          </w:tcPr>
          <w:p w14:paraId="187A9CE8" w14:textId="3BB4CB83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38/29</w:t>
            </w:r>
          </w:p>
        </w:tc>
        <w:tc>
          <w:tcPr>
            <w:tcW w:w="753" w:type="pct"/>
            <w:hideMark/>
          </w:tcPr>
          <w:p w14:paraId="32E24121" w14:textId="519BF6F1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0.01 μg/L</w:t>
            </w:r>
          </w:p>
        </w:tc>
      </w:tr>
      <w:tr w:rsidR="0090616C" w:rsidRPr="00AC44BE" w14:paraId="77560C4A" w14:textId="77777777" w:rsidTr="0090616C">
        <w:trPr>
          <w:trHeight w:val="501"/>
        </w:trPr>
        <w:tc>
          <w:tcPr>
            <w:tcW w:w="862" w:type="pct"/>
            <w:vMerge/>
          </w:tcPr>
          <w:p w14:paraId="5EF6E0CF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618" w:type="pct"/>
            <w:vMerge/>
          </w:tcPr>
          <w:p w14:paraId="401B5C8F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1089" w:type="pct"/>
          </w:tcPr>
          <w:p w14:paraId="74BAC159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22</w:t>
            </w:r>
          </w:p>
        </w:tc>
        <w:tc>
          <w:tcPr>
            <w:tcW w:w="753" w:type="pct"/>
          </w:tcPr>
          <w:p w14:paraId="3B9866A6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71 ± 12</w:t>
            </w:r>
          </w:p>
        </w:tc>
        <w:tc>
          <w:tcPr>
            <w:tcW w:w="925" w:type="pct"/>
          </w:tcPr>
          <w:p w14:paraId="60A6B6C2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11/11</w:t>
            </w:r>
          </w:p>
        </w:tc>
        <w:tc>
          <w:tcPr>
            <w:tcW w:w="753" w:type="pct"/>
          </w:tcPr>
          <w:p w14:paraId="76BE231D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</w:tr>
      <w:tr w:rsidR="0090616C" w:rsidRPr="00AC44BE" w14:paraId="63637FFF" w14:textId="77777777" w:rsidTr="0090616C">
        <w:trPr>
          <w:trHeight w:val="300"/>
        </w:trPr>
        <w:tc>
          <w:tcPr>
            <w:tcW w:w="862" w:type="pct"/>
            <w:vMerge w:val="restart"/>
            <w:hideMark/>
          </w:tcPr>
          <w:p w14:paraId="1158FF56" w14:textId="1A2D81C4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Guo </w:t>
            </w:r>
            <w:r w:rsidRPr="00AC44BE">
              <w:rPr>
                <w:rFonts w:ascii="Book Antiqua" w:hAnsi="Book Antiqua"/>
                <w:i/>
                <w:color w:val="000000"/>
              </w:rPr>
              <w:t>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[19]</w:t>
            </w:r>
          </w:p>
        </w:tc>
        <w:tc>
          <w:tcPr>
            <w:tcW w:w="618" w:type="pct"/>
            <w:vMerge w:val="restart"/>
            <w:hideMark/>
          </w:tcPr>
          <w:p w14:paraId="1E484DE0" w14:textId="1C15C344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China </w:t>
            </w:r>
          </w:p>
        </w:tc>
        <w:tc>
          <w:tcPr>
            <w:tcW w:w="1089" w:type="pct"/>
            <w:hideMark/>
          </w:tcPr>
          <w:p w14:paraId="776BFAEE" w14:textId="23305423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135</w:t>
            </w:r>
          </w:p>
        </w:tc>
        <w:tc>
          <w:tcPr>
            <w:tcW w:w="753" w:type="pct"/>
            <w:hideMark/>
          </w:tcPr>
          <w:p w14:paraId="3286C441" w14:textId="72A1C1AD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53 ± 13</w:t>
            </w:r>
          </w:p>
        </w:tc>
        <w:tc>
          <w:tcPr>
            <w:tcW w:w="925" w:type="pct"/>
            <w:hideMark/>
          </w:tcPr>
          <w:p w14:paraId="2F727EA8" w14:textId="417C2D88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57/78</w:t>
            </w:r>
          </w:p>
        </w:tc>
        <w:tc>
          <w:tcPr>
            <w:tcW w:w="753" w:type="pct"/>
            <w:vMerge w:val="restart"/>
            <w:hideMark/>
          </w:tcPr>
          <w:p w14:paraId="5671B617" w14:textId="2E28B646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99</w:t>
            </w:r>
            <w:r w:rsidRPr="00AC44BE">
              <w:rPr>
                <w:rFonts w:ascii="Book Antiqua" w:eastAsia="Calibri" w:hAnsi="Book Antiqua"/>
                <w:color w:val="000000"/>
                <w:vertAlign w:val="superscript"/>
              </w:rPr>
              <w:t>th</w:t>
            </w:r>
            <w:r w:rsidRPr="00AC44BE">
              <w:rPr>
                <w:rFonts w:ascii="Book Antiqua" w:eastAsia="Calibri" w:hAnsi="Book Antiqua"/>
                <w:color w:val="000000"/>
              </w:rPr>
              <w:t xml:space="preserve"> percentile</w:t>
            </w:r>
          </w:p>
        </w:tc>
      </w:tr>
      <w:tr w:rsidR="0090616C" w:rsidRPr="00AC44BE" w14:paraId="1D12320F" w14:textId="77777777" w:rsidTr="0090616C">
        <w:trPr>
          <w:trHeight w:val="589"/>
        </w:trPr>
        <w:tc>
          <w:tcPr>
            <w:tcW w:w="862" w:type="pct"/>
            <w:vMerge/>
          </w:tcPr>
          <w:p w14:paraId="7FAC9EBB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618" w:type="pct"/>
            <w:vMerge/>
          </w:tcPr>
          <w:p w14:paraId="1C525F54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1089" w:type="pct"/>
          </w:tcPr>
          <w:p w14:paraId="1F1FD995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52</w:t>
            </w:r>
          </w:p>
        </w:tc>
        <w:tc>
          <w:tcPr>
            <w:tcW w:w="753" w:type="pct"/>
          </w:tcPr>
          <w:p w14:paraId="23EAE838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71 ± 9</w:t>
            </w:r>
          </w:p>
        </w:tc>
        <w:tc>
          <w:tcPr>
            <w:tcW w:w="925" w:type="pct"/>
          </w:tcPr>
          <w:p w14:paraId="05DB83F0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34/18</w:t>
            </w:r>
          </w:p>
        </w:tc>
        <w:tc>
          <w:tcPr>
            <w:tcW w:w="753" w:type="pct"/>
            <w:vMerge/>
          </w:tcPr>
          <w:p w14:paraId="51614EA0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</w:tr>
      <w:tr w:rsidR="0090616C" w:rsidRPr="00AC44BE" w14:paraId="59457C35" w14:textId="77777777" w:rsidTr="0090616C">
        <w:trPr>
          <w:trHeight w:val="714"/>
        </w:trPr>
        <w:tc>
          <w:tcPr>
            <w:tcW w:w="862" w:type="pct"/>
            <w:vMerge w:val="restart"/>
            <w:hideMark/>
          </w:tcPr>
          <w:p w14:paraId="7B324C33" w14:textId="4460911F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Lala </w:t>
            </w:r>
            <w:r w:rsidRPr="00AC44BE">
              <w:rPr>
                <w:rFonts w:ascii="Book Antiqua" w:hAnsi="Book Antiqua"/>
                <w:i/>
                <w:color w:val="000000"/>
              </w:rPr>
              <w:t>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[20]</w:t>
            </w:r>
          </w:p>
        </w:tc>
        <w:tc>
          <w:tcPr>
            <w:tcW w:w="618" w:type="pct"/>
            <w:vMerge w:val="restart"/>
            <w:hideMark/>
          </w:tcPr>
          <w:p w14:paraId="53A23650" w14:textId="303674DF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United States</w:t>
            </w:r>
          </w:p>
        </w:tc>
        <w:tc>
          <w:tcPr>
            <w:tcW w:w="1089" w:type="pct"/>
            <w:hideMark/>
          </w:tcPr>
          <w:p w14:paraId="5C4CEFE5" w14:textId="563A2C23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2206</w:t>
            </w:r>
          </w:p>
        </w:tc>
        <w:tc>
          <w:tcPr>
            <w:tcW w:w="753" w:type="pct"/>
            <w:hideMark/>
          </w:tcPr>
          <w:p w14:paraId="13617414" w14:textId="53C05532" w:rsidR="0090616C" w:rsidRPr="0090616C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66 ± 13</w:t>
            </w:r>
          </w:p>
        </w:tc>
        <w:tc>
          <w:tcPr>
            <w:tcW w:w="925" w:type="pct"/>
            <w:vMerge w:val="restart"/>
            <w:hideMark/>
          </w:tcPr>
          <w:p w14:paraId="1CAEE222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1312/894</w:t>
            </w:r>
          </w:p>
          <w:p w14:paraId="7C25F509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318/212</w:t>
            </w:r>
          </w:p>
        </w:tc>
        <w:tc>
          <w:tcPr>
            <w:tcW w:w="753" w:type="pct"/>
            <w:vMerge w:val="restart"/>
            <w:hideMark/>
          </w:tcPr>
          <w:p w14:paraId="57364D6F" w14:textId="189F0762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0.09 ng/mL</w:t>
            </w:r>
          </w:p>
        </w:tc>
      </w:tr>
      <w:tr w:rsidR="0090616C" w:rsidRPr="00AC44BE" w14:paraId="66F2D330" w14:textId="77777777" w:rsidTr="0090616C">
        <w:trPr>
          <w:trHeight w:val="626"/>
        </w:trPr>
        <w:tc>
          <w:tcPr>
            <w:tcW w:w="862" w:type="pct"/>
            <w:vMerge/>
          </w:tcPr>
          <w:p w14:paraId="5B39B16B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618" w:type="pct"/>
            <w:vMerge/>
          </w:tcPr>
          <w:p w14:paraId="4F584A62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1089" w:type="pct"/>
          </w:tcPr>
          <w:p w14:paraId="092A7CC1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530</w:t>
            </w:r>
          </w:p>
        </w:tc>
        <w:tc>
          <w:tcPr>
            <w:tcW w:w="753" w:type="pct"/>
          </w:tcPr>
          <w:p w14:paraId="3E00A1D9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68 ± 15</w:t>
            </w:r>
          </w:p>
        </w:tc>
        <w:tc>
          <w:tcPr>
            <w:tcW w:w="925" w:type="pct"/>
            <w:vMerge/>
          </w:tcPr>
          <w:p w14:paraId="394DE257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753" w:type="pct"/>
            <w:vMerge/>
          </w:tcPr>
          <w:p w14:paraId="7BF0FBA5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</w:tr>
      <w:tr w:rsidR="0090616C" w:rsidRPr="00AC44BE" w14:paraId="5A4B717D" w14:textId="77777777" w:rsidTr="0090616C">
        <w:trPr>
          <w:trHeight w:val="438"/>
        </w:trPr>
        <w:tc>
          <w:tcPr>
            <w:tcW w:w="862" w:type="pct"/>
            <w:vMerge w:val="restart"/>
            <w:hideMark/>
          </w:tcPr>
          <w:p w14:paraId="59BAD1C6" w14:textId="0E1224E3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Lombardi </w:t>
            </w:r>
            <w:r w:rsidRPr="00AC44BE">
              <w:rPr>
                <w:rFonts w:ascii="Book Antiqua" w:hAnsi="Book Antiqua"/>
                <w:i/>
                <w:color w:val="000000"/>
              </w:rPr>
              <w:t>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</w:t>
            </w:r>
            <w:r w:rsidRPr="00AC44BE">
              <w:rPr>
                <w:rFonts w:ascii="Book Antiqua" w:eastAsia="Calibri" w:hAnsi="Book Antiqua"/>
                <w:color w:val="000000"/>
                <w:vertAlign w:val="superscript"/>
              </w:rPr>
              <w:t>21]</w:t>
            </w:r>
          </w:p>
        </w:tc>
        <w:tc>
          <w:tcPr>
            <w:tcW w:w="618" w:type="pct"/>
            <w:vMerge w:val="restart"/>
            <w:hideMark/>
          </w:tcPr>
          <w:p w14:paraId="6F0E6E92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Italy</w:t>
            </w:r>
          </w:p>
        </w:tc>
        <w:tc>
          <w:tcPr>
            <w:tcW w:w="1089" w:type="pct"/>
            <w:hideMark/>
          </w:tcPr>
          <w:p w14:paraId="0D7BF0D3" w14:textId="6DB17BD2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336</w:t>
            </w:r>
          </w:p>
        </w:tc>
        <w:tc>
          <w:tcPr>
            <w:tcW w:w="753" w:type="pct"/>
            <w:hideMark/>
          </w:tcPr>
          <w:p w14:paraId="37CAFBA6" w14:textId="0A2677B3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64 ± 13</w:t>
            </w:r>
          </w:p>
        </w:tc>
        <w:tc>
          <w:tcPr>
            <w:tcW w:w="925" w:type="pct"/>
            <w:vMerge w:val="restart"/>
            <w:hideMark/>
          </w:tcPr>
          <w:p w14:paraId="0124DF08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234/102</w:t>
            </w:r>
          </w:p>
          <w:p w14:paraId="7E8CF392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201/77</w:t>
            </w:r>
          </w:p>
        </w:tc>
        <w:tc>
          <w:tcPr>
            <w:tcW w:w="753" w:type="pct"/>
            <w:vMerge w:val="restart"/>
            <w:hideMark/>
          </w:tcPr>
          <w:p w14:paraId="006914B1" w14:textId="6187C7AD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99</w:t>
            </w:r>
            <w:r w:rsidRPr="00AC44BE">
              <w:rPr>
                <w:rFonts w:ascii="Book Antiqua" w:eastAsia="Calibri" w:hAnsi="Book Antiqua"/>
                <w:color w:val="000000"/>
                <w:vertAlign w:val="superscript"/>
              </w:rPr>
              <w:t>th</w:t>
            </w:r>
            <w:r w:rsidRPr="00AC44BE">
              <w:rPr>
                <w:rFonts w:ascii="Book Antiqua" w:eastAsia="Calibri" w:hAnsi="Book Antiqua"/>
                <w:color w:val="000000"/>
              </w:rPr>
              <w:t xml:space="preserve"> percentile</w:t>
            </w:r>
          </w:p>
        </w:tc>
      </w:tr>
      <w:tr w:rsidR="0090616C" w:rsidRPr="00AC44BE" w14:paraId="43037BF3" w14:textId="77777777" w:rsidTr="0090616C">
        <w:trPr>
          <w:trHeight w:val="451"/>
        </w:trPr>
        <w:tc>
          <w:tcPr>
            <w:tcW w:w="862" w:type="pct"/>
            <w:vMerge/>
          </w:tcPr>
          <w:p w14:paraId="6D6B006B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618" w:type="pct"/>
            <w:vMerge/>
          </w:tcPr>
          <w:p w14:paraId="3CFBF4C5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1089" w:type="pct"/>
          </w:tcPr>
          <w:p w14:paraId="28E9F2A0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278</w:t>
            </w:r>
          </w:p>
        </w:tc>
        <w:tc>
          <w:tcPr>
            <w:tcW w:w="753" w:type="pct"/>
          </w:tcPr>
          <w:p w14:paraId="320D9B6C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71 ± 12</w:t>
            </w:r>
          </w:p>
        </w:tc>
        <w:tc>
          <w:tcPr>
            <w:tcW w:w="925" w:type="pct"/>
            <w:vMerge/>
          </w:tcPr>
          <w:p w14:paraId="4F105A05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753" w:type="pct"/>
            <w:vMerge/>
          </w:tcPr>
          <w:p w14:paraId="415A5F36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</w:tr>
      <w:tr w:rsidR="0090616C" w:rsidRPr="00AC44BE" w14:paraId="5D0F3DEC" w14:textId="77777777" w:rsidTr="0090616C">
        <w:trPr>
          <w:trHeight w:val="351"/>
        </w:trPr>
        <w:tc>
          <w:tcPr>
            <w:tcW w:w="862" w:type="pct"/>
            <w:vMerge w:val="restart"/>
            <w:hideMark/>
          </w:tcPr>
          <w:p w14:paraId="1B4DA22E" w14:textId="6AA6AD32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Lorente-Ros</w:t>
            </w:r>
            <w:r w:rsidRPr="00AC44BE">
              <w:rPr>
                <w:rFonts w:ascii="Book Antiqua" w:hAnsi="Book Antiqua"/>
                <w:i/>
                <w:color w:val="000000"/>
              </w:rPr>
              <w:t xml:space="preserve"> 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[22]</w:t>
            </w:r>
          </w:p>
        </w:tc>
        <w:tc>
          <w:tcPr>
            <w:tcW w:w="618" w:type="pct"/>
            <w:vMerge w:val="restart"/>
            <w:hideMark/>
          </w:tcPr>
          <w:p w14:paraId="0C537171" w14:textId="59D4A2F3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Spain </w:t>
            </w:r>
          </w:p>
        </w:tc>
        <w:tc>
          <w:tcPr>
            <w:tcW w:w="1089" w:type="pct"/>
            <w:hideMark/>
          </w:tcPr>
          <w:p w14:paraId="71B681A7" w14:textId="44390D64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560</w:t>
            </w:r>
          </w:p>
        </w:tc>
        <w:tc>
          <w:tcPr>
            <w:tcW w:w="753" w:type="pct"/>
            <w:hideMark/>
          </w:tcPr>
          <w:p w14:paraId="5F204E24" w14:textId="6B46D1BD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63 ± 12</w:t>
            </w:r>
          </w:p>
        </w:tc>
        <w:tc>
          <w:tcPr>
            <w:tcW w:w="925" w:type="pct"/>
            <w:hideMark/>
          </w:tcPr>
          <w:p w14:paraId="627372F2" w14:textId="46D0F6C4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367/193</w:t>
            </w:r>
          </w:p>
        </w:tc>
        <w:tc>
          <w:tcPr>
            <w:tcW w:w="753" w:type="pct"/>
            <w:vMerge w:val="restart"/>
            <w:hideMark/>
          </w:tcPr>
          <w:p w14:paraId="020D8E0D" w14:textId="5FFC34C9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14 ng/L</w:t>
            </w:r>
          </w:p>
        </w:tc>
      </w:tr>
      <w:tr w:rsidR="0090616C" w:rsidRPr="00AC44BE" w14:paraId="2C4F638F" w14:textId="77777777" w:rsidTr="0090616C">
        <w:trPr>
          <w:trHeight w:val="538"/>
        </w:trPr>
        <w:tc>
          <w:tcPr>
            <w:tcW w:w="862" w:type="pct"/>
            <w:vMerge/>
          </w:tcPr>
          <w:p w14:paraId="6CEAE94C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618" w:type="pct"/>
            <w:vMerge/>
          </w:tcPr>
          <w:p w14:paraId="0B0506B8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1089" w:type="pct"/>
          </w:tcPr>
          <w:p w14:paraId="5ADF68EE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147</w:t>
            </w:r>
          </w:p>
        </w:tc>
        <w:tc>
          <w:tcPr>
            <w:tcW w:w="753" w:type="pct"/>
          </w:tcPr>
          <w:p w14:paraId="47C9531E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78 ± 14</w:t>
            </w:r>
          </w:p>
        </w:tc>
        <w:tc>
          <w:tcPr>
            <w:tcW w:w="925" w:type="pct"/>
          </w:tcPr>
          <w:p w14:paraId="11868BE1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77/70</w:t>
            </w:r>
          </w:p>
        </w:tc>
        <w:tc>
          <w:tcPr>
            <w:tcW w:w="753" w:type="pct"/>
            <w:vMerge/>
          </w:tcPr>
          <w:p w14:paraId="71B0F261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</w:tr>
      <w:tr w:rsidR="0090616C" w:rsidRPr="00AC44BE" w14:paraId="4E4BFAA8" w14:textId="77777777" w:rsidTr="0090616C">
        <w:trPr>
          <w:trHeight w:val="401"/>
        </w:trPr>
        <w:tc>
          <w:tcPr>
            <w:tcW w:w="862" w:type="pct"/>
            <w:vMerge w:val="restart"/>
            <w:hideMark/>
          </w:tcPr>
          <w:p w14:paraId="2CC75F3B" w14:textId="11CFD94D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Raad</w:t>
            </w:r>
            <w:r w:rsidRPr="00AC44BE">
              <w:rPr>
                <w:rFonts w:ascii="Book Antiqua" w:hAnsi="Book Antiqua"/>
                <w:i/>
                <w:color w:val="000000"/>
              </w:rPr>
              <w:t xml:space="preserve"> 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[23]</w:t>
            </w:r>
          </w:p>
        </w:tc>
        <w:tc>
          <w:tcPr>
            <w:tcW w:w="618" w:type="pct"/>
            <w:vMerge w:val="restart"/>
            <w:hideMark/>
          </w:tcPr>
          <w:p w14:paraId="779D1267" w14:textId="643AE21C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United States</w:t>
            </w:r>
          </w:p>
        </w:tc>
        <w:tc>
          <w:tcPr>
            <w:tcW w:w="1089" w:type="pct"/>
            <w:hideMark/>
          </w:tcPr>
          <w:p w14:paraId="79C14F67" w14:textId="0B02F3D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630</w:t>
            </w:r>
          </w:p>
        </w:tc>
        <w:tc>
          <w:tcPr>
            <w:tcW w:w="753" w:type="pct"/>
            <w:hideMark/>
          </w:tcPr>
          <w:p w14:paraId="6C04B6FD" w14:textId="669FA319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59 ± 11</w:t>
            </w:r>
          </w:p>
        </w:tc>
        <w:tc>
          <w:tcPr>
            <w:tcW w:w="925" w:type="pct"/>
            <w:hideMark/>
          </w:tcPr>
          <w:p w14:paraId="1E2F3FF0" w14:textId="434FC34E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280/350</w:t>
            </w:r>
          </w:p>
        </w:tc>
        <w:tc>
          <w:tcPr>
            <w:tcW w:w="753" w:type="pct"/>
            <w:vMerge w:val="restart"/>
            <w:hideMark/>
          </w:tcPr>
          <w:p w14:paraId="15B4A5DE" w14:textId="73D7888B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18 ng/L</w:t>
            </w:r>
          </w:p>
        </w:tc>
      </w:tr>
      <w:tr w:rsidR="0090616C" w:rsidRPr="00AC44BE" w14:paraId="2877BBEB" w14:textId="77777777" w:rsidTr="0090616C">
        <w:trPr>
          <w:trHeight w:val="488"/>
        </w:trPr>
        <w:tc>
          <w:tcPr>
            <w:tcW w:w="862" w:type="pct"/>
            <w:vMerge/>
          </w:tcPr>
          <w:p w14:paraId="2104D0A3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618" w:type="pct"/>
            <w:vMerge/>
          </w:tcPr>
          <w:p w14:paraId="50C4B70F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1089" w:type="pct"/>
          </w:tcPr>
          <w:p w14:paraId="25AF9CFB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390</w:t>
            </w:r>
          </w:p>
        </w:tc>
        <w:tc>
          <w:tcPr>
            <w:tcW w:w="753" w:type="pct"/>
          </w:tcPr>
          <w:p w14:paraId="5D261D8D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70 ± 13</w:t>
            </w:r>
          </w:p>
        </w:tc>
        <w:tc>
          <w:tcPr>
            <w:tcW w:w="925" w:type="pct"/>
          </w:tcPr>
          <w:p w14:paraId="1A48984C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229/161</w:t>
            </w:r>
          </w:p>
        </w:tc>
        <w:tc>
          <w:tcPr>
            <w:tcW w:w="753" w:type="pct"/>
            <w:vMerge/>
          </w:tcPr>
          <w:p w14:paraId="6E074890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</w:tr>
      <w:tr w:rsidR="0090616C" w:rsidRPr="00AC44BE" w14:paraId="28018445" w14:textId="77777777" w:rsidTr="0090616C">
        <w:trPr>
          <w:trHeight w:val="376"/>
        </w:trPr>
        <w:tc>
          <w:tcPr>
            <w:tcW w:w="862" w:type="pct"/>
            <w:vMerge w:val="restart"/>
            <w:hideMark/>
          </w:tcPr>
          <w:p w14:paraId="53DBE409" w14:textId="6F544395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Karbalai Saleh </w:t>
            </w:r>
            <w:r w:rsidRPr="00AC44BE">
              <w:rPr>
                <w:rFonts w:ascii="Book Antiqua" w:hAnsi="Book Antiqua"/>
                <w:i/>
                <w:color w:val="000000"/>
              </w:rPr>
              <w:t>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[24]</w:t>
            </w:r>
          </w:p>
        </w:tc>
        <w:tc>
          <w:tcPr>
            <w:tcW w:w="618" w:type="pct"/>
            <w:vMerge w:val="restart"/>
            <w:hideMark/>
          </w:tcPr>
          <w:p w14:paraId="35C8016A" w14:textId="504056A0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Iran </w:t>
            </w:r>
          </w:p>
        </w:tc>
        <w:tc>
          <w:tcPr>
            <w:tcW w:w="1089" w:type="pct"/>
            <w:hideMark/>
          </w:tcPr>
          <w:p w14:paraId="5A1E5E2B" w14:textId="34B9A46A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271</w:t>
            </w:r>
          </w:p>
        </w:tc>
        <w:tc>
          <w:tcPr>
            <w:tcW w:w="753" w:type="pct"/>
            <w:hideMark/>
          </w:tcPr>
          <w:p w14:paraId="1D3E7084" w14:textId="18D1052C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57 ± 15</w:t>
            </w:r>
          </w:p>
        </w:tc>
        <w:tc>
          <w:tcPr>
            <w:tcW w:w="925" w:type="pct"/>
            <w:hideMark/>
          </w:tcPr>
          <w:p w14:paraId="69856E3D" w14:textId="7DD3D996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167/104</w:t>
            </w:r>
          </w:p>
        </w:tc>
        <w:tc>
          <w:tcPr>
            <w:tcW w:w="753" w:type="pct"/>
            <w:vMerge w:val="restart"/>
            <w:hideMark/>
          </w:tcPr>
          <w:p w14:paraId="3EE3109F" w14:textId="7BEC93CF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99</w:t>
            </w:r>
            <w:r w:rsidRPr="00AC44BE">
              <w:rPr>
                <w:rFonts w:ascii="Book Antiqua" w:eastAsia="Calibri" w:hAnsi="Book Antiqua"/>
                <w:color w:val="000000"/>
                <w:vertAlign w:val="superscript"/>
              </w:rPr>
              <w:t>th</w:t>
            </w:r>
            <w:r w:rsidRPr="00AC44BE">
              <w:rPr>
                <w:rFonts w:ascii="Book Antiqua" w:eastAsia="Calibri" w:hAnsi="Book Antiqua"/>
                <w:color w:val="000000"/>
              </w:rPr>
              <w:t xml:space="preserve"> percentile</w:t>
            </w:r>
          </w:p>
        </w:tc>
      </w:tr>
      <w:tr w:rsidR="0090616C" w:rsidRPr="00AC44BE" w14:paraId="0B54A5BE" w14:textId="77777777" w:rsidTr="0090616C">
        <w:trPr>
          <w:trHeight w:val="513"/>
        </w:trPr>
        <w:tc>
          <w:tcPr>
            <w:tcW w:w="862" w:type="pct"/>
            <w:vMerge/>
          </w:tcPr>
          <w:p w14:paraId="0569DA0A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618" w:type="pct"/>
            <w:vMerge/>
          </w:tcPr>
          <w:p w14:paraId="48DE6542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1089" w:type="pct"/>
          </w:tcPr>
          <w:p w14:paraId="16DF7497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115</w:t>
            </w:r>
          </w:p>
        </w:tc>
        <w:tc>
          <w:tcPr>
            <w:tcW w:w="753" w:type="pct"/>
          </w:tcPr>
          <w:p w14:paraId="15886FA4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65 ± 15</w:t>
            </w:r>
          </w:p>
        </w:tc>
        <w:tc>
          <w:tcPr>
            <w:tcW w:w="925" w:type="pct"/>
          </w:tcPr>
          <w:p w14:paraId="2E2FB58E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69/46</w:t>
            </w:r>
          </w:p>
        </w:tc>
        <w:tc>
          <w:tcPr>
            <w:tcW w:w="753" w:type="pct"/>
            <w:vMerge/>
          </w:tcPr>
          <w:p w14:paraId="7754CD4B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</w:tr>
      <w:tr w:rsidR="0090616C" w:rsidRPr="00AC44BE" w14:paraId="79C2EE8B" w14:textId="77777777" w:rsidTr="0090616C">
        <w:trPr>
          <w:trHeight w:val="451"/>
        </w:trPr>
        <w:tc>
          <w:tcPr>
            <w:tcW w:w="862" w:type="pct"/>
            <w:vMerge w:val="restart"/>
            <w:hideMark/>
          </w:tcPr>
          <w:p w14:paraId="5D3C231B" w14:textId="70544EF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Shah</w:t>
            </w:r>
            <w:r w:rsidRPr="00AC44BE">
              <w:rPr>
                <w:rFonts w:ascii="Book Antiqua" w:hAnsi="Book Antiqua"/>
                <w:i/>
                <w:color w:val="000000"/>
              </w:rPr>
              <w:t xml:space="preserve"> 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[25]</w:t>
            </w:r>
          </w:p>
        </w:tc>
        <w:tc>
          <w:tcPr>
            <w:tcW w:w="618" w:type="pct"/>
            <w:vMerge w:val="restart"/>
            <w:hideMark/>
          </w:tcPr>
          <w:p w14:paraId="671BAD0E" w14:textId="099DC2B2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United States</w:t>
            </w:r>
          </w:p>
        </w:tc>
        <w:tc>
          <w:tcPr>
            <w:tcW w:w="1089" w:type="pct"/>
            <w:hideMark/>
          </w:tcPr>
          <w:p w14:paraId="213FAF44" w14:textId="4431A89E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116</w:t>
            </w:r>
          </w:p>
        </w:tc>
        <w:tc>
          <w:tcPr>
            <w:tcW w:w="753" w:type="pct"/>
            <w:hideMark/>
          </w:tcPr>
          <w:p w14:paraId="0D3E3A09" w14:textId="2EF1092B" w:rsidR="0090616C" w:rsidRPr="0090616C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59 ± 14</w:t>
            </w:r>
          </w:p>
        </w:tc>
        <w:tc>
          <w:tcPr>
            <w:tcW w:w="925" w:type="pct"/>
            <w:hideMark/>
          </w:tcPr>
          <w:p w14:paraId="21CA9649" w14:textId="6FF98DC3" w:rsidR="0090616C" w:rsidRPr="0090616C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70/123</w:t>
            </w:r>
          </w:p>
        </w:tc>
        <w:tc>
          <w:tcPr>
            <w:tcW w:w="753" w:type="pct"/>
            <w:vMerge w:val="restart"/>
            <w:hideMark/>
          </w:tcPr>
          <w:p w14:paraId="73F42F2E" w14:textId="129B11C5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0.05 ng/ml</w:t>
            </w:r>
          </w:p>
        </w:tc>
      </w:tr>
      <w:tr w:rsidR="0090616C" w:rsidRPr="00AC44BE" w14:paraId="39ED581D" w14:textId="77777777" w:rsidTr="0090616C">
        <w:trPr>
          <w:trHeight w:val="438"/>
        </w:trPr>
        <w:tc>
          <w:tcPr>
            <w:tcW w:w="862" w:type="pct"/>
            <w:vMerge/>
          </w:tcPr>
          <w:p w14:paraId="6B6047D5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618" w:type="pct"/>
            <w:vMerge/>
          </w:tcPr>
          <w:p w14:paraId="67B09A08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1089" w:type="pct"/>
          </w:tcPr>
          <w:p w14:paraId="7D121538" w14:textId="62068389" w:rsidR="0090616C" w:rsidRPr="0090616C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Theme="minorEastAsia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193</w:t>
            </w:r>
          </w:p>
        </w:tc>
        <w:tc>
          <w:tcPr>
            <w:tcW w:w="753" w:type="pct"/>
          </w:tcPr>
          <w:p w14:paraId="39C51043" w14:textId="61D5F2D5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68 ± 14</w:t>
            </w:r>
          </w:p>
        </w:tc>
        <w:tc>
          <w:tcPr>
            <w:tcW w:w="925" w:type="pct"/>
          </w:tcPr>
          <w:p w14:paraId="580DAB30" w14:textId="23F0A569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62/54</w:t>
            </w:r>
          </w:p>
        </w:tc>
        <w:tc>
          <w:tcPr>
            <w:tcW w:w="753" w:type="pct"/>
            <w:vMerge/>
          </w:tcPr>
          <w:p w14:paraId="1F6D29E7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</w:tr>
      <w:tr w:rsidR="0090616C" w:rsidRPr="00AC44BE" w14:paraId="1856F001" w14:textId="77777777" w:rsidTr="0090616C">
        <w:trPr>
          <w:trHeight w:val="364"/>
        </w:trPr>
        <w:tc>
          <w:tcPr>
            <w:tcW w:w="862" w:type="pct"/>
            <w:vMerge w:val="restart"/>
            <w:hideMark/>
          </w:tcPr>
          <w:p w14:paraId="46464DFF" w14:textId="0AF5C829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Singh</w:t>
            </w:r>
            <w:r w:rsidRPr="00AC44BE">
              <w:rPr>
                <w:rFonts w:ascii="Book Antiqua" w:hAnsi="Book Antiqua"/>
                <w:i/>
                <w:color w:val="000000"/>
              </w:rPr>
              <w:t xml:space="preserve"> 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[26]</w:t>
            </w:r>
          </w:p>
        </w:tc>
        <w:tc>
          <w:tcPr>
            <w:tcW w:w="618" w:type="pct"/>
            <w:vMerge w:val="restart"/>
            <w:hideMark/>
          </w:tcPr>
          <w:p w14:paraId="122B0116" w14:textId="04D38C1E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United States</w:t>
            </w:r>
          </w:p>
        </w:tc>
        <w:tc>
          <w:tcPr>
            <w:tcW w:w="1089" w:type="pct"/>
            <w:hideMark/>
          </w:tcPr>
          <w:p w14:paraId="14D5BBE9" w14:textId="140F8319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129</w:t>
            </w:r>
          </w:p>
        </w:tc>
        <w:tc>
          <w:tcPr>
            <w:tcW w:w="753" w:type="pct"/>
            <w:hideMark/>
          </w:tcPr>
          <w:p w14:paraId="3C28E7F9" w14:textId="6FE7F29E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53 ± 11</w:t>
            </w:r>
          </w:p>
        </w:tc>
        <w:tc>
          <w:tcPr>
            <w:tcW w:w="925" w:type="pct"/>
            <w:hideMark/>
          </w:tcPr>
          <w:p w14:paraId="350803DD" w14:textId="26E980D0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54/75</w:t>
            </w:r>
          </w:p>
        </w:tc>
        <w:tc>
          <w:tcPr>
            <w:tcW w:w="753" w:type="pct"/>
            <w:vMerge w:val="restart"/>
          </w:tcPr>
          <w:p w14:paraId="0F88F308" w14:textId="770BB4C5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17 ng/L</w:t>
            </w:r>
          </w:p>
          <w:p w14:paraId="13E020CC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</w:tr>
      <w:tr w:rsidR="0090616C" w:rsidRPr="00AC44BE" w14:paraId="1D4E1F10" w14:textId="77777777" w:rsidTr="0090616C">
        <w:trPr>
          <w:trHeight w:val="538"/>
        </w:trPr>
        <w:tc>
          <w:tcPr>
            <w:tcW w:w="862" w:type="pct"/>
            <w:vMerge/>
          </w:tcPr>
          <w:p w14:paraId="520510E3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618" w:type="pct"/>
            <w:vMerge/>
          </w:tcPr>
          <w:p w14:paraId="2765A431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1089" w:type="pct"/>
          </w:tcPr>
          <w:p w14:paraId="0158A979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132</w:t>
            </w:r>
          </w:p>
        </w:tc>
        <w:tc>
          <w:tcPr>
            <w:tcW w:w="753" w:type="pct"/>
          </w:tcPr>
          <w:p w14:paraId="416A26E0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71 ± 12</w:t>
            </w:r>
          </w:p>
        </w:tc>
        <w:tc>
          <w:tcPr>
            <w:tcW w:w="925" w:type="pct"/>
          </w:tcPr>
          <w:p w14:paraId="206247C1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70/62</w:t>
            </w:r>
          </w:p>
        </w:tc>
        <w:tc>
          <w:tcPr>
            <w:tcW w:w="753" w:type="pct"/>
            <w:vMerge/>
          </w:tcPr>
          <w:p w14:paraId="75677706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</w:tr>
    </w:tbl>
    <w:p w14:paraId="32B40C73" w14:textId="2175B659" w:rsidR="002268C9" w:rsidRPr="0090616C" w:rsidRDefault="002268C9" w:rsidP="00BA6DB1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color w:val="000000"/>
        </w:rPr>
      </w:pPr>
      <w:r w:rsidRPr="00AC44BE">
        <w:rPr>
          <w:rFonts w:ascii="Book Antiqua" w:eastAsia="Calibri" w:hAnsi="Book Antiqua"/>
          <w:color w:val="000000"/>
        </w:rPr>
        <w:br w:type="page"/>
      </w:r>
      <w:r w:rsidRPr="00AC44BE">
        <w:rPr>
          <w:rFonts w:ascii="Book Antiqua" w:eastAsia="Calibri" w:hAnsi="Book Antiqua"/>
          <w:b/>
          <w:bCs/>
          <w:color w:val="000000"/>
        </w:rPr>
        <w:lastRenderedPageBreak/>
        <w:t>Table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2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The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outcome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of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="00415F4C" w:rsidRPr="00AC44BE">
        <w:rPr>
          <w:rFonts w:ascii="Book Antiqua" w:eastAsia="Calibri" w:hAnsi="Book Antiqua"/>
          <w:b/>
          <w:bCs/>
          <w:color w:val="000000"/>
        </w:rPr>
        <w:t>coronavirus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="00415F4C" w:rsidRPr="00AC44BE">
        <w:rPr>
          <w:rFonts w:ascii="Book Antiqua" w:eastAsia="Calibri" w:hAnsi="Book Antiqua"/>
          <w:b/>
          <w:bCs/>
          <w:color w:val="000000"/>
        </w:rPr>
        <w:t>disease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="00415F4C" w:rsidRPr="00AC44BE">
        <w:rPr>
          <w:rFonts w:ascii="Book Antiqua" w:eastAsia="Calibri" w:hAnsi="Book Antiqua"/>
          <w:b/>
          <w:bCs/>
          <w:color w:val="000000"/>
        </w:rPr>
        <w:t>2019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considering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the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groups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with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raised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and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normal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values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of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troponin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</w:p>
    <w:tbl>
      <w:tblPr>
        <w:tblStyle w:val="ab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487"/>
        <w:gridCol w:w="1648"/>
        <w:gridCol w:w="1572"/>
        <w:gridCol w:w="1572"/>
        <w:gridCol w:w="1571"/>
      </w:tblGrid>
      <w:tr w:rsidR="002268C9" w:rsidRPr="00AC44BE" w14:paraId="15278501" w14:textId="77777777" w:rsidTr="0090616C">
        <w:tc>
          <w:tcPr>
            <w:tcW w:w="80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4E73B7" w14:textId="143F76A6" w:rsidR="002268C9" w:rsidRPr="00AC44BE" w:rsidRDefault="00415F4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R</w:t>
            </w:r>
            <w:r w:rsidRPr="00AC44BE">
              <w:rPr>
                <w:rFonts w:ascii="Book Antiqua" w:eastAsiaTheme="minorEastAsia" w:hAnsi="Book Antiqua"/>
                <w:b/>
                <w:bCs/>
                <w:color w:val="000000"/>
              </w:rPr>
              <w:t>ef</w:t>
            </w: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.</w:t>
            </w:r>
          </w:p>
        </w:tc>
        <w:tc>
          <w:tcPr>
            <w:tcW w:w="79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CBA0874" w14:textId="5BB872FB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Raised</w:t>
            </w:r>
            <w:r w:rsidR="00BA6DB1" w:rsidRPr="00AC44BE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TnI</w:t>
            </w:r>
            <w:r w:rsidR="00BA6DB1" w:rsidRPr="00AC44BE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rate</w:t>
            </w:r>
          </w:p>
        </w:tc>
        <w:tc>
          <w:tcPr>
            <w:tcW w:w="8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E2FCDE" w14:textId="6891EDF3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Death</w:t>
            </w:r>
            <w:r w:rsidR="00BA6DB1" w:rsidRPr="00AC44BE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rate</w:t>
            </w:r>
            <w:r w:rsidR="00BA6DB1" w:rsidRPr="00AC44BE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A0BA95D" w14:textId="77777777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ARDS</w:t>
            </w:r>
          </w:p>
        </w:tc>
        <w:tc>
          <w:tcPr>
            <w:tcW w:w="84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6D3106" w14:textId="1E7C7BC1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Kidney</w:t>
            </w:r>
            <w:r w:rsidR="00BA6DB1" w:rsidRPr="00AC44BE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injury</w:t>
            </w:r>
            <w:r w:rsidR="00BA6DB1" w:rsidRPr="00AC44BE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83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3FE7DA9" w14:textId="429E6612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ICU</w:t>
            </w:r>
            <w:r w:rsidR="00BA6DB1" w:rsidRPr="00AC44BE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admission</w:t>
            </w:r>
          </w:p>
        </w:tc>
      </w:tr>
      <w:tr w:rsidR="0090616C" w:rsidRPr="00AC44BE" w14:paraId="3E186AA9" w14:textId="77777777" w:rsidTr="0090616C">
        <w:trPr>
          <w:trHeight w:val="802"/>
        </w:trPr>
        <w:tc>
          <w:tcPr>
            <w:tcW w:w="806" w:type="pct"/>
            <w:vMerge w:val="restart"/>
            <w:tcBorders>
              <w:top w:val="single" w:sz="4" w:space="0" w:color="auto"/>
            </w:tcBorders>
            <w:hideMark/>
          </w:tcPr>
          <w:p w14:paraId="28262B37" w14:textId="48689205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Arcari</w:t>
            </w:r>
            <w:r w:rsidRPr="00AC44BE">
              <w:rPr>
                <w:rFonts w:ascii="Book Antiqua" w:hAnsi="Book Antiqua"/>
                <w:i/>
                <w:color w:val="000000"/>
              </w:rPr>
              <w:t xml:space="preserve"> 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[17]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</w:tcBorders>
            <w:hideMark/>
          </w:tcPr>
          <w:p w14:paraId="5B54AB21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39/103</w:t>
            </w:r>
          </w:p>
        </w:tc>
        <w:tc>
          <w:tcPr>
            <w:tcW w:w="880" w:type="pct"/>
            <w:tcBorders>
              <w:top w:val="single" w:sz="4" w:space="0" w:color="auto"/>
            </w:tcBorders>
            <w:hideMark/>
          </w:tcPr>
          <w:p w14:paraId="64169AD0" w14:textId="29EC6E0B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12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</w:tcBorders>
            <w:hideMark/>
          </w:tcPr>
          <w:p w14:paraId="523DFE12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---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</w:tcBorders>
            <w:hideMark/>
          </w:tcPr>
          <w:p w14:paraId="2F48D095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---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</w:tcBorders>
            <w:hideMark/>
          </w:tcPr>
          <w:p w14:paraId="1776A804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---</w:t>
            </w:r>
          </w:p>
        </w:tc>
      </w:tr>
      <w:tr w:rsidR="0090616C" w:rsidRPr="00AC44BE" w14:paraId="770D5DC7" w14:textId="77777777" w:rsidTr="0090616C">
        <w:trPr>
          <w:trHeight w:val="989"/>
        </w:trPr>
        <w:tc>
          <w:tcPr>
            <w:tcW w:w="806" w:type="pct"/>
            <w:vMerge/>
          </w:tcPr>
          <w:p w14:paraId="2354900B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794" w:type="pct"/>
            <w:vMerge/>
          </w:tcPr>
          <w:p w14:paraId="7E26C4E4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880" w:type="pct"/>
          </w:tcPr>
          <w:p w14:paraId="305C694C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7</w:t>
            </w:r>
          </w:p>
        </w:tc>
        <w:tc>
          <w:tcPr>
            <w:tcW w:w="840" w:type="pct"/>
            <w:vMerge/>
          </w:tcPr>
          <w:p w14:paraId="644055DC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840" w:type="pct"/>
            <w:vMerge/>
          </w:tcPr>
          <w:p w14:paraId="132ABD2E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839" w:type="pct"/>
            <w:vMerge/>
          </w:tcPr>
          <w:p w14:paraId="69A84288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</w:tr>
      <w:tr w:rsidR="0090616C" w:rsidRPr="00AC44BE" w14:paraId="3E03185F" w14:textId="77777777" w:rsidTr="0090616C">
        <w:trPr>
          <w:trHeight w:val="755"/>
        </w:trPr>
        <w:tc>
          <w:tcPr>
            <w:tcW w:w="806" w:type="pct"/>
            <w:vMerge w:val="restart"/>
            <w:hideMark/>
          </w:tcPr>
          <w:p w14:paraId="49C09AA1" w14:textId="17309A45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Fan</w:t>
            </w:r>
            <w:r w:rsidRPr="00AC44BE">
              <w:rPr>
                <w:rFonts w:ascii="Book Antiqua" w:hAnsi="Book Antiqua"/>
                <w:i/>
                <w:color w:val="000000"/>
              </w:rPr>
              <w:t xml:space="preserve"> 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[18]</w:t>
            </w:r>
          </w:p>
        </w:tc>
        <w:tc>
          <w:tcPr>
            <w:tcW w:w="794" w:type="pct"/>
            <w:vMerge w:val="restart"/>
            <w:hideMark/>
          </w:tcPr>
          <w:p w14:paraId="7CF8E608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22/89</w:t>
            </w:r>
          </w:p>
        </w:tc>
        <w:tc>
          <w:tcPr>
            <w:tcW w:w="880" w:type="pct"/>
            <w:vMerge w:val="restart"/>
            <w:hideMark/>
          </w:tcPr>
          <w:p w14:paraId="739DAF0C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---</w:t>
            </w:r>
          </w:p>
        </w:tc>
        <w:tc>
          <w:tcPr>
            <w:tcW w:w="840" w:type="pct"/>
            <w:hideMark/>
          </w:tcPr>
          <w:p w14:paraId="63E2E806" w14:textId="441786F5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20</w:t>
            </w:r>
          </w:p>
        </w:tc>
        <w:tc>
          <w:tcPr>
            <w:tcW w:w="840" w:type="pct"/>
            <w:hideMark/>
          </w:tcPr>
          <w:p w14:paraId="12EC13F0" w14:textId="1C06DBD0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9</w:t>
            </w:r>
          </w:p>
          <w:p w14:paraId="05C59BEF" w14:textId="02CF9A25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839" w:type="pct"/>
            <w:vMerge w:val="restart"/>
            <w:hideMark/>
          </w:tcPr>
          <w:p w14:paraId="08FBC6B7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---</w:t>
            </w:r>
          </w:p>
        </w:tc>
      </w:tr>
      <w:tr w:rsidR="0090616C" w:rsidRPr="00AC44BE" w14:paraId="0231D76D" w14:textId="77777777" w:rsidTr="0090616C">
        <w:trPr>
          <w:trHeight w:val="1064"/>
        </w:trPr>
        <w:tc>
          <w:tcPr>
            <w:tcW w:w="806" w:type="pct"/>
            <w:vMerge/>
          </w:tcPr>
          <w:p w14:paraId="3BEF7DA0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794" w:type="pct"/>
            <w:vMerge/>
          </w:tcPr>
          <w:p w14:paraId="6DB32882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880" w:type="pct"/>
            <w:vMerge/>
          </w:tcPr>
          <w:p w14:paraId="0D25E4B6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840" w:type="pct"/>
          </w:tcPr>
          <w:p w14:paraId="01C3D9BC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12</w:t>
            </w:r>
          </w:p>
        </w:tc>
        <w:tc>
          <w:tcPr>
            <w:tcW w:w="840" w:type="pct"/>
          </w:tcPr>
          <w:p w14:paraId="5184BCF0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10</w:t>
            </w:r>
          </w:p>
        </w:tc>
        <w:tc>
          <w:tcPr>
            <w:tcW w:w="839" w:type="pct"/>
            <w:vMerge/>
          </w:tcPr>
          <w:p w14:paraId="6C513381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</w:tr>
      <w:tr w:rsidR="0090616C" w:rsidRPr="00AC44BE" w14:paraId="3DBD9DDD" w14:textId="77777777" w:rsidTr="0090616C">
        <w:trPr>
          <w:trHeight w:val="739"/>
        </w:trPr>
        <w:tc>
          <w:tcPr>
            <w:tcW w:w="806" w:type="pct"/>
            <w:vMerge w:val="restart"/>
            <w:hideMark/>
          </w:tcPr>
          <w:p w14:paraId="17CACFB4" w14:textId="3E2F485A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Guo </w:t>
            </w:r>
            <w:r w:rsidRPr="00AC44BE">
              <w:rPr>
                <w:rFonts w:ascii="Book Antiqua" w:hAnsi="Book Antiqua"/>
                <w:i/>
                <w:color w:val="000000"/>
              </w:rPr>
              <w:t>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[19]</w:t>
            </w:r>
          </w:p>
        </w:tc>
        <w:tc>
          <w:tcPr>
            <w:tcW w:w="794" w:type="pct"/>
            <w:vMerge w:val="restart"/>
            <w:hideMark/>
          </w:tcPr>
          <w:p w14:paraId="5A8EE20A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52/187</w:t>
            </w:r>
          </w:p>
        </w:tc>
        <w:tc>
          <w:tcPr>
            <w:tcW w:w="880" w:type="pct"/>
            <w:hideMark/>
          </w:tcPr>
          <w:p w14:paraId="45E53702" w14:textId="13E7FC61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TnI:3 1</w:t>
            </w:r>
          </w:p>
        </w:tc>
        <w:tc>
          <w:tcPr>
            <w:tcW w:w="840" w:type="pct"/>
            <w:hideMark/>
          </w:tcPr>
          <w:p w14:paraId="0603CAA5" w14:textId="364C07A2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30</w:t>
            </w:r>
          </w:p>
        </w:tc>
        <w:tc>
          <w:tcPr>
            <w:tcW w:w="840" w:type="pct"/>
            <w:hideMark/>
          </w:tcPr>
          <w:p w14:paraId="415B0968" w14:textId="0EDDE4FF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14</w:t>
            </w:r>
          </w:p>
        </w:tc>
        <w:tc>
          <w:tcPr>
            <w:tcW w:w="839" w:type="pct"/>
            <w:hideMark/>
          </w:tcPr>
          <w:p w14:paraId="677CE72D" w14:textId="048E316E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31</w:t>
            </w:r>
          </w:p>
        </w:tc>
      </w:tr>
      <w:tr w:rsidR="0090616C" w:rsidRPr="00AC44BE" w14:paraId="5F15946F" w14:textId="77777777" w:rsidTr="0090616C">
        <w:trPr>
          <w:trHeight w:val="1052"/>
        </w:trPr>
        <w:tc>
          <w:tcPr>
            <w:tcW w:w="806" w:type="pct"/>
            <w:vMerge/>
          </w:tcPr>
          <w:p w14:paraId="534FA3A2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794" w:type="pct"/>
            <w:vMerge/>
          </w:tcPr>
          <w:p w14:paraId="31455418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880" w:type="pct"/>
          </w:tcPr>
          <w:p w14:paraId="4BB7F92E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12</w:t>
            </w:r>
          </w:p>
        </w:tc>
        <w:tc>
          <w:tcPr>
            <w:tcW w:w="840" w:type="pct"/>
          </w:tcPr>
          <w:p w14:paraId="6BDF3918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16</w:t>
            </w:r>
          </w:p>
        </w:tc>
        <w:tc>
          <w:tcPr>
            <w:tcW w:w="840" w:type="pct"/>
          </w:tcPr>
          <w:p w14:paraId="6D9E3052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4</w:t>
            </w:r>
          </w:p>
        </w:tc>
        <w:tc>
          <w:tcPr>
            <w:tcW w:w="839" w:type="pct"/>
          </w:tcPr>
          <w:p w14:paraId="68B0BB7D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14</w:t>
            </w:r>
          </w:p>
        </w:tc>
      </w:tr>
      <w:tr w:rsidR="0090616C" w:rsidRPr="00AC44BE" w14:paraId="5257296B" w14:textId="77777777" w:rsidTr="0090616C">
        <w:trPr>
          <w:trHeight w:val="839"/>
        </w:trPr>
        <w:tc>
          <w:tcPr>
            <w:tcW w:w="806" w:type="pct"/>
            <w:vMerge w:val="restart"/>
            <w:hideMark/>
          </w:tcPr>
          <w:p w14:paraId="2E5DEC12" w14:textId="4A187215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Lala</w:t>
            </w:r>
            <w:r w:rsidRPr="00AC44BE">
              <w:rPr>
                <w:rFonts w:ascii="Book Antiqua" w:hAnsi="Book Antiqua"/>
                <w:i/>
                <w:color w:val="000000"/>
              </w:rPr>
              <w:t xml:space="preserve"> 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[20]</w:t>
            </w:r>
          </w:p>
        </w:tc>
        <w:tc>
          <w:tcPr>
            <w:tcW w:w="794" w:type="pct"/>
            <w:vMerge w:val="restart"/>
            <w:hideMark/>
          </w:tcPr>
          <w:p w14:paraId="64363EA3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530/2736</w:t>
            </w:r>
          </w:p>
        </w:tc>
        <w:tc>
          <w:tcPr>
            <w:tcW w:w="880" w:type="pct"/>
            <w:hideMark/>
          </w:tcPr>
          <w:p w14:paraId="7D80383F" w14:textId="6CB2D978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223</w:t>
            </w:r>
          </w:p>
        </w:tc>
        <w:tc>
          <w:tcPr>
            <w:tcW w:w="840" w:type="pct"/>
            <w:vMerge w:val="restart"/>
            <w:hideMark/>
          </w:tcPr>
          <w:p w14:paraId="3AFAB323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---</w:t>
            </w:r>
          </w:p>
        </w:tc>
        <w:tc>
          <w:tcPr>
            <w:tcW w:w="840" w:type="pct"/>
            <w:vMerge w:val="restart"/>
            <w:hideMark/>
          </w:tcPr>
          <w:p w14:paraId="3EB70F12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---</w:t>
            </w:r>
          </w:p>
        </w:tc>
        <w:tc>
          <w:tcPr>
            <w:tcW w:w="839" w:type="pct"/>
            <w:vMerge w:val="restart"/>
            <w:hideMark/>
          </w:tcPr>
          <w:p w14:paraId="0FC9F8B6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---</w:t>
            </w:r>
          </w:p>
        </w:tc>
      </w:tr>
      <w:tr w:rsidR="0090616C" w:rsidRPr="00AC44BE" w14:paraId="57373EC2" w14:textId="77777777" w:rsidTr="0090616C">
        <w:trPr>
          <w:trHeight w:val="952"/>
        </w:trPr>
        <w:tc>
          <w:tcPr>
            <w:tcW w:w="806" w:type="pct"/>
            <w:vMerge/>
          </w:tcPr>
          <w:p w14:paraId="13FA20A0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794" w:type="pct"/>
            <w:vMerge/>
          </w:tcPr>
          <w:p w14:paraId="7DC258FD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880" w:type="pct"/>
          </w:tcPr>
          <w:p w14:paraId="23DCCAF6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102</w:t>
            </w:r>
          </w:p>
        </w:tc>
        <w:tc>
          <w:tcPr>
            <w:tcW w:w="840" w:type="pct"/>
            <w:vMerge/>
          </w:tcPr>
          <w:p w14:paraId="68630C51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840" w:type="pct"/>
            <w:vMerge/>
          </w:tcPr>
          <w:p w14:paraId="3ADC6E2C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839" w:type="pct"/>
            <w:vMerge/>
          </w:tcPr>
          <w:p w14:paraId="357B534B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</w:tr>
      <w:tr w:rsidR="0090616C" w:rsidRPr="00AC44BE" w14:paraId="66B8EB3A" w14:textId="77777777" w:rsidTr="0090616C">
        <w:trPr>
          <w:trHeight w:val="789"/>
        </w:trPr>
        <w:tc>
          <w:tcPr>
            <w:tcW w:w="806" w:type="pct"/>
            <w:vMerge w:val="restart"/>
            <w:hideMark/>
          </w:tcPr>
          <w:p w14:paraId="74DCDCC3" w14:textId="33337B2C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Lombardi</w:t>
            </w:r>
            <w:r w:rsidRPr="00AC44BE">
              <w:rPr>
                <w:rFonts w:ascii="Book Antiqua" w:hAnsi="Book Antiqua"/>
                <w:i/>
                <w:color w:val="000000"/>
              </w:rPr>
              <w:t xml:space="preserve"> 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[21]</w:t>
            </w:r>
          </w:p>
        </w:tc>
        <w:tc>
          <w:tcPr>
            <w:tcW w:w="794" w:type="pct"/>
            <w:vMerge w:val="restart"/>
            <w:hideMark/>
          </w:tcPr>
          <w:p w14:paraId="580E1E73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278/614</w:t>
            </w:r>
          </w:p>
        </w:tc>
        <w:tc>
          <w:tcPr>
            <w:tcW w:w="880" w:type="pct"/>
            <w:hideMark/>
          </w:tcPr>
          <w:p w14:paraId="5C4C3B00" w14:textId="431C39AF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102</w:t>
            </w:r>
          </w:p>
        </w:tc>
        <w:tc>
          <w:tcPr>
            <w:tcW w:w="840" w:type="pct"/>
            <w:vMerge w:val="restart"/>
            <w:hideMark/>
          </w:tcPr>
          <w:p w14:paraId="738064DC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---</w:t>
            </w:r>
          </w:p>
        </w:tc>
        <w:tc>
          <w:tcPr>
            <w:tcW w:w="840" w:type="pct"/>
            <w:hideMark/>
          </w:tcPr>
          <w:p w14:paraId="619C2BCA" w14:textId="09765653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41</w:t>
            </w:r>
          </w:p>
        </w:tc>
        <w:tc>
          <w:tcPr>
            <w:tcW w:w="839" w:type="pct"/>
            <w:vMerge w:val="restart"/>
            <w:hideMark/>
          </w:tcPr>
          <w:p w14:paraId="3F48CBA2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---</w:t>
            </w:r>
          </w:p>
        </w:tc>
      </w:tr>
      <w:tr w:rsidR="0090616C" w:rsidRPr="00AC44BE" w14:paraId="4C4727C3" w14:textId="77777777" w:rsidTr="0090616C">
        <w:trPr>
          <w:trHeight w:val="1002"/>
        </w:trPr>
        <w:tc>
          <w:tcPr>
            <w:tcW w:w="806" w:type="pct"/>
            <w:vMerge/>
          </w:tcPr>
          <w:p w14:paraId="021C9E58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794" w:type="pct"/>
            <w:vMerge/>
          </w:tcPr>
          <w:p w14:paraId="1EF3494C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880" w:type="pct"/>
          </w:tcPr>
          <w:p w14:paraId="764FAC58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43</w:t>
            </w:r>
          </w:p>
        </w:tc>
        <w:tc>
          <w:tcPr>
            <w:tcW w:w="840" w:type="pct"/>
            <w:vMerge/>
          </w:tcPr>
          <w:p w14:paraId="6993A49A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840" w:type="pct"/>
          </w:tcPr>
          <w:p w14:paraId="601E92DE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13</w:t>
            </w:r>
          </w:p>
        </w:tc>
        <w:tc>
          <w:tcPr>
            <w:tcW w:w="839" w:type="pct"/>
            <w:vMerge/>
          </w:tcPr>
          <w:p w14:paraId="0FF53035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</w:tr>
      <w:tr w:rsidR="002268C9" w:rsidRPr="00AC44BE" w14:paraId="7E697EAE" w14:textId="77777777" w:rsidTr="0090616C">
        <w:tc>
          <w:tcPr>
            <w:tcW w:w="806" w:type="pct"/>
            <w:hideMark/>
          </w:tcPr>
          <w:p w14:paraId="5F25070E" w14:textId="2AE1D673" w:rsidR="002268C9" w:rsidRPr="00AC44BE" w:rsidRDefault="003A290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Lorente-Ros</w:t>
            </w:r>
            <w:r w:rsidR="00BA6DB1" w:rsidRPr="00AC44BE">
              <w:rPr>
                <w:rFonts w:ascii="Book Antiqua" w:hAnsi="Book Antiqua"/>
                <w:i/>
                <w:color w:val="000000"/>
              </w:rPr>
              <w:t xml:space="preserve"> </w:t>
            </w:r>
            <w:r w:rsidR="002268C9" w:rsidRPr="00AC44BE">
              <w:rPr>
                <w:rFonts w:ascii="Book Antiqua" w:hAnsi="Book Antiqua"/>
                <w:i/>
                <w:color w:val="000000"/>
              </w:rPr>
              <w:t>et</w:t>
            </w:r>
            <w:r w:rsidR="00BA6DB1" w:rsidRPr="00AC44BE">
              <w:rPr>
                <w:rFonts w:ascii="Book Antiqua" w:hAnsi="Book Antiqua"/>
                <w:i/>
                <w:color w:val="000000"/>
              </w:rPr>
              <w:t xml:space="preserve"> </w:t>
            </w:r>
            <w:r w:rsidR="002268C9" w:rsidRPr="00AC44BE">
              <w:rPr>
                <w:rFonts w:ascii="Book Antiqua" w:hAnsi="Book Antiqua"/>
                <w:i/>
                <w:color w:val="000000"/>
              </w:rPr>
              <w:t>al</w:t>
            </w:r>
            <w:r w:rsidR="002268C9" w:rsidRPr="00AC44BE">
              <w:rPr>
                <w:rFonts w:ascii="Book Antiqua" w:hAnsi="Book Antiqua"/>
                <w:color w:val="000000"/>
                <w:vertAlign w:val="superscript"/>
              </w:rPr>
              <w:t>[22]</w:t>
            </w:r>
          </w:p>
        </w:tc>
        <w:tc>
          <w:tcPr>
            <w:tcW w:w="794" w:type="pct"/>
            <w:hideMark/>
          </w:tcPr>
          <w:p w14:paraId="2A8C8F03" w14:textId="77777777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147/707</w:t>
            </w:r>
          </w:p>
        </w:tc>
        <w:tc>
          <w:tcPr>
            <w:tcW w:w="880" w:type="pct"/>
            <w:hideMark/>
          </w:tcPr>
          <w:p w14:paraId="6D572148" w14:textId="7B5CF220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AC44BE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AC44BE">
              <w:rPr>
                <w:rFonts w:ascii="Book Antiqua" w:eastAsia="Calibri" w:hAnsi="Book Antiqua"/>
                <w:color w:val="000000"/>
              </w:rPr>
              <w:t>TnI:</w:t>
            </w:r>
            <w:r w:rsidR="00BA6DB1" w:rsidRPr="00AC44BE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AC44BE">
              <w:rPr>
                <w:rFonts w:ascii="Book Antiqua" w:eastAsia="Calibri" w:hAnsi="Book Antiqua"/>
                <w:color w:val="000000"/>
              </w:rPr>
              <w:t>60</w:t>
            </w:r>
          </w:p>
          <w:p w14:paraId="42A4B407" w14:textId="09BA9E89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lastRenderedPageBreak/>
              <w:t>Normal</w:t>
            </w:r>
            <w:r w:rsidR="00BA6DB1" w:rsidRPr="00AC44BE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AC44BE">
              <w:rPr>
                <w:rFonts w:ascii="Book Antiqua" w:eastAsia="Calibri" w:hAnsi="Book Antiqua"/>
                <w:color w:val="000000"/>
              </w:rPr>
              <w:t>TnI:</w:t>
            </w:r>
            <w:r w:rsidR="00BA6DB1" w:rsidRPr="00AC44BE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AC44BE">
              <w:rPr>
                <w:rFonts w:ascii="Book Antiqua" w:eastAsia="Calibri" w:hAnsi="Book Antiqua"/>
                <w:color w:val="000000"/>
              </w:rPr>
              <w:t>130</w:t>
            </w:r>
          </w:p>
        </w:tc>
        <w:tc>
          <w:tcPr>
            <w:tcW w:w="840" w:type="pct"/>
            <w:hideMark/>
          </w:tcPr>
          <w:p w14:paraId="439B4789" w14:textId="77777777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lastRenderedPageBreak/>
              <w:t>---</w:t>
            </w:r>
          </w:p>
        </w:tc>
        <w:tc>
          <w:tcPr>
            <w:tcW w:w="840" w:type="pct"/>
            <w:hideMark/>
          </w:tcPr>
          <w:p w14:paraId="37142830" w14:textId="77777777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---</w:t>
            </w:r>
          </w:p>
        </w:tc>
        <w:tc>
          <w:tcPr>
            <w:tcW w:w="839" w:type="pct"/>
            <w:hideMark/>
          </w:tcPr>
          <w:p w14:paraId="1B5695FA" w14:textId="4CE06869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</w:t>
            </w:r>
            <w:r w:rsidR="00BA6DB1" w:rsidRPr="00AC44BE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AC44BE">
              <w:rPr>
                <w:rFonts w:ascii="Book Antiqua" w:eastAsia="Calibri" w:hAnsi="Book Antiqua"/>
                <w:color w:val="000000"/>
              </w:rPr>
              <w:t>TnI:</w:t>
            </w:r>
            <w:r w:rsidR="00BA6DB1" w:rsidRPr="00AC44BE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AC44BE">
              <w:rPr>
                <w:rFonts w:ascii="Book Antiqua" w:eastAsia="Calibri" w:hAnsi="Book Antiqua"/>
                <w:color w:val="000000"/>
              </w:rPr>
              <w:t>7</w:t>
            </w:r>
          </w:p>
          <w:p w14:paraId="63C457CF" w14:textId="7FB21E1C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</w:t>
            </w:r>
            <w:r w:rsidR="00BA6DB1" w:rsidRPr="00AC44BE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AC44BE">
              <w:rPr>
                <w:rFonts w:ascii="Book Antiqua" w:eastAsia="Calibri" w:hAnsi="Book Antiqua"/>
                <w:color w:val="000000"/>
              </w:rPr>
              <w:t>TnI:</w:t>
            </w:r>
            <w:r w:rsidR="00BA6DB1" w:rsidRPr="00AC44BE">
              <w:rPr>
                <w:rFonts w:ascii="Book Antiqua" w:eastAsia="Calibri" w:hAnsi="Book Antiqua"/>
                <w:color w:val="000000"/>
              </w:rPr>
              <w:t xml:space="preserve"> </w:t>
            </w:r>
            <w:r w:rsidRPr="00AC44BE">
              <w:rPr>
                <w:rFonts w:ascii="Book Antiqua" w:eastAsia="Calibri" w:hAnsi="Book Antiqua"/>
                <w:color w:val="000000"/>
              </w:rPr>
              <w:t>5</w:t>
            </w:r>
          </w:p>
        </w:tc>
      </w:tr>
      <w:tr w:rsidR="0090616C" w:rsidRPr="00AC44BE" w14:paraId="55C4C677" w14:textId="77777777" w:rsidTr="0090616C">
        <w:trPr>
          <w:trHeight w:val="814"/>
        </w:trPr>
        <w:tc>
          <w:tcPr>
            <w:tcW w:w="806" w:type="pct"/>
            <w:vMerge w:val="restart"/>
            <w:hideMark/>
          </w:tcPr>
          <w:p w14:paraId="302DDB4A" w14:textId="7017C51A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Raad</w:t>
            </w:r>
            <w:r w:rsidRPr="00AC44BE">
              <w:rPr>
                <w:rFonts w:ascii="Book Antiqua" w:hAnsi="Book Antiqua"/>
                <w:i/>
                <w:color w:val="000000"/>
              </w:rPr>
              <w:t xml:space="preserve"> 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[23]</w:t>
            </w:r>
          </w:p>
        </w:tc>
        <w:tc>
          <w:tcPr>
            <w:tcW w:w="794" w:type="pct"/>
            <w:vMerge w:val="restart"/>
            <w:hideMark/>
          </w:tcPr>
          <w:p w14:paraId="6A4265F2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390/1020</w:t>
            </w:r>
          </w:p>
        </w:tc>
        <w:tc>
          <w:tcPr>
            <w:tcW w:w="880" w:type="pct"/>
            <w:hideMark/>
          </w:tcPr>
          <w:p w14:paraId="15BF1FBE" w14:textId="3BC9CCAD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128</w:t>
            </w:r>
          </w:p>
        </w:tc>
        <w:tc>
          <w:tcPr>
            <w:tcW w:w="840" w:type="pct"/>
            <w:hideMark/>
          </w:tcPr>
          <w:p w14:paraId="65809CCC" w14:textId="5835391A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93</w:t>
            </w:r>
          </w:p>
        </w:tc>
        <w:tc>
          <w:tcPr>
            <w:tcW w:w="840" w:type="pct"/>
            <w:hideMark/>
          </w:tcPr>
          <w:p w14:paraId="77529C2D" w14:textId="5456F261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224</w:t>
            </w:r>
          </w:p>
        </w:tc>
        <w:tc>
          <w:tcPr>
            <w:tcW w:w="839" w:type="pct"/>
            <w:hideMark/>
          </w:tcPr>
          <w:p w14:paraId="6F1D6551" w14:textId="30C284AF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105</w:t>
            </w:r>
          </w:p>
        </w:tc>
      </w:tr>
      <w:tr w:rsidR="0090616C" w:rsidRPr="00AC44BE" w14:paraId="78A68F7C" w14:textId="77777777" w:rsidTr="0090616C">
        <w:trPr>
          <w:trHeight w:val="977"/>
        </w:trPr>
        <w:tc>
          <w:tcPr>
            <w:tcW w:w="806" w:type="pct"/>
            <w:vMerge/>
          </w:tcPr>
          <w:p w14:paraId="3F606A4D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794" w:type="pct"/>
            <w:vMerge/>
          </w:tcPr>
          <w:p w14:paraId="70DAE609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880" w:type="pct"/>
          </w:tcPr>
          <w:p w14:paraId="18B7CDD9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52</w:t>
            </w:r>
          </w:p>
        </w:tc>
        <w:tc>
          <w:tcPr>
            <w:tcW w:w="840" w:type="pct"/>
          </w:tcPr>
          <w:p w14:paraId="5E60CAEF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64</w:t>
            </w:r>
          </w:p>
        </w:tc>
        <w:tc>
          <w:tcPr>
            <w:tcW w:w="840" w:type="pct"/>
          </w:tcPr>
          <w:p w14:paraId="42560924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TnI:178</w:t>
            </w:r>
          </w:p>
        </w:tc>
        <w:tc>
          <w:tcPr>
            <w:tcW w:w="839" w:type="pct"/>
          </w:tcPr>
          <w:p w14:paraId="79A98D81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TnI:93</w:t>
            </w:r>
          </w:p>
        </w:tc>
      </w:tr>
      <w:tr w:rsidR="0090616C" w:rsidRPr="00AC44BE" w14:paraId="7A2482F2" w14:textId="77777777" w:rsidTr="0090616C">
        <w:trPr>
          <w:trHeight w:val="839"/>
        </w:trPr>
        <w:tc>
          <w:tcPr>
            <w:tcW w:w="806" w:type="pct"/>
            <w:vMerge w:val="restart"/>
            <w:hideMark/>
          </w:tcPr>
          <w:p w14:paraId="78FEAEC0" w14:textId="749DEE3E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Karbalai Saleh </w:t>
            </w:r>
            <w:r w:rsidRPr="00AC44BE">
              <w:rPr>
                <w:rFonts w:ascii="Book Antiqua" w:hAnsi="Book Antiqua"/>
                <w:i/>
                <w:color w:val="000000"/>
              </w:rPr>
              <w:t>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[24]</w:t>
            </w:r>
          </w:p>
        </w:tc>
        <w:tc>
          <w:tcPr>
            <w:tcW w:w="794" w:type="pct"/>
            <w:vMerge w:val="restart"/>
            <w:hideMark/>
          </w:tcPr>
          <w:p w14:paraId="5D82EEB0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115/386</w:t>
            </w:r>
          </w:p>
        </w:tc>
        <w:tc>
          <w:tcPr>
            <w:tcW w:w="880" w:type="pct"/>
            <w:hideMark/>
          </w:tcPr>
          <w:p w14:paraId="76120C8B" w14:textId="376B3AF9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47</w:t>
            </w:r>
          </w:p>
        </w:tc>
        <w:tc>
          <w:tcPr>
            <w:tcW w:w="840" w:type="pct"/>
            <w:hideMark/>
          </w:tcPr>
          <w:p w14:paraId="7586FBFF" w14:textId="0C144789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46</w:t>
            </w:r>
          </w:p>
        </w:tc>
        <w:tc>
          <w:tcPr>
            <w:tcW w:w="840" w:type="pct"/>
            <w:hideMark/>
          </w:tcPr>
          <w:p w14:paraId="45FC8A22" w14:textId="0C853D36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35</w:t>
            </w:r>
          </w:p>
        </w:tc>
        <w:tc>
          <w:tcPr>
            <w:tcW w:w="839" w:type="pct"/>
            <w:hideMark/>
          </w:tcPr>
          <w:p w14:paraId="7328AA91" w14:textId="09500551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41</w:t>
            </w:r>
          </w:p>
        </w:tc>
      </w:tr>
      <w:tr w:rsidR="0090616C" w:rsidRPr="00AC44BE" w14:paraId="13D0AAF3" w14:textId="77777777" w:rsidTr="0090616C">
        <w:trPr>
          <w:trHeight w:val="952"/>
        </w:trPr>
        <w:tc>
          <w:tcPr>
            <w:tcW w:w="806" w:type="pct"/>
            <w:vMerge/>
          </w:tcPr>
          <w:p w14:paraId="40AE1EEB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794" w:type="pct"/>
            <w:vMerge/>
          </w:tcPr>
          <w:p w14:paraId="72E4E440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880" w:type="pct"/>
          </w:tcPr>
          <w:p w14:paraId="52156502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30</w:t>
            </w:r>
          </w:p>
        </w:tc>
        <w:tc>
          <w:tcPr>
            <w:tcW w:w="840" w:type="pct"/>
          </w:tcPr>
          <w:p w14:paraId="19D0DE03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30</w:t>
            </w:r>
          </w:p>
        </w:tc>
        <w:tc>
          <w:tcPr>
            <w:tcW w:w="840" w:type="pct"/>
          </w:tcPr>
          <w:p w14:paraId="7CE1DC39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25</w:t>
            </w:r>
          </w:p>
        </w:tc>
        <w:tc>
          <w:tcPr>
            <w:tcW w:w="839" w:type="pct"/>
          </w:tcPr>
          <w:p w14:paraId="7FCA6D51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38</w:t>
            </w:r>
          </w:p>
        </w:tc>
      </w:tr>
      <w:tr w:rsidR="0090616C" w:rsidRPr="00AC44BE" w14:paraId="1458256C" w14:textId="77777777" w:rsidTr="0090616C">
        <w:trPr>
          <w:trHeight w:val="764"/>
        </w:trPr>
        <w:tc>
          <w:tcPr>
            <w:tcW w:w="806" w:type="pct"/>
            <w:vMerge w:val="restart"/>
            <w:hideMark/>
          </w:tcPr>
          <w:p w14:paraId="65C06AEF" w14:textId="7CAF49A8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Shah </w:t>
            </w:r>
            <w:r w:rsidRPr="00AC44BE">
              <w:rPr>
                <w:rFonts w:ascii="Book Antiqua" w:hAnsi="Book Antiqua"/>
                <w:i/>
                <w:color w:val="000000"/>
              </w:rPr>
              <w:t>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[25]</w:t>
            </w:r>
          </w:p>
        </w:tc>
        <w:tc>
          <w:tcPr>
            <w:tcW w:w="794" w:type="pct"/>
            <w:vMerge w:val="restart"/>
            <w:hideMark/>
          </w:tcPr>
          <w:p w14:paraId="21D337C1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116/309</w:t>
            </w:r>
          </w:p>
        </w:tc>
        <w:tc>
          <w:tcPr>
            <w:tcW w:w="880" w:type="pct"/>
            <w:hideMark/>
          </w:tcPr>
          <w:p w14:paraId="3227582B" w14:textId="1C5A6AD1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44</w:t>
            </w:r>
          </w:p>
        </w:tc>
        <w:tc>
          <w:tcPr>
            <w:tcW w:w="840" w:type="pct"/>
            <w:hideMark/>
          </w:tcPr>
          <w:p w14:paraId="2A6E48EE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---</w:t>
            </w:r>
          </w:p>
        </w:tc>
        <w:tc>
          <w:tcPr>
            <w:tcW w:w="840" w:type="pct"/>
            <w:hideMark/>
          </w:tcPr>
          <w:p w14:paraId="2353D48B" w14:textId="703AFB8A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13</w:t>
            </w:r>
          </w:p>
        </w:tc>
        <w:tc>
          <w:tcPr>
            <w:tcW w:w="839" w:type="pct"/>
            <w:hideMark/>
          </w:tcPr>
          <w:p w14:paraId="3F1B45F9" w14:textId="7BE1F930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58</w:t>
            </w:r>
          </w:p>
        </w:tc>
      </w:tr>
      <w:tr w:rsidR="0090616C" w:rsidRPr="00AC44BE" w14:paraId="0FE48CE8" w14:textId="77777777" w:rsidTr="0090616C">
        <w:trPr>
          <w:trHeight w:val="1027"/>
        </w:trPr>
        <w:tc>
          <w:tcPr>
            <w:tcW w:w="806" w:type="pct"/>
            <w:vMerge/>
          </w:tcPr>
          <w:p w14:paraId="1A94D6D1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794" w:type="pct"/>
            <w:vMerge/>
          </w:tcPr>
          <w:p w14:paraId="5B01DFCC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880" w:type="pct"/>
          </w:tcPr>
          <w:p w14:paraId="71F38713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22</w:t>
            </w:r>
          </w:p>
        </w:tc>
        <w:tc>
          <w:tcPr>
            <w:tcW w:w="840" w:type="pct"/>
          </w:tcPr>
          <w:p w14:paraId="2691C84F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840" w:type="pct"/>
          </w:tcPr>
          <w:p w14:paraId="41BE4176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5</w:t>
            </w:r>
          </w:p>
        </w:tc>
        <w:tc>
          <w:tcPr>
            <w:tcW w:w="839" w:type="pct"/>
          </w:tcPr>
          <w:p w14:paraId="3AE21FA3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52</w:t>
            </w:r>
          </w:p>
        </w:tc>
      </w:tr>
      <w:tr w:rsidR="0090616C" w:rsidRPr="00AC44BE" w14:paraId="7D51F294" w14:textId="77777777" w:rsidTr="0090616C">
        <w:trPr>
          <w:trHeight w:val="864"/>
        </w:trPr>
        <w:tc>
          <w:tcPr>
            <w:tcW w:w="806" w:type="pct"/>
            <w:vMerge w:val="restart"/>
            <w:hideMark/>
          </w:tcPr>
          <w:p w14:paraId="14A04A0C" w14:textId="34EA981A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Singh</w:t>
            </w:r>
            <w:r w:rsidRPr="00AC44BE">
              <w:rPr>
                <w:rFonts w:ascii="Book Antiqua" w:hAnsi="Book Antiqua"/>
                <w:i/>
                <w:color w:val="000000"/>
              </w:rPr>
              <w:t xml:space="preserve"> 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[26]</w:t>
            </w:r>
          </w:p>
        </w:tc>
        <w:tc>
          <w:tcPr>
            <w:tcW w:w="794" w:type="pct"/>
            <w:vMerge w:val="restart"/>
          </w:tcPr>
          <w:p w14:paraId="64456F78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132/276</w:t>
            </w:r>
          </w:p>
          <w:p w14:paraId="56D248E0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880" w:type="pct"/>
            <w:hideMark/>
          </w:tcPr>
          <w:p w14:paraId="039A59B0" w14:textId="045E39E2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20</w:t>
            </w:r>
          </w:p>
        </w:tc>
        <w:tc>
          <w:tcPr>
            <w:tcW w:w="840" w:type="pct"/>
            <w:hideMark/>
          </w:tcPr>
          <w:p w14:paraId="73984117" w14:textId="1BC09B9B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29</w:t>
            </w:r>
          </w:p>
        </w:tc>
        <w:tc>
          <w:tcPr>
            <w:tcW w:w="840" w:type="pct"/>
            <w:vMerge w:val="restart"/>
            <w:hideMark/>
          </w:tcPr>
          <w:p w14:paraId="33061242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---</w:t>
            </w:r>
          </w:p>
        </w:tc>
        <w:tc>
          <w:tcPr>
            <w:tcW w:w="839" w:type="pct"/>
            <w:hideMark/>
          </w:tcPr>
          <w:p w14:paraId="47AE1B16" w14:textId="1B1CB501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Raised TnI: 63</w:t>
            </w:r>
          </w:p>
        </w:tc>
      </w:tr>
      <w:tr w:rsidR="0090616C" w:rsidRPr="00AC44BE" w14:paraId="66AC6A7E" w14:textId="77777777" w:rsidTr="0090616C">
        <w:trPr>
          <w:trHeight w:val="927"/>
        </w:trPr>
        <w:tc>
          <w:tcPr>
            <w:tcW w:w="806" w:type="pct"/>
            <w:vMerge/>
          </w:tcPr>
          <w:p w14:paraId="0DB60EF2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794" w:type="pct"/>
            <w:vMerge/>
          </w:tcPr>
          <w:p w14:paraId="1C680FDD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880" w:type="pct"/>
          </w:tcPr>
          <w:p w14:paraId="5F3562BB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5</w:t>
            </w:r>
          </w:p>
        </w:tc>
        <w:tc>
          <w:tcPr>
            <w:tcW w:w="840" w:type="pct"/>
          </w:tcPr>
          <w:p w14:paraId="1E198AC9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10</w:t>
            </w:r>
          </w:p>
        </w:tc>
        <w:tc>
          <w:tcPr>
            <w:tcW w:w="840" w:type="pct"/>
            <w:vMerge/>
          </w:tcPr>
          <w:p w14:paraId="54EDF53E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839" w:type="pct"/>
          </w:tcPr>
          <w:p w14:paraId="47E63C84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Normal TnI: 25</w:t>
            </w:r>
          </w:p>
        </w:tc>
      </w:tr>
    </w:tbl>
    <w:p w14:paraId="4BD424EE" w14:textId="4BEBD3B3" w:rsidR="002268C9" w:rsidRPr="00AC44BE" w:rsidRDefault="00BA6DB1" w:rsidP="00BA6DB1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color w:val="000000"/>
        </w:rPr>
      </w:pPr>
      <w:r w:rsidRPr="00AC44BE">
        <w:rPr>
          <w:rFonts w:ascii="Book Antiqua" w:eastAsia="Calibri" w:hAnsi="Book Antiqua"/>
          <w:color w:val="000000"/>
        </w:rPr>
        <w:t xml:space="preserve"> </w:t>
      </w:r>
    </w:p>
    <w:p w14:paraId="2499A065" w14:textId="230EBA38" w:rsidR="002268C9" w:rsidRPr="00AC44BE" w:rsidRDefault="002268C9" w:rsidP="00BA6DB1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b/>
          <w:bCs/>
          <w:color w:val="000000"/>
        </w:rPr>
      </w:pPr>
      <w:r w:rsidRPr="00AC44BE">
        <w:rPr>
          <w:rFonts w:ascii="Book Antiqua" w:eastAsia="Calibri" w:hAnsi="Book Antiqua"/>
          <w:color w:val="000000"/>
        </w:rPr>
        <w:br w:type="page"/>
      </w:r>
      <w:r w:rsidRPr="00AC44BE">
        <w:rPr>
          <w:rFonts w:ascii="Book Antiqua" w:eastAsia="Calibri" w:hAnsi="Book Antiqua"/>
          <w:b/>
          <w:bCs/>
          <w:color w:val="000000"/>
        </w:rPr>
        <w:lastRenderedPageBreak/>
        <w:t>Table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3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The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baseline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details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of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studies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included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in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our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meta-analysis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considering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the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survived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and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non-survived</w:t>
      </w:r>
      <w:r w:rsidR="00BA6DB1" w:rsidRPr="00AC44BE">
        <w:rPr>
          <w:rFonts w:ascii="Book Antiqua" w:eastAsia="Calibri" w:hAnsi="Book Antiqua"/>
          <w:b/>
          <w:bCs/>
          <w:color w:val="000000"/>
        </w:rPr>
        <w:t xml:space="preserve"> </w:t>
      </w:r>
      <w:r w:rsidRPr="00AC44BE">
        <w:rPr>
          <w:rFonts w:ascii="Book Antiqua" w:eastAsia="Calibri" w:hAnsi="Book Antiqua"/>
          <w:b/>
          <w:bCs/>
          <w:color w:val="000000"/>
        </w:rPr>
        <w:t>groups</w:t>
      </w:r>
    </w:p>
    <w:tbl>
      <w:tblPr>
        <w:tblStyle w:val="ab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1"/>
        <w:gridCol w:w="1215"/>
        <w:gridCol w:w="1808"/>
        <w:gridCol w:w="844"/>
        <w:gridCol w:w="1595"/>
        <w:gridCol w:w="2647"/>
      </w:tblGrid>
      <w:tr w:rsidR="002268C9" w:rsidRPr="00AC44BE" w14:paraId="66A6796B" w14:textId="77777777" w:rsidTr="0090616C">
        <w:tc>
          <w:tcPr>
            <w:tcW w:w="66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4AB05AE" w14:textId="06093DBC" w:rsidR="002268C9" w:rsidRPr="00AC44BE" w:rsidRDefault="00415F4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Ref.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005A686" w14:textId="43773D0B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Country</w:t>
            </w:r>
            <w:r w:rsidR="00BA6DB1" w:rsidRPr="00AC44BE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3D23301" w14:textId="17358AF9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Population</w:t>
            </w:r>
            <w:r w:rsidR="00BA6DB1" w:rsidRPr="00AC44BE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1FB7C6B" w14:textId="1FDE464F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Mean</w:t>
            </w:r>
            <w:r w:rsidR="00BA6DB1" w:rsidRPr="00AC44BE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age</w:t>
            </w:r>
          </w:p>
        </w:tc>
        <w:tc>
          <w:tcPr>
            <w:tcW w:w="85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7E0BA30" w14:textId="3CF6A09D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Male/</w:t>
            </w:r>
            <w:r w:rsidR="00BA6DB1" w:rsidRPr="00AC44BE">
              <w:rPr>
                <w:rFonts w:ascii="Book Antiqua" w:eastAsiaTheme="minorEastAsia" w:hAnsi="Book Antiqua"/>
                <w:b/>
                <w:bCs/>
                <w:color w:val="000000"/>
              </w:rPr>
              <w:t>f</w:t>
            </w: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emale</w:t>
            </w:r>
          </w:p>
        </w:tc>
        <w:tc>
          <w:tcPr>
            <w:tcW w:w="141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3538872" w14:textId="70DAA5F3" w:rsidR="002268C9" w:rsidRPr="00AC44BE" w:rsidRDefault="002268C9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  <w:color w:val="000000"/>
              </w:rPr>
            </w:pP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Mean</w:t>
            </w:r>
            <w:r w:rsidR="00BA6DB1" w:rsidRPr="00AC44BE">
              <w:rPr>
                <w:rFonts w:ascii="Book Antiqua" w:eastAsia="Calibri" w:hAnsi="Book Antiqua"/>
                <w:b/>
                <w:bCs/>
                <w:color w:val="000000"/>
              </w:rPr>
              <w:t xml:space="preserve"> </w:t>
            </w:r>
            <w:r w:rsidRPr="00AC44BE">
              <w:rPr>
                <w:rFonts w:ascii="Book Antiqua" w:eastAsia="Calibri" w:hAnsi="Book Antiqua"/>
                <w:b/>
                <w:bCs/>
                <w:color w:val="000000"/>
              </w:rPr>
              <w:t>TnI</w:t>
            </w:r>
          </w:p>
        </w:tc>
      </w:tr>
      <w:tr w:rsidR="0090616C" w:rsidRPr="00AC44BE" w14:paraId="6EE7B4A0" w14:textId="77777777" w:rsidTr="0090616C">
        <w:trPr>
          <w:trHeight w:val="814"/>
        </w:trPr>
        <w:tc>
          <w:tcPr>
            <w:tcW w:w="668" w:type="pct"/>
            <w:vMerge w:val="restart"/>
            <w:tcBorders>
              <w:top w:val="single" w:sz="4" w:space="0" w:color="auto"/>
            </w:tcBorders>
            <w:hideMark/>
          </w:tcPr>
          <w:p w14:paraId="1B8CEF64" w14:textId="58625B0F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Aladağ and Atabey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[27]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</w:tcBorders>
            <w:hideMark/>
          </w:tcPr>
          <w:p w14:paraId="08C889ED" w14:textId="148FF21C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Turkey </w:t>
            </w:r>
          </w:p>
        </w:tc>
        <w:tc>
          <w:tcPr>
            <w:tcW w:w="966" w:type="pct"/>
            <w:tcBorders>
              <w:top w:val="single" w:sz="4" w:space="0" w:color="auto"/>
            </w:tcBorders>
            <w:hideMark/>
          </w:tcPr>
          <w:p w14:paraId="105FFE3A" w14:textId="6C8E129C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Survived: 35</w:t>
            </w:r>
          </w:p>
          <w:p w14:paraId="4DA8A23A" w14:textId="70D5117C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  <w:hideMark/>
          </w:tcPr>
          <w:p w14:paraId="7F17E6EE" w14:textId="5DD8946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68 ± 14</w:t>
            </w:r>
          </w:p>
        </w:tc>
        <w:tc>
          <w:tcPr>
            <w:tcW w:w="852" w:type="pct"/>
            <w:tcBorders>
              <w:top w:val="single" w:sz="4" w:space="0" w:color="auto"/>
            </w:tcBorders>
            <w:hideMark/>
          </w:tcPr>
          <w:p w14:paraId="530329D4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22/13</w:t>
            </w:r>
          </w:p>
          <w:p w14:paraId="3B687D1D" w14:textId="2AE2FC6D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1414" w:type="pct"/>
            <w:tcBorders>
              <w:top w:val="single" w:sz="4" w:space="0" w:color="auto"/>
            </w:tcBorders>
            <w:hideMark/>
          </w:tcPr>
          <w:p w14:paraId="06E088AB" w14:textId="31D97259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Survived: 0.001 ng/mL</w:t>
            </w:r>
          </w:p>
        </w:tc>
      </w:tr>
      <w:tr w:rsidR="0090616C" w:rsidRPr="00AC44BE" w14:paraId="6DD267EE" w14:textId="77777777" w:rsidTr="0090616C">
        <w:trPr>
          <w:trHeight w:val="977"/>
        </w:trPr>
        <w:tc>
          <w:tcPr>
            <w:tcW w:w="668" w:type="pct"/>
            <w:vMerge/>
          </w:tcPr>
          <w:p w14:paraId="7E7035C8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649" w:type="pct"/>
            <w:vMerge/>
          </w:tcPr>
          <w:p w14:paraId="31CC25EE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966" w:type="pct"/>
          </w:tcPr>
          <w:p w14:paraId="7FD7E111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Non-survived: 15</w:t>
            </w:r>
          </w:p>
        </w:tc>
        <w:tc>
          <w:tcPr>
            <w:tcW w:w="451" w:type="pct"/>
          </w:tcPr>
          <w:p w14:paraId="17E23F91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68 ± 15</w:t>
            </w:r>
          </w:p>
        </w:tc>
        <w:tc>
          <w:tcPr>
            <w:tcW w:w="852" w:type="pct"/>
          </w:tcPr>
          <w:p w14:paraId="5DAD50DA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6/9</w:t>
            </w:r>
          </w:p>
        </w:tc>
        <w:tc>
          <w:tcPr>
            <w:tcW w:w="1414" w:type="pct"/>
          </w:tcPr>
          <w:p w14:paraId="5D03975B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Non-survived: 0.010 ng/mL</w:t>
            </w:r>
          </w:p>
        </w:tc>
      </w:tr>
      <w:tr w:rsidR="0090616C" w:rsidRPr="00AC44BE" w14:paraId="0BEBBD70" w14:textId="77777777" w:rsidTr="0090616C">
        <w:trPr>
          <w:trHeight w:val="839"/>
        </w:trPr>
        <w:tc>
          <w:tcPr>
            <w:tcW w:w="668" w:type="pct"/>
            <w:vMerge w:val="restart"/>
            <w:hideMark/>
          </w:tcPr>
          <w:p w14:paraId="4A095A48" w14:textId="1AB2C023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Deng </w:t>
            </w:r>
            <w:r w:rsidRPr="00AC44BE">
              <w:rPr>
                <w:rFonts w:ascii="Book Antiqua" w:hAnsi="Book Antiqua"/>
                <w:i/>
                <w:color w:val="000000"/>
              </w:rPr>
              <w:t>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[28]</w:t>
            </w:r>
          </w:p>
        </w:tc>
        <w:tc>
          <w:tcPr>
            <w:tcW w:w="649" w:type="pct"/>
            <w:vMerge w:val="restart"/>
            <w:hideMark/>
          </w:tcPr>
          <w:p w14:paraId="63D9553E" w14:textId="4C8066BA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China </w:t>
            </w:r>
          </w:p>
        </w:tc>
        <w:tc>
          <w:tcPr>
            <w:tcW w:w="966" w:type="pct"/>
            <w:hideMark/>
          </w:tcPr>
          <w:p w14:paraId="23A82A9B" w14:textId="797364B6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Survived: 212</w:t>
            </w:r>
          </w:p>
          <w:p w14:paraId="05773230" w14:textId="15CEB6E6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451" w:type="pct"/>
            <w:hideMark/>
          </w:tcPr>
          <w:p w14:paraId="7B74B330" w14:textId="72057866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62 ± 11</w:t>
            </w:r>
          </w:p>
        </w:tc>
        <w:tc>
          <w:tcPr>
            <w:tcW w:w="852" w:type="pct"/>
            <w:hideMark/>
          </w:tcPr>
          <w:p w14:paraId="470B3904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97/115</w:t>
            </w:r>
          </w:p>
          <w:p w14:paraId="14971C9B" w14:textId="57AC75A6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1414" w:type="pct"/>
            <w:hideMark/>
          </w:tcPr>
          <w:p w14:paraId="6D4F07D1" w14:textId="1B2D0360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Survived: 0.006 ng/mL</w:t>
            </w:r>
          </w:p>
        </w:tc>
      </w:tr>
      <w:tr w:rsidR="0090616C" w:rsidRPr="00AC44BE" w14:paraId="10019C1A" w14:textId="77777777" w:rsidTr="0090616C">
        <w:trPr>
          <w:trHeight w:val="952"/>
        </w:trPr>
        <w:tc>
          <w:tcPr>
            <w:tcW w:w="668" w:type="pct"/>
            <w:vMerge/>
          </w:tcPr>
          <w:p w14:paraId="4B448700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649" w:type="pct"/>
            <w:vMerge/>
          </w:tcPr>
          <w:p w14:paraId="1EFBF806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966" w:type="pct"/>
          </w:tcPr>
          <w:p w14:paraId="4366BCAC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Non-survived: 52</w:t>
            </w:r>
          </w:p>
        </w:tc>
        <w:tc>
          <w:tcPr>
            <w:tcW w:w="451" w:type="pct"/>
          </w:tcPr>
          <w:p w14:paraId="5760D8B1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74 ± 15</w:t>
            </w:r>
          </w:p>
        </w:tc>
        <w:tc>
          <w:tcPr>
            <w:tcW w:w="852" w:type="pct"/>
          </w:tcPr>
          <w:p w14:paraId="3965DFB5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33/19</w:t>
            </w:r>
          </w:p>
        </w:tc>
        <w:tc>
          <w:tcPr>
            <w:tcW w:w="1414" w:type="pct"/>
          </w:tcPr>
          <w:p w14:paraId="144401B1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Non-survived: 0.051 ng/mL</w:t>
            </w:r>
          </w:p>
        </w:tc>
      </w:tr>
      <w:tr w:rsidR="0090616C" w:rsidRPr="00AC44BE" w14:paraId="7E46AE70" w14:textId="77777777" w:rsidTr="0090616C">
        <w:trPr>
          <w:trHeight w:val="814"/>
        </w:trPr>
        <w:tc>
          <w:tcPr>
            <w:tcW w:w="668" w:type="pct"/>
            <w:vMerge w:val="restart"/>
            <w:hideMark/>
          </w:tcPr>
          <w:p w14:paraId="6DCF235D" w14:textId="07865D8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Liberati </w:t>
            </w:r>
            <w:r w:rsidRPr="00AC44BE">
              <w:rPr>
                <w:rFonts w:ascii="Book Antiqua" w:hAnsi="Book Antiqua"/>
                <w:i/>
                <w:color w:val="000000"/>
              </w:rPr>
              <w:t>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[15]</w:t>
            </w:r>
          </w:p>
        </w:tc>
        <w:tc>
          <w:tcPr>
            <w:tcW w:w="649" w:type="pct"/>
            <w:vMerge w:val="restart"/>
            <w:hideMark/>
          </w:tcPr>
          <w:p w14:paraId="3E8C9109" w14:textId="57AD19D3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Italy </w:t>
            </w:r>
          </w:p>
        </w:tc>
        <w:tc>
          <w:tcPr>
            <w:tcW w:w="966" w:type="pct"/>
            <w:hideMark/>
          </w:tcPr>
          <w:p w14:paraId="31A4CFA0" w14:textId="5D948B05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Survived: 425</w:t>
            </w:r>
          </w:p>
          <w:p w14:paraId="1ABE004C" w14:textId="07877CD2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451" w:type="pct"/>
            <w:hideMark/>
          </w:tcPr>
          <w:p w14:paraId="4EFA8F8A" w14:textId="5E25C789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61 ± 13</w:t>
            </w:r>
          </w:p>
        </w:tc>
        <w:tc>
          <w:tcPr>
            <w:tcW w:w="852" w:type="pct"/>
            <w:hideMark/>
          </w:tcPr>
          <w:p w14:paraId="7D617460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287/138</w:t>
            </w:r>
          </w:p>
          <w:p w14:paraId="1EBA7F83" w14:textId="646C488F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1414" w:type="pct"/>
            <w:hideMark/>
          </w:tcPr>
          <w:p w14:paraId="562C585C" w14:textId="44522D62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Survived: 0.006 ng/mL</w:t>
            </w:r>
          </w:p>
        </w:tc>
      </w:tr>
      <w:tr w:rsidR="0090616C" w:rsidRPr="00AC44BE" w14:paraId="3061A025" w14:textId="77777777" w:rsidTr="0090616C">
        <w:trPr>
          <w:trHeight w:val="977"/>
        </w:trPr>
        <w:tc>
          <w:tcPr>
            <w:tcW w:w="668" w:type="pct"/>
            <w:vMerge/>
          </w:tcPr>
          <w:p w14:paraId="4BA9379F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649" w:type="pct"/>
            <w:vMerge/>
          </w:tcPr>
          <w:p w14:paraId="35C7B75D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966" w:type="pct"/>
          </w:tcPr>
          <w:p w14:paraId="49D23424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Non-survived: 98</w:t>
            </w:r>
          </w:p>
        </w:tc>
        <w:tc>
          <w:tcPr>
            <w:tcW w:w="451" w:type="pct"/>
          </w:tcPr>
          <w:p w14:paraId="20271C40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76 ± 10</w:t>
            </w:r>
          </w:p>
        </w:tc>
        <w:tc>
          <w:tcPr>
            <w:tcW w:w="852" w:type="pct"/>
          </w:tcPr>
          <w:p w14:paraId="17738E8E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68/30</w:t>
            </w:r>
          </w:p>
        </w:tc>
        <w:tc>
          <w:tcPr>
            <w:tcW w:w="1414" w:type="pct"/>
          </w:tcPr>
          <w:p w14:paraId="4730A61E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Non-survived: 0.036 ng/mL</w:t>
            </w:r>
          </w:p>
        </w:tc>
      </w:tr>
      <w:tr w:rsidR="0090616C" w:rsidRPr="00AC44BE" w14:paraId="43953C32" w14:textId="77777777" w:rsidTr="0090616C">
        <w:trPr>
          <w:trHeight w:val="877"/>
        </w:trPr>
        <w:tc>
          <w:tcPr>
            <w:tcW w:w="668" w:type="pct"/>
            <w:vMerge w:val="restart"/>
            <w:hideMark/>
          </w:tcPr>
          <w:p w14:paraId="789F09E7" w14:textId="7CB752B1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Nie </w:t>
            </w:r>
            <w:r w:rsidRPr="00AC44BE">
              <w:rPr>
                <w:rFonts w:ascii="Book Antiqua" w:hAnsi="Book Antiqua"/>
                <w:i/>
                <w:color w:val="000000"/>
              </w:rPr>
              <w:t>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[29]</w:t>
            </w:r>
          </w:p>
        </w:tc>
        <w:tc>
          <w:tcPr>
            <w:tcW w:w="649" w:type="pct"/>
            <w:vMerge w:val="restart"/>
            <w:hideMark/>
          </w:tcPr>
          <w:p w14:paraId="084BCFA5" w14:textId="44837D18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China </w:t>
            </w:r>
          </w:p>
        </w:tc>
        <w:tc>
          <w:tcPr>
            <w:tcW w:w="966" w:type="pct"/>
            <w:hideMark/>
          </w:tcPr>
          <w:p w14:paraId="5F698FA2" w14:textId="04065DAF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Survived: 200</w:t>
            </w:r>
          </w:p>
          <w:p w14:paraId="6FB81782" w14:textId="69E5B63B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451" w:type="pct"/>
            <w:hideMark/>
          </w:tcPr>
          <w:p w14:paraId="11FBC859" w14:textId="65A7CA38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60 ± 11</w:t>
            </w:r>
          </w:p>
        </w:tc>
        <w:tc>
          <w:tcPr>
            <w:tcW w:w="852" w:type="pct"/>
            <w:hideMark/>
          </w:tcPr>
          <w:p w14:paraId="0341C046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180/20</w:t>
            </w:r>
          </w:p>
          <w:p w14:paraId="0C79EAEA" w14:textId="5B5C6EB0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1414" w:type="pct"/>
            <w:hideMark/>
          </w:tcPr>
          <w:p w14:paraId="7784FAC4" w14:textId="772C4F56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Survived: 0.002 ng/mL</w:t>
            </w:r>
          </w:p>
        </w:tc>
      </w:tr>
      <w:tr w:rsidR="0090616C" w:rsidRPr="00AC44BE" w14:paraId="60B39448" w14:textId="77777777" w:rsidTr="0090616C">
        <w:trPr>
          <w:trHeight w:val="914"/>
        </w:trPr>
        <w:tc>
          <w:tcPr>
            <w:tcW w:w="668" w:type="pct"/>
            <w:vMerge/>
          </w:tcPr>
          <w:p w14:paraId="0A82A9C0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649" w:type="pct"/>
            <w:vMerge/>
          </w:tcPr>
          <w:p w14:paraId="51B6DC0D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966" w:type="pct"/>
          </w:tcPr>
          <w:p w14:paraId="6F24CC7D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Non-survived: 111</w:t>
            </w:r>
          </w:p>
        </w:tc>
        <w:tc>
          <w:tcPr>
            <w:tcW w:w="451" w:type="pct"/>
          </w:tcPr>
          <w:p w14:paraId="71C5DB95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72 ± 12</w:t>
            </w:r>
          </w:p>
        </w:tc>
        <w:tc>
          <w:tcPr>
            <w:tcW w:w="852" w:type="pct"/>
          </w:tcPr>
          <w:p w14:paraId="4E85CCDA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88/23</w:t>
            </w:r>
          </w:p>
        </w:tc>
        <w:tc>
          <w:tcPr>
            <w:tcW w:w="1414" w:type="pct"/>
          </w:tcPr>
          <w:p w14:paraId="7E10AC6C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Non-survived: 0.032 ng/mL</w:t>
            </w:r>
          </w:p>
        </w:tc>
      </w:tr>
      <w:tr w:rsidR="0090616C" w:rsidRPr="00AC44BE" w14:paraId="68D9CECA" w14:textId="77777777" w:rsidTr="0090616C">
        <w:trPr>
          <w:trHeight w:val="739"/>
        </w:trPr>
        <w:tc>
          <w:tcPr>
            <w:tcW w:w="668" w:type="pct"/>
            <w:vMerge w:val="restart"/>
            <w:hideMark/>
          </w:tcPr>
          <w:p w14:paraId="4F3321E8" w14:textId="1CA4BFCD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Rath </w:t>
            </w:r>
            <w:r w:rsidRPr="00AC44BE">
              <w:rPr>
                <w:rFonts w:ascii="Book Antiqua" w:hAnsi="Book Antiqua"/>
                <w:i/>
                <w:color w:val="000000"/>
              </w:rPr>
              <w:t>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[30]</w:t>
            </w:r>
          </w:p>
        </w:tc>
        <w:tc>
          <w:tcPr>
            <w:tcW w:w="649" w:type="pct"/>
            <w:vMerge w:val="restart"/>
            <w:hideMark/>
          </w:tcPr>
          <w:p w14:paraId="77A88FA7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Germany</w:t>
            </w:r>
          </w:p>
        </w:tc>
        <w:tc>
          <w:tcPr>
            <w:tcW w:w="966" w:type="pct"/>
            <w:hideMark/>
          </w:tcPr>
          <w:p w14:paraId="189BF9B9" w14:textId="0EC828D4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Survived: 107</w:t>
            </w:r>
          </w:p>
          <w:p w14:paraId="32C7F205" w14:textId="08B0276F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451" w:type="pct"/>
            <w:hideMark/>
          </w:tcPr>
          <w:p w14:paraId="7AEA1E70" w14:textId="02D8422A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67 ± 15</w:t>
            </w:r>
          </w:p>
        </w:tc>
        <w:tc>
          <w:tcPr>
            <w:tcW w:w="852" w:type="pct"/>
            <w:hideMark/>
          </w:tcPr>
          <w:p w14:paraId="029EA83A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65/42</w:t>
            </w:r>
          </w:p>
          <w:p w14:paraId="1BA85E2A" w14:textId="5D1EC716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1414" w:type="pct"/>
            <w:hideMark/>
          </w:tcPr>
          <w:p w14:paraId="2531215E" w14:textId="67F9AD44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 xml:space="preserve">Survived: 0.014 ng/mL </w:t>
            </w:r>
          </w:p>
        </w:tc>
      </w:tr>
      <w:tr w:rsidR="0090616C" w:rsidRPr="00AC44BE" w14:paraId="5E5F8671" w14:textId="77777777" w:rsidTr="0090616C">
        <w:trPr>
          <w:trHeight w:val="1052"/>
        </w:trPr>
        <w:tc>
          <w:tcPr>
            <w:tcW w:w="668" w:type="pct"/>
            <w:vMerge/>
          </w:tcPr>
          <w:p w14:paraId="6B8B44FE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649" w:type="pct"/>
            <w:vMerge/>
          </w:tcPr>
          <w:p w14:paraId="58E2BF14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966" w:type="pct"/>
          </w:tcPr>
          <w:p w14:paraId="0DC95762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Non-survived: 16</w:t>
            </w:r>
          </w:p>
        </w:tc>
        <w:tc>
          <w:tcPr>
            <w:tcW w:w="451" w:type="pct"/>
          </w:tcPr>
          <w:p w14:paraId="0029FA69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73 ± 16</w:t>
            </w:r>
          </w:p>
        </w:tc>
        <w:tc>
          <w:tcPr>
            <w:tcW w:w="852" w:type="pct"/>
          </w:tcPr>
          <w:p w14:paraId="65783D46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12/4</w:t>
            </w:r>
          </w:p>
        </w:tc>
        <w:tc>
          <w:tcPr>
            <w:tcW w:w="1414" w:type="pct"/>
          </w:tcPr>
          <w:p w14:paraId="50D389EF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Non-survived: 0.024 ng/mL</w:t>
            </w:r>
          </w:p>
        </w:tc>
      </w:tr>
      <w:tr w:rsidR="0090616C" w:rsidRPr="00AC44BE" w14:paraId="1D2B9843" w14:textId="77777777" w:rsidTr="0090616C">
        <w:trPr>
          <w:trHeight w:val="802"/>
        </w:trPr>
        <w:tc>
          <w:tcPr>
            <w:tcW w:w="668" w:type="pct"/>
            <w:vMerge w:val="restart"/>
            <w:hideMark/>
          </w:tcPr>
          <w:p w14:paraId="06DF0BB4" w14:textId="3DE35963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Shi</w:t>
            </w:r>
            <w:r w:rsidRPr="00AC44BE">
              <w:rPr>
                <w:rFonts w:ascii="Book Antiqua" w:hAnsi="Book Antiqua"/>
                <w:i/>
                <w:color w:val="000000"/>
              </w:rPr>
              <w:t xml:space="preserve"> 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[31]</w:t>
            </w:r>
          </w:p>
        </w:tc>
        <w:tc>
          <w:tcPr>
            <w:tcW w:w="649" w:type="pct"/>
            <w:vMerge w:val="restart"/>
            <w:hideMark/>
          </w:tcPr>
          <w:p w14:paraId="35D0B695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China</w:t>
            </w:r>
          </w:p>
        </w:tc>
        <w:tc>
          <w:tcPr>
            <w:tcW w:w="966" w:type="pct"/>
            <w:hideMark/>
          </w:tcPr>
          <w:p w14:paraId="22F942D4" w14:textId="64A70452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Survived: 609</w:t>
            </w:r>
          </w:p>
          <w:p w14:paraId="4F858A8B" w14:textId="251BB5BE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451" w:type="pct"/>
            <w:hideMark/>
          </w:tcPr>
          <w:p w14:paraId="736F3EB4" w14:textId="4289B864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61 ± 13</w:t>
            </w:r>
          </w:p>
        </w:tc>
        <w:tc>
          <w:tcPr>
            <w:tcW w:w="852" w:type="pct"/>
            <w:hideMark/>
          </w:tcPr>
          <w:p w14:paraId="0DC57927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287/322</w:t>
            </w:r>
          </w:p>
          <w:p w14:paraId="6BC58716" w14:textId="4F15E8AD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1414" w:type="pct"/>
            <w:hideMark/>
          </w:tcPr>
          <w:p w14:paraId="03A2F207" w14:textId="4478A92A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Survived: 0.006 ng/mL</w:t>
            </w:r>
          </w:p>
        </w:tc>
      </w:tr>
      <w:tr w:rsidR="0090616C" w:rsidRPr="00AC44BE" w14:paraId="088D293A" w14:textId="77777777" w:rsidTr="0090616C">
        <w:trPr>
          <w:trHeight w:val="538"/>
        </w:trPr>
        <w:tc>
          <w:tcPr>
            <w:tcW w:w="668" w:type="pct"/>
            <w:vMerge/>
          </w:tcPr>
          <w:p w14:paraId="70158228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649" w:type="pct"/>
            <w:vMerge/>
          </w:tcPr>
          <w:p w14:paraId="042F1CDD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966" w:type="pct"/>
          </w:tcPr>
          <w:p w14:paraId="1E730628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Non-survived: 62</w:t>
            </w:r>
          </w:p>
        </w:tc>
        <w:tc>
          <w:tcPr>
            <w:tcW w:w="451" w:type="pct"/>
          </w:tcPr>
          <w:p w14:paraId="3DBFE507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74 ± 15</w:t>
            </w:r>
          </w:p>
        </w:tc>
        <w:tc>
          <w:tcPr>
            <w:tcW w:w="852" w:type="pct"/>
          </w:tcPr>
          <w:p w14:paraId="05C215BD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35/27</w:t>
            </w:r>
          </w:p>
        </w:tc>
        <w:tc>
          <w:tcPr>
            <w:tcW w:w="1414" w:type="pct"/>
          </w:tcPr>
          <w:p w14:paraId="01C89F1F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Non-survived: 0.023 ng/mL</w:t>
            </w:r>
          </w:p>
        </w:tc>
      </w:tr>
      <w:tr w:rsidR="0090616C" w:rsidRPr="00BA6DB1" w14:paraId="7622ECE1" w14:textId="77777777" w:rsidTr="0090616C">
        <w:trPr>
          <w:trHeight w:val="814"/>
        </w:trPr>
        <w:tc>
          <w:tcPr>
            <w:tcW w:w="668" w:type="pct"/>
            <w:vMerge w:val="restart"/>
            <w:hideMark/>
          </w:tcPr>
          <w:p w14:paraId="2C7D1224" w14:textId="71B06C6C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lastRenderedPageBreak/>
              <w:t>Yang</w:t>
            </w:r>
            <w:r w:rsidRPr="00AC44BE">
              <w:rPr>
                <w:rFonts w:ascii="Book Antiqua" w:hAnsi="Book Antiqua"/>
                <w:i/>
                <w:color w:val="000000"/>
              </w:rPr>
              <w:t xml:space="preserve"> et al</w:t>
            </w:r>
            <w:r w:rsidRPr="00AC44BE">
              <w:rPr>
                <w:rFonts w:ascii="Book Antiqua" w:hAnsi="Book Antiqua"/>
                <w:color w:val="000000"/>
                <w:vertAlign w:val="superscript"/>
              </w:rPr>
              <w:t>[32]</w:t>
            </w:r>
          </w:p>
        </w:tc>
        <w:tc>
          <w:tcPr>
            <w:tcW w:w="649" w:type="pct"/>
            <w:vMerge w:val="restart"/>
            <w:hideMark/>
          </w:tcPr>
          <w:p w14:paraId="552DB3B6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China</w:t>
            </w:r>
          </w:p>
        </w:tc>
        <w:tc>
          <w:tcPr>
            <w:tcW w:w="966" w:type="pct"/>
            <w:hideMark/>
          </w:tcPr>
          <w:p w14:paraId="555435A4" w14:textId="5CBF69CD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Survived: 145</w:t>
            </w:r>
          </w:p>
          <w:p w14:paraId="1A9ABD55" w14:textId="017BD290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451" w:type="pct"/>
            <w:hideMark/>
          </w:tcPr>
          <w:p w14:paraId="5D9DCE20" w14:textId="59D5FEC8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57 ± 13</w:t>
            </w:r>
          </w:p>
        </w:tc>
        <w:tc>
          <w:tcPr>
            <w:tcW w:w="852" w:type="pct"/>
            <w:hideMark/>
          </w:tcPr>
          <w:p w14:paraId="09F9940B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77/68</w:t>
            </w:r>
          </w:p>
          <w:p w14:paraId="46B12B7C" w14:textId="1AC41856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1414" w:type="pct"/>
            <w:hideMark/>
          </w:tcPr>
          <w:p w14:paraId="015D5F70" w14:textId="1E898F51" w:rsidR="0090616C" w:rsidRPr="00BA6DB1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Survived: 0.004 ng/mL</w:t>
            </w:r>
          </w:p>
        </w:tc>
      </w:tr>
      <w:tr w:rsidR="0090616C" w:rsidRPr="00BA6DB1" w14:paraId="71A4A272" w14:textId="77777777" w:rsidTr="0090616C">
        <w:trPr>
          <w:trHeight w:val="977"/>
        </w:trPr>
        <w:tc>
          <w:tcPr>
            <w:tcW w:w="668" w:type="pct"/>
            <w:vMerge/>
          </w:tcPr>
          <w:p w14:paraId="55A6874E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649" w:type="pct"/>
            <w:vMerge/>
          </w:tcPr>
          <w:p w14:paraId="70A1A8BB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</w:p>
        </w:tc>
        <w:tc>
          <w:tcPr>
            <w:tcW w:w="966" w:type="pct"/>
          </w:tcPr>
          <w:p w14:paraId="04D2EF45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Non-survived: 58</w:t>
            </w:r>
          </w:p>
        </w:tc>
        <w:tc>
          <w:tcPr>
            <w:tcW w:w="451" w:type="pct"/>
          </w:tcPr>
          <w:p w14:paraId="2B31DBBF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67 ± 15</w:t>
            </w:r>
          </w:p>
        </w:tc>
        <w:tc>
          <w:tcPr>
            <w:tcW w:w="852" w:type="pct"/>
          </w:tcPr>
          <w:p w14:paraId="32C7F246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38/20</w:t>
            </w:r>
          </w:p>
        </w:tc>
        <w:tc>
          <w:tcPr>
            <w:tcW w:w="1414" w:type="pct"/>
          </w:tcPr>
          <w:p w14:paraId="3BA630A3" w14:textId="77777777" w:rsidR="0090616C" w:rsidRPr="00AC44BE" w:rsidRDefault="0090616C" w:rsidP="00BA6DB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color w:val="000000"/>
              </w:rPr>
            </w:pPr>
            <w:r w:rsidRPr="00AC44BE">
              <w:rPr>
                <w:rFonts w:ascii="Book Antiqua" w:eastAsia="Calibri" w:hAnsi="Book Antiqua"/>
                <w:color w:val="000000"/>
              </w:rPr>
              <w:t>Non-survived: 0.020 ng/mL</w:t>
            </w:r>
          </w:p>
        </w:tc>
      </w:tr>
    </w:tbl>
    <w:p w14:paraId="785FD17E" w14:textId="2C358286" w:rsidR="000C43A5" w:rsidRDefault="000C43A5" w:rsidP="00BA6DB1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color w:val="000000"/>
        </w:rPr>
      </w:pPr>
    </w:p>
    <w:p w14:paraId="1BDD0A8D" w14:textId="77777777" w:rsidR="000C43A5" w:rsidRDefault="000C43A5">
      <w:pPr>
        <w:rPr>
          <w:rFonts w:ascii="Book Antiqua" w:eastAsia="Calibri" w:hAnsi="Book Antiqua"/>
          <w:color w:val="000000"/>
        </w:rPr>
      </w:pPr>
      <w:r>
        <w:rPr>
          <w:rFonts w:ascii="Book Antiqua" w:eastAsia="Calibri" w:hAnsi="Book Antiqua"/>
          <w:color w:val="000000"/>
        </w:rPr>
        <w:br w:type="page"/>
      </w:r>
    </w:p>
    <w:p w14:paraId="7AFEC712" w14:textId="77777777" w:rsidR="000C43A5" w:rsidRDefault="000C43A5" w:rsidP="000C43A5">
      <w:pPr>
        <w:jc w:val="center"/>
        <w:rPr>
          <w:rFonts w:ascii="Book Antiqua" w:hAnsi="Book Antiqua"/>
          <w:lang w:eastAsia="zh-CN"/>
        </w:rPr>
      </w:pPr>
    </w:p>
    <w:p w14:paraId="1B27F31B" w14:textId="77777777" w:rsidR="000C43A5" w:rsidRDefault="000C43A5" w:rsidP="000C43A5">
      <w:pPr>
        <w:jc w:val="center"/>
        <w:rPr>
          <w:rFonts w:ascii="Book Antiqua" w:hAnsi="Book Antiqua"/>
          <w:lang w:eastAsia="zh-CN"/>
        </w:rPr>
      </w:pPr>
    </w:p>
    <w:p w14:paraId="66A60622" w14:textId="77777777" w:rsidR="000C43A5" w:rsidRDefault="000C43A5" w:rsidP="000C43A5">
      <w:pPr>
        <w:jc w:val="center"/>
        <w:rPr>
          <w:rFonts w:ascii="Book Antiqua" w:hAnsi="Book Antiqua"/>
          <w:lang w:eastAsia="zh-CN"/>
        </w:rPr>
      </w:pPr>
    </w:p>
    <w:p w14:paraId="0A463074" w14:textId="77777777" w:rsidR="000C43A5" w:rsidRDefault="000C43A5" w:rsidP="000C43A5">
      <w:pPr>
        <w:jc w:val="center"/>
        <w:rPr>
          <w:rFonts w:ascii="Book Antiqua" w:hAnsi="Book Antiqua"/>
          <w:lang w:eastAsia="zh-CN"/>
        </w:rPr>
      </w:pPr>
    </w:p>
    <w:p w14:paraId="41BD8D69" w14:textId="77777777" w:rsidR="000C43A5" w:rsidRDefault="000C43A5" w:rsidP="000C43A5">
      <w:pPr>
        <w:jc w:val="center"/>
        <w:rPr>
          <w:rFonts w:ascii="Book Antiqua" w:hAnsi="Book Antiqua"/>
          <w:lang w:eastAsia="zh-CN"/>
        </w:rPr>
      </w:pPr>
    </w:p>
    <w:p w14:paraId="1FE6C29F" w14:textId="7D8A81B8" w:rsidR="000C43A5" w:rsidRDefault="000C43A5" w:rsidP="000C43A5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49D8B51C" wp14:editId="08AD5B0C">
            <wp:extent cx="2493645" cy="1440815"/>
            <wp:effectExtent l="0" t="0" r="1905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C5208E" w14:textId="77777777" w:rsidR="000C43A5" w:rsidRDefault="000C43A5" w:rsidP="000C43A5">
      <w:pPr>
        <w:jc w:val="center"/>
        <w:rPr>
          <w:rFonts w:ascii="Book Antiqua" w:hAnsi="Book Antiqua"/>
          <w:lang w:eastAsia="zh-CN"/>
        </w:rPr>
      </w:pPr>
    </w:p>
    <w:p w14:paraId="0F7EDCC7" w14:textId="77777777" w:rsidR="000C43A5" w:rsidRDefault="000C43A5" w:rsidP="000C43A5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10E87512" w14:textId="77777777" w:rsidR="000C43A5" w:rsidRDefault="000C43A5" w:rsidP="000C43A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0DFDE8C" w14:textId="77777777" w:rsidR="000C43A5" w:rsidRDefault="000C43A5" w:rsidP="000C43A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76984BD" w14:textId="77777777" w:rsidR="000C43A5" w:rsidRDefault="000C43A5" w:rsidP="000C43A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616255E" w14:textId="77777777" w:rsidR="000C43A5" w:rsidRDefault="000C43A5" w:rsidP="000C43A5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AA477C4" w14:textId="77777777" w:rsidR="000C43A5" w:rsidRDefault="000C43A5" w:rsidP="000C43A5">
      <w:pPr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02937445" w14:textId="77777777" w:rsidR="000C43A5" w:rsidRDefault="000C43A5" w:rsidP="000C43A5">
      <w:pPr>
        <w:jc w:val="center"/>
        <w:rPr>
          <w:rFonts w:ascii="Book Antiqua" w:hAnsi="Book Antiqua"/>
          <w:lang w:eastAsia="zh-CN"/>
        </w:rPr>
      </w:pPr>
    </w:p>
    <w:p w14:paraId="6DE03B47" w14:textId="77777777" w:rsidR="000C43A5" w:rsidRDefault="000C43A5" w:rsidP="000C43A5">
      <w:pPr>
        <w:jc w:val="center"/>
        <w:rPr>
          <w:rFonts w:ascii="Book Antiqua" w:hAnsi="Book Antiqua"/>
          <w:lang w:eastAsia="zh-CN"/>
        </w:rPr>
      </w:pPr>
    </w:p>
    <w:p w14:paraId="4E4F062F" w14:textId="77777777" w:rsidR="000C43A5" w:rsidRDefault="000C43A5" w:rsidP="000C43A5">
      <w:pPr>
        <w:jc w:val="center"/>
        <w:rPr>
          <w:rFonts w:ascii="Book Antiqua" w:hAnsi="Book Antiqua"/>
          <w:lang w:eastAsia="zh-CN"/>
        </w:rPr>
      </w:pPr>
    </w:p>
    <w:p w14:paraId="48AD1F80" w14:textId="6000456D" w:rsidR="000C43A5" w:rsidRDefault="000C43A5" w:rsidP="000C43A5">
      <w:pPr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19A8C79E" wp14:editId="1FF39DFA">
            <wp:extent cx="1447800" cy="1440815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9E56F4" w14:textId="77777777" w:rsidR="000C43A5" w:rsidRDefault="000C43A5" w:rsidP="000C43A5">
      <w:pPr>
        <w:jc w:val="center"/>
        <w:rPr>
          <w:rFonts w:ascii="Book Antiqua" w:hAnsi="Book Antiqua"/>
          <w:lang w:eastAsia="zh-CN"/>
        </w:rPr>
      </w:pPr>
    </w:p>
    <w:p w14:paraId="397AA63C" w14:textId="77777777" w:rsidR="000C43A5" w:rsidRDefault="000C43A5" w:rsidP="000C43A5">
      <w:pPr>
        <w:jc w:val="center"/>
        <w:rPr>
          <w:rFonts w:ascii="Book Antiqua" w:hAnsi="Book Antiqua"/>
          <w:lang w:eastAsia="zh-CN"/>
        </w:rPr>
      </w:pPr>
    </w:p>
    <w:p w14:paraId="31480C3D" w14:textId="77777777" w:rsidR="000C43A5" w:rsidRDefault="000C43A5" w:rsidP="000C43A5">
      <w:pPr>
        <w:jc w:val="center"/>
        <w:rPr>
          <w:rFonts w:ascii="Book Antiqua" w:hAnsi="Book Antiqua"/>
          <w:lang w:eastAsia="zh-CN"/>
        </w:rPr>
      </w:pPr>
    </w:p>
    <w:p w14:paraId="340A3BBB" w14:textId="77777777" w:rsidR="000C43A5" w:rsidRDefault="000C43A5" w:rsidP="000C43A5">
      <w:pPr>
        <w:jc w:val="center"/>
        <w:rPr>
          <w:rFonts w:ascii="Book Antiqua" w:hAnsi="Book Antiqua"/>
          <w:lang w:eastAsia="zh-CN"/>
        </w:rPr>
      </w:pPr>
    </w:p>
    <w:p w14:paraId="07A237EC" w14:textId="77777777" w:rsidR="000C43A5" w:rsidRDefault="000C43A5" w:rsidP="000C43A5">
      <w:pPr>
        <w:jc w:val="center"/>
        <w:rPr>
          <w:rFonts w:ascii="Book Antiqua" w:hAnsi="Book Antiqua"/>
          <w:lang w:eastAsia="zh-CN"/>
        </w:rPr>
      </w:pPr>
    </w:p>
    <w:p w14:paraId="75481B0B" w14:textId="77777777" w:rsidR="000C43A5" w:rsidRDefault="000C43A5" w:rsidP="000C43A5">
      <w:pPr>
        <w:jc w:val="center"/>
        <w:rPr>
          <w:rFonts w:ascii="Book Antiqua" w:hAnsi="Book Antiqua"/>
          <w:lang w:eastAsia="zh-CN"/>
        </w:rPr>
      </w:pPr>
    </w:p>
    <w:p w14:paraId="6A426BAE" w14:textId="77777777" w:rsidR="000C43A5" w:rsidRDefault="000C43A5" w:rsidP="000C43A5">
      <w:pPr>
        <w:jc w:val="center"/>
        <w:rPr>
          <w:rFonts w:ascii="Book Antiqua" w:hAnsi="Book Antiqua"/>
          <w:lang w:eastAsia="zh-CN"/>
        </w:rPr>
      </w:pPr>
    </w:p>
    <w:p w14:paraId="1129E7A0" w14:textId="77777777" w:rsidR="000C43A5" w:rsidRDefault="000C43A5" w:rsidP="000C43A5">
      <w:pPr>
        <w:jc w:val="center"/>
        <w:rPr>
          <w:rFonts w:ascii="Book Antiqua" w:hAnsi="Book Antiqua"/>
          <w:lang w:eastAsia="zh-CN"/>
        </w:rPr>
      </w:pPr>
    </w:p>
    <w:p w14:paraId="0FA7B0CE" w14:textId="77777777" w:rsidR="000C43A5" w:rsidRDefault="000C43A5" w:rsidP="000C43A5">
      <w:pPr>
        <w:jc w:val="center"/>
        <w:rPr>
          <w:rFonts w:ascii="Book Antiqua" w:hAnsi="Book Antiqua"/>
          <w:lang w:eastAsia="zh-CN"/>
        </w:rPr>
      </w:pPr>
    </w:p>
    <w:p w14:paraId="2F3693D9" w14:textId="77777777" w:rsidR="000C43A5" w:rsidRDefault="000C43A5" w:rsidP="000C43A5">
      <w:pPr>
        <w:jc w:val="right"/>
        <w:rPr>
          <w:rFonts w:ascii="Book Antiqua" w:hAnsi="Book Antiqua"/>
          <w:color w:val="000000" w:themeColor="text1"/>
          <w:lang w:eastAsia="zh-CN"/>
        </w:rPr>
      </w:pPr>
    </w:p>
    <w:p w14:paraId="5BD2AA79" w14:textId="77777777" w:rsidR="000C43A5" w:rsidRDefault="000C43A5" w:rsidP="000C43A5">
      <w:pPr>
        <w:jc w:val="center"/>
        <w:rPr>
          <w:rFonts w:ascii="Book Antiqua" w:hAnsi="Book Antiqua"/>
          <w:color w:val="000000" w:themeColor="text1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>
        <w:rPr>
          <w:rFonts w:ascii="Book Antiqua" w:hAnsi="Book Antiqua"/>
          <w:color w:val="000000" w:themeColor="text1"/>
          <w:lang w:eastAsia="zh-CN"/>
        </w:rPr>
        <w:fldChar w:fldCharType="begin"/>
      </w:r>
      <w:r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>
        <w:rPr>
          <w:rFonts w:ascii="Book Antiqua" w:hAnsi="Book Antiqua"/>
          <w:color w:val="000000" w:themeColor="text1"/>
          <w:lang w:eastAsia="zh-CN"/>
        </w:rPr>
        <w:fldChar w:fldCharType="end"/>
      </w:r>
    </w:p>
    <w:p w14:paraId="0BAAA2D5" w14:textId="77777777" w:rsidR="00A77B3E" w:rsidRPr="00BA6DB1" w:rsidRDefault="00A77B3E" w:rsidP="00BA6DB1">
      <w:pPr>
        <w:adjustRightInd w:val="0"/>
        <w:snapToGrid w:val="0"/>
        <w:spacing w:line="360" w:lineRule="auto"/>
        <w:jc w:val="both"/>
        <w:rPr>
          <w:rFonts w:ascii="Book Antiqua" w:eastAsia="Calibri" w:hAnsi="Book Antiqua"/>
          <w:color w:val="000000"/>
        </w:rPr>
      </w:pPr>
    </w:p>
    <w:sectPr w:rsidR="00A77B3E" w:rsidRPr="00BA6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6A71A" w14:textId="77777777" w:rsidR="00E80D34" w:rsidRDefault="00E80D34" w:rsidP="002268C9">
      <w:r>
        <w:separator/>
      </w:r>
    </w:p>
  </w:endnote>
  <w:endnote w:type="continuationSeparator" w:id="0">
    <w:p w14:paraId="5D0335E9" w14:textId="77777777" w:rsidR="00E80D34" w:rsidRDefault="00E80D34" w:rsidP="00226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05159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3B908CE" w14:textId="569768AE" w:rsidR="00E96015" w:rsidRDefault="00E96015" w:rsidP="00E96015">
            <w:pPr>
              <w:pStyle w:val="a5"/>
              <w:jc w:val="right"/>
            </w:pPr>
            <w:r w:rsidRPr="00E9601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E960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96015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E960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4704E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E960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E96015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E960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E96015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E960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4704E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27</w:t>
            </w:r>
            <w:r w:rsidRPr="00E96015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5FD13D" w14:textId="77777777" w:rsidR="00E96015" w:rsidRDefault="00E9601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408FB" w14:textId="77777777" w:rsidR="00E80D34" w:rsidRDefault="00E80D34" w:rsidP="002268C9">
      <w:r>
        <w:separator/>
      </w:r>
    </w:p>
  </w:footnote>
  <w:footnote w:type="continuationSeparator" w:id="0">
    <w:p w14:paraId="1B91E4D0" w14:textId="77777777" w:rsidR="00E80D34" w:rsidRDefault="00E80D34" w:rsidP="00226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10D14"/>
    <w:rsid w:val="000C43A5"/>
    <w:rsid w:val="002268C9"/>
    <w:rsid w:val="002C19BB"/>
    <w:rsid w:val="003A290C"/>
    <w:rsid w:val="00415F4C"/>
    <w:rsid w:val="004649FA"/>
    <w:rsid w:val="004704EA"/>
    <w:rsid w:val="004C4848"/>
    <w:rsid w:val="004C6CE7"/>
    <w:rsid w:val="006069FA"/>
    <w:rsid w:val="00612EAF"/>
    <w:rsid w:val="00623914"/>
    <w:rsid w:val="006B34C2"/>
    <w:rsid w:val="007609F6"/>
    <w:rsid w:val="00770C74"/>
    <w:rsid w:val="00883A61"/>
    <w:rsid w:val="008922AF"/>
    <w:rsid w:val="0090616C"/>
    <w:rsid w:val="00A77B3E"/>
    <w:rsid w:val="00AC44BE"/>
    <w:rsid w:val="00B801EE"/>
    <w:rsid w:val="00BA6DB1"/>
    <w:rsid w:val="00CA2A55"/>
    <w:rsid w:val="00E80D34"/>
    <w:rsid w:val="00E96015"/>
    <w:rsid w:val="00EE3839"/>
    <w:rsid w:val="00F91349"/>
    <w:rsid w:val="00FB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9D13C4"/>
  <w15:docId w15:val="{AD06992F-7744-4AD7-B973-4E6EC83A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lqj4b">
    <w:name w:val="jlqj4b"/>
    <w:basedOn w:val="a0"/>
  </w:style>
  <w:style w:type="character" w:customStyle="1" w:styleId="hgKElc">
    <w:name w:val="hgKElc"/>
    <w:basedOn w:val="a0"/>
  </w:style>
  <w:style w:type="paragraph" w:styleId="a3">
    <w:name w:val="header"/>
    <w:basedOn w:val="a"/>
    <w:link w:val="a4"/>
    <w:unhideWhenUsed/>
    <w:rsid w:val="002268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68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68C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68C9"/>
    <w:rPr>
      <w:sz w:val="18"/>
      <w:szCs w:val="18"/>
    </w:rPr>
  </w:style>
  <w:style w:type="character" w:styleId="a7">
    <w:name w:val="annotation reference"/>
    <w:basedOn w:val="a0"/>
    <w:semiHidden/>
    <w:unhideWhenUsed/>
    <w:rsid w:val="002268C9"/>
    <w:rPr>
      <w:sz w:val="21"/>
      <w:szCs w:val="21"/>
    </w:rPr>
  </w:style>
  <w:style w:type="paragraph" w:styleId="a8">
    <w:name w:val="Normal (Web)"/>
    <w:basedOn w:val="a"/>
    <w:uiPriority w:val="99"/>
    <w:semiHidden/>
    <w:unhideWhenUsed/>
    <w:rsid w:val="002268C9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9">
    <w:name w:val="annotation text"/>
    <w:basedOn w:val="a"/>
    <w:link w:val="aa"/>
    <w:semiHidden/>
    <w:unhideWhenUsed/>
    <w:rsid w:val="002268C9"/>
  </w:style>
  <w:style w:type="character" w:customStyle="1" w:styleId="aa">
    <w:name w:val="批注文字 字符"/>
    <w:basedOn w:val="a0"/>
    <w:link w:val="a9"/>
    <w:semiHidden/>
    <w:rsid w:val="002268C9"/>
    <w:rPr>
      <w:sz w:val="24"/>
      <w:szCs w:val="24"/>
    </w:rPr>
  </w:style>
  <w:style w:type="table" w:styleId="ab">
    <w:name w:val="Table Grid"/>
    <w:basedOn w:val="a1"/>
    <w:uiPriority w:val="59"/>
    <w:rsid w:val="002268C9"/>
    <w:rPr>
      <w:rFonts w:eastAsia="Times New Roman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15"/>
    <w:basedOn w:val="a0"/>
    <w:rsid w:val="002268C9"/>
    <w:rPr>
      <w:rFonts w:ascii="Times New Roman" w:hAnsi="Times New Roman" w:cs="Times New Roman" w:hint="default"/>
    </w:rPr>
  </w:style>
  <w:style w:type="paragraph" w:styleId="ac">
    <w:name w:val="Balloon Text"/>
    <w:basedOn w:val="a"/>
    <w:link w:val="ad"/>
    <w:rsid w:val="004704EA"/>
    <w:rPr>
      <w:rFonts w:ascii="Segoe UI" w:hAnsi="Segoe UI" w:cs="Segoe UI"/>
      <w:sz w:val="18"/>
      <w:szCs w:val="18"/>
    </w:rPr>
  </w:style>
  <w:style w:type="character" w:customStyle="1" w:styleId="ad">
    <w:name w:val="批注框文本 字符"/>
    <w:basedOn w:val="a0"/>
    <w:link w:val="ac"/>
    <w:rsid w:val="00470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5755</Words>
  <Characters>32807</Characters>
  <Application>Microsoft Office Word</Application>
  <DocSecurity>0</DocSecurity>
  <Lines>273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Fazeleh Majidi</dc:creator>
  <cp:lastModifiedBy>Li Jia-Hui</cp:lastModifiedBy>
  <cp:revision>35</cp:revision>
  <dcterms:created xsi:type="dcterms:W3CDTF">2021-08-22T03:51:00Z</dcterms:created>
  <dcterms:modified xsi:type="dcterms:W3CDTF">2021-09-03T06:37:00Z</dcterms:modified>
</cp:coreProperties>
</file>