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C337" w14:textId="0FCDBB2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Name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Journal: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Journal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Cases</w:t>
      </w:r>
    </w:p>
    <w:p w14:paraId="7DF8EA65" w14:textId="333E973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NO: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GoBack"/>
      <w:r w:rsidRPr="00E92EC1">
        <w:rPr>
          <w:rFonts w:ascii="Book Antiqua" w:eastAsia="Book Antiqua" w:hAnsi="Book Antiqua" w:cs="Book Antiqua"/>
          <w:color w:val="000000"/>
        </w:rPr>
        <w:t>66515</w:t>
      </w:r>
      <w:bookmarkEnd w:id="0"/>
    </w:p>
    <w:p w14:paraId="51452797" w14:textId="1DFAC76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Type: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</w:p>
    <w:p w14:paraId="650CB24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320599C" w14:textId="1DA652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" w:name="OLE_LINK1838"/>
      <w:r w:rsidRPr="00E92EC1">
        <w:rPr>
          <w:rFonts w:ascii="Book Antiqua" w:eastAsia="Book Antiqua" w:hAnsi="Book Antiqua" w:cs="Book Antiqua"/>
          <w:b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leukemia: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report</w:t>
      </w:r>
    </w:p>
    <w:bookmarkEnd w:id="1"/>
    <w:p w14:paraId="7B1A8D43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4AA2A24" w14:textId="07EFA993" w:rsidR="00A77B3E" w:rsidRPr="00E92EC1" w:rsidRDefault="007B4D4F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839"/>
      <w:r w:rsidR="00537C1B"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chemotherapy</w:t>
      </w:r>
      <w:bookmarkEnd w:id="2"/>
    </w:p>
    <w:p w14:paraId="4F1F890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7D7FB14" w14:textId="49451A3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Masanobu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Morioka,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Koh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Izumiyama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Akio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Reiki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Ogasawara,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Takeshi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Kondo,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Toru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Yokoyama,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Tanikawa</w:t>
      </w:r>
    </w:p>
    <w:p w14:paraId="03C7F09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8652E17" w14:textId="693B530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Masanobu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Morioka,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Koh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Izumiyama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Akio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Reiki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Ogasawara,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Takeshi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Kondo,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Toru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Miyajima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Emi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Yokoyama,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6506" w:rsidRPr="00E92EC1">
        <w:rPr>
          <w:rFonts w:ascii="Book Antiqua" w:eastAsia="Book Antiqua" w:hAnsi="Book Antiqua" w:cs="Book Antiqua"/>
          <w:color w:val="000000"/>
        </w:rPr>
        <w:t>Department of</w:t>
      </w:r>
      <w:r w:rsidR="00F86506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Aiiku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Hospital,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0640804,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4CA5F76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6111C76" w14:textId="640F6E7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Tanikawa,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Department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University,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Faculty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0608638,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297D9FE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536B3961" w14:textId="578A8B2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Tanikawa,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Institute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Reaction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Design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Discovery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(WPI-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ICReDD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University,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001-0021,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5385126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31F12C4" w14:textId="6AAA59A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1840"/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collected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patient’s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data;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Tanikawa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involved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procedure;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designed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wrote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manuscript</w:t>
      </w:r>
      <w:r w:rsidR="007B4D4F"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</w:t>
      </w:r>
      <w:r w:rsidRPr="00E92EC1">
        <w:rPr>
          <w:rFonts w:ascii="Book Antiqua" w:eastAsia="Book Antiqua" w:hAnsi="Book Antiqua" w:cs="Book Antiqua"/>
          <w:color w:val="000000"/>
        </w:rPr>
        <w:t>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agree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accountable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aspects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work.</w:t>
      </w:r>
      <w:bookmarkEnd w:id="3"/>
    </w:p>
    <w:p w14:paraId="516D12FB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07E12A1" w14:textId="6B2FE00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544" w:rsidRPr="00E92EC1">
        <w:rPr>
          <w:rFonts w:ascii="Book Antiqua" w:eastAsia="Book Antiqua" w:hAnsi="Book Antiqua" w:cs="Book Antiqua"/>
          <w:color w:val="000000"/>
        </w:rPr>
        <w:t>Department of</w:t>
      </w:r>
      <w:r w:rsidR="00CF1544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Aiiku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Hospital,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Chuo-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Minami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0640804,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ikyoku@aiiku-hp.or.jp</w:t>
      </w:r>
    </w:p>
    <w:p w14:paraId="5F9D967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BA1FCE4" w14:textId="41613CC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506F905E" w14:textId="4D1759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26,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2021</w:t>
      </w:r>
    </w:p>
    <w:p w14:paraId="6302424F" w14:textId="60B332F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A5C" w:rsidRPr="00142A5C">
        <w:rPr>
          <w:rFonts w:ascii="Book Antiqua" w:eastAsia="Book Antiqua" w:hAnsi="Book Antiqua" w:cs="Book Antiqua"/>
          <w:bCs/>
          <w:color w:val="000000"/>
        </w:rPr>
        <w:t>May 24, 2021</w:t>
      </w:r>
    </w:p>
    <w:p w14:paraId="68B6BA92" w14:textId="1C69266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20662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  <w:sectPr w:rsidR="00A77B3E" w:rsidRPr="00E92EC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AD9D5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836BB0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BACKGROUND</w:t>
      </w:r>
    </w:p>
    <w:p w14:paraId="2CC71854" w14:textId="500F2D9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4" w:name="OLE_LINK1843"/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representative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Pneumococcus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(HPVG)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potentially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</w:p>
    <w:bookmarkEnd w:id="4"/>
    <w:p w14:paraId="6CFD1CBD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54470C7" w14:textId="6811D4B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SUMMARY</w:t>
      </w:r>
    </w:p>
    <w:p w14:paraId="6DA74E58" w14:textId="02B2925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5" w:name="OLE_LINK1844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70-year-old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computed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tomography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(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7B4D4F"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(EGD)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EGD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chiefly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carbapenem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antibiotics.</w:t>
      </w:r>
    </w:p>
    <w:bookmarkEnd w:id="5"/>
    <w:p w14:paraId="46756DD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02E1D7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CONCLUSION</w:t>
      </w:r>
    </w:p>
    <w:p w14:paraId="639EB2B2" w14:textId="21BCA07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6" w:name="OLE_LINK1845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</w:t>
      </w:r>
      <w:r w:rsidR="007B4D4F" w:rsidRPr="00E92EC1">
        <w:rPr>
          <w:rFonts w:ascii="Book Antiqua" w:eastAsia="Book Antiqua" w:hAnsi="Book Antiqua" w:cs="Book Antiqua"/>
          <w:color w:val="000000"/>
        </w:rPr>
        <w:t>n</w:t>
      </w:r>
      <w:r w:rsidRPr="00E92EC1">
        <w:rPr>
          <w:rFonts w:ascii="Book Antiqua" w:eastAsia="Book Antiqua" w:hAnsi="Book Antiqua" w:cs="Book Antiqua"/>
          <w:color w:val="000000"/>
        </w:rPr>
        <w:t>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gastritis".</w:t>
      </w:r>
    </w:p>
    <w:bookmarkEnd w:id="6"/>
    <w:p w14:paraId="5A3A3C57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729C21B" w14:textId="1E28EB7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841"/>
      <w:r w:rsidR="007B4D4F" w:rsidRPr="00E92EC1">
        <w:rPr>
          <w:rFonts w:ascii="Book Antiqua" w:eastAsia="Book Antiqua" w:hAnsi="Book Antiqua" w:cs="Book Antiqua"/>
          <w:color w:val="000000"/>
        </w:rPr>
        <w:t>P</w:t>
      </w:r>
      <w:r w:rsidRPr="00E92EC1">
        <w:rPr>
          <w:rFonts w:ascii="Book Antiqua" w:eastAsia="Book Antiqua" w:hAnsi="Book Antiqua" w:cs="Book Antiqua"/>
          <w:color w:val="000000"/>
        </w:rPr>
        <w:t>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hemotherapy;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H</w:t>
      </w:r>
      <w:r w:rsidRPr="00E92EC1">
        <w:rPr>
          <w:rFonts w:ascii="Book Antiqua" w:eastAsia="Book Antiqua" w:hAnsi="Book Antiqua" w:cs="Book Antiqua"/>
          <w:color w:val="000000"/>
        </w:rPr>
        <w:t>istopathology;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bookmarkEnd w:id="7"/>
    </w:p>
    <w:p w14:paraId="680839E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EA17629" w14:textId="4E18679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Izumiyama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Ogasawara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Kondo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Yokoyama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Tanikawa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press</w:t>
      </w:r>
    </w:p>
    <w:p w14:paraId="333EBB5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8A4E3A7" w14:textId="1D4475B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842"/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B368C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B36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368C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leukemia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past.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performed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characteristic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observed.</w:t>
      </w:r>
      <w:bookmarkEnd w:id="8"/>
    </w:p>
    <w:p w14:paraId="466D4E15" w14:textId="77777777" w:rsidR="007B4D4F" w:rsidRPr="00E92EC1" w:rsidRDefault="007B4D4F" w:rsidP="00E92EC1">
      <w:pPr>
        <w:spacing w:line="360" w:lineRule="auto"/>
        <w:jc w:val="both"/>
        <w:rPr>
          <w:rFonts w:ascii="Book Antiqua" w:hAnsi="Book Antiqua"/>
        </w:rPr>
        <w:sectPr w:rsidR="007B4D4F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AB0D6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BEF19C" w14:textId="71DD311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9" w:name="OLE_LINK1846"/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submucosa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muscularis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layers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approximately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70%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Staphylococcus,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Pneumococcus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Alcoholism,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injury,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hemorrhage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PG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regarded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mortality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approximately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40%,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even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manner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extramedullary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early.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hand,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(HPVG)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potentially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occur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ischemia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E92EC1">
        <w:rPr>
          <w:rFonts w:ascii="Book Antiqua" w:eastAsia="Book Antiqua" w:hAnsi="Book Antiqua" w:cs="Book Antiqua"/>
          <w:color w:val="000000"/>
        </w:rPr>
        <w:t>.</w:t>
      </w:r>
    </w:p>
    <w:p w14:paraId="1A47CEDB" w14:textId="29EA4CDF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Previously,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(ALL)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study,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multiple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abscesses.</w:t>
      </w:r>
    </w:p>
    <w:bookmarkEnd w:id="9"/>
    <w:p w14:paraId="4FD77196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72D7304" w14:textId="7081D8B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5A22D08" w14:textId="61F2F66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A657CE" w14:textId="32F8E0C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0" w:name="OLE_LINK1847"/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70-year-old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(37.5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°C),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general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fatigue,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appetite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nausea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watery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diarrhea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beginning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started).</w:t>
      </w:r>
    </w:p>
    <w:bookmarkEnd w:id="10"/>
    <w:p w14:paraId="7D837A1C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7F0832D" w14:textId="35BF174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E52AB1" w14:textId="5F01A8C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1" w:name="OLE_LINK1848"/>
      <w:r w:rsidRPr="00E92EC1">
        <w:rPr>
          <w:rFonts w:ascii="Book Antiqua" w:eastAsia="Book Antiqua" w:hAnsi="Book Antiqua" w:cs="Book Antiqua"/>
          <w:color w:val="000000"/>
        </w:rPr>
        <w:t>Four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months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achieved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(CR)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induction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received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cytarabine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(1.4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etoposide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dexamethasone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(33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first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methotrexate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cytarabine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(40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prednisolone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(WBC)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steadily,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granulocyte-colony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stimulating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(G-CSF)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preparation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B4D4F" w:rsidRPr="00E92EC1">
        <w:rPr>
          <w:rFonts w:ascii="Book Antiqua" w:eastAsia="Book Antiqua" w:hAnsi="Book Antiqua" w:cs="Book Antiqua"/>
          <w:color w:val="000000"/>
        </w:rPr>
        <w:t>l</w:t>
      </w:r>
      <w:r w:rsidRPr="00E92EC1">
        <w:rPr>
          <w:rFonts w:ascii="Book Antiqua" w:eastAsia="Book Antiqua" w:hAnsi="Book Antiqua" w:cs="Book Antiqua"/>
          <w:color w:val="000000"/>
        </w:rPr>
        <w:t>enograstim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decline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continued.</w:t>
      </w:r>
    </w:p>
    <w:bookmarkEnd w:id="11"/>
    <w:p w14:paraId="12A39DD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9EC3820" w14:textId="6A14395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631DB5F" w14:textId="5352C77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2" w:name="OLE_LINK1849"/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dyslipidemia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gastroesophageal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reflux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latter,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</w:p>
    <w:bookmarkEnd w:id="12"/>
    <w:p w14:paraId="21B9AAB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AD8360E" w14:textId="6554142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39E9AAB" w14:textId="7A835B2A" w:rsidR="00A77B3E" w:rsidRPr="00E92EC1" w:rsidRDefault="007B4D4F" w:rsidP="00E92EC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" w:name="OLE_LINK1850"/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personal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family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history</w:t>
      </w:r>
      <w:r w:rsidRPr="00E92EC1">
        <w:rPr>
          <w:rFonts w:ascii="Book Antiqua" w:hAnsi="Book Antiqua"/>
          <w:bCs/>
          <w:iCs/>
          <w:lang w:eastAsia="zh-CN"/>
        </w:rPr>
        <w:t>.</w:t>
      </w:r>
    </w:p>
    <w:bookmarkEnd w:id="13"/>
    <w:p w14:paraId="76A05507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FEAF59C" w14:textId="5D8E9E4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3DD5C7A" w14:textId="53744B6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4" w:name="OLE_LINK1851"/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exhibited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body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temperature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38.1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°C;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temporary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pressure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78/60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mmHg;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heart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126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beats/min;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respiratory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breaths/min;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pulse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oximetry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(SpO</w:t>
      </w:r>
      <w:r w:rsidRPr="00E92EC1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96%.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sick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down,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apparent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consciousness.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Physical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tenderness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upper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abdomen.</w:t>
      </w:r>
    </w:p>
    <w:bookmarkEnd w:id="14"/>
    <w:p w14:paraId="0E31A97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3DDD92" w14:textId="20A76D2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A69E023" w14:textId="57641B8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5" w:name="OLE_LINK1852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central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catheter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negative.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data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C-reactive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protein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(CRP)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levels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rapidly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29.71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46.82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45000/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66000/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despite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stopping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dysfunction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conjunction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elevated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WBC.</w:t>
      </w:r>
    </w:p>
    <w:bookmarkEnd w:id="15"/>
    <w:p w14:paraId="0AC87E1A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89A67B0" w14:textId="1FAC89A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688A646" w14:textId="1A7673A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6" w:name="OLE_LINK1853"/>
      <w:r w:rsidRPr="00E92EC1">
        <w:rPr>
          <w:rFonts w:ascii="Book Antiqua" w:eastAsia="Book Antiqua" w:hAnsi="Book Antiqua" w:cs="Book Antiqua"/>
          <w:color w:val="000000"/>
        </w:rPr>
        <w:lastRenderedPageBreak/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computed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tomography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(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7B4D4F"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scattered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yellow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low-density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(LDAs)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(EGD)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corpus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yellow-green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3A-C).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HPVG.</w:t>
      </w:r>
    </w:p>
    <w:p w14:paraId="235FB561" w14:textId="57CF9B20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EGD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abovementioned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linear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redness,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erosion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ulcerative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3D).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improvements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disappeared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LDAs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originally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</w:p>
    <w:bookmarkEnd w:id="16"/>
    <w:p w14:paraId="29BE1DE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D8F2F8A" w14:textId="6C21C32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91FB98A" w14:textId="7B156C93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7" w:name="OLE_LINK1854"/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fibrin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precipitation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partial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infiltration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5A).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unique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positive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staining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5B).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group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multiple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investigated.</w:t>
      </w:r>
    </w:p>
    <w:bookmarkEnd w:id="17"/>
    <w:p w14:paraId="511DDF7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211B2B8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C01E6F3" w14:textId="09E7534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8" w:name="OLE_LINK1855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continued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severe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carbapenem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(initially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biapenem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0.3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meropenem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0.5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combination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immunoglobulin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antibiotics,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hydrocortisone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fluid.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platelets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transfused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each.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invasive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abscess.</w:t>
      </w:r>
    </w:p>
    <w:bookmarkEnd w:id="18"/>
    <w:p w14:paraId="7005FBA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09329EE" w14:textId="7781FAE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8BC4C3B" w14:textId="43D5756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9" w:name="OLE_LINK1856"/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chiefly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sequelae.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received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twice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blinatumomab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CD19/CD3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bispecific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T-cell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engager)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cycles.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recurrence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maintaining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followed-up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outpatient.</w:t>
      </w:r>
    </w:p>
    <w:bookmarkEnd w:id="19"/>
    <w:p w14:paraId="0AC532D4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A3B95C1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ECE36E" w14:textId="2A7A57B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0" w:name="OLE_LINK1857"/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depletion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period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temporarily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severe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levels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52.97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(since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daily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life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years).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Regarding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symptoms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worsening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fever,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pressure,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tachycardia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tachypnea,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suspected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because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carbapenem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immediately,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organism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identified;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initial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effective,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patient’s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life.</w:t>
      </w:r>
    </w:p>
    <w:p w14:paraId="1CDDD665" w14:textId="66F9F38B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general,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immunocompetence,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further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promotes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immunodeficiency.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patients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9-14]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summarizes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features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Notably,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representative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whereas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whereas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presumed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onset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typical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gram-positive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Infiltration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partly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proposed,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typical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residents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flora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small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under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produces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various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toxins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enterotoxin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patients.</w:t>
      </w:r>
    </w:p>
    <w:p w14:paraId="057695AB" w14:textId="0C80B115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described).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disruption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barrier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invasion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pathogens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tract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inhibitor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potassium-competitive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blocker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effect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proton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pump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composition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flora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5583"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5583" w:rsidRPr="00E92EC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expressed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concern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abundance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juice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result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scientific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evidence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limited.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future,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large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number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aggregated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further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study.</w:t>
      </w:r>
    </w:p>
    <w:p w14:paraId="315884B5" w14:textId="2724EF5C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prognosis,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mortality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(29%)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predict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prognosis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small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amount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initial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spread.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beginning.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identify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responsible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however,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believe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spread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through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vein.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Furthermore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drainage.</w:t>
      </w:r>
    </w:p>
    <w:bookmarkEnd w:id="20"/>
    <w:p w14:paraId="2BE7E773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AA6FC7E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331662E" w14:textId="21FF94F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1" w:name="OLE_LINK1858"/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proposed.</w:t>
      </w:r>
    </w:p>
    <w:bookmarkEnd w:id="21"/>
    <w:p w14:paraId="7B69E984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93056C1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7CEFDF" w14:textId="4A3F785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2" w:name="OLE_LINK1"/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Tominaga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Sugimori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Nagami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Kamata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Yamagami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Tanigawa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Shiba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Watanabe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Fujiwara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Arakawa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Early-Diagnosed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Primary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2863-2866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26567999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10.2169/internalmedicine.54.4257]</w:t>
      </w:r>
    </w:p>
    <w:p w14:paraId="5A0B1BF8" w14:textId="65F3507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Rada-Palomino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Muñoz-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Duyos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Pérez-Romero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Vargas-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Pierola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Puértolas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-Rico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Ruiz-Campos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-Pérez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Veloso-Veloso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entity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abdomen.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Description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bibliographic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2014;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418-424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25361454]</w:t>
      </w:r>
    </w:p>
    <w:p w14:paraId="773CF0C0" w14:textId="4103214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Ward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Henessey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Peji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Godell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Desta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Arlin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Tzagournis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Thomas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168-174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15672083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10.1016/s0016-5107(04)02217-5]</w:t>
      </w:r>
    </w:p>
    <w:p w14:paraId="77ECF905" w14:textId="29294B1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SW,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Jung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HW,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HIe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distension.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415-418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20981225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10.5009/gnl.2010.4.3.415]</w:t>
      </w:r>
    </w:p>
    <w:p w14:paraId="591A3E02" w14:textId="3088D2E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Harikumar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Pramod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Pushpa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Arun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24-27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19065719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10.1007/s12029-008-9011-5]</w:t>
      </w:r>
    </w:p>
    <w:p w14:paraId="5EC9C30B" w14:textId="0BB4F10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Young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Lorenzo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Kanel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GC,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Brynes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Chandrasoma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Naritoku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sarcoma: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Immunohistochem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Morphol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458-462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19644358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10.1097/PAI.0b013e31819f86e2]</w:t>
      </w:r>
    </w:p>
    <w:p w14:paraId="7D4C618C" w14:textId="57CBCF1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Siracuse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Hauser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CJ.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pneumatosis.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 w:rsidRPr="00E92EC1">
        <w:rPr>
          <w:rFonts w:ascii="Book Antiqua" w:eastAsia="Book Antiqua" w:hAnsi="Book Antiqua" w:cs="Book Antiqua"/>
          <w:i/>
          <w:iCs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2013;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221-224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23544799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10.1089/sur.2011.113]</w:t>
      </w:r>
    </w:p>
    <w:p w14:paraId="76472EEB" w14:textId="0B87BE8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Yagi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Nakahata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Kurobe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Yasuda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Omatsu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Obora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Kojima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Aeromonas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hydrophila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medication.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281-286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31302879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10.1007/s12328-019-01020-7]</w:t>
      </w:r>
    </w:p>
    <w:p w14:paraId="23DFDF57" w14:textId="2E5F89D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Kanno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Tanaka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2987-2988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23064584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10.2169/internalmedicine.51.8537]</w:t>
      </w:r>
    </w:p>
    <w:p w14:paraId="5E87CAB8" w14:textId="58BDB67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Matsuoka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Maeda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Marutsuka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Sumiyoshi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Tsuda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Tsubouchi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adult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T-cell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chemotherapy].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Gan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Ryoho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1995;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289-292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7857107]</w:t>
      </w:r>
    </w:p>
    <w:p w14:paraId="1A78E4F0" w14:textId="219C284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Matsumoto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Ogura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Seki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Ohnishi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Shimazu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Fulminant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phlegmonitis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esophagus,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duodenum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thuringiensis.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3741-3745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25834344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10.3748/wjg.v21.i12.3741]</w:t>
      </w:r>
    </w:p>
    <w:p w14:paraId="2AF39AD6" w14:textId="74E69A5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12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Saleem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Ahmed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Jani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Alvarez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Tun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Antimicrobial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Literature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2018;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8274732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30305967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10.1155/2018/8274732]</w:t>
      </w:r>
    </w:p>
    <w:p w14:paraId="5E87E0CD" w14:textId="4741453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Inagawa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Komeno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Maenohara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Yamagishi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Kawashima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Iihara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Hatada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Ryu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Prolonged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Progressive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Marrow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Fibrosis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Promyelocytic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1616237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31885950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10.1155/2019/1616237]</w:t>
      </w:r>
    </w:p>
    <w:p w14:paraId="1DC8093E" w14:textId="4F09837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Zhao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Jiang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Q.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Phlegmonous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mixed-phenotype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e17777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31702630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10.1097/MD.0000000000017777]</w:t>
      </w:r>
    </w:p>
    <w:p w14:paraId="1E17512A" w14:textId="1EF1D7E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Bottone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cereus,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volatile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human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pathogen.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382-398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20375358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10.1128/CMR.00073-09]</w:t>
      </w:r>
    </w:p>
    <w:p w14:paraId="7F91703A" w14:textId="350A40F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Kwok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Arthur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Anibueze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CI,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Singh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Cavallazzi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Loke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Clostridium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difficile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suppressing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meta-analysis.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1011-1019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22525304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10.1038/ajg.2012.108]</w:t>
      </w:r>
    </w:p>
    <w:p w14:paraId="098B5536" w14:textId="5A3A355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Otsuka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Sugimoto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Inoue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Ohno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Nishida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Inatomi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Takahashi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Andoh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Influence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potassium-competitive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blocker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microbiome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E92EC1">
        <w:rPr>
          <w:rFonts w:ascii="Book Antiqua" w:eastAsia="Book Antiqua" w:hAnsi="Book Antiqua" w:cs="Book Antiqua"/>
          <w:color w:val="000000"/>
        </w:rPr>
        <w:t>-negative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healthy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individuals.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1723-1725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27965281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10.1136/gutjnl-2016-313312]</w:t>
      </w:r>
    </w:p>
    <w:p w14:paraId="4150C113" w14:textId="0650A2F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Faberman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Mayo-Smith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Outcome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1997;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1535-1538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9393159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10.2214/ajr.169.6.9393159]</w:t>
      </w:r>
    </w:p>
    <w:bookmarkEnd w:id="22"/>
    <w:p w14:paraId="520BC22E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  <w:sectPr w:rsidR="00A77B3E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5351B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7310D8" w14:textId="4F37F5B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859"/>
      <w:r w:rsidRPr="00E92EC1">
        <w:rPr>
          <w:rFonts w:ascii="Book Antiqua" w:eastAsia="Book Antiqua" w:hAnsi="Book Antiqua" w:cs="Book Antiqua"/>
          <w:color w:val="000000"/>
        </w:rPr>
        <w:t>Informed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written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obtained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publication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accompanying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images.</w:t>
      </w:r>
      <w:bookmarkEnd w:id="23"/>
    </w:p>
    <w:p w14:paraId="775A059B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53961507" w14:textId="47D719A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1860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declare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conflict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interest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work.</w:t>
      </w:r>
    </w:p>
    <w:bookmarkEnd w:id="24"/>
    <w:p w14:paraId="3FB181FD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7D49596" w14:textId="228107F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861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prepared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according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Checklist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(2016).</w:t>
      </w:r>
    </w:p>
    <w:bookmarkEnd w:id="25"/>
    <w:p w14:paraId="517B6AB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6B8E1EB" w14:textId="7ABE389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open-access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selected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in-house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editor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peer-reviewed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reviewers.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distributed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accordance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Creative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Commons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Attribution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BY-NC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4.0)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license,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permits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distribute,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remix,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adapt,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build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upon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non-commercially,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license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their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derivative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terms,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provided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original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properly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non-commercial.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See: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DBFB12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DFB7178" w14:textId="40BB28C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source: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Unsolicited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m</w:t>
      </w:r>
      <w:r w:rsidRPr="00E92EC1">
        <w:rPr>
          <w:rFonts w:ascii="Book Antiqua" w:eastAsia="Book Antiqua" w:hAnsi="Book Antiqua" w:cs="Book Antiqua"/>
          <w:color w:val="000000"/>
        </w:rPr>
        <w:t>anuscript</w:t>
      </w:r>
    </w:p>
    <w:p w14:paraId="723CD5D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E4A3BA" w14:textId="7D80066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Peer-review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started: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3869CB8C" w14:textId="1FD193F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First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decision: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4DB27D72" w14:textId="032D8DF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press: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83521C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FF1D1E3" w14:textId="37610C8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Specialty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type: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Gastroenterology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h</w:t>
      </w:r>
      <w:r w:rsidRPr="00E92EC1">
        <w:rPr>
          <w:rFonts w:ascii="Book Antiqua" w:eastAsia="Book Antiqua" w:hAnsi="Book Antiqua" w:cs="Book Antiqua"/>
          <w:color w:val="000000"/>
        </w:rPr>
        <w:t>epatology</w:t>
      </w:r>
    </w:p>
    <w:p w14:paraId="2B0DE9E0" w14:textId="6FCF0EE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Country/Territory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origin: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4FD20C51" w14:textId="6A10A5F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Peer-review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report’s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scientific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quality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2F6661" w14:textId="2F8EA7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(Excellent):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5D7760BE" w14:textId="5A6CE82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(Very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good):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47C73A21" w14:textId="0C6A41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(Good):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</w:t>
      </w:r>
    </w:p>
    <w:p w14:paraId="410DED6A" w14:textId="7086D5A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(Fair):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4E59C4CA" w14:textId="5FB7546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(Poor):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64DF459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47D5AEA" w14:textId="4CF11F5C" w:rsidR="00A77B3E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P-Reviewer: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S-Editor: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5D4A" w:rsidRPr="00E92EC1">
        <w:rPr>
          <w:rFonts w:ascii="Book Antiqua" w:eastAsia="Book Antiqua" w:hAnsi="Book Antiqua" w:cs="Book Antiqua"/>
          <w:color w:val="000000"/>
        </w:rPr>
        <w:t>Yan JP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L-Editor: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E92EC1">
        <w:rPr>
          <w:rFonts w:ascii="Book Antiqua" w:eastAsia="Book Antiqua" w:hAnsi="Book Antiqua" w:cs="Book Antiqua"/>
          <w:b/>
          <w:color w:val="000000"/>
        </w:rPr>
        <w:t>P-Editor: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FCE62B" w14:textId="77777777" w:rsidR="007D2A4D" w:rsidRPr="00E92EC1" w:rsidRDefault="007D2A4D" w:rsidP="00E92EC1">
      <w:pPr>
        <w:spacing w:line="360" w:lineRule="auto"/>
        <w:jc w:val="both"/>
        <w:rPr>
          <w:rFonts w:ascii="Book Antiqua" w:hAnsi="Book Antiqua"/>
        </w:rPr>
        <w:sectPr w:rsidR="007D2A4D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FF3D6" w14:textId="6767F603" w:rsidR="005E5D4A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Legends</w:t>
      </w:r>
    </w:p>
    <w:p w14:paraId="18E48F27" w14:textId="7CED32B3" w:rsidR="005E5D4A" w:rsidRPr="00E92EC1" w:rsidRDefault="00E92EC1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drawing>
          <wp:inline distT="0" distB="0" distL="0" distR="0" wp14:anchorId="3063A4B7" wp14:editId="7EB83C46">
            <wp:extent cx="5941060" cy="3467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4D00" w14:textId="5A82E4BC" w:rsidR="00E92EC1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6" w:name="OLE_LINK1862"/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>.</w:t>
      </w:r>
      <w:r w:rsidR="005E5D4A" w:rsidRPr="00E92EC1">
        <w:rPr>
          <w:rFonts w:ascii="Book Antiqua" w:hAnsi="Book Antiqua"/>
          <w:b/>
          <w:bCs/>
          <w:lang w:eastAsia="zh-CN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Ara-C: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D4A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ytarabine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ETP: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E</w:t>
      </w:r>
      <w:r w:rsidRPr="00E92EC1">
        <w:rPr>
          <w:rFonts w:ascii="Book Antiqua" w:eastAsia="Book Antiqua" w:hAnsi="Book Antiqua" w:cs="Book Antiqua"/>
          <w:color w:val="000000"/>
        </w:rPr>
        <w:t>toposide;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Dex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>examethasone;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I</w:t>
      </w:r>
      <w:r w:rsidRPr="00E92EC1">
        <w:rPr>
          <w:rFonts w:ascii="Book Antiqua" w:eastAsia="Book Antiqua" w:hAnsi="Book Antiqua" w:cs="Book Antiqua"/>
          <w:color w:val="000000"/>
        </w:rPr>
        <w:t>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G</w:t>
      </w:r>
      <w:r w:rsidRPr="00E92EC1">
        <w:rPr>
          <w:rFonts w:ascii="Book Antiqua" w:eastAsia="Book Antiqua" w:hAnsi="Book Antiqua" w:cs="Book Antiqua"/>
          <w:color w:val="000000"/>
        </w:rPr>
        <w:t>ranulocyte-colony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stimulating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BIPM: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B</w:t>
      </w:r>
      <w:r w:rsidRPr="00E92EC1">
        <w:rPr>
          <w:rFonts w:ascii="Book Antiqua" w:eastAsia="Book Antiqua" w:hAnsi="Book Antiqua" w:cs="Book Antiqua"/>
          <w:color w:val="000000"/>
        </w:rPr>
        <w:t>iapenem;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MEPM: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eropenem;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IVIg:</w:t>
      </w:r>
      <w:r w:rsidR="00E92EC1" w:rsidRPr="00E92EC1">
        <w:rPr>
          <w:rFonts w:ascii="Book Antiqua" w:eastAsia="Book Antiqua" w:hAnsi="Book Antiqua" w:cs="Book Antiqua"/>
          <w:color w:val="000000"/>
        </w:rPr>
        <w:t xml:space="preserve"> I</w:t>
      </w:r>
      <w:r w:rsidRPr="00E92EC1">
        <w:rPr>
          <w:rFonts w:ascii="Book Antiqua" w:eastAsia="Book Antiqua" w:hAnsi="Book Antiqua" w:cs="Book Antiqua"/>
          <w:color w:val="000000"/>
        </w:rPr>
        <w:t>ntra-venous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immunoglobulin</w:t>
      </w:r>
      <w:r w:rsidR="00E92EC1" w:rsidRPr="00E92EC1">
        <w:rPr>
          <w:rFonts w:ascii="Book Antiqua" w:eastAsia="Book Antiqua" w:hAnsi="Book Antiqua" w:cs="Book Antiqua"/>
          <w:color w:val="000000"/>
        </w:rPr>
        <w:t>; WBC: White blood cell count; CRP: C-reactive protein.</w:t>
      </w:r>
    </w:p>
    <w:bookmarkEnd w:id="26"/>
    <w:p w14:paraId="055A1BBE" w14:textId="77777777" w:rsidR="00E92EC1" w:rsidRPr="00E92EC1" w:rsidRDefault="00E92EC1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017813" w14:textId="2A11BBB0" w:rsidR="00E92EC1" w:rsidRPr="00E92EC1" w:rsidRDefault="00E92EC1" w:rsidP="00E92EC1">
      <w:pPr>
        <w:spacing w:line="360" w:lineRule="auto"/>
        <w:jc w:val="both"/>
        <w:rPr>
          <w:rFonts w:ascii="Book Antiqua" w:hAnsi="Book Antiqua"/>
          <w:b/>
          <w:bCs/>
        </w:rPr>
        <w:sectPr w:rsidR="00E92EC1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29142" w14:textId="5440B198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209538F" wp14:editId="61380864">
            <wp:extent cx="5935980" cy="16863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1"/>
                    <a:stretch/>
                  </pic:blipFill>
                  <pic:spPr bwMode="auto">
                    <a:xfrm>
                      <a:off x="0" y="0"/>
                      <a:ext cx="5935980" cy="16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BA813" w14:textId="1107413A" w:rsidR="00A77B3E" w:rsidRPr="00E92EC1" w:rsidRDefault="00537C1B" w:rsidP="00E92EC1">
      <w:pPr>
        <w:spacing w:line="360" w:lineRule="auto"/>
        <w:jc w:val="both"/>
        <w:rPr>
          <w:rFonts w:ascii="Book Antiqua" w:hAnsi="Book Antiqua"/>
          <w:b/>
          <w:bCs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computed tomography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11)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(yellow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low-density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found.</w:t>
      </w:r>
    </w:p>
    <w:p w14:paraId="2F6E3B21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BD411" w14:textId="46766841" w:rsidR="00A77B3E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84BC01B" wp14:editId="3A7570D5">
            <wp:extent cx="5941060" cy="44507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9FBD" w14:textId="44C8C2D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E92EC1">
        <w:rPr>
          <w:rFonts w:ascii="Book Antiqua" w:eastAsia="Book Antiqua" w:hAnsi="Book Antiqua" w:cs="Book Antiqua"/>
          <w:color w:val="000000"/>
        </w:rPr>
        <w:t>A-C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: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corpus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yellow-green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14)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;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: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above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linear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redness,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erosion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ulcerative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29).</w:t>
      </w:r>
    </w:p>
    <w:p w14:paraId="5881FE94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F2D97" w14:textId="42585B91" w:rsidR="00A77B3E" w:rsidRPr="00E92EC1" w:rsidRDefault="005E5D4A" w:rsidP="00E92EC1">
      <w:pPr>
        <w:spacing w:line="360" w:lineRule="auto"/>
        <w:jc w:val="both"/>
        <w:rPr>
          <w:rFonts w:ascii="Book Antiqua" w:hAnsi="Book Antiqua"/>
          <w:b/>
          <w:bCs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4322719E" wp14:editId="0CE275F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1060" cy="2573927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8"/>
                    <a:stretch/>
                  </pic:blipFill>
                  <pic:spPr bwMode="auto">
                    <a:xfrm>
                      <a:off x="0" y="0"/>
                      <a:ext cx="5941060" cy="25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computed tomography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(day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29)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E92EC1">
        <w:rPr>
          <w:rFonts w:ascii="Book Antiqua" w:hAnsi="Book Antiqua"/>
          <w:b/>
          <w:bCs/>
          <w:lang w:eastAsia="zh-CN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thickening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of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gastric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wall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was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improved,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and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signs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suggestive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of</w:t>
      </w:r>
      <w:r w:rsidRPr="00E92EC1">
        <w:rPr>
          <w:rFonts w:ascii="Book Antiqua" w:eastAsia="Book Antiqua" w:hAnsi="Book Antiqua" w:cs="Book Antiqua"/>
          <w:color w:val="000000"/>
        </w:rPr>
        <w:t xml:space="preserve"> hepatic portal venous gas </w:t>
      </w:r>
      <w:r w:rsidR="00537C1B" w:rsidRPr="00E92EC1">
        <w:rPr>
          <w:rFonts w:ascii="Book Antiqua" w:eastAsia="Book Antiqua" w:hAnsi="Book Antiqua" w:cs="Book Antiqua"/>
          <w:color w:val="000000"/>
        </w:rPr>
        <w:t>disappeared.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low-density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areas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in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liver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S3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and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S7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observed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18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ago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were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changed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findings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consistent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with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abscesses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(blue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arrow).</w:t>
      </w:r>
    </w:p>
    <w:p w14:paraId="05A39B92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4C8C1" w14:textId="0BEE67CA" w:rsidR="00A77B3E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4573AE5" wp14:editId="472FB2E2">
            <wp:extent cx="5941060" cy="24841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14DD" w14:textId="52BD9C79" w:rsidR="00E92EC1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Histopathology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5E5D4A" w:rsidRPr="00E92EC1">
        <w:rPr>
          <w:rFonts w:ascii="Book Antiqua" w:eastAsia="Book Antiqua" w:hAnsi="Book Antiqua" w:cs="Book Antiqua"/>
          <w:color w:val="000000"/>
        </w:rPr>
        <w:t>A: Mostly necrotic tissue and partly infiltration by lymphocytes were observed (</w:t>
      </w:r>
      <w:r w:rsidR="00E92EC1" w:rsidRPr="00E92EC1">
        <w:rPr>
          <w:rFonts w:ascii="Book Antiqua" w:eastAsia="Book Antiqua" w:hAnsi="Book Antiqua" w:cs="Book Antiqua"/>
          <w:color w:val="000000"/>
        </w:rPr>
        <w:t xml:space="preserve">hematoxylin &amp; eosin 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stain); B: Bacilli were gram-positive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r w:rsidR="005E5D4A" w:rsidRPr="00E92EC1">
        <w:rPr>
          <w:rFonts w:ascii="Book Antiqua" w:eastAsia="Book Antiqua" w:hAnsi="Book Antiqua" w:cs="Book Antiqua"/>
          <w:color w:val="000000"/>
        </w:rPr>
        <w:t>g</w:t>
      </w:r>
      <w:r w:rsidRPr="00E92EC1">
        <w:rPr>
          <w:rFonts w:ascii="Book Antiqua" w:eastAsia="Book Antiqua" w:hAnsi="Book Antiqua" w:cs="Book Antiqua"/>
          <w:color w:val="000000"/>
        </w:rPr>
        <w:t>ram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stain)</w:t>
      </w:r>
      <w:r w:rsidR="005E5D4A" w:rsidRPr="00E92EC1">
        <w:rPr>
          <w:rFonts w:ascii="Book Antiqua" w:eastAsia="Book Antiqua" w:hAnsi="Book Antiqua" w:cs="Book Antiqua"/>
          <w:color w:val="000000"/>
        </w:rPr>
        <w:t>.</w:t>
      </w:r>
    </w:p>
    <w:p w14:paraId="0F62B7AD" w14:textId="77777777" w:rsidR="00E92EC1" w:rsidRPr="00E92EC1" w:rsidRDefault="00E92EC1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92EC1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6A970" w14:textId="0279D821" w:rsidR="00E92EC1" w:rsidRPr="00E92EC1" w:rsidRDefault="00E92EC1" w:rsidP="00E92EC1">
      <w:pPr>
        <w:spacing w:line="360" w:lineRule="auto"/>
        <w:jc w:val="both"/>
        <w:rPr>
          <w:rFonts w:ascii="Book Antiqua" w:eastAsia="MS PGothic" w:hAnsi="Book Antiqua"/>
          <w:b/>
        </w:rPr>
      </w:pPr>
      <w:r w:rsidRPr="00E92EC1">
        <w:rPr>
          <w:rFonts w:ascii="Book Antiqua" w:eastAsia="MS PGothic" w:hAnsi="Book Antiqua"/>
          <w:b/>
        </w:rPr>
        <w:lastRenderedPageBreak/>
        <w:t>Table 1 Transition of the data on day 11 to day 17</w:t>
      </w:r>
    </w:p>
    <w:tbl>
      <w:tblPr>
        <w:tblW w:w="131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6"/>
        <w:gridCol w:w="2370"/>
        <w:gridCol w:w="1823"/>
        <w:gridCol w:w="1823"/>
        <w:gridCol w:w="1823"/>
        <w:gridCol w:w="1823"/>
      </w:tblGrid>
      <w:tr w:rsidR="00385FDB" w:rsidRPr="00E92EC1" w14:paraId="20A41967" w14:textId="77777777" w:rsidTr="008A2C2F">
        <w:trPr>
          <w:trHeight w:val="437"/>
        </w:trPr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FED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26B8" w14:textId="5770145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(Normal range)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A81B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2E1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BFD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15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628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17</w:t>
            </w:r>
          </w:p>
        </w:tc>
      </w:tr>
      <w:tr w:rsidR="00385FDB" w:rsidRPr="00E92EC1" w14:paraId="37CAA1F7" w14:textId="77777777" w:rsidTr="008A2C2F">
        <w:trPr>
          <w:trHeight w:val="437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47C7" w14:textId="6A32C59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WBC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/μ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8273" w14:textId="7F2DE68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(4000-8000)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A60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6DE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482C" w14:textId="5B54796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45000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AE5B" w14:textId="52C16BD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66000</w:t>
            </w:r>
          </w:p>
        </w:tc>
      </w:tr>
      <w:tr w:rsidR="00385FDB" w:rsidRPr="00E92EC1" w14:paraId="5DD0BBA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5074" w14:textId="53121B8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Myelocyte</w:t>
            </w:r>
            <w:r>
              <w:rPr>
                <w:rFonts w:ascii="Book Antiqua" w:eastAsia="MS PGothic" w:hAnsi="Book Antiqua"/>
                <w:bCs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562B" w14:textId="2F587A7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A4F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7D4F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0E0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0030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</w:t>
            </w:r>
          </w:p>
        </w:tc>
      </w:tr>
      <w:tr w:rsidR="00385FDB" w:rsidRPr="00E92EC1" w14:paraId="49B869B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7BB2" w14:textId="7AFB0BF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Metamyelocyte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16B4" w14:textId="350D372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B2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2BA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894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1F1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</w:t>
            </w:r>
          </w:p>
        </w:tc>
      </w:tr>
      <w:tr w:rsidR="00385FDB" w:rsidRPr="00E92EC1" w14:paraId="44E02FF5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0380" w14:textId="7A14980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Stab leukocytes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13CC" w14:textId="7D23F363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0-6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B00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911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56E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9CF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</w:t>
            </w:r>
          </w:p>
        </w:tc>
      </w:tr>
      <w:tr w:rsidR="00385FDB" w:rsidRPr="00E92EC1" w14:paraId="6661333E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9262" w14:textId="7DCF9CF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Segmented leukocytes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A545" w14:textId="2E3E904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45-68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2F9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F52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3EA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0E3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67</w:t>
            </w:r>
          </w:p>
        </w:tc>
      </w:tr>
      <w:tr w:rsidR="00385FDB" w:rsidRPr="00E92EC1" w14:paraId="63EE615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BFBE" w14:textId="7289F1C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Lymphocytes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BD47" w14:textId="32EE694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20-45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73A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54D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668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CE9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</w:tr>
      <w:tr w:rsidR="00385FDB" w:rsidRPr="00E92EC1" w14:paraId="04E89885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D7DE" w14:textId="6D84C9D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Monocytes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4A7F" w14:textId="1B3A89FE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2-8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DE3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1211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818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4D7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</w:t>
            </w:r>
          </w:p>
        </w:tc>
      </w:tr>
      <w:tr w:rsidR="00385FDB" w:rsidRPr="00E92EC1" w14:paraId="7A4934F9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CD34" w14:textId="5B04E51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Eosinophils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2825" w14:textId="55B53344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0-6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F728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746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C1A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232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385FDB" w:rsidRPr="00E92EC1" w14:paraId="1E6BE3D6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2370E" w14:textId="0E16298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RBC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/>
                <w:color w:val="000000"/>
                <w:kern w:val="24"/>
              </w:rPr>
              <w:t>×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 xml:space="preserve"> 10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position w:val="7"/>
                <w:vertAlign w:val="superscript"/>
              </w:rPr>
              <w:t>4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/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0501" w14:textId="7C475A6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380-500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BB4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448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87A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260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05D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303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C4A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318</w:t>
            </w:r>
          </w:p>
        </w:tc>
      </w:tr>
      <w:tr w:rsidR="00385FDB" w:rsidRPr="00E92EC1" w14:paraId="1BFA24C7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4B0E" w14:textId="7986938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Hb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286A" w14:textId="1A30200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12.0-16.0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30D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11.5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937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6.7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945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08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8.6</w:t>
            </w:r>
          </w:p>
        </w:tc>
      </w:tr>
      <w:tr w:rsidR="00385FDB" w:rsidRPr="00E92EC1" w14:paraId="3344E5F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19F9C" w14:textId="5DB6F3F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Platelet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/>
                <w:color w:val="000000"/>
                <w:kern w:val="24"/>
              </w:rPr>
              <w:t>×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 xml:space="preserve"> 10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position w:val="7"/>
                <w:vertAlign w:val="superscript"/>
              </w:rPr>
              <w:t>4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/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2227" w14:textId="01F28DD3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12.0-40.0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944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BA7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1ED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7C5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17.9</w:t>
            </w:r>
          </w:p>
        </w:tc>
      </w:tr>
      <w:tr w:rsidR="00385FDB" w:rsidRPr="00E92EC1" w14:paraId="1ECCB33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6449" w14:textId="17CE570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CRP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34C3" w14:textId="57C5067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&lt;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BC2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29.71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333C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46.82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478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16.93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73F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8.01</w:t>
            </w:r>
          </w:p>
        </w:tc>
      </w:tr>
      <w:tr w:rsidR="00385FDB" w:rsidRPr="00E92EC1" w14:paraId="32C5F8CF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8745" w14:textId="09F9868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TP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3BAD" w14:textId="7B076B5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6.7-8.3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8A06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966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72E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524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4.3</w:t>
            </w:r>
          </w:p>
        </w:tc>
      </w:tr>
      <w:tr w:rsidR="00385FDB" w:rsidRPr="00E92EC1" w14:paraId="592670E6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EB92" w14:textId="7293608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Alb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4018" w14:textId="673FC7C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3.8-5.3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CFA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B6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54C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47F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2.2</w:t>
            </w:r>
          </w:p>
        </w:tc>
      </w:tr>
      <w:tr w:rsidR="00385FDB" w:rsidRPr="00E92EC1" w14:paraId="3AA62C08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FACD" w14:textId="4B8B463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AST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5CBE" w14:textId="09E0509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8-38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98C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ECA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B58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E79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48</w:t>
            </w:r>
          </w:p>
        </w:tc>
      </w:tr>
      <w:tr w:rsidR="00385FDB" w:rsidRPr="00E92EC1" w14:paraId="35E49CA1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F903" w14:textId="2986A612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B438" w14:textId="3A9CD2DD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4-44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D4C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A0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2F3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463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79</w:t>
            </w:r>
          </w:p>
        </w:tc>
      </w:tr>
      <w:tr w:rsidR="00385FDB" w:rsidRPr="00E92EC1" w14:paraId="63F8FA74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99BE" w14:textId="1A963B02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lastRenderedPageBreak/>
              <w:t>LDH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CBE9" w14:textId="4604EB3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120-245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794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6F2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2262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1175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BCC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973</w:t>
            </w:r>
          </w:p>
        </w:tc>
      </w:tr>
      <w:tr w:rsidR="00385FDB" w:rsidRPr="00E92EC1" w14:paraId="2253BF6F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1E03" w14:textId="2F532165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54C2E" w14:textId="00E9470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105-330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A4E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BE9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232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286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D6A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545</w:t>
            </w:r>
          </w:p>
        </w:tc>
      </w:tr>
      <w:tr w:rsidR="00385FDB" w:rsidRPr="00E92EC1" w14:paraId="24B43F99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C04C" w14:textId="4041E00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γ-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GTP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D537" w14:textId="3F4E6D0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&lt;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6AE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424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B60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A1B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72</w:t>
            </w:r>
          </w:p>
        </w:tc>
      </w:tr>
      <w:tr w:rsidR="00385FDB" w:rsidRPr="00E92EC1" w14:paraId="13630A9E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95D1" w14:textId="63F5A6C9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T-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Bil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4679" w14:textId="7E62B00E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0.2-1.2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C7F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8A7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B9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6C3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0.4</w:t>
            </w:r>
          </w:p>
        </w:tc>
      </w:tr>
      <w:tr w:rsidR="00385FDB" w:rsidRPr="00E92EC1" w14:paraId="05B4AB18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0F50" w14:textId="4981785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BUN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74795" w14:textId="1517E93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8.0-20.0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4BA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39.4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6ED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80D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17.8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E9C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14.7</w:t>
            </w:r>
          </w:p>
        </w:tc>
      </w:tr>
      <w:tr w:rsidR="00385FDB" w:rsidRPr="00E92EC1" w14:paraId="389A8DB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759B" w14:textId="76E5095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Cr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mg/dL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BCDC" w14:textId="3B034AD5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0.50-0.86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CFA2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4AB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1.11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8E7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0.77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4CF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0.85</w:t>
            </w:r>
          </w:p>
        </w:tc>
      </w:tr>
      <w:tr w:rsidR="00385FDB" w:rsidRPr="00E92EC1" w14:paraId="6929A09A" w14:textId="77777777" w:rsidTr="008A2C2F">
        <w:trPr>
          <w:trHeight w:val="437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E4ED" w14:textId="1A762F7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e-GFR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mL/min/1.73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</w:t>
            </w:r>
            <w:r w:rsidRPr="00385FDB">
              <w:rPr>
                <w:rFonts w:ascii="Book Antiqua" w:eastAsia="MS PGothic" w:hAnsi="Book Antiqua" w:cs="Arial"/>
                <w:color w:val="000000"/>
                <w:kern w:val="24"/>
                <w:vertAlign w:val="superscript"/>
              </w:rPr>
              <w:t>2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0F18" w14:textId="160DA0B4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&gt;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9B2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20.2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06F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38.2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710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56.4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E8D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50.6</w:t>
            </w:r>
          </w:p>
        </w:tc>
      </w:tr>
    </w:tbl>
    <w:p w14:paraId="6EEEA32B" w14:textId="0BABDD46" w:rsidR="00E92EC1" w:rsidRDefault="00E92EC1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  <w:r w:rsidRPr="00E92EC1">
        <w:rPr>
          <w:rFonts w:ascii="Book Antiqua" w:eastAsia="MS PGothic" w:hAnsi="Book Antiqua"/>
          <w:bCs/>
        </w:rPr>
        <w:t xml:space="preserve">WBC: </w:t>
      </w:r>
      <w:r w:rsidR="00385FDB" w:rsidRPr="00E92EC1">
        <w:rPr>
          <w:rFonts w:ascii="Book Antiqua" w:eastAsia="MS PGothic" w:hAnsi="Book Antiqua"/>
          <w:bCs/>
        </w:rPr>
        <w:t>W</w:t>
      </w:r>
      <w:r w:rsidRPr="00E92EC1">
        <w:rPr>
          <w:rFonts w:ascii="Book Antiqua" w:eastAsia="MS PGothic" w:hAnsi="Book Antiqua"/>
          <w:bCs/>
        </w:rPr>
        <w:t xml:space="preserve">hite blood cells; RBC: </w:t>
      </w:r>
      <w:r w:rsidR="00385FDB" w:rsidRPr="00E92EC1">
        <w:rPr>
          <w:rFonts w:ascii="Book Antiqua" w:eastAsia="MS PGothic" w:hAnsi="Book Antiqua"/>
          <w:bCs/>
        </w:rPr>
        <w:t>R</w:t>
      </w:r>
      <w:r w:rsidRPr="00E92EC1">
        <w:rPr>
          <w:rFonts w:ascii="Book Antiqua" w:eastAsia="MS PGothic" w:hAnsi="Book Antiqua"/>
          <w:bCs/>
        </w:rPr>
        <w:t xml:space="preserve">ed blood cells; Hb: </w:t>
      </w:r>
      <w:r w:rsidR="00385FDB" w:rsidRPr="00E92EC1">
        <w:rPr>
          <w:rFonts w:ascii="Book Antiqua" w:eastAsia="MS PGothic" w:hAnsi="Book Antiqua"/>
          <w:bCs/>
        </w:rPr>
        <w:t>H</w:t>
      </w:r>
      <w:r w:rsidRPr="00E92EC1">
        <w:rPr>
          <w:rFonts w:ascii="Book Antiqua" w:eastAsia="MS PGothic" w:hAnsi="Book Antiqua"/>
          <w:bCs/>
        </w:rPr>
        <w:t xml:space="preserve">emoglobin; CRP: C-reactive protein; TP: </w:t>
      </w:r>
      <w:r w:rsidR="00385FDB" w:rsidRPr="00E92EC1">
        <w:rPr>
          <w:rFonts w:ascii="Book Antiqua" w:eastAsia="MS PGothic" w:hAnsi="Book Antiqua"/>
          <w:bCs/>
        </w:rPr>
        <w:t>T</w:t>
      </w:r>
      <w:r w:rsidRPr="00E92EC1">
        <w:rPr>
          <w:rFonts w:ascii="Book Antiqua" w:eastAsia="MS PGothic" w:hAnsi="Book Antiqua"/>
          <w:bCs/>
        </w:rPr>
        <w:t xml:space="preserve">otal protein; Alb: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lbumin; AST: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spartate aminotransferase; ALT: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lanine aminotransferase; LDH: </w:t>
      </w:r>
      <w:r w:rsidR="00385FDB" w:rsidRPr="00E92EC1">
        <w:rPr>
          <w:rFonts w:ascii="Book Antiqua" w:eastAsia="MS PGothic" w:hAnsi="Book Antiqua"/>
          <w:bCs/>
        </w:rPr>
        <w:t>L</w:t>
      </w:r>
      <w:r w:rsidRPr="00E92EC1">
        <w:rPr>
          <w:rFonts w:ascii="Book Antiqua" w:eastAsia="MS PGothic" w:hAnsi="Book Antiqua"/>
          <w:bCs/>
        </w:rPr>
        <w:t xml:space="preserve">actate dehydrogenase; ALP: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>lkaline phosphatase; γ-GTP: γ-</w:t>
      </w:r>
      <w:proofErr w:type="spellStart"/>
      <w:r w:rsidRPr="00E92EC1">
        <w:rPr>
          <w:rFonts w:ascii="Book Antiqua" w:eastAsia="MS PGothic" w:hAnsi="Book Antiqua"/>
          <w:bCs/>
        </w:rPr>
        <w:t>glutamyl</w:t>
      </w:r>
      <w:proofErr w:type="spellEnd"/>
      <w:r w:rsidRPr="00E92EC1">
        <w:rPr>
          <w:rFonts w:ascii="Book Antiqua" w:eastAsia="MS PGothic" w:hAnsi="Book Antiqua"/>
          <w:bCs/>
        </w:rPr>
        <w:t xml:space="preserve"> </w:t>
      </w:r>
      <w:proofErr w:type="spellStart"/>
      <w:r w:rsidRPr="00E92EC1">
        <w:rPr>
          <w:rFonts w:ascii="Book Antiqua" w:eastAsia="MS PGothic" w:hAnsi="Book Antiqua"/>
          <w:bCs/>
        </w:rPr>
        <w:t>transpeptidase</w:t>
      </w:r>
      <w:proofErr w:type="spellEnd"/>
      <w:r w:rsidRPr="00E92EC1">
        <w:rPr>
          <w:rFonts w:ascii="Book Antiqua" w:eastAsia="MS PGothic" w:hAnsi="Book Antiqua"/>
          <w:bCs/>
        </w:rPr>
        <w:t>; T</w:t>
      </w:r>
      <w:r w:rsidR="00385FDB">
        <w:rPr>
          <w:rFonts w:ascii="Book Antiqua" w:eastAsia="MS PGothic" w:hAnsi="Book Antiqua"/>
          <w:bCs/>
        </w:rPr>
        <w:t>-</w:t>
      </w:r>
      <w:proofErr w:type="spellStart"/>
      <w:r w:rsidRPr="00E92EC1">
        <w:rPr>
          <w:rFonts w:ascii="Book Antiqua" w:eastAsia="MS PGothic" w:hAnsi="Book Antiqua"/>
          <w:bCs/>
        </w:rPr>
        <w:t>Bil</w:t>
      </w:r>
      <w:proofErr w:type="spellEnd"/>
      <w:r w:rsidRPr="00E92EC1">
        <w:rPr>
          <w:rFonts w:ascii="Book Antiqua" w:eastAsia="MS PGothic" w:hAnsi="Book Antiqua"/>
          <w:bCs/>
        </w:rPr>
        <w:t xml:space="preserve">: </w:t>
      </w:r>
      <w:r w:rsidR="00385FDB" w:rsidRPr="00E92EC1">
        <w:rPr>
          <w:rFonts w:ascii="Book Antiqua" w:eastAsia="MS PGothic" w:hAnsi="Book Antiqua"/>
          <w:bCs/>
        </w:rPr>
        <w:t>T</w:t>
      </w:r>
      <w:r w:rsidRPr="00E92EC1">
        <w:rPr>
          <w:rFonts w:ascii="Book Antiqua" w:eastAsia="MS PGothic" w:hAnsi="Book Antiqua"/>
          <w:bCs/>
        </w:rPr>
        <w:t xml:space="preserve">otal bilirubin; BUN: </w:t>
      </w:r>
      <w:r w:rsidR="00385FDB" w:rsidRPr="00E92EC1">
        <w:rPr>
          <w:rFonts w:ascii="Book Antiqua" w:eastAsia="MS PGothic" w:hAnsi="Book Antiqua"/>
          <w:bCs/>
        </w:rPr>
        <w:t>B</w:t>
      </w:r>
      <w:r w:rsidRPr="00E92EC1">
        <w:rPr>
          <w:rFonts w:ascii="Book Antiqua" w:eastAsia="MS PGothic" w:hAnsi="Book Antiqua"/>
          <w:bCs/>
        </w:rPr>
        <w:t xml:space="preserve">lood urea nitrogen; Cr: </w:t>
      </w:r>
      <w:r w:rsidR="00385FDB" w:rsidRPr="00E92EC1">
        <w:rPr>
          <w:rFonts w:ascii="Book Antiqua" w:eastAsia="MS PGothic" w:hAnsi="Book Antiqua"/>
          <w:bCs/>
        </w:rPr>
        <w:t>C</w:t>
      </w:r>
      <w:r w:rsidRPr="00E92EC1">
        <w:rPr>
          <w:rFonts w:ascii="Book Antiqua" w:eastAsia="MS PGothic" w:hAnsi="Book Antiqua"/>
          <w:bCs/>
        </w:rPr>
        <w:t xml:space="preserve">reatinine; e-GFR: </w:t>
      </w:r>
      <w:r w:rsidR="00385FDB" w:rsidRPr="00E92EC1">
        <w:rPr>
          <w:rFonts w:ascii="Book Antiqua" w:eastAsia="MS PGothic" w:hAnsi="Book Antiqua"/>
          <w:bCs/>
        </w:rPr>
        <w:t>E</w:t>
      </w:r>
      <w:r w:rsidRPr="00E92EC1">
        <w:rPr>
          <w:rFonts w:ascii="Book Antiqua" w:eastAsia="MS PGothic" w:hAnsi="Book Antiqua"/>
          <w:bCs/>
        </w:rPr>
        <w:t>stimated glomerular filtration rate</w:t>
      </w:r>
      <w:r w:rsidR="00385FDB">
        <w:rPr>
          <w:rFonts w:ascii="Book Antiqua" w:eastAsia="MS PGothic" w:hAnsi="Book Antiqua"/>
          <w:bCs/>
        </w:rPr>
        <w:t>.</w:t>
      </w:r>
    </w:p>
    <w:p w14:paraId="37B1E418" w14:textId="77777777" w:rsidR="00385FDB" w:rsidRDefault="00385FDB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</w:p>
    <w:p w14:paraId="52D27C89" w14:textId="53F6A201" w:rsidR="00385FDB" w:rsidRPr="00E92EC1" w:rsidRDefault="00385FDB" w:rsidP="00E92EC1">
      <w:pPr>
        <w:spacing w:line="360" w:lineRule="auto"/>
        <w:jc w:val="both"/>
        <w:rPr>
          <w:rFonts w:ascii="Book Antiqua" w:eastAsia="MS PGothic" w:hAnsi="Book Antiqua"/>
          <w:bCs/>
        </w:rPr>
        <w:sectPr w:rsidR="00385FDB" w:rsidRPr="00E92EC1" w:rsidSect="00E92EC1">
          <w:headerReference w:type="default" r:id="rId12"/>
          <w:footerReference w:type="default" r:id="rId13"/>
          <w:pgSz w:w="16838" w:h="11906" w:orient="landscape"/>
          <w:pgMar w:top="1701" w:right="1985" w:bottom="1701" w:left="1701" w:header="851" w:footer="992" w:gutter="0"/>
          <w:cols w:space="425"/>
          <w:docGrid w:linePitch="360"/>
        </w:sectPr>
      </w:pPr>
    </w:p>
    <w:p w14:paraId="7000704E" w14:textId="5EFF3B84" w:rsidR="00E92EC1" w:rsidRPr="00385FDB" w:rsidRDefault="00E92EC1" w:rsidP="00E92EC1">
      <w:pPr>
        <w:spacing w:line="360" w:lineRule="auto"/>
        <w:ind w:right="-1"/>
        <w:jc w:val="both"/>
        <w:rPr>
          <w:rFonts w:ascii="Book Antiqua" w:eastAsia="MS PGothic" w:hAnsi="Book Antiqua"/>
          <w:b/>
        </w:rPr>
      </w:pPr>
      <w:r w:rsidRPr="00385FDB">
        <w:rPr>
          <w:rFonts w:ascii="Book Antiqua" w:eastAsia="MS PGothic" w:hAnsi="Book Antiqua"/>
          <w:b/>
        </w:rPr>
        <w:lastRenderedPageBreak/>
        <w:t>Table 2 Clinical features of phlegmonous gastritis after chemotherapy for hematological malignancy</w:t>
      </w:r>
    </w:p>
    <w:tbl>
      <w:tblPr>
        <w:tblW w:w="145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"/>
        <w:gridCol w:w="1519"/>
        <w:gridCol w:w="639"/>
        <w:gridCol w:w="585"/>
        <w:gridCol w:w="1798"/>
        <w:gridCol w:w="2122"/>
        <w:gridCol w:w="3444"/>
        <w:gridCol w:w="2158"/>
        <w:gridCol w:w="1281"/>
        <w:gridCol w:w="1318"/>
      </w:tblGrid>
      <w:tr w:rsidR="00385FDB" w:rsidRPr="00E92EC1" w14:paraId="2E43D0BF" w14:textId="77777777" w:rsidTr="00341B54">
        <w:trPr>
          <w:trHeight w:val="509"/>
          <w:jc w:val="center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28DA6A28" w14:textId="72CEFAA4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b/>
                <w:bCs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b/>
                <w:bCs/>
                <w:color w:val="000000"/>
                <w:lang w:eastAsia="zh-CN"/>
              </w:rPr>
              <w:t>N</w:t>
            </w:r>
            <w:r>
              <w:rPr>
                <w:rFonts w:ascii="Book Antiqua" w:hAnsi="Book Antiqua" w:cs="MS PGothic"/>
                <w:b/>
                <w:bCs/>
                <w:color w:val="000000"/>
                <w:lang w:eastAsia="zh-CN"/>
              </w:rPr>
              <w:t>o.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46B0" w14:textId="2159AF8F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MS PGothic" w:hAnsi="Book Antiqua" w:cs="MS PGothic"/>
                <w:b/>
                <w:bCs/>
                <w:color w:val="000000"/>
              </w:rPr>
              <w:t>Ref.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C92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Age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6AF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C46" w14:textId="7DF82BEA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 xml:space="preserve">Hematological </w:t>
            </w:r>
            <w:r>
              <w:rPr>
                <w:rFonts w:ascii="Book Antiqua" w:eastAsia="MS PGothic" w:hAnsi="Book Antiqua" w:cs="MS PGothic"/>
                <w:b/>
                <w:bCs/>
                <w:color w:val="000000"/>
              </w:rPr>
              <w:t>m</w:t>
            </w: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alignancy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748" w14:textId="79E67B49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WBC/</w:t>
            </w:r>
            <w:r w:rsidR="00341B54" w:rsidRPr="00341B54">
              <w:rPr>
                <w:rFonts w:ascii="Book Antiqua" w:eastAsia="MS PGothic" w:hAnsi="Book Antiqua"/>
                <w:b/>
              </w:rPr>
              <w:t>neutrophils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46E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Pathogen(s)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08C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Histopathological examination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395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Gastric acid secretion inhibitor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1DC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Outcome</w:t>
            </w:r>
          </w:p>
        </w:tc>
      </w:tr>
      <w:tr w:rsidR="00385FDB" w:rsidRPr="00E92EC1" w14:paraId="35ACA381" w14:textId="77777777" w:rsidTr="00341B54">
        <w:trPr>
          <w:trHeight w:val="509"/>
          <w:jc w:val="center"/>
        </w:trPr>
        <w:tc>
          <w:tcPr>
            <w:tcW w:w="1060" w:type="dxa"/>
            <w:tcBorders>
              <w:top w:val="single" w:sz="4" w:space="0" w:color="auto"/>
            </w:tcBorders>
          </w:tcPr>
          <w:p w14:paraId="2216F5FC" w14:textId="09724FE8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18C" w14:textId="495A7074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Takeuchi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[10]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09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63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81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96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ATLL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83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300/unknown</w:t>
            </w: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1AB" w14:textId="4428461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Gram-positive cocci and Gram-negative bacilli</w:t>
            </w:r>
            <w:r w:rsidR="00341B54">
              <w:rPr>
                <w:rFonts w:ascii="Book Antiqua" w:eastAsia="MS P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8CD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75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H</w:t>
            </w:r>
            <w:r w:rsidRPr="00E92EC1">
              <w:rPr>
                <w:rFonts w:ascii="Book Antiqua" w:eastAsia="MS PGothic" w:hAnsi="Book Antiqua" w:cs="MS PGothic"/>
                <w:color w:val="000000"/>
                <w:vertAlign w:val="subscript"/>
              </w:rPr>
              <w:t>2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>-RA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9F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25BCF25D" w14:textId="77777777" w:rsidTr="00341B54">
        <w:trPr>
          <w:trHeight w:val="509"/>
          <w:jc w:val="center"/>
        </w:trPr>
        <w:tc>
          <w:tcPr>
            <w:tcW w:w="1060" w:type="dxa"/>
          </w:tcPr>
          <w:p w14:paraId="7FD6E31A" w14:textId="47DF5087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B095F7C" w14:textId="1B19E03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Matsumoto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1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0E6C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4C2F64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6ED77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MF and MM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54BAEC4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800/300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37C6F3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thuringiensis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7C28A6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D44AF4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Unknown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F059F4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20AD5CB2" w14:textId="77777777" w:rsidTr="00341B54">
        <w:trPr>
          <w:trHeight w:val="509"/>
          <w:jc w:val="center"/>
        </w:trPr>
        <w:tc>
          <w:tcPr>
            <w:tcW w:w="1060" w:type="dxa"/>
          </w:tcPr>
          <w:p w14:paraId="538DA9F3" w14:textId="5D211692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CAAA5C3" w14:textId="1EBD1FE0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Iqbal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2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60AB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59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1F62FB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91C83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AML</w:t>
            </w:r>
          </w:p>
          <w:p w14:paraId="6FBAB10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 xml:space="preserve"> (2nd relapse)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8276670" w14:textId="1B3DF02B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&lt;</w:t>
            </w:r>
            <w:r w:rsidR="00341B54">
              <w:rPr>
                <w:rFonts w:ascii="Book Antiqua" w:eastAsia="MS PGothic" w:hAnsi="Book Antiqua" w:cs="MS PGothic"/>
                <w:color w:val="000000"/>
              </w:rPr>
              <w:t xml:space="preserve"> 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>100/0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A91B65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Citrobacter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freundii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/Enterococcus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faecalis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/Bacillus cereus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30E32A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2B9155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Unknown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174960D" w14:textId="10D523B9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29637FDD" w14:textId="77777777" w:rsidTr="00341B54">
        <w:trPr>
          <w:trHeight w:val="509"/>
          <w:jc w:val="center"/>
        </w:trPr>
        <w:tc>
          <w:tcPr>
            <w:tcW w:w="1060" w:type="dxa"/>
          </w:tcPr>
          <w:p w14:paraId="135E31F4" w14:textId="596BBC79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5C9E8C3" w14:textId="48243E5A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proofErr w:type="spellStart"/>
            <w:r w:rsidRPr="00385FDB">
              <w:rPr>
                <w:rFonts w:ascii="Book Antiqua" w:eastAsia="MS PGothic" w:hAnsi="Book Antiqua" w:cs="MS PGothic"/>
                <w:color w:val="000000"/>
              </w:rPr>
              <w:t>Inagawa</w:t>
            </w:r>
            <w:proofErr w:type="spellEnd"/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3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3615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CEA6B6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2605C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APL with MF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5B7D30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320/20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828389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Enterobacter cloacae/Enterococcus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 xml:space="preserve"> species/MRS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A0FF2C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0E110F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5556DD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5E37F3B7" w14:textId="77777777" w:rsidTr="00341B54">
        <w:trPr>
          <w:trHeight w:val="509"/>
          <w:jc w:val="center"/>
        </w:trPr>
        <w:tc>
          <w:tcPr>
            <w:tcW w:w="1060" w:type="dxa"/>
          </w:tcPr>
          <w:p w14:paraId="1A197E9C" w14:textId="152A5B35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92D01F2" w14:textId="1FAF1085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5 (14)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097B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7BA7DB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767F2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MPAL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4F987B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70/unknown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3D82AF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Stenotrophomonas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maltophilia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6F4CAA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810283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EE47A63" w14:textId="27F1038B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35ED352D" w14:textId="77777777" w:rsidTr="00341B54">
        <w:trPr>
          <w:trHeight w:val="509"/>
          <w:jc w:val="center"/>
        </w:trPr>
        <w:tc>
          <w:tcPr>
            <w:tcW w:w="1060" w:type="dxa"/>
          </w:tcPr>
          <w:p w14:paraId="234F7F91" w14:textId="5B71271A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38DA5D3" w14:textId="241193A8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Saito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9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F4A2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55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6D4E8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69808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ALL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573C64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100/4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158B7854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cereus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293E7C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F2EF4F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7795CE2" w14:textId="793883FD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6A41A30A" w14:textId="77777777" w:rsidTr="00341B54">
        <w:trPr>
          <w:trHeight w:val="509"/>
          <w:jc w:val="center"/>
        </w:trPr>
        <w:tc>
          <w:tcPr>
            <w:tcW w:w="1060" w:type="dxa"/>
            <w:tcBorders>
              <w:bottom w:val="single" w:sz="4" w:space="0" w:color="auto"/>
            </w:tcBorders>
          </w:tcPr>
          <w:p w14:paraId="4032BE87" w14:textId="53639DB2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7</w:t>
            </w:r>
            <w:r>
              <w:rPr>
                <w:rFonts w:ascii="Book Antiqua" w:hAnsi="Book Antiqua" w:cs="MS PGothic"/>
                <w:color w:val="000000"/>
                <w:lang w:eastAsia="zh-CN"/>
              </w:rPr>
              <w:t xml:space="preserve"> (this case)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87A" w14:textId="2FA5A6C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4F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5F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C5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ALL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39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100/98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E4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cereus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DB7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Executed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C7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P-CAB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EC6" w14:textId="2BCCE507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</w:tbl>
    <w:p w14:paraId="7D88B3E6" w14:textId="72048F76" w:rsidR="00E92EC1" w:rsidRPr="00341B54" w:rsidRDefault="00341B54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  <w:r w:rsidRPr="00341B54">
        <w:rPr>
          <w:rFonts w:ascii="Book Antiqua" w:eastAsia="MS PGothic" w:hAnsi="Book Antiqua"/>
          <w:bCs/>
          <w:vertAlign w:val="superscript"/>
        </w:rPr>
        <w:lastRenderedPageBreak/>
        <w:t>1</w:t>
      </w:r>
      <w:r w:rsidR="00E92EC1" w:rsidRPr="00E92EC1">
        <w:rPr>
          <w:rFonts w:ascii="Book Antiqua" w:eastAsia="MS PGothic" w:hAnsi="Book Antiqua"/>
          <w:bCs/>
        </w:rPr>
        <w:t>Colonies were confirmed, but bacterial species could not be identified.</w:t>
      </w:r>
      <w:r>
        <w:rPr>
          <w:rFonts w:ascii="Book Antiqua" w:eastAsia="MS PGothic" w:hAnsi="Book Antiqua"/>
          <w:bCs/>
        </w:rPr>
        <w:t xml:space="preserve"> </w:t>
      </w:r>
      <w:r w:rsidRPr="00E92EC1">
        <w:rPr>
          <w:rFonts w:ascii="Book Antiqua" w:eastAsia="MS PGothic" w:hAnsi="Book Antiqua"/>
          <w:bCs/>
        </w:rPr>
        <w:t>ATLL: Adult T-cell leukemia/lymphoma; MF: Myelofibrosis; MM: Multiple myeloma; AML: Acute myeloid leukemia; APL: Acute promyelocytic leukemia; MPAL: Mixed-phenotype acute leukemia; ALL: Acute lymphocytic leukemia; WBC: White blood cells; MRS: Methicillin</w:t>
      </w:r>
      <w:r>
        <w:rPr>
          <w:rFonts w:ascii="Book Antiqua" w:eastAsia="MS PGothic" w:hAnsi="Book Antiqua"/>
          <w:bCs/>
        </w:rPr>
        <w:t>-</w:t>
      </w:r>
      <w:r w:rsidRPr="00E92EC1">
        <w:rPr>
          <w:rFonts w:ascii="Book Antiqua" w:eastAsia="MS PGothic" w:hAnsi="Book Antiqua"/>
          <w:bCs/>
        </w:rPr>
        <w:t xml:space="preserve">resistant </w:t>
      </w:r>
      <w:r w:rsidRPr="00E92EC1">
        <w:rPr>
          <w:rFonts w:ascii="Book Antiqua" w:eastAsia="MS PGothic" w:hAnsi="Book Antiqua"/>
          <w:bCs/>
          <w:i/>
        </w:rPr>
        <w:t>Staphylococcus</w:t>
      </w:r>
      <w:r w:rsidRPr="00E92EC1">
        <w:rPr>
          <w:rFonts w:ascii="Book Antiqua" w:eastAsia="MS PGothic" w:hAnsi="Book Antiqua"/>
          <w:bCs/>
        </w:rPr>
        <w:t>; H</w:t>
      </w:r>
      <w:r w:rsidRPr="00E92EC1">
        <w:rPr>
          <w:rFonts w:ascii="Book Antiqua" w:eastAsia="MS PGothic" w:hAnsi="Book Antiqua"/>
          <w:bCs/>
          <w:vertAlign w:val="subscript"/>
        </w:rPr>
        <w:t>2</w:t>
      </w:r>
      <w:r w:rsidRPr="00E92EC1">
        <w:rPr>
          <w:rFonts w:ascii="Book Antiqua" w:eastAsia="MS PGothic" w:hAnsi="Book Antiqua"/>
          <w:bCs/>
        </w:rPr>
        <w:t>-RA: Histamine H</w:t>
      </w:r>
      <w:r w:rsidRPr="00E92EC1">
        <w:rPr>
          <w:rFonts w:ascii="Book Antiqua" w:eastAsia="MS PGothic" w:hAnsi="Book Antiqua"/>
          <w:bCs/>
          <w:vertAlign w:val="subscript"/>
        </w:rPr>
        <w:t>2</w:t>
      </w:r>
      <w:r w:rsidRPr="00E92EC1">
        <w:rPr>
          <w:rFonts w:ascii="Book Antiqua" w:eastAsia="MS PGothic" w:hAnsi="Book Antiqua"/>
          <w:bCs/>
        </w:rPr>
        <w:t>-receptor antagonist, PPI: Proton pump inhibitor; P-CAB: Potassium-competitive acid blocker</w:t>
      </w:r>
      <w:r>
        <w:rPr>
          <w:rFonts w:ascii="Book Antiqua" w:eastAsia="MS PGothic" w:hAnsi="Book Antiqua"/>
          <w:bCs/>
        </w:rPr>
        <w:t>; M: Male; F: Female.</w:t>
      </w:r>
    </w:p>
    <w:sectPr w:rsidR="00E92EC1" w:rsidRPr="00341B54" w:rsidSect="00EE7CE7">
      <w:pgSz w:w="16838" w:h="11906" w:orient="landscape"/>
      <w:pgMar w:top="1418" w:right="284" w:bottom="72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FE5F" w14:textId="77777777" w:rsidR="0044202A" w:rsidRDefault="0044202A" w:rsidP="007B4D4F">
      <w:r>
        <w:separator/>
      </w:r>
    </w:p>
  </w:endnote>
  <w:endnote w:type="continuationSeparator" w:id="0">
    <w:p w14:paraId="5153E6F8" w14:textId="77777777" w:rsidR="0044202A" w:rsidRDefault="0044202A" w:rsidP="007B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BA0C" w14:textId="77777777" w:rsidR="007B4D4F" w:rsidRPr="007B4D4F" w:rsidRDefault="007B4D4F" w:rsidP="007B4D4F">
    <w:pPr>
      <w:pStyle w:val="a4"/>
      <w:jc w:val="right"/>
      <w:rPr>
        <w:rFonts w:ascii="Book Antiqua" w:hAnsi="Book Antiqua"/>
        <w:sz w:val="24"/>
        <w:szCs w:val="24"/>
      </w:rPr>
    </w:pPr>
    <w:r w:rsidRPr="007B4D4F">
      <w:rPr>
        <w:rFonts w:ascii="Book Antiqua" w:hAnsi="Book Antiqua"/>
        <w:sz w:val="24"/>
        <w:szCs w:val="24"/>
        <w:lang w:val="zh-CN" w:eastAsia="zh-CN"/>
      </w:rPr>
      <w:t xml:space="preserve"> </w:t>
    </w:r>
    <w:r w:rsidRPr="007B4D4F">
      <w:rPr>
        <w:rFonts w:ascii="Book Antiqua" w:hAnsi="Book Antiqua"/>
        <w:sz w:val="24"/>
        <w:szCs w:val="24"/>
      </w:rPr>
      <w:fldChar w:fldCharType="begin"/>
    </w:r>
    <w:r w:rsidRPr="007B4D4F">
      <w:rPr>
        <w:rFonts w:ascii="Book Antiqua" w:hAnsi="Book Antiqua"/>
        <w:sz w:val="24"/>
        <w:szCs w:val="24"/>
      </w:rPr>
      <w:instrText>PAGE  \* Arabic  \* MERGEFORMAT</w:instrText>
    </w:r>
    <w:r w:rsidRPr="007B4D4F">
      <w:rPr>
        <w:rFonts w:ascii="Book Antiqua" w:hAnsi="Book Antiqua"/>
        <w:sz w:val="24"/>
        <w:szCs w:val="24"/>
      </w:rPr>
      <w:fldChar w:fldCharType="separate"/>
    </w:r>
    <w:r w:rsidR="00BC60A0" w:rsidRPr="00BC60A0">
      <w:rPr>
        <w:rFonts w:ascii="Book Antiqua" w:hAnsi="Book Antiqua"/>
        <w:noProof/>
        <w:sz w:val="24"/>
        <w:szCs w:val="24"/>
        <w:lang w:val="zh-CN" w:eastAsia="zh-CN"/>
      </w:rPr>
      <w:t>1</w:t>
    </w:r>
    <w:r w:rsidRPr="007B4D4F">
      <w:rPr>
        <w:rFonts w:ascii="Book Antiqua" w:hAnsi="Book Antiqua"/>
        <w:sz w:val="24"/>
        <w:szCs w:val="24"/>
      </w:rPr>
      <w:fldChar w:fldCharType="end"/>
    </w:r>
    <w:r w:rsidRPr="007B4D4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B4D4F">
      <w:rPr>
        <w:rFonts w:ascii="Book Antiqua" w:hAnsi="Book Antiqua"/>
        <w:sz w:val="24"/>
        <w:szCs w:val="24"/>
      </w:rPr>
      <w:fldChar w:fldCharType="begin"/>
    </w:r>
    <w:r w:rsidRPr="007B4D4F">
      <w:rPr>
        <w:rFonts w:ascii="Book Antiqua" w:hAnsi="Book Antiqua"/>
        <w:sz w:val="24"/>
        <w:szCs w:val="24"/>
      </w:rPr>
      <w:instrText>NUMPAGES  \* Arabic  \* MERGEFORMAT</w:instrText>
    </w:r>
    <w:r w:rsidRPr="007B4D4F">
      <w:rPr>
        <w:rFonts w:ascii="Book Antiqua" w:hAnsi="Book Antiqua"/>
        <w:sz w:val="24"/>
        <w:szCs w:val="24"/>
      </w:rPr>
      <w:fldChar w:fldCharType="separate"/>
    </w:r>
    <w:r w:rsidR="00BC60A0" w:rsidRPr="00BC60A0">
      <w:rPr>
        <w:rFonts w:ascii="Book Antiqua" w:hAnsi="Book Antiqua"/>
        <w:noProof/>
        <w:sz w:val="24"/>
        <w:szCs w:val="24"/>
        <w:lang w:val="zh-CN" w:eastAsia="zh-CN"/>
      </w:rPr>
      <w:t>23</w:t>
    </w:r>
    <w:r w:rsidRPr="007B4D4F">
      <w:rPr>
        <w:rFonts w:ascii="Book Antiqua" w:hAnsi="Book Antiqua"/>
        <w:sz w:val="24"/>
        <w:szCs w:val="24"/>
      </w:rPr>
      <w:fldChar w:fldCharType="end"/>
    </w:r>
  </w:p>
  <w:p w14:paraId="43923F66" w14:textId="77777777" w:rsidR="007B4D4F" w:rsidRDefault="007B4D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C78F" w14:textId="58B422B8" w:rsidR="00E92EC1" w:rsidRDefault="00E92EC1" w:rsidP="00F513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60A0" w:rsidRPr="00BC60A0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2B78C" w14:textId="77777777" w:rsidR="0044202A" w:rsidRDefault="0044202A" w:rsidP="007B4D4F">
      <w:r>
        <w:separator/>
      </w:r>
    </w:p>
  </w:footnote>
  <w:footnote w:type="continuationSeparator" w:id="0">
    <w:p w14:paraId="16A642E6" w14:textId="77777777" w:rsidR="0044202A" w:rsidRDefault="0044202A" w:rsidP="007B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50AD" w14:textId="77777777" w:rsidR="00E92EC1" w:rsidRDefault="00E92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20D3"/>
    <w:rsid w:val="00142A5C"/>
    <w:rsid w:val="00341B54"/>
    <w:rsid w:val="00385FDB"/>
    <w:rsid w:val="0044202A"/>
    <w:rsid w:val="004F5583"/>
    <w:rsid w:val="00537C1B"/>
    <w:rsid w:val="005E5D4A"/>
    <w:rsid w:val="007B4D4F"/>
    <w:rsid w:val="007D2A4D"/>
    <w:rsid w:val="008A2C2F"/>
    <w:rsid w:val="008A5D5F"/>
    <w:rsid w:val="00A77B3E"/>
    <w:rsid w:val="00B036F7"/>
    <w:rsid w:val="00B771C2"/>
    <w:rsid w:val="00BC60A0"/>
    <w:rsid w:val="00CA2A55"/>
    <w:rsid w:val="00CF1544"/>
    <w:rsid w:val="00E92EC1"/>
    <w:rsid w:val="00EB368C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48088"/>
  <w15:docId w15:val="{635624F0-CC94-462C-AFC4-5B800E4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2021-05-12T10:17:00Z</dcterms:created>
  <dcterms:modified xsi:type="dcterms:W3CDTF">2021-05-24T09:46:00Z</dcterms:modified>
</cp:coreProperties>
</file>