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7C337" w14:textId="0FCDBB2C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Name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Journal: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color w:val="000000"/>
        </w:rPr>
        <w:t>World</w:t>
      </w:r>
      <w:r w:rsidR="005E5D4A" w:rsidRPr="00E92EC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color w:val="000000"/>
        </w:rPr>
        <w:t>Journal</w:t>
      </w:r>
      <w:r w:rsidR="005E5D4A" w:rsidRPr="00E92EC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color w:val="000000"/>
        </w:rPr>
        <w:t>Clinical</w:t>
      </w:r>
      <w:r w:rsidR="005E5D4A" w:rsidRPr="00E92EC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color w:val="000000"/>
        </w:rPr>
        <w:t>Cases</w:t>
      </w:r>
    </w:p>
    <w:p w14:paraId="7DF8EA65" w14:textId="333E9739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Manuscript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NO: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66515</w:t>
      </w:r>
    </w:p>
    <w:p w14:paraId="51452797" w14:textId="1DFAC76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Manuscript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Type: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</w:t>
      </w:r>
    </w:p>
    <w:p w14:paraId="650CB248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3320599C" w14:textId="1DA65225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0" w:name="OLE_LINK1838"/>
      <w:proofErr w:type="spellStart"/>
      <w:r w:rsidRPr="00E92EC1">
        <w:rPr>
          <w:rFonts w:ascii="Book Antiqua" w:eastAsia="Book Antiqua" w:hAnsi="Book Antiqua" w:cs="Book Antiqua"/>
          <w:b/>
          <w:color w:val="000000"/>
        </w:rPr>
        <w:t>Phlegmonous</w:t>
      </w:r>
      <w:proofErr w:type="spellEnd"/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developed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chemotherapy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acute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lymphocytic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leukemia: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report</w:t>
      </w:r>
    </w:p>
    <w:bookmarkEnd w:id="0"/>
    <w:p w14:paraId="7B1A8D43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44AA2A24" w14:textId="07EFA993" w:rsidR="00A77B3E" w:rsidRPr="00E92EC1" w:rsidRDefault="007B4D4F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Saito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1839"/>
      <w:proofErr w:type="spellStart"/>
      <w:r w:rsidR="00537C1B" w:rsidRPr="00E92EC1">
        <w:rPr>
          <w:rFonts w:ascii="Book Antiqua" w:eastAsia="Book Antiqua" w:hAnsi="Book Antiqua" w:cs="Book Antiqua"/>
          <w:color w:val="000000"/>
        </w:rPr>
        <w:t>Phlegmonous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developed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chemotherapy</w:t>
      </w:r>
      <w:bookmarkEnd w:id="1"/>
    </w:p>
    <w:p w14:paraId="4F1F8902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07D7FB14" w14:textId="49451A3F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Makoto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Saito,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Masanobu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Morioka,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Koh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Izumiyama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Akio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Mori,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Reiki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Ogasawara,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Takeshi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Kondo,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Toru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Miyajima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Emi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Yokoyama,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Satoshi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Tanikawa</w:t>
      </w:r>
      <w:proofErr w:type="spellEnd"/>
    </w:p>
    <w:p w14:paraId="03C7F095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28652E17" w14:textId="693B530C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Makoto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Saito,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Masanobu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Morioka,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b/>
          <w:bCs/>
          <w:color w:val="000000"/>
        </w:rPr>
        <w:t>Koh</w:t>
      </w:r>
      <w:proofErr w:type="spellEnd"/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b/>
          <w:bCs/>
          <w:color w:val="000000"/>
        </w:rPr>
        <w:t>Izumiyama</w:t>
      </w:r>
      <w:proofErr w:type="spellEnd"/>
      <w:r w:rsidRPr="00E92EC1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Akio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Mori,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Reiki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Ogasawara,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Takeshi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Kondo,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Toru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b/>
          <w:bCs/>
          <w:color w:val="000000"/>
        </w:rPr>
        <w:t>Miyajima</w:t>
      </w:r>
      <w:proofErr w:type="spellEnd"/>
      <w:r w:rsidRPr="00E92EC1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Emi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Yokoyama,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6506" w:rsidRPr="00E92EC1">
        <w:rPr>
          <w:rFonts w:ascii="Book Antiqua" w:eastAsia="Book Antiqua" w:hAnsi="Book Antiqua" w:cs="Book Antiqua"/>
          <w:color w:val="000000"/>
        </w:rPr>
        <w:t xml:space="preserve">Department of </w:t>
      </w:r>
      <w:r w:rsidRPr="00E92EC1">
        <w:rPr>
          <w:rFonts w:ascii="Book Antiqua" w:eastAsia="Book Antiqua" w:hAnsi="Book Antiqua" w:cs="Book Antiqua"/>
          <w:color w:val="000000"/>
        </w:rPr>
        <w:t>Internal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Medicine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Hematology,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Aiiku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Hospital,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Sapporo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0640804,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Hokkaido,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Japan</w:t>
      </w:r>
    </w:p>
    <w:p w14:paraId="4CA5F768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16111C76" w14:textId="640F6E78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Satoshi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b/>
          <w:bCs/>
          <w:color w:val="000000"/>
        </w:rPr>
        <w:t>Tanikawa</w:t>
      </w:r>
      <w:proofErr w:type="spellEnd"/>
      <w:r w:rsidRPr="00E92EC1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Department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Cancer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Pathology,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Hokkaido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University,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Faculty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Medicine,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Sapporo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0608638,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Hokkaido,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Japan</w:t>
      </w:r>
    </w:p>
    <w:p w14:paraId="297D9FE1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536B3961" w14:textId="578A8B29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Satoshi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b/>
          <w:bCs/>
          <w:color w:val="000000"/>
        </w:rPr>
        <w:t>Tanikawa</w:t>
      </w:r>
      <w:proofErr w:type="spellEnd"/>
      <w:r w:rsidRPr="00E92EC1">
        <w:rPr>
          <w:rFonts w:ascii="Book Antiqua" w:eastAsia="Book Antiqua" w:hAnsi="Book Antiqua" w:cs="Book Antiqua"/>
          <w:b/>
          <w:bCs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Institute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Reaction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Design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Discovery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(WPI-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ICReDD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),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Hokkaido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University,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Sapporo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001-0021,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Hokkaido,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Japan</w:t>
      </w:r>
    </w:p>
    <w:p w14:paraId="53851262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331F12C4" w14:textId="6AAA59AC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1840"/>
      <w:r w:rsidRPr="00E92EC1">
        <w:rPr>
          <w:rFonts w:ascii="Book Antiqua" w:eastAsia="Book Antiqua" w:hAnsi="Book Antiqua" w:cs="Book Antiqua"/>
          <w:color w:val="000000"/>
        </w:rPr>
        <w:t>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authors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collected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analyzed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patient’s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clinical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data;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Tanikawa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involved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pathological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procedure;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Saito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designed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wrote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manuscript</w:t>
      </w:r>
      <w:r w:rsidR="007B4D4F" w:rsidRPr="00E92EC1">
        <w:rPr>
          <w:rFonts w:ascii="Book Antiqua" w:eastAsia="Book Antiqua" w:hAnsi="Book Antiqua" w:cs="Book Antiqua"/>
          <w:color w:val="000000"/>
        </w:rPr>
        <w:t>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a</w:t>
      </w:r>
      <w:r w:rsidRPr="00E92EC1">
        <w:rPr>
          <w:rFonts w:ascii="Book Antiqua" w:eastAsia="Book Antiqua" w:hAnsi="Book Antiqua" w:cs="Book Antiqua"/>
          <w:color w:val="000000"/>
        </w:rPr>
        <w:t>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authors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agree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accountable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aspects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work.</w:t>
      </w:r>
      <w:bookmarkEnd w:id="2"/>
    </w:p>
    <w:p w14:paraId="516D12FB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607E12A1" w14:textId="6B2FE008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Makoto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Saito,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1544" w:rsidRPr="00E92EC1">
        <w:rPr>
          <w:rFonts w:ascii="Book Antiqua" w:eastAsia="Book Antiqua" w:hAnsi="Book Antiqua" w:cs="Book Antiqua"/>
          <w:color w:val="000000"/>
        </w:rPr>
        <w:t xml:space="preserve">Department of </w:t>
      </w:r>
      <w:r w:rsidRPr="00E92EC1">
        <w:rPr>
          <w:rFonts w:ascii="Book Antiqua" w:eastAsia="Book Antiqua" w:hAnsi="Book Antiqua" w:cs="Book Antiqua"/>
          <w:color w:val="000000"/>
        </w:rPr>
        <w:t>Internal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Medicine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Hematology,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Aiiku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Hospital,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Chuo-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ku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Minami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Nishi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25,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Sapporo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0640804,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Hokkaido,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Japan.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ikyoku@aiiku-hp.or.jp</w:t>
      </w:r>
    </w:p>
    <w:p w14:paraId="5F9D9675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3BA1FCE4" w14:textId="41613CC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April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2021</w:t>
      </w:r>
    </w:p>
    <w:p w14:paraId="506F905E" w14:textId="4D175925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April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26,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2021</w:t>
      </w:r>
    </w:p>
    <w:p w14:paraId="6302424F" w14:textId="60B332F6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42A5C" w:rsidRPr="00142A5C">
        <w:rPr>
          <w:rFonts w:ascii="Book Antiqua" w:eastAsia="Book Antiqua" w:hAnsi="Book Antiqua" w:cs="Book Antiqua"/>
          <w:bCs/>
          <w:color w:val="000000"/>
        </w:rPr>
        <w:t>May 24, 2021</w:t>
      </w:r>
    </w:p>
    <w:p w14:paraId="68B6BA92" w14:textId="0709E639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6540" w:rsidRPr="00E4749E">
        <w:rPr>
          <w:rFonts w:ascii="Book Antiqua" w:eastAsia="Book Antiqua" w:hAnsi="Book Antiqua" w:cs="Book Antiqua"/>
          <w:color w:val="000000"/>
        </w:rPr>
        <w:t>August 6</w:t>
      </w:r>
      <w:r w:rsidR="00EC6540" w:rsidRPr="00E93FA3">
        <w:rPr>
          <w:rFonts w:ascii="Book Antiqua" w:eastAsia="Book Antiqua" w:hAnsi="Book Antiqua" w:cs="Book Antiqua"/>
          <w:color w:val="000000"/>
        </w:rPr>
        <w:t>, 2021</w:t>
      </w:r>
    </w:p>
    <w:p w14:paraId="45206621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  <w:sectPr w:rsidR="00A77B3E" w:rsidRPr="00E92EC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FAD9D5" w14:textId="777777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0836BB0" w14:textId="777777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BACKGROUND</w:t>
      </w:r>
    </w:p>
    <w:p w14:paraId="2CC71854" w14:textId="500F2D99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3" w:name="OLE_LINK1843"/>
      <w:proofErr w:type="spellStart"/>
      <w:r w:rsidRPr="00E92EC1">
        <w:rPr>
          <w:rFonts w:ascii="Book Antiqua" w:eastAsia="Book Antiqua" w:hAnsi="Book Antiqua" w:cs="Book Antiqua"/>
          <w:color w:val="000000"/>
        </w:rPr>
        <w:t>Phlegmonous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(PG)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infectious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disease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characterized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neutrophil-based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purulent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inflammation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most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representative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bacterium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pyogenes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followed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Pneumococcus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Hepatic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portal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(HPVG)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considered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potentially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fatal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condition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rarely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associated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PG.</w:t>
      </w:r>
    </w:p>
    <w:bookmarkEnd w:id="3"/>
    <w:p w14:paraId="6CFD1CBD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454470C7" w14:textId="6811D4B1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SUMMARY</w:t>
      </w:r>
    </w:p>
    <w:p w14:paraId="6DA74E58" w14:textId="02B29259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4" w:name="OLE_LINK1844"/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blood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cell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count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70-year-old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woman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lymphocytic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leukemia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complete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remission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dropped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100/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after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consolidation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vital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signs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consistent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septic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shock.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blood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culture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revealed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presence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Abdominal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computed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tomography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(</w:t>
      </w:r>
      <w:r w:rsidRPr="00E92EC1">
        <w:rPr>
          <w:rFonts w:ascii="Book Antiqua" w:eastAsia="Book Antiqua" w:hAnsi="Book Antiqua" w:cs="Book Antiqua"/>
          <w:color w:val="000000"/>
        </w:rPr>
        <w:t>CT</w:t>
      </w:r>
      <w:r w:rsidR="007B4D4F" w:rsidRPr="00E92EC1">
        <w:rPr>
          <w:rFonts w:ascii="Book Antiqua" w:eastAsia="Book Antiqua" w:hAnsi="Book Antiqua" w:cs="Book Antiqua"/>
          <w:color w:val="000000"/>
        </w:rPr>
        <w:t>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esophagogastroduodenoscopy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(EGD)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marked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thickening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other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suggestive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EGD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pseudomembrane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-like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tissue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covering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superficial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mucosa.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Histopathological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examination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biopsy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specimens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mostly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tissue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lymphocytes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rather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neutrophils.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Culture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specimens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revealed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presence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finally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diagnosed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Pr="00E92EC1">
        <w:rPr>
          <w:rFonts w:ascii="Book Antiqua" w:eastAsia="Book Antiqua" w:hAnsi="Book Antiqua" w:cs="Book Antiqua"/>
          <w:color w:val="000000"/>
        </w:rPr>
        <w:t>-induced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sepsis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recovered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successfully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conservative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treatment,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chiefly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using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carbapenem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antibiotics.</w:t>
      </w:r>
    </w:p>
    <w:bookmarkEnd w:id="4"/>
    <w:p w14:paraId="46756DD2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2202E1D7" w14:textId="777777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CONCLUSION</w:t>
      </w:r>
    </w:p>
    <w:p w14:paraId="639EB2B2" w14:textId="21BCA078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5" w:name="OLE_LINK1845"/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histopathological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biopsy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specimen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should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called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"</w:t>
      </w:r>
      <w:r w:rsidR="007B4D4F" w:rsidRPr="00E92EC1">
        <w:rPr>
          <w:rFonts w:ascii="Book Antiqua" w:eastAsia="Book Antiqua" w:hAnsi="Book Antiqua" w:cs="Book Antiqua"/>
          <w:color w:val="000000"/>
        </w:rPr>
        <w:t>n</w:t>
      </w:r>
      <w:r w:rsidRPr="00E92EC1">
        <w:rPr>
          <w:rFonts w:ascii="Book Antiqua" w:eastAsia="Book Antiqua" w:hAnsi="Book Antiqua" w:cs="Book Antiqua"/>
          <w:color w:val="000000"/>
        </w:rPr>
        <w:t>eutropenic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necrotizing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gastritis".</w:t>
      </w:r>
    </w:p>
    <w:bookmarkEnd w:id="5"/>
    <w:p w14:paraId="5A3A3C57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0729C21B" w14:textId="1E28EB76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1841"/>
      <w:proofErr w:type="spellStart"/>
      <w:r w:rsidR="007B4D4F" w:rsidRPr="00E92EC1">
        <w:rPr>
          <w:rFonts w:ascii="Book Antiqua" w:eastAsia="Book Antiqua" w:hAnsi="Book Antiqua" w:cs="Book Antiqua"/>
          <w:color w:val="000000"/>
        </w:rPr>
        <w:t>P</w:t>
      </w:r>
      <w:r w:rsidRPr="00E92EC1">
        <w:rPr>
          <w:rFonts w:ascii="Book Antiqua" w:eastAsia="Book Antiqua" w:hAnsi="Book Antiqua" w:cs="Book Antiqua"/>
          <w:color w:val="000000"/>
        </w:rPr>
        <w:t>hlegmonous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C</w:t>
      </w:r>
      <w:r w:rsidRPr="00E92EC1">
        <w:rPr>
          <w:rFonts w:ascii="Book Antiqua" w:eastAsia="Book Antiqua" w:hAnsi="Book Antiqua" w:cs="Book Antiqua"/>
          <w:color w:val="000000"/>
        </w:rPr>
        <w:t>hemotherapy;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neutropenia;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Pr="00E92EC1">
        <w:rPr>
          <w:rFonts w:ascii="Book Antiqua" w:eastAsia="Book Antiqua" w:hAnsi="Book Antiqua" w:cs="Book Antiqua"/>
          <w:color w:val="000000"/>
        </w:rPr>
        <w:t>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H</w:t>
      </w:r>
      <w:r w:rsidRPr="00E92EC1">
        <w:rPr>
          <w:rFonts w:ascii="Book Antiqua" w:eastAsia="Book Antiqua" w:hAnsi="Book Antiqua" w:cs="Book Antiqua"/>
          <w:color w:val="000000"/>
        </w:rPr>
        <w:t>istopathology;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C</w:t>
      </w:r>
      <w:r w:rsidRPr="00E92EC1">
        <w:rPr>
          <w:rFonts w:ascii="Book Antiqua" w:eastAsia="Book Antiqua" w:hAnsi="Book Antiqua" w:cs="Book Antiqua"/>
          <w:color w:val="000000"/>
        </w:rPr>
        <w:t>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</w:t>
      </w:r>
      <w:bookmarkEnd w:id="6"/>
    </w:p>
    <w:p w14:paraId="6CFE01CA" w14:textId="77777777" w:rsidR="009034C4" w:rsidRDefault="009034C4" w:rsidP="009034C4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6797837D" w14:textId="77777777" w:rsidR="009034C4" w:rsidRPr="00026CB8" w:rsidRDefault="009034C4" w:rsidP="009034C4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lastRenderedPageBreak/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680839E2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1C5AC35E" w14:textId="70CF712F" w:rsidR="00C76307" w:rsidRPr="009034C4" w:rsidRDefault="009034C4" w:rsidP="00C76307">
      <w:pPr>
        <w:adjustRightInd w:val="0"/>
        <w:snapToGrid w:val="0"/>
        <w:spacing w:line="360" w:lineRule="auto"/>
        <w:rPr>
          <w:rFonts w:ascii="Book Antiqua" w:hAnsi="Book Antiqua" w:cs="Book Antiqua"/>
          <w:lang w:val="pt-BR" w:eastAsia="zh-CN"/>
        </w:rPr>
      </w:pPr>
      <w:r w:rsidRPr="009034C4">
        <w:rPr>
          <w:rFonts w:ascii="Book Antiqua" w:eastAsia="Book Antiqua" w:hAnsi="Book Antiqua" w:cs="Book Antiqua"/>
          <w:b/>
          <w:color w:val="000000"/>
        </w:rPr>
        <w:t>Citation:</w:t>
      </w:r>
      <w:r w:rsidRPr="009034C4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Saito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Morioka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37C1B" w:rsidRPr="00E92EC1">
        <w:rPr>
          <w:rFonts w:ascii="Book Antiqua" w:eastAsia="Book Antiqua" w:hAnsi="Book Antiqua" w:cs="Book Antiqua"/>
          <w:color w:val="000000"/>
        </w:rPr>
        <w:t>Izumiyama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Mori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Ogasawara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R,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Kondo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37C1B" w:rsidRPr="00E92EC1">
        <w:rPr>
          <w:rFonts w:ascii="Book Antiqua" w:eastAsia="Book Antiqua" w:hAnsi="Book Antiqua" w:cs="Book Antiqua"/>
          <w:color w:val="000000"/>
        </w:rPr>
        <w:t>Miyajima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37C1B" w:rsidRPr="00E92EC1">
        <w:rPr>
          <w:rFonts w:ascii="Book Antiqua" w:eastAsia="Book Antiqua" w:hAnsi="Book Antiqua" w:cs="Book Antiqua"/>
          <w:color w:val="000000"/>
        </w:rPr>
        <w:t>Yokoyama</w:t>
      </w:r>
      <w:proofErr w:type="gram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37C1B" w:rsidRPr="00E92EC1">
        <w:rPr>
          <w:rFonts w:ascii="Book Antiqua" w:eastAsia="Book Antiqua" w:hAnsi="Book Antiqua" w:cs="Book Antiqua"/>
          <w:color w:val="000000"/>
        </w:rPr>
        <w:t>Tanikawa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37C1B" w:rsidRPr="00E92EC1">
        <w:rPr>
          <w:rFonts w:ascii="Book Antiqua" w:eastAsia="Book Antiqua" w:hAnsi="Book Antiqua" w:cs="Book Antiqua"/>
          <w:color w:val="000000"/>
        </w:rPr>
        <w:t>Phlegmonous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developed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chemotherapy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acute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lymphocytic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leukemia: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report.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37C1B" w:rsidRPr="00E92EC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_Hlk56867303"/>
      <w:r w:rsidR="00C76307" w:rsidRPr="00D2753A">
        <w:rPr>
          <w:rFonts w:ascii="Book Antiqua" w:eastAsia="Book Antiqua" w:hAnsi="Book Antiqua" w:cs="Book Antiqua"/>
          <w:lang w:val="pt-BR"/>
        </w:rPr>
        <w:t>2021; 9(</w:t>
      </w:r>
      <w:r w:rsidR="00C76307">
        <w:rPr>
          <w:rFonts w:ascii="Book Antiqua" w:eastAsia="Book Antiqua" w:hAnsi="Book Antiqua" w:cs="Book Antiqua"/>
          <w:lang w:val="pt-BR"/>
        </w:rPr>
        <w:t>22</w:t>
      </w:r>
      <w:r w:rsidR="00C76307" w:rsidRPr="00D2753A">
        <w:rPr>
          <w:rFonts w:ascii="Book Antiqua" w:eastAsia="Book Antiqua" w:hAnsi="Book Antiqua" w:cs="Book Antiqua"/>
          <w:lang w:val="pt-BR"/>
        </w:rPr>
        <w:t xml:space="preserve">): </w:t>
      </w:r>
      <w:r>
        <w:rPr>
          <w:rFonts w:ascii="Book Antiqua" w:hAnsi="Book Antiqua" w:cs="Book Antiqua" w:hint="eastAsia"/>
          <w:lang w:val="pt-BR" w:eastAsia="zh-CN"/>
        </w:rPr>
        <w:t>6493-6500</w:t>
      </w:r>
      <w:r w:rsidR="00C76307" w:rsidRPr="00D2753A">
        <w:rPr>
          <w:rFonts w:ascii="Book Antiqua" w:eastAsia="Book Antiqua" w:hAnsi="Book Antiqua" w:cs="Book Antiqua"/>
          <w:lang w:val="pt-BR"/>
        </w:rPr>
        <w:t xml:space="preserve"> URL: https://www.wjgnet.com/2307-8960/full/v9/i</w:t>
      </w:r>
      <w:r w:rsidR="00C76307">
        <w:rPr>
          <w:rFonts w:ascii="Book Antiqua" w:eastAsia="Book Antiqua" w:hAnsi="Book Antiqua" w:cs="Book Antiqua"/>
          <w:lang w:val="pt-BR"/>
        </w:rPr>
        <w:t>22</w:t>
      </w:r>
      <w:r w:rsidR="00C76307" w:rsidRPr="00D2753A">
        <w:rPr>
          <w:rFonts w:ascii="Book Antiqua" w:eastAsia="Book Antiqua" w:hAnsi="Book Antiqua" w:cs="Book Antiqua"/>
          <w:lang w:val="pt-BR"/>
        </w:rPr>
        <w:t>/</w:t>
      </w:r>
      <w:r>
        <w:rPr>
          <w:rFonts w:ascii="Book Antiqua" w:hAnsi="Book Antiqua" w:cs="Book Antiqua" w:hint="eastAsia"/>
          <w:lang w:val="pt-BR" w:eastAsia="zh-CN"/>
        </w:rPr>
        <w:t>6493</w:t>
      </w:r>
      <w:r w:rsidR="00C76307" w:rsidRPr="00D2753A">
        <w:rPr>
          <w:rFonts w:ascii="Book Antiqua" w:eastAsia="Book Antiqua" w:hAnsi="Book Antiqua" w:cs="Book Antiqua"/>
          <w:lang w:val="pt-BR"/>
        </w:rPr>
        <w:t>.htm</w:t>
      </w:r>
      <w:r w:rsidR="00C76307">
        <w:rPr>
          <w:rFonts w:ascii="Book Antiqua" w:eastAsia="Book Antiqua" w:hAnsi="Book Antiqua" w:cs="Book Antiqua"/>
          <w:lang w:val="pt-BR"/>
        </w:rPr>
        <w:t xml:space="preserve"> </w:t>
      </w:r>
      <w:r w:rsidR="00C76307" w:rsidRPr="00D2753A">
        <w:rPr>
          <w:rFonts w:ascii="Book Antiqua" w:eastAsia="Book Antiqua" w:hAnsi="Book Antiqua" w:cs="Book Antiqua"/>
          <w:lang w:val="pt-BR"/>
        </w:rPr>
        <w:t>DOI: https://dx.doi.org/10.12998/wjcc.v9.i</w:t>
      </w:r>
      <w:r w:rsidR="00C76307">
        <w:rPr>
          <w:rFonts w:ascii="Book Antiqua" w:eastAsia="Book Antiqua" w:hAnsi="Book Antiqua" w:cs="Book Antiqua"/>
          <w:lang w:val="pt-BR"/>
        </w:rPr>
        <w:t>22</w:t>
      </w:r>
      <w:r w:rsidR="00C76307" w:rsidRPr="00D2753A">
        <w:rPr>
          <w:rFonts w:ascii="Book Antiqua" w:eastAsia="Book Antiqua" w:hAnsi="Book Antiqua" w:cs="Book Antiqua"/>
          <w:lang w:val="pt-BR"/>
        </w:rPr>
        <w:t>.</w:t>
      </w:r>
      <w:r>
        <w:rPr>
          <w:rFonts w:ascii="Book Antiqua" w:hAnsi="Book Antiqua" w:cs="Book Antiqua" w:hint="eastAsia"/>
          <w:lang w:val="pt-BR" w:eastAsia="zh-CN"/>
        </w:rPr>
        <w:t>6493</w:t>
      </w:r>
    </w:p>
    <w:bookmarkEnd w:id="7"/>
    <w:p w14:paraId="333EBB51" w14:textId="61059F0D" w:rsidR="00A77B3E" w:rsidRPr="00C76307" w:rsidRDefault="00A77B3E" w:rsidP="00E92EC1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08A4E3A7" w14:textId="1D4475B2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1842"/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B4D4F" w:rsidRPr="00E92EC1">
        <w:rPr>
          <w:rFonts w:ascii="Book Antiqua" w:eastAsia="Book Antiqua" w:hAnsi="Book Antiqua" w:cs="Book Antiqua"/>
          <w:color w:val="000000"/>
        </w:rPr>
        <w:t>phlegmonous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B368C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B368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B368C">
        <w:rPr>
          <w:rFonts w:ascii="Book Antiqua" w:eastAsia="Book Antiqua" w:hAnsi="Book Antiqua" w:cs="Book Antiqua"/>
          <w:i/>
          <w:iCs/>
          <w:color w:val="000000"/>
        </w:rPr>
        <w:t>cereus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neutropenic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after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consolidation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acute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lymphocytic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leukemia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Including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analyzed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similar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past.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Histopathological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examination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biopsy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performed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two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both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characteristic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should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called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"neutropenic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necrotizing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gastritis"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observed.</w:t>
      </w:r>
      <w:bookmarkEnd w:id="8"/>
    </w:p>
    <w:p w14:paraId="466D4E15" w14:textId="77777777" w:rsidR="007B4D4F" w:rsidRPr="00E92EC1" w:rsidRDefault="007B4D4F" w:rsidP="00E92EC1">
      <w:pPr>
        <w:spacing w:line="360" w:lineRule="auto"/>
        <w:jc w:val="both"/>
        <w:rPr>
          <w:rFonts w:ascii="Book Antiqua" w:hAnsi="Book Antiqua"/>
        </w:rPr>
        <w:sectPr w:rsidR="007B4D4F" w:rsidRPr="00E92E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DAB0D6" w14:textId="777777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ABEF19C" w14:textId="71DD311C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9" w:name="OLE_LINK1846"/>
      <w:proofErr w:type="spellStart"/>
      <w:r w:rsidRPr="00E92EC1">
        <w:rPr>
          <w:rFonts w:ascii="Book Antiqua" w:eastAsia="Book Antiqua" w:hAnsi="Book Antiqua" w:cs="Book Antiqua"/>
          <w:color w:val="000000"/>
        </w:rPr>
        <w:t>Phlegmonous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(PG)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infectious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disease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characterized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neutrophil-based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purulent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inflammation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starting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from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submucosa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muscularis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layers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2EC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approximately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70%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causes,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bacterium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pyogenes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other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include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Staphylococcus,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Pneumococcus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2EC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Alcoholism,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mucosal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injury,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hemorrhage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immunosuppression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risk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factors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PG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2EC1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regarded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disease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high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mortality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approximately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40%,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even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treated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timely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manner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2EC1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few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hematological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malignancies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2EC1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developed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after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having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lymphoma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extramedullary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leukemia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stomach,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early.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other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hand,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hepatic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portal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(HPVG)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also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still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considered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potentially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fatal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condition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occur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intestinal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ischemia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necrosis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rarely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associated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E92EC1">
        <w:rPr>
          <w:rFonts w:ascii="Book Antiqua" w:eastAsia="Book Antiqua" w:hAnsi="Book Antiqua" w:cs="Book Antiqua"/>
          <w:color w:val="000000"/>
        </w:rPr>
        <w:t>.</w:t>
      </w:r>
    </w:p>
    <w:p w14:paraId="1A47CEDB" w14:textId="29EA4CDF" w:rsidR="00A77B3E" w:rsidRPr="00E92EC1" w:rsidRDefault="00537C1B" w:rsidP="00E92EC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Previously,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Pr="00E92EC1">
        <w:rPr>
          <w:rFonts w:ascii="Book Antiqua" w:eastAsia="Book Antiqua" w:hAnsi="Book Antiqua" w:cs="Book Antiqua"/>
          <w:color w:val="000000"/>
        </w:rPr>
        <w:t>-induced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sepsis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neutrophil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count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markedly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reduced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lymphocytic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leukemia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(ALL)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study,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similar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pathological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condition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accompanied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followed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multiple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abscesses.</w:t>
      </w:r>
    </w:p>
    <w:bookmarkEnd w:id="9"/>
    <w:p w14:paraId="4FD77196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172D7304" w14:textId="7081D8BA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5E5D4A"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45A22D08" w14:textId="61F2F66B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9A657CE" w14:textId="32F8E0CB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0" w:name="OLE_LINK1847"/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70-year-old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woman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complained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low-grade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fever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(37.5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°C),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general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fatigue,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loss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appetite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nausea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watery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diarrhea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beginning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started).</w:t>
      </w:r>
    </w:p>
    <w:bookmarkEnd w:id="10"/>
    <w:p w14:paraId="7D837A1C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37F0832D" w14:textId="35BF1742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0E52AB1" w14:textId="5F01A8CD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1" w:name="OLE_LINK1848"/>
      <w:r w:rsidRPr="00E92EC1">
        <w:rPr>
          <w:rFonts w:ascii="Book Antiqua" w:eastAsia="Book Antiqua" w:hAnsi="Book Antiqua" w:cs="Book Antiqua"/>
          <w:color w:val="000000"/>
        </w:rPr>
        <w:t>Four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months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ago,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developed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achieved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complete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remission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(CR)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induction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received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consolidation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cytarabine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(1.4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times/d</w:t>
      </w:r>
      <w:proofErr w:type="gramEnd"/>
      <w:r w:rsidRPr="00E92EC1">
        <w:rPr>
          <w:rFonts w:ascii="Book Antiqua" w:eastAsia="Book Antiqua" w:hAnsi="Book Antiqua" w:cs="Book Antiqua"/>
          <w:color w:val="000000"/>
        </w:rPr>
        <w:t>),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etoposide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(100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mg/d)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dexamethasone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(33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mg/d)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first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1),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intrathecal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injection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methotrexate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(15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mg),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cytarabine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(40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mg)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lastRenderedPageBreak/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prednisolone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(10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mg)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also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administered.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blood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cell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count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(WBC)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began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decrease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steadily,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granulocyte-colony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stimulating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factor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(G-CSF)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preparation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7B4D4F" w:rsidRPr="00E92EC1">
        <w:rPr>
          <w:rFonts w:ascii="Book Antiqua" w:eastAsia="Book Antiqua" w:hAnsi="Book Antiqua" w:cs="Book Antiqua"/>
          <w:color w:val="000000"/>
        </w:rPr>
        <w:t>l</w:t>
      </w:r>
      <w:r w:rsidRPr="00E92EC1">
        <w:rPr>
          <w:rFonts w:ascii="Book Antiqua" w:eastAsia="Book Antiqua" w:hAnsi="Book Antiqua" w:cs="Book Antiqua"/>
          <w:color w:val="000000"/>
        </w:rPr>
        <w:t>enograstim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used,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but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decline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continued.</w:t>
      </w:r>
    </w:p>
    <w:bookmarkEnd w:id="11"/>
    <w:p w14:paraId="12A39DDF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29EC3820" w14:textId="6A14395D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past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631DB5F" w14:textId="5352C771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2" w:name="OLE_LINK1849"/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medication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dyslipidemia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gastroesophageal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reflux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disease.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latter,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taking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vonoprazan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(10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mg)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before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developed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disease.</w:t>
      </w:r>
    </w:p>
    <w:bookmarkEnd w:id="12"/>
    <w:p w14:paraId="21B9AABF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6AD8360E" w14:textId="6554142B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39E9AAB" w14:textId="7A835B2A" w:rsidR="00A77B3E" w:rsidRPr="00E92EC1" w:rsidRDefault="007B4D4F" w:rsidP="00E92EC1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3" w:name="OLE_LINK1850"/>
      <w:r w:rsidRPr="00E92EC1">
        <w:rPr>
          <w:rFonts w:ascii="Book Antiqua" w:eastAsia="Book Antiqua" w:hAnsi="Book Antiqua" w:cs="Book Antiqua"/>
          <w:color w:val="000000"/>
        </w:rPr>
        <w:t>There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Cs/>
          <w:iCs/>
          <w:color w:val="000000"/>
        </w:rPr>
        <w:t>personal</w:t>
      </w:r>
      <w:r w:rsidR="005E5D4A" w:rsidRPr="00E92EC1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Cs/>
          <w:iCs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Cs/>
          <w:iCs/>
          <w:color w:val="000000"/>
        </w:rPr>
        <w:t>family</w:t>
      </w:r>
      <w:r w:rsidR="005E5D4A" w:rsidRPr="00E92EC1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Cs/>
          <w:iCs/>
          <w:color w:val="000000"/>
        </w:rPr>
        <w:t>history</w:t>
      </w:r>
      <w:r w:rsidRPr="00E92EC1">
        <w:rPr>
          <w:rFonts w:ascii="Book Antiqua" w:hAnsi="Book Antiqua"/>
          <w:bCs/>
          <w:iCs/>
          <w:lang w:eastAsia="zh-CN"/>
        </w:rPr>
        <w:t>.</w:t>
      </w:r>
    </w:p>
    <w:bookmarkEnd w:id="13"/>
    <w:p w14:paraId="76A05507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7FEAF59C" w14:textId="5D8E9E4E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73DD5C7A" w14:textId="53744B6D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4" w:name="OLE_LINK1851"/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11,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exhibited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following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vital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signs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consistent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septic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shock: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body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temperature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increase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38.1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°C;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temporary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drop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blood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pressure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78/60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mmHg;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heart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126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beats/min</w:t>
      </w:r>
      <w:proofErr w:type="gramEnd"/>
      <w:r w:rsidRPr="00E92EC1">
        <w:rPr>
          <w:rFonts w:ascii="Book Antiqua" w:eastAsia="Book Antiqua" w:hAnsi="Book Antiqua" w:cs="Book Antiqua"/>
          <w:color w:val="000000"/>
        </w:rPr>
        <w:t>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respiratory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breaths/min;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pulse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oximetry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(SpO</w:t>
      </w:r>
      <w:r w:rsidRPr="00E92EC1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E92EC1">
        <w:rPr>
          <w:rFonts w:ascii="Book Antiqua" w:eastAsia="Book Antiqua" w:hAnsi="Book Antiqua" w:cs="Book Antiqua"/>
          <w:color w:val="000000"/>
        </w:rPr>
        <w:t>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96%.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obviously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sick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lying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down,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but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apparent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loss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consciousness.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Physical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examination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revealed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mild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tenderness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upper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abdomen.</w:t>
      </w:r>
    </w:p>
    <w:bookmarkEnd w:id="14"/>
    <w:p w14:paraId="0E31A970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223DDD92" w14:textId="20A76D21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A69E023" w14:textId="57641B8B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5" w:name="OLE_LINK1852"/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blood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culture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later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found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reveal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presence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culture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tip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removed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central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catheter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negative.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other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data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Table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WBC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decreased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100/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(also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C-reactive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protein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(CRP)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levels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increased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rapidly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29.71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mg/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dL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46.82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mg/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dL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WBC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markedly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increased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45000/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66000/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despite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stopping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G-CSF.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dysfunction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observed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conjunction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elevated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WBC.</w:t>
      </w:r>
    </w:p>
    <w:bookmarkEnd w:id="15"/>
    <w:p w14:paraId="0AC87E1A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489A67B0" w14:textId="1FAC89AF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5E5D4A" w:rsidRPr="00E92EC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688A646" w14:textId="5002CC49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6" w:name="OLE_LINK1853"/>
      <w:r w:rsidRPr="00E92EC1">
        <w:rPr>
          <w:rFonts w:ascii="Book Antiqua" w:eastAsia="Book Antiqua" w:hAnsi="Book Antiqua" w:cs="Book Antiqua"/>
          <w:color w:val="000000"/>
        </w:rPr>
        <w:lastRenderedPageBreak/>
        <w:t>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abdominal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computed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tomography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7B4D4F" w:rsidRPr="00E92EC1">
        <w:rPr>
          <w:rFonts w:ascii="Book Antiqua" w:eastAsia="Book Antiqua" w:hAnsi="Book Antiqua" w:cs="Book Antiqua"/>
          <w:color w:val="000000"/>
        </w:rPr>
        <w:t>(</w:t>
      </w:r>
      <w:r w:rsidRPr="00E92EC1">
        <w:rPr>
          <w:rFonts w:ascii="Book Antiqua" w:eastAsia="Book Antiqua" w:hAnsi="Book Antiqua" w:cs="Book Antiqua"/>
          <w:color w:val="000000"/>
        </w:rPr>
        <w:t>CT</w:t>
      </w:r>
      <w:r w:rsidR="007B4D4F" w:rsidRPr="00E92EC1">
        <w:rPr>
          <w:rFonts w:ascii="Book Antiqua" w:eastAsia="Book Antiqua" w:hAnsi="Book Antiqua" w:cs="Book Antiqua"/>
          <w:color w:val="000000"/>
        </w:rPr>
        <w:t>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scan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marked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thickening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6C0C92">
        <w:rPr>
          <w:rFonts w:ascii="Book Antiqua" w:eastAsia="Book Antiqua" w:hAnsi="Book Antiqua" w:cs="Book Antiqua"/>
          <w:color w:val="000000"/>
        </w:rPr>
        <w:t>orange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arrow).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also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suggestive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scattered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442131">
        <w:rPr>
          <w:rFonts w:ascii="Book Antiqua" w:eastAsia="Book Antiqua" w:hAnsi="Book Antiqua" w:cs="Book Antiqua"/>
          <w:color w:val="000000"/>
        </w:rPr>
        <w:t>white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arrow);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addition,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low-density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areas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(LDAs)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found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arrow).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Esophagogastroduodenoscopy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(EGD)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marked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thickening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corpus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stomach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yellow-green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pseudomembrane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-like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tissue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covering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superficial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mucosa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3A-C).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clinically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diagnosed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HPVG.</w:t>
      </w:r>
    </w:p>
    <w:p w14:paraId="235FB561" w14:textId="57CF9B20" w:rsidR="00A77B3E" w:rsidRPr="00E92EC1" w:rsidRDefault="00537C1B" w:rsidP="00E92EC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EGD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29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revealed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abovementioned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abnormal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improved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linear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redness,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erosion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ulcerative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mucosal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changes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observed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3D).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same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improvements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thickening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suggestive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disappeared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addition,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LDAs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originally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observed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changed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consistent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abscesses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arrow).</w:t>
      </w:r>
    </w:p>
    <w:bookmarkEnd w:id="16"/>
    <w:p w14:paraId="29BE1DEF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7D8F2F8A" w14:textId="6C21C324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5E5D4A"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791FB98A" w14:textId="7B156C93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7" w:name="OLE_LINK1854"/>
      <w:r w:rsidRPr="00E92EC1">
        <w:rPr>
          <w:rFonts w:ascii="Book Antiqua" w:eastAsia="Book Antiqua" w:hAnsi="Book Antiqua" w:cs="Book Antiqua"/>
          <w:color w:val="000000"/>
        </w:rPr>
        <w:t>Histopathological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analysis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biopsy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specimens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mostly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tissue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fibrin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precipitation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partial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infiltration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inflammatory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cells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lymphocytes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rather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neutrophils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5A).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unique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should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called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"neutropenic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necrotizing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gastritis".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Bacilli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positive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Gram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staining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also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observed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5B).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Culture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specimens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later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group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finally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diagnosed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Pr="00E92EC1">
        <w:rPr>
          <w:rFonts w:ascii="Book Antiqua" w:eastAsia="Book Antiqua" w:hAnsi="Book Antiqua" w:cs="Book Antiqua"/>
          <w:color w:val="000000"/>
        </w:rPr>
        <w:t>-induced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sepsis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followed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multiple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abscesses.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abscesses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investigated.</w:t>
      </w:r>
    </w:p>
    <w:bookmarkEnd w:id="17"/>
    <w:p w14:paraId="511DDF70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0211B2B8" w14:textId="777777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7C01E6F3" w14:textId="09E75340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8" w:name="OLE_LINK1855"/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clinical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course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Figure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After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11,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G-CSF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continued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severe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infection,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administration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carbapenem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antibiotics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(initially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biapenem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0.3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times/d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meropenem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0.5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times/d)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lastRenderedPageBreak/>
        <w:t>combination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intravenous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immunoglobulin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g/d)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addition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antibiotics,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septic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shock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treated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administration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hydrocortisone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fluid.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blood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cells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platelets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transfused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each.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invasive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treatment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administered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abscess.</w:t>
      </w:r>
    </w:p>
    <w:bookmarkEnd w:id="18"/>
    <w:p w14:paraId="7005FBA0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309329EE" w14:textId="7781FAEE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5E5D4A"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E5D4A"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18BC4C3B" w14:textId="43D5756D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19" w:name="OLE_LINK1856"/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recovered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successfully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conservative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treatment,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chiefly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administration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antibiotics,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without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sequelae.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received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intrathecal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injection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twice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repeated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consolidation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therapy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blinatumomab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CD19/CD3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bispecific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T-cell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engager)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cycles.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recurrence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year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maintaining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ALL.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Currently,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followed-up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treatment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outpatient.</w:t>
      </w:r>
    </w:p>
    <w:bookmarkEnd w:id="19"/>
    <w:p w14:paraId="0AC532D4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4A3B95C1" w14:textId="777777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AECE36E" w14:textId="2A7A57BA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20" w:name="OLE_LINK1857"/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developed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neutrophil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depletion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period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after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consolidation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temporarily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fatal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state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septic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shock.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similar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severe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inflammation,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increase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CRP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levels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52.97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mg/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dL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observed,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time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(since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lead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completely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normal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daily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life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years).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Regarding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current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WBC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dropped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100/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complained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gastrointestinal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symptoms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worsening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vital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signs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fever,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decreased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blood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pressure,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tachycardia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tachypnea,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strongly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suspected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because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marked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thickening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previous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experience,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started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administering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carbapenem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antibiotics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immediately,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before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organism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identified;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initial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response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effective,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patient’s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life.</w:t>
      </w:r>
    </w:p>
    <w:p w14:paraId="1CDDD665" w14:textId="66F9F38B" w:rsidR="00A77B3E" w:rsidRPr="00E92EC1" w:rsidRDefault="00537C1B" w:rsidP="00E92EC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general,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hematological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malignancies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tend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accompanied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decrease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immunocompetence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myelosuppression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administration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anticancer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drugs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promotes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immunodeficiency.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6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hematological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malignancies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developed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neutropenic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after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administration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anticancer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drugs,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including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previous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patients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2EC1">
        <w:rPr>
          <w:rFonts w:ascii="Book Antiqua" w:eastAsia="Book Antiqua" w:hAnsi="Book Antiqua" w:cs="Book Antiqua"/>
          <w:color w:val="000000"/>
          <w:vertAlign w:val="superscript"/>
        </w:rPr>
        <w:t>9-14]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Table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summarizes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clinical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features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including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experienced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time.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Notably,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representative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species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detected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whereas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rarely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agent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detected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including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Neutrophil-based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purulent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inflammation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considered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whereas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neutrophil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count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reduced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less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100/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presumed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difference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onset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process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infectious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disease.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two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histopathologically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examined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biopsy,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unlike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typical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most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covered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tissue,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gram-positive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bacilli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found.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Infiltration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inflammatory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cells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lymphocytes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but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neutrophils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partly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observed.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should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called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"neutropenic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necrotizing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gastritis",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proposed,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rather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typical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residents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flora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small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intestine,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under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immunosuppression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produces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various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toxins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2EC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including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necrotizing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enterotoxin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two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patients.</w:t>
      </w:r>
    </w:p>
    <w:p w14:paraId="057695AB" w14:textId="0C80B115" w:rsidR="00A77B3E" w:rsidRPr="00E92EC1" w:rsidRDefault="00537C1B" w:rsidP="00E92EC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acid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secretion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inhibitors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(two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described).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Recently,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risk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intestinal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infectious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diseases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increased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disruption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function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barrier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prevents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invasion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pathogens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gastrointestinal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tract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acid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secretion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inhibitor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2EC1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vonoprazan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potassium-competitive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acid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blocker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stronger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acid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secretion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inhibitory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effect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proton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pump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inhibitor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induced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stronger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change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composition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intestinal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flora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F5583"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F5583" w:rsidRPr="00E92EC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expressed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concern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acid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secretion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inhibitors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increases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abundance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juice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result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risk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development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Currently,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few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lastRenderedPageBreak/>
        <w:t>without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hematological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malignancies,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scientific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evidence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limited.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future,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large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number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aggregated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further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study.</w:t>
      </w:r>
    </w:p>
    <w:p w14:paraId="315884B5" w14:textId="2724EF5C" w:rsidR="00A77B3E" w:rsidRPr="00E92EC1" w:rsidRDefault="00537C1B" w:rsidP="00E92EC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also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developed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abscess.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previously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sign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prognosis,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but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recent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years,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mortality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detected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lower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(29%)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previously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alone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cannot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predict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prognosis</w:t>
      </w:r>
      <w:r w:rsidRPr="00E92EC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2EC1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E92EC1">
        <w:rPr>
          <w:rFonts w:ascii="Book Antiqua" w:eastAsia="Book Antiqua" w:hAnsi="Book Antiqua" w:cs="Book Antiqua"/>
          <w:color w:val="000000"/>
        </w:rPr>
        <w:t>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small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amount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HPVG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found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initial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suggested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conservatively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respond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before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spread.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addition,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formation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abscess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could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followed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from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beginning.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identify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bacterial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species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responsible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abscess;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however,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believe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agent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spread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through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portal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vein.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Furthermore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abscesses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could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also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conservatively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cured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without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drainage.</w:t>
      </w:r>
    </w:p>
    <w:bookmarkEnd w:id="20"/>
    <w:p w14:paraId="2BE7E773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7AA6FC7E" w14:textId="777777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331662E" w14:textId="21FF94FB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21" w:name="OLE_LINK1858"/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cereus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neutropenic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after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administration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anticancer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drugs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ALL.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analyzed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similar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pathological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conditions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previously,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including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experienced.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histopathological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two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should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called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"neutropenic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necrotizing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gastritis",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proposed.</w:t>
      </w:r>
    </w:p>
    <w:bookmarkEnd w:id="21"/>
    <w:p w14:paraId="7B69E984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293056C1" w14:textId="777777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REFERENCES</w:t>
      </w:r>
    </w:p>
    <w:p w14:paraId="3E7CEFDF" w14:textId="4A3F785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bookmarkStart w:id="22" w:name="OLE_LINK1"/>
      <w:r w:rsidRPr="00E92EC1">
        <w:rPr>
          <w:rFonts w:ascii="Book Antiqua" w:eastAsia="Book Antiqua" w:hAnsi="Book Antiqua" w:cs="Book Antiqua"/>
          <w:color w:val="000000"/>
        </w:rPr>
        <w:t>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Kato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Tominaga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Sugimori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Nagami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Kamata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Yamagami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Tanigawa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Shiba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Watanabe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Fujiwara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Arakawa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Successful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Treatment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Early-Diagnosed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Primary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Phlegmonous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2015;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2863-2866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26567999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10.2169/internalmedicine.54.4257]</w:t>
      </w:r>
    </w:p>
    <w:p w14:paraId="5A0B1BF8" w14:textId="65F35074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Rada-Palomino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Muñoz-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Duyos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Pérez-Romero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Vargas-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Pierola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Puértolas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-Rico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Ruiz-Campos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Espinós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-Pérez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Veloso-Veloso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Phlegmonous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rare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entity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differential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diagnostic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abdomen.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Description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bibliographic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review.</w:t>
      </w:r>
      <w:proofErr w:type="gram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proofErr w:type="gramStart"/>
      <w:r w:rsidRPr="00E92EC1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proofErr w:type="gram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Enferm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2014;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418-424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25361454]</w:t>
      </w:r>
    </w:p>
    <w:p w14:paraId="773CF0C0" w14:textId="41032142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lastRenderedPageBreak/>
        <w:t>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GY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Ward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Henessey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Peji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Godell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Desta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Arlin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Tzagournis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Thomas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Phlegmonous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review.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2005;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168-174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15672083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10.1016/s0016-5107(04)02217-5]</w:t>
      </w:r>
    </w:p>
    <w:p w14:paraId="77ECF905" w14:textId="29294B1F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CW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Kim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SW,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Jung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Yang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HW,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YJ,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HIe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Kim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Kim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YH.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phlegmonous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associated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marked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distension.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2010;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415-418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20981225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10.5009/gnl.2010.4.3.415]</w:t>
      </w:r>
    </w:p>
    <w:p w14:paraId="591A3E02" w14:textId="3088D2EC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b/>
          <w:bCs/>
          <w:color w:val="000000"/>
        </w:rPr>
        <w:t>Harikumar</w:t>
      </w:r>
      <w:proofErr w:type="spellEnd"/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Pramod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Pushpa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Simi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Arun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lymphoma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presenting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phlegmonous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2007;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24-27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19065719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10.1007/s12029-008-9011-5]</w:t>
      </w:r>
    </w:p>
    <w:p w14:paraId="5EC9C30B" w14:textId="0BB4F104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6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b/>
          <w:bCs/>
          <w:color w:val="000000"/>
        </w:rPr>
        <w:t>Guo</w:t>
      </w:r>
      <w:proofErr w:type="spellEnd"/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Young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Lorenzo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CR,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Kanel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GC,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Brynes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Chandrasoma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Naritoku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WY.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Phlegmonous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myeloid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sarcoma: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Appl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Immunohistochem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Morphol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2009;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458-462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19644358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10.1097/PAI.0b013e31819f86e2]</w:t>
      </w:r>
    </w:p>
    <w:p w14:paraId="7D4C618C" w14:textId="57CBCF1D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Siracuse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JJ,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Gage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Hauser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CJ.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92EC1">
        <w:rPr>
          <w:rFonts w:ascii="Book Antiqua" w:eastAsia="Book Antiqua" w:hAnsi="Book Antiqua" w:cs="Book Antiqua"/>
          <w:color w:val="000000"/>
        </w:rPr>
        <w:t>Phlegmonous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presenting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portal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pneumatosis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.</w:t>
      </w:r>
      <w:proofErr w:type="gram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Larchmt</w:t>
      </w:r>
      <w:proofErr w:type="spellEnd"/>
      <w:r w:rsidRPr="00E92EC1">
        <w:rPr>
          <w:rFonts w:ascii="Book Antiqua" w:eastAsia="Book Antiqua" w:hAnsi="Book Antiqua" w:cs="Book Antiqua"/>
          <w:i/>
          <w:iCs/>
          <w:color w:val="000000"/>
        </w:rPr>
        <w:t>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2013;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221-224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23544799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10.1089/sur.2011.113]</w:t>
      </w:r>
    </w:p>
    <w:p w14:paraId="76472EEB" w14:textId="0B87BE8B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8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Yasuda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Yagi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Nakahata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Kurobe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Yasuda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Omatsu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Obora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Kojima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phlegmonous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hepatic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portal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caused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Aeromonas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hydrophila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successfully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treated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medication.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2020;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281-286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31302879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10.1007/s12328-019-01020-7]</w:t>
      </w:r>
    </w:p>
    <w:p w14:paraId="23DFDF57" w14:textId="2E5F89D0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proofErr w:type="gramStart"/>
      <w:r w:rsidRPr="00E92EC1">
        <w:rPr>
          <w:rFonts w:ascii="Book Antiqua" w:eastAsia="Book Antiqua" w:hAnsi="Book Antiqua" w:cs="Book Antiqua"/>
          <w:color w:val="000000"/>
        </w:rPr>
        <w:t>9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Saito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Morioka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Kanno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Tanaka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phlegmonous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neutropenia.</w:t>
      </w:r>
      <w:proofErr w:type="gram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2012;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2987-2988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23064584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10.2169/internalmedicine.51.8537]</w:t>
      </w:r>
    </w:p>
    <w:p w14:paraId="5E87CAB8" w14:textId="58BDB671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10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Takeuchi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Uno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Matsuoka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Maeda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Marutsuka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Sumiyoshi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Tsuda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Tsubouchi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[Acute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necrotizing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associated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adult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T-cell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leukemia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course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chemotherapy].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Gan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i/>
          <w:iCs/>
          <w:color w:val="000000"/>
        </w:rPr>
        <w:t>To</w:t>
      </w:r>
      <w:proofErr w:type="gram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Kagaku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Ryoho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1995;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289-292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7857107]</w:t>
      </w:r>
    </w:p>
    <w:p w14:paraId="1A78E4F0" w14:textId="219C2848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11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Matsumoto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Ogura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Seki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Ohnishi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Shimazu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Fulminant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phlegmonitis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esophagus,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stomach,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duodenum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thuringiensis.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2015;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3741-3745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25834344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10.3748/wjg.v21.i12.3741]</w:t>
      </w:r>
    </w:p>
    <w:p w14:paraId="2AF39AD6" w14:textId="74E69A59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lastRenderedPageBreak/>
        <w:t>12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Iqbal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Saleem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Ahmed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Jani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Alvarez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Tun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HW.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Successful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Antimicrobial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Treatment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Phlegmonous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Literature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Review.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2018;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2018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8274732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30305967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10.1155/2018/8274732]</w:t>
      </w:r>
    </w:p>
    <w:p w14:paraId="5E87E0CD" w14:textId="47414539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13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b/>
          <w:bCs/>
          <w:color w:val="000000"/>
        </w:rPr>
        <w:t>Inagawa</w:t>
      </w:r>
      <w:proofErr w:type="spellEnd"/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Komeno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Saito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Maenohara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Yamagishi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Kawashima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Saito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Iihara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Hatada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Ryu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Prolonged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Myelosuppression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Progressive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Bone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Marrow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Fibrosis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Promyelocytic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Leukemia.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2019;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1616237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31885950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10.1155/2019/1616237]</w:t>
      </w:r>
    </w:p>
    <w:p w14:paraId="1DC8093E" w14:textId="4F098372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14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Liu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Zhao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Jiang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Q.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Phlegmonous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gastritis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mixed-phenotype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acute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leukemia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neutropenia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phase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during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chemotherapy: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2019;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e17777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31702630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10.1097/MD.0000000000017777]</w:t>
      </w:r>
    </w:p>
    <w:p w14:paraId="1E17512A" w14:textId="1EF1D7E6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proofErr w:type="gramStart"/>
      <w:r w:rsidRPr="00E92EC1">
        <w:rPr>
          <w:rFonts w:ascii="Book Antiqua" w:eastAsia="Book Antiqua" w:hAnsi="Book Antiqua" w:cs="Book Antiqua"/>
          <w:color w:val="000000"/>
        </w:rPr>
        <w:t>15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b/>
          <w:bCs/>
          <w:color w:val="000000"/>
        </w:rPr>
        <w:t>Bottone</w:t>
      </w:r>
      <w:proofErr w:type="spellEnd"/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E92EC1">
        <w:rPr>
          <w:rFonts w:ascii="Book Antiqua" w:eastAsia="Book Antiqua" w:hAnsi="Book Antiqua" w:cs="Book Antiqua"/>
          <w:color w:val="000000"/>
        </w:rPr>
        <w:t>.</w:t>
      </w:r>
      <w:proofErr w:type="gram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Bacillus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cereus,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volatile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human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pathogen.</w:t>
      </w:r>
      <w:proofErr w:type="gram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2010;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382-398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20375358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10.1128/CMR.00073-09]</w:t>
      </w:r>
    </w:p>
    <w:p w14:paraId="7F91703A" w14:textId="350A40F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16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Kwok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Arthur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AK,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Anibueze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CI,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Singh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Cavallazzi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Loke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YK.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Risk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Clostridium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difficile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infection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acid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suppressing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drugs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antibiotics: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meta-analysis.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2012;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1011-1019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22525304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10.1038/ajg.2012.108]</w:t>
      </w:r>
    </w:p>
    <w:p w14:paraId="098B5536" w14:textId="5A3A3551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17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Otsuka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Sugimoto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Inoue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Ohno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Nishida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Inatomi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Takahashi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Naito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Andoh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Influence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potassium-competitive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acid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blocker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gut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microbiome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E92EC1">
        <w:rPr>
          <w:rFonts w:ascii="Book Antiqua" w:eastAsia="Book Antiqua" w:hAnsi="Book Antiqua" w:cs="Book Antiqua"/>
          <w:color w:val="000000"/>
        </w:rPr>
        <w:t>-negative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healthy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individuals.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2017;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1723-1725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27965281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10.1136/gutjnl-2016-313312]</w:t>
      </w:r>
    </w:p>
    <w:p w14:paraId="4150C113" w14:textId="0650A2F0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proofErr w:type="gramStart"/>
      <w:r w:rsidRPr="00E92EC1">
        <w:rPr>
          <w:rFonts w:ascii="Book Antiqua" w:eastAsia="Book Antiqua" w:hAnsi="Book Antiqua" w:cs="Book Antiqua"/>
          <w:color w:val="000000"/>
        </w:rPr>
        <w:t>18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b/>
          <w:bCs/>
          <w:color w:val="000000"/>
        </w:rPr>
        <w:t>Faberman</w:t>
      </w:r>
      <w:proofErr w:type="spellEnd"/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RS</w:t>
      </w:r>
      <w:r w:rsidRPr="00E92EC1">
        <w:rPr>
          <w:rFonts w:ascii="Book Antiqua" w:eastAsia="Book Antiqua" w:hAnsi="Book Antiqua" w:cs="Book Antiqua"/>
          <w:color w:val="000000"/>
        </w:rPr>
        <w:t>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Mayo-Smith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WW.</w:t>
      </w:r>
      <w:proofErr w:type="gram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Outcome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17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portal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detected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CT.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E5D4A" w:rsidRPr="00E92EC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1997;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169</w:t>
      </w:r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1535-1538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[PMID: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9393159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DOI: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10.2214/ajr.169.6.9393159]</w:t>
      </w:r>
    </w:p>
    <w:bookmarkEnd w:id="22"/>
    <w:p w14:paraId="520BC22E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  <w:sectPr w:rsidR="00A77B3E" w:rsidRPr="00E92E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25351B" w14:textId="777777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67310D8" w14:textId="4F37F5B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3" w:name="OLE_LINK1859"/>
      <w:r w:rsidRPr="00E92EC1">
        <w:rPr>
          <w:rFonts w:ascii="Book Antiqua" w:eastAsia="Book Antiqua" w:hAnsi="Book Antiqua" w:cs="Book Antiqua"/>
          <w:color w:val="000000"/>
        </w:rPr>
        <w:t>Informed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written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consent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obtained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from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publication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report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accompanying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images.</w:t>
      </w:r>
      <w:bookmarkEnd w:id="23"/>
    </w:p>
    <w:p w14:paraId="775A059B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53961507" w14:textId="47D719AA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4" w:name="OLE_LINK1860"/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authors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declare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have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conflict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interest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work.</w:t>
      </w:r>
    </w:p>
    <w:bookmarkEnd w:id="24"/>
    <w:p w14:paraId="3FB181FD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17D49596" w14:textId="228107F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1861"/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manuscript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prepared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according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CARE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Checklist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(2016).</w:t>
      </w:r>
    </w:p>
    <w:bookmarkEnd w:id="25"/>
    <w:p w14:paraId="517B6AB1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06B8E1EB" w14:textId="7ABE3894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article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open-access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article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that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selected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in-house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editor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fully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peer-reviewed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external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reviewers.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distributed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accordance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with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Creative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Commons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Attribution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(CC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BY-NC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4.0)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license,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which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permits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others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to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distribute,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remix,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adapt,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build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upon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work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non-commercially,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license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their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derivative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works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different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terms,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provided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original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work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properly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cited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use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non-commercial.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See: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DBFB122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3DFB7178" w14:textId="40BB28CA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Manuscript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source: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Unsolicited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m</w:t>
      </w:r>
      <w:r w:rsidRPr="00E92EC1">
        <w:rPr>
          <w:rFonts w:ascii="Book Antiqua" w:eastAsia="Book Antiqua" w:hAnsi="Book Antiqua" w:cs="Book Antiqua"/>
          <w:color w:val="000000"/>
        </w:rPr>
        <w:t>anuscript</w:t>
      </w:r>
    </w:p>
    <w:p w14:paraId="723CD5D8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22E4A3BA" w14:textId="7D80066B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Peer-review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started: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April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7,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2021</w:t>
      </w:r>
    </w:p>
    <w:p w14:paraId="3869CB8C" w14:textId="1FD193FC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First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decision: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April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23,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2021</w:t>
      </w:r>
    </w:p>
    <w:p w14:paraId="4DB27D72" w14:textId="0A3F3E0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Article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press: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1E8D" w:rsidRPr="00142A5C">
        <w:rPr>
          <w:rFonts w:ascii="Book Antiqua" w:eastAsia="Book Antiqua" w:hAnsi="Book Antiqua" w:cs="Book Antiqua"/>
          <w:bCs/>
          <w:color w:val="000000"/>
        </w:rPr>
        <w:t>May 24, 2021</w:t>
      </w:r>
    </w:p>
    <w:p w14:paraId="5383521C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6FF1D1E3" w14:textId="37610C8E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Specialty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type: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Gastroenterology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h</w:t>
      </w:r>
      <w:r w:rsidRPr="00E92EC1">
        <w:rPr>
          <w:rFonts w:ascii="Book Antiqua" w:eastAsia="Book Antiqua" w:hAnsi="Book Antiqua" w:cs="Book Antiqua"/>
          <w:color w:val="000000"/>
        </w:rPr>
        <w:t>epatology</w:t>
      </w:r>
    </w:p>
    <w:p w14:paraId="2B0DE9E0" w14:textId="6FCF0EE0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Country/Territory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origin: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Japan</w:t>
      </w:r>
    </w:p>
    <w:p w14:paraId="4FD20C51" w14:textId="6A10A5F2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Peer-review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report’s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scientific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quality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82F6661" w14:textId="2F8EA725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Grade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2EC1">
        <w:rPr>
          <w:rFonts w:ascii="Book Antiqua" w:eastAsia="Book Antiqua" w:hAnsi="Book Antiqua" w:cs="Book Antiqua"/>
          <w:color w:val="000000"/>
        </w:rPr>
        <w:t>A</w:t>
      </w:r>
      <w:proofErr w:type="gramEnd"/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(Excellent):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</w:t>
      </w:r>
    </w:p>
    <w:p w14:paraId="5D7760BE" w14:textId="5A6CE828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Grade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(Very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good):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</w:t>
      </w:r>
    </w:p>
    <w:p w14:paraId="47C73A21" w14:textId="0C6A417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(Good):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</w:t>
      </w:r>
    </w:p>
    <w:p w14:paraId="410DED6A" w14:textId="7086D5A9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Grade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(Fair):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</w:t>
      </w:r>
    </w:p>
    <w:p w14:paraId="4E59C4CA" w14:textId="5FB75467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color w:val="000000"/>
        </w:rPr>
        <w:t>Grade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(Poor):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0</w:t>
      </w:r>
    </w:p>
    <w:p w14:paraId="64DF4595" w14:textId="77777777" w:rsidR="00A77B3E" w:rsidRPr="00E92EC1" w:rsidRDefault="00A77B3E" w:rsidP="00E92EC1">
      <w:pPr>
        <w:spacing w:line="360" w:lineRule="auto"/>
        <w:jc w:val="both"/>
        <w:rPr>
          <w:rFonts w:ascii="Book Antiqua" w:hAnsi="Book Antiqua"/>
        </w:rPr>
      </w:pPr>
    </w:p>
    <w:p w14:paraId="647D5AEA" w14:textId="7BE3C684" w:rsidR="00A77B3E" w:rsidRDefault="00537C1B" w:rsidP="00E92EC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t>P-Reviewer: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Tang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SH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S-Editor: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E5D4A" w:rsidRPr="00E92EC1">
        <w:rPr>
          <w:rFonts w:ascii="Book Antiqua" w:eastAsia="Book Antiqua" w:hAnsi="Book Antiqua" w:cs="Book Antiqua"/>
          <w:color w:val="000000"/>
        </w:rPr>
        <w:t>Yan JP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L-Editor:</w:t>
      </w:r>
      <w:r w:rsidR="00841E8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1E8D">
        <w:rPr>
          <w:rFonts w:ascii="Book Antiqua" w:eastAsia="Book Antiqua" w:hAnsi="Book Antiqua" w:cs="Book Antiqua"/>
          <w:bCs/>
          <w:color w:val="000000"/>
        </w:rPr>
        <w:t>A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P-Editor: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1E8D">
        <w:rPr>
          <w:rFonts w:ascii="Book Antiqua" w:eastAsia="Book Antiqua" w:hAnsi="Book Antiqua" w:cs="Book Antiqua"/>
          <w:bCs/>
          <w:color w:val="000000"/>
        </w:rPr>
        <w:t>Wang LYT</w:t>
      </w:r>
    </w:p>
    <w:p w14:paraId="7DFCE62B" w14:textId="77777777" w:rsidR="007D2A4D" w:rsidRPr="00E92EC1" w:rsidRDefault="007D2A4D" w:rsidP="00E92EC1">
      <w:pPr>
        <w:spacing w:line="360" w:lineRule="auto"/>
        <w:jc w:val="both"/>
        <w:rPr>
          <w:rFonts w:ascii="Book Antiqua" w:hAnsi="Book Antiqua"/>
        </w:rPr>
        <w:sectPr w:rsidR="007D2A4D" w:rsidRPr="00E92E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4FF3D6" w14:textId="6767F603" w:rsidR="005E5D4A" w:rsidRPr="00E92EC1" w:rsidRDefault="00537C1B" w:rsidP="00E92EC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92EC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E5D4A" w:rsidRPr="00E92EC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color w:val="000000"/>
        </w:rPr>
        <w:t>Legends</w:t>
      </w:r>
    </w:p>
    <w:p w14:paraId="18E48F27" w14:textId="7CED32B3" w:rsidR="005E5D4A" w:rsidRPr="00E92EC1" w:rsidRDefault="00E92EC1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hAnsi="Book Antiqua"/>
          <w:noProof/>
          <w:lang w:eastAsia="zh-CN"/>
        </w:rPr>
        <w:drawing>
          <wp:inline distT="0" distB="0" distL="0" distR="0" wp14:anchorId="3063A4B7" wp14:editId="7EB83C46">
            <wp:extent cx="5941060" cy="3467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74D00" w14:textId="5A82E4BC" w:rsidR="00E92EC1" w:rsidRPr="00E92EC1" w:rsidRDefault="00537C1B" w:rsidP="00E92EC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6" w:name="OLE_LINK1862"/>
      <w:r w:rsidRPr="00E92EC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1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course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this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>.</w:t>
      </w:r>
      <w:r w:rsidR="005E5D4A" w:rsidRPr="00E92EC1">
        <w:rPr>
          <w:rFonts w:ascii="Book Antiqua" w:hAnsi="Book Antiqua"/>
          <w:b/>
          <w:bCs/>
          <w:lang w:eastAsia="zh-CN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Ara-C: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E5D4A" w:rsidRPr="00E92EC1">
        <w:rPr>
          <w:rFonts w:ascii="Book Antiqua" w:eastAsia="Book Antiqua" w:hAnsi="Book Antiqua" w:cs="Book Antiqua"/>
          <w:color w:val="000000"/>
        </w:rPr>
        <w:t>C</w:t>
      </w:r>
      <w:r w:rsidRPr="00E92EC1">
        <w:rPr>
          <w:rFonts w:ascii="Book Antiqua" w:eastAsia="Book Antiqua" w:hAnsi="Book Antiqua" w:cs="Book Antiqua"/>
          <w:color w:val="000000"/>
        </w:rPr>
        <w:t>ytarabine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ETP: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E</w:t>
      </w:r>
      <w:r w:rsidRPr="00E92EC1">
        <w:rPr>
          <w:rFonts w:ascii="Book Antiqua" w:eastAsia="Book Antiqua" w:hAnsi="Book Antiqua" w:cs="Book Antiqua"/>
          <w:color w:val="000000"/>
        </w:rPr>
        <w:t>toposide;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Dex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E92EC1" w:rsidRPr="00E92EC1">
        <w:rPr>
          <w:rFonts w:ascii="Book Antiqua" w:eastAsia="Book Antiqua" w:hAnsi="Book Antiqua" w:cs="Book Antiqua"/>
          <w:color w:val="000000"/>
        </w:rPr>
        <w:t>D</w:t>
      </w:r>
      <w:r w:rsidRPr="00E92EC1">
        <w:rPr>
          <w:rFonts w:ascii="Book Antiqua" w:eastAsia="Book Antiqua" w:hAnsi="Book Antiqua" w:cs="Book Antiqua"/>
          <w:color w:val="000000"/>
        </w:rPr>
        <w:t>examethasone;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IT: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E92EC1" w:rsidRPr="00E92EC1">
        <w:rPr>
          <w:rFonts w:ascii="Book Antiqua" w:eastAsia="Book Antiqua" w:hAnsi="Book Antiqua" w:cs="Book Antiqua"/>
          <w:color w:val="000000"/>
        </w:rPr>
        <w:t>I</w:t>
      </w:r>
      <w:r w:rsidRPr="00E92EC1">
        <w:rPr>
          <w:rFonts w:ascii="Book Antiqua" w:eastAsia="Book Antiqua" w:hAnsi="Book Antiqua" w:cs="Book Antiqua"/>
          <w:color w:val="000000"/>
        </w:rPr>
        <w:t>ntrathecal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injection;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G-CSF: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E92EC1" w:rsidRPr="00E92EC1">
        <w:rPr>
          <w:rFonts w:ascii="Book Antiqua" w:eastAsia="Book Antiqua" w:hAnsi="Book Antiqua" w:cs="Book Antiqua"/>
          <w:color w:val="000000"/>
        </w:rPr>
        <w:t>G</w:t>
      </w:r>
      <w:r w:rsidRPr="00E92EC1">
        <w:rPr>
          <w:rFonts w:ascii="Book Antiqua" w:eastAsia="Book Antiqua" w:hAnsi="Book Antiqua" w:cs="Book Antiqua"/>
          <w:color w:val="000000"/>
        </w:rPr>
        <w:t>ranulocyte-colony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stimulating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factor;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BIPM: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92EC1" w:rsidRPr="00E92EC1">
        <w:rPr>
          <w:rFonts w:ascii="Book Antiqua" w:eastAsia="Book Antiqua" w:hAnsi="Book Antiqua" w:cs="Book Antiqua"/>
          <w:color w:val="000000"/>
        </w:rPr>
        <w:t>B</w:t>
      </w:r>
      <w:r w:rsidRPr="00E92EC1">
        <w:rPr>
          <w:rFonts w:ascii="Book Antiqua" w:eastAsia="Book Antiqua" w:hAnsi="Book Antiqua" w:cs="Book Antiqua"/>
          <w:color w:val="000000"/>
        </w:rPr>
        <w:t>iapenem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MEPM: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92EC1" w:rsidRPr="00E92EC1">
        <w:rPr>
          <w:rFonts w:ascii="Book Antiqua" w:eastAsia="Book Antiqua" w:hAnsi="Book Antiqua" w:cs="Book Antiqua"/>
          <w:color w:val="000000"/>
        </w:rPr>
        <w:t>M</w:t>
      </w:r>
      <w:r w:rsidRPr="00E92EC1">
        <w:rPr>
          <w:rFonts w:ascii="Book Antiqua" w:eastAsia="Book Antiqua" w:hAnsi="Book Antiqua" w:cs="Book Antiqua"/>
          <w:color w:val="000000"/>
        </w:rPr>
        <w:t>eropenem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;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IVIg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:</w:t>
      </w:r>
      <w:r w:rsidR="00E92EC1" w:rsidRPr="00E92EC1">
        <w:rPr>
          <w:rFonts w:ascii="Book Antiqua" w:eastAsia="Book Antiqua" w:hAnsi="Book Antiqua" w:cs="Book Antiqua"/>
          <w:color w:val="000000"/>
        </w:rPr>
        <w:t xml:space="preserve"> I</w:t>
      </w:r>
      <w:r w:rsidRPr="00E92EC1">
        <w:rPr>
          <w:rFonts w:ascii="Book Antiqua" w:eastAsia="Book Antiqua" w:hAnsi="Book Antiqua" w:cs="Book Antiqua"/>
          <w:color w:val="000000"/>
        </w:rPr>
        <w:t>ntra-venous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immunoglobulin</w:t>
      </w:r>
      <w:r w:rsidR="00E92EC1" w:rsidRPr="00E92EC1">
        <w:rPr>
          <w:rFonts w:ascii="Book Antiqua" w:eastAsia="Book Antiqua" w:hAnsi="Book Antiqua" w:cs="Book Antiqua"/>
          <w:color w:val="000000"/>
        </w:rPr>
        <w:t>; WBC: White blood cell count; CRP: C-reactive protein.</w:t>
      </w:r>
    </w:p>
    <w:bookmarkEnd w:id="26"/>
    <w:p w14:paraId="055A1BBE" w14:textId="77777777" w:rsidR="00E92EC1" w:rsidRPr="00E92EC1" w:rsidRDefault="00E92EC1" w:rsidP="00E92EC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5017813" w14:textId="2A11BBB0" w:rsidR="00E92EC1" w:rsidRPr="00E92EC1" w:rsidRDefault="00E92EC1" w:rsidP="00E92EC1">
      <w:pPr>
        <w:spacing w:line="360" w:lineRule="auto"/>
        <w:jc w:val="both"/>
        <w:rPr>
          <w:rFonts w:ascii="Book Antiqua" w:hAnsi="Book Antiqua"/>
          <w:b/>
          <w:bCs/>
        </w:rPr>
        <w:sectPr w:rsidR="00E92EC1" w:rsidRPr="00E92E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829142" w14:textId="5440B198" w:rsidR="005E5D4A" w:rsidRPr="00E92EC1" w:rsidRDefault="005E5D4A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209538F" wp14:editId="61380864">
            <wp:extent cx="5935980" cy="168634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81"/>
                    <a:stretch/>
                  </pic:blipFill>
                  <pic:spPr bwMode="auto">
                    <a:xfrm>
                      <a:off x="0" y="0"/>
                      <a:ext cx="5935980" cy="168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4BA813" w14:textId="5E44BFF3" w:rsidR="00A77B3E" w:rsidRPr="00E92EC1" w:rsidRDefault="00537C1B" w:rsidP="00E92EC1">
      <w:pPr>
        <w:spacing w:line="360" w:lineRule="auto"/>
        <w:jc w:val="both"/>
        <w:rPr>
          <w:rFonts w:ascii="Book Antiqua" w:hAnsi="Book Antiqua"/>
          <w:b/>
          <w:bCs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2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Abdominal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computed tomography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(day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11)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Pr="00E92EC1">
        <w:rPr>
          <w:rFonts w:ascii="Book Antiqua" w:eastAsia="Book Antiqua" w:hAnsi="Book Antiqua" w:cs="Book Antiqua"/>
          <w:color w:val="000000"/>
        </w:rPr>
        <w:t>Marked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thickening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</w:t>
      </w:r>
      <w:r w:rsidR="008625A0">
        <w:rPr>
          <w:rFonts w:ascii="Book Antiqua" w:eastAsia="Book Antiqua" w:hAnsi="Book Antiqua" w:cs="Book Antiqua"/>
          <w:color w:val="000000"/>
        </w:rPr>
        <w:t>orange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arrow),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suggestive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hepatic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portal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venous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</w:t>
      </w:r>
      <w:r w:rsidR="008625A0">
        <w:rPr>
          <w:rFonts w:ascii="Book Antiqua" w:eastAsia="Book Antiqua" w:hAnsi="Book Antiqua" w:cs="Book Antiqua"/>
          <w:color w:val="000000"/>
        </w:rPr>
        <w:t>white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arrow),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low-density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areas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(blue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arrow)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found.</w:t>
      </w:r>
    </w:p>
    <w:p w14:paraId="2F6E3B21" w14:textId="77777777" w:rsidR="005E5D4A" w:rsidRPr="00E92EC1" w:rsidRDefault="005E5D4A" w:rsidP="00E92EC1">
      <w:pPr>
        <w:spacing w:line="360" w:lineRule="auto"/>
        <w:jc w:val="both"/>
        <w:rPr>
          <w:rFonts w:ascii="Book Antiqua" w:hAnsi="Book Antiqua"/>
        </w:rPr>
        <w:sectPr w:rsidR="005E5D4A" w:rsidRPr="00E92E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7BD411" w14:textId="46766841" w:rsidR="00A77B3E" w:rsidRPr="00E92EC1" w:rsidRDefault="005E5D4A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84BC01B" wp14:editId="3A7570D5">
            <wp:extent cx="5941060" cy="445071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E9FBD" w14:textId="44C8C2D9" w:rsidR="00A77B3E" w:rsidRPr="00E92EC1" w:rsidRDefault="00537C1B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3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Esophagogastroduodenoscopy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Pr="00E92EC1">
        <w:rPr>
          <w:rFonts w:ascii="Book Antiqua" w:eastAsia="Book Antiqua" w:hAnsi="Book Antiqua" w:cs="Book Antiqua"/>
          <w:color w:val="000000"/>
        </w:rPr>
        <w:t>A-C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: </w:t>
      </w:r>
      <w:r w:rsidRPr="00E92EC1">
        <w:rPr>
          <w:rFonts w:ascii="Book Antiqua" w:eastAsia="Book Antiqua" w:hAnsi="Book Antiqua" w:cs="Book Antiqua"/>
          <w:color w:val="000000"/>
        </w:rPr>
        <w:t>Marked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thickening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wall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corpus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stomach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yellow-green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2EC1">
        <w:rPr>
          <w:rFonts w:ascii="Book Antiqua" w:eastAsia="Book Antiqua" w:hAnsi="Book Antiqua" w:cs="Book Antiqua"/>
          <w:color w:val="000000"/>
        </w:rPr>
        <w:t>pseudomembrane</w:t>
      </w:r>
      <w:proofErr w:type="spellEnd"/>
      <w:r w:rsidRPr="00E92EC1">
        <w:rPr>
          <w:rFonts w:ascii="Book Antiqua" w:eastAsia="Book Antiqua" w:hAnsi="Book Antiqua" w:cs="Book Antiqua"/>
          <w:color w:val="000000"/>
        </w:rPr>
        <w:t>-like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tissue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covering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superficial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mucosa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observed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14)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; </w:t>
      </w:r>
      <w:r w:rsidRPr="00E92EC1">
        <w:rPr>
          <w:rFonts w:ascii="Book Antiqua" w:eastAsia="Book Antiqua" w:hAnsi="Book Antiqua" w:cs="Book Antiqua"/>
          <w:color w:val="000000"/>
        </w:rPr>
        <w:t>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: </w:t>
      </w:r>
      <w:r w:rsidRPr="00E92EC1">
        <w:rPr>
          <w:rFonts w:ascii="Book Antiqua" w:eastAsia="Book Antiqua" w:hAnsi="Book Antiqua" w:cs="Book Antiqua"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above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abnormal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findings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improved,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linear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redness,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erosion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and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ulcerative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mucosal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changes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were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observed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(day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29).</w:t>
      </w:r>
    </w:p>
    <w:p w14:paraId="5881FE94" w14:textId="77777777" w:rsidR="005E5D4A" w:rsidRPr="00E92EC1" w:rsidRDefault="005E5D4A" w:rsidP="00E92EC1">
      <w:pPr>
        <w:spacing w:line="360" w:lineRule="auto"/>
        <w:jc w:val="both"/>
        <w:rPr>
          <w:rFonts w:ascii="Book Antiqua" w:hAnsi="Book Antiqua"/>
        </w:rPr>
        <w:sectPr w:rsidR="005E5D4A" w:rsidRPr="00E92E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EF2D97" w14:textId="42585B91" w:rsidR="00A77B3E" w:rsidRPr="00E92EC1" w:rsidRDefault="005E5D4A" w:rsidP="00E92EC1">
      <w:pPr>
        <w:spacing w:line="360" w:lineRule="auto"/>
        <w:jc w:val="both"/>
        <w:rPr>
          <w:rFonts w:ascii="Book Antiqua" w:hAnsi="Book Antiqua"/>
          <w:b/>
          <w:bCs/>
        </w:rPr>
      </w:pPr>
      <w:r w:rsidRPr="00E92EC1">
        <w:rPr>
          <w:rFonts w:ascii="Book Antiqua" w:hAnsi="Book Antiqua"/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4322719E" wp14:editId="0CE275F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941060" cy="2573927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8"/>
                    <a:stretch/>
                  </pic:blipFill>
                  <pic:spPr bwMode="auto">
                    <a:xfrm>
                      <a:off x="0" y="0"/>
                      <a:ext cx="5941060" cy="257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7C1B" w:rsidRPr="00E92EC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b/>
          <w:bCs/>
          <w:color w:val="000000"/>
        </w:rPr>
        <w:t>Abdominal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 xml:space="preserve"> computed tomography </w:t>
      </w:r>
      <w:r w:rsidR="00537C1B" w:rsidRPr="00E92EC1">
        <w:rPr>
          <w:rFonts w:ascii="Book Antiqua" w:eastAsia="Book Antiqua" w:hAnsi="Book Antiqua" w:cs="Book Antiqua"/>
          <w:b/>
          <w:bCs/>
          <w:color w:val="000000"/>
        </w:rPr>
        <w:t>(day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b/>
          <w:bCs/>
          <w:color w:val="000000"/>
        </w:rPr>
        <w:t>29)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.</w:t>
      </w:r>
      <w:r w:rsidRPr="00E92EC1">
        <w:rPr>
          <w:rFonts w:ascii="Book Antiqua" w:hAnsi="Book Antiqua"/>
          <w:b/>
          <w:bCs/>
          <w:lang w:eastAsia="zh-CN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The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thickening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of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the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gastric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wall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was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improved,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and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signs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suggestive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of</w:t>
      </w:r>
      <w:r w:rsidRPr="00E92EC1">
        <w:rPr>
          <w:rFonts w:ascii="Book Antiqua" w:eastAsia="Book Antiqua" w:hAnsi="Book Antiqua" w:cs="Book Antiqua"/>
          <w:color w:val="000000"/>
        </w:rPr>
        <w:t xml:space="preserve"> hepatic portal venous gas </w:t>
      </w:r>
      <w:r w:rsidR="00537C1B" w:rsidRPr="00E92EC1">
        <w:rPr>
          <w:rFonts w:ascii="Book Antiqua" w:eastAsia="Book Antiqua" w:hAnsi="Book Antiqua" w:cs="Book Antiqua"/>
          <w:color w:val="000000"/>
        </w:rPr>
        <w:t>disappeared.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The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low-density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areas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in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liver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S3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and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S7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observed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18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d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ago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were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changed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the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findings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consistent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with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abscesses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(blue</w:t>
      </w:r>
      <w:r w:rsidRPr="00E92EC1">
        <w:rPr>
          <w:rFonts w:ascii="Book Antiqua" w:eastAsia="Book Antiqua" w:hAnsi="Book Antiqua" w:cs="Book Antiqua"/>
          <w:color w:val="000000"/>
        </w:rPr>
        <w:t xml:space="preserve"> </w:t>
      </w:r>
      <w:r w:rsidR="00537C1B" w:rsidRPr="00E92EC1">
        <w:rPr>
          <w:rFonts w:ascii="Book Antiqua" w:eastAsia="Book Antiqua" w:hAnsi="Book Antiqua" w:cs="Book Antiqua"/>
          <w:color w:val="000000"/>
        </w:rPr>
        <w:t>arrow).</w:t>
      </w:r>
    </w:p>
    <w:p w14:paraId="05A39B92" w14:textId="77777777" w:rsidR="005E5D4A" w:rsidRPr="00E92EC1" w:rsidRDefault="005E5D4A" w:rsidP="00E92EC1">
      <w:pPr>
        <w:spacing w:line="360" w:lineRule="auto"/>
        <w:jc w:val="both"/>
        <w:rPr>
          <w:rFonts w:ascii="Book Antiqua" w:hAnsi="Book Antiqua"/>
        </w:rPr>
        <w:sectPr w:rsidR="005E5D4A" w:rsidRPr="00E92E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B4C8C1" w14:textId="0BEE67CA" w:rsidR="00A77B3E" w:rsidRPr="00E92EC1" w:rsidRDefault="005E5D4A" w:rsidP="00E92EC1">
      <w:pPr>
        <w:spacing w:line="360" w:lineRule="auto"/>
        <w:jc w:val="both"/>
        <w:rPr>
          <w:rFonts w:ascii="Book Antiqua" w:hAnsi="Book Antiqua"/>
        </w:rPr>
      </w:pPr>
      <w:r w:rsidRPr="00E92EC1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4573AE5" wp14:editId="472FB2E2">
            <wp:extent cx="5941060" cy="24841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C14DD" w14:textId="52BD9C79" w:rsidR="00E92EC1" w:rsidRPr="00E92EC1" w:rsidRDefault="00537C1B" w:rsidP="00E92EC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92EC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5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Histopathology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b/>
          <w:bCs/>
          <w:color w:val="000000"/>
        </w:rPr>
        <w:t>biopsy</w:t>
      </w:r>
      <w:r w:rsidR="005E5D4A" w:rsidRPr="00E92EC1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="005E5D4A" w:rsidRPr="00E92EC1">
        <w:rPr>
          <w:rFonts w:ascii="Book Antiqua" w:eastAsia="Book Antiqua" w:hAnsi="Book Antiqua" w:cs="Book Antiqua"/>
          <w:color w:val="000000"/>
        </w:rPr>
        <w:t>A: Mostly necrotic tissue and partly infiltration by lymphocytes were observed (</w:t>
      </w:r>
      <w:r w:rsidR="00E92EC1" w:rsidRPr="00E92EC1">
        <w:rPr>
          <w:rFonts w:ascii="Book Antiqua" w:eastAsia="Book Antiqua" w:hAnsi="Book Antiqua" w:cs="Book Antiqua"/>
          <w:color w:val="000000"/>
        </w:rPr>
        <w:t xml:space="preserve">hematoxylin &amp; eosin 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stain); B: Bacilli were gram-positive </w:t>
      </w:r>
      <w:r w:rsidRPr="00E92EC1">
        <w:rPr>
          <w:rFonts w:ascii="Book Antiqua" w:eastAsia="Book Antiqua" w:hAnsi="Book Antiqua" w:cs="Book Antiqua"/>
          <w:color w:val="000000"/>
        </w:rPr>
        <w:t>(</w:t>
      </w:r>
      <w:r w:rsidR="005E5D4A" w:rsidRPr="00E92EC1">
        <w:rPr>
          <w:rFonts w:ascii="Book Antiqua" w:eastAsia="Book Antiqua" w:hAnsi="Book Antiqua" w:cs="Book Antiqua"/>
          <w:color w:val="000000"/>
        </w:rPr>
        <w:t>g</w:t>
      </w:r>
      <w:r w:rsidRPr="00E92EC1">
        <w:rPr>
          <w:rFonts w:ascii="Book Antiqua" w:eastAsia="Book Antiqua" w:hAnsi="Book Antiqua" w:cs="Book Antiqua"/>
          <w:color w:val="000000"/>
        </w:rPr>
        <w:t>ram</w:t>
      </w:r>
      <w:r w:rsidR="005E5D4A" w:rsidRPr="00E92EC1">
        <w:rPr>
          <w:rFonts w:ascii="Book Antiqua" w:eastAsia="Book Antiqua" w:hAnsi="Book Antiqua" w:cs="Book Antiqua"/>
          <w:color w:val="000000"/>
        </w:rPr>
        <w:t xml:space="preserve"> </w:t>
      </w:r>
      <w:r w:rsidRPr="00E92EC1">
        <w:rPr>
          <w:rFonts w:ascii="Book Antiqua" w:eastAsia="Book Antiqua" w:hAnsi="Book Antiqua" w:cs="Book Antiqua"/>
          <w:color w:val="000000"/>
        </w:rPr>
        <w:t>stain)</w:t>
      </w:r>
      <w:r w:rsidR="005E5D4A" w:rsidRPr="00E92EC1">
        <w:rPr>
          <w:rFonts w:ascii="Book Antiqua" w:eastAsia="Book Antiqua" w:hAnsi="Book Antiqua" w:cs="Book Antiqua"/>
          <w:color w:val="000000"/>
        </w:rPr>
        <w:t>.</w:t>
      </w:r>
    </w:p>
    <w:p w14:paraId="0F62B7AD" w14:textId="77777777" w:rsidR="00E92EC1" w:rsidRPr="00E92EC1" w:rsidRDefault="00E92EC1" w:rsidP="00E92EC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E92EC1" w:rsidRPr="00E92E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F6A970" w14:textId="0279D821" w:rsidR="00E92EC1" w:rsidRPr="00E92EC1" w:rsidRDefault="00E92EC1" w:rsidP="00E92EC1">
      <w:pPr>
        <w:spacing w:line="360" w:lineRule="auto"/>
        <w:jc w:val="both"/>
        <w:rPr>
          <w:rFonts w:ascii="Book Antiqua" w:eastAsia="MS PGothic" w:hAnsi="Book Antiqua"/>
          <w:b/>
        </w:rPr>
      </w:pPr>
      <w:r w:rsidRPr="00E92EC1">
        <w:rPr>
          <w:rFonts w:ascii="Book Antiqua" w:eastAsia="MS PGothic" w:hAnsi="Book Antiqua"/>
          <w:b/>
        </w:rPr>
        <w:lastRenderedPageBreak/>
        <w:t>Table 1 Transition of the data on day 11 to day 17</w:t>
      </w:r>
    </w:p>
    <w:tbl>
      <w:tblPr>
        <w:tblW w:w="131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86"/>
        <w:gridCol w:w="2370"/>
        <w:gridCol w:w="1823"/>
        <w:gridCol w:w="1823"/>
        <w:gridCol w:w="1823"/>
        <w:gridCol w:w="1823"/>
      </w:tblGrid>
      <w:tr w:rsidR="00385FDB" w:rsidRPr="00E92EC1" w14:paraId="20A41967" w14:textId="77777777" w:rsidTr="008A2C2F">
        <w:trPr>
          <w:trHeight w:val="437"/>
        </w:trPr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EFED5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326B8" w14:textId="5770145B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  <w:b/>
                <w:bCs/>
              </w:rPr>
            </w:pPr>
            <w:r w:rsidRPr="00E92EC1">
              <w:rPr>
                <w:rFonts w:ascii="Book Antiqua" w:eastAsia="MS PGothic" w:hAnsi="Book Antiqua" w:cs="Arial"/>
                <w:b/>
                <w:bCs/>
                <w:color w:val="000000"/>
                <w:kern w:val="24"/>
              </w:rPr>
              <w:t>(Normal range)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A81B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  <w:b/>
                <w:bCs/>
              </w:rPr>
            </w:pPr>
            <w:r w:rsidRPr="00E92EC1">
              <w:rPr>
                <w:rFonts w:ascii="Book Antiqua" w:eastAsia="MS PGothic" w:hAnsi="Book Antiqua" w:cs="Arial"/>
                <w:b/>
                <w:bCs/>
                <w:color w:val="000000"/>
                <w:kern w:val="24"/>
              </w:rPr>
              <w:t>Day 11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F2E1D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  <w:b/>
                <w:bCs/>
              </w:rPr>
            </w:pPr>
            <w:r w:rsidRPr="00E92EC1">
              <w:rPr>
                <w:rFonts w:ascii="Book Antiqua" w:eastAsia="MS PGothic" w:hAnsi="Book Antiqua" w:cs="Arial"/>
                <w:b/>
                <w:bCs/>
                <w:color w:val="000000"/>
                <w:kern w:val="24"/>
              </w:rPr>
              <w:t>Day 13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8BFD7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  <w:b/>
                <w:bCs/>
              </w:rPr>
            </w:pPr>
            <w:r w:rsidRPr="00E92EC1">
              <w:rPr>
                <w:rFonts w:ascii="Book Antiqua" w:eastAsia="MS PGothic" w:hAnsi="Book Antiqua" w:cs="Arial"/>
                <w:b/>
                <w:bCs/>
                <w:color w:val="000000"/>
                <w:kern w:val="24"/>
              </w:rPr>
              <w:t>Day 15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4628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  <w:b/>
                <w:bCs/>
              </w:rPr>
            </w:pPr>
            <w:r w:rsidRPr="00E92EC1">
              <w:rPr>
                <w:rFonts w:ascii="Book Antiqua" w:eastAsia="MS PGothic" w:hAnsi="Book Antiqua" w:cs="Arial"/>
                <w:b/>
                <w:bCs/>
                <w:color w:val="000000"/>
                <w:kern w:val="24"/>
              </w:rPr>
              <w:t>Day 17</w:t>
            </w:r>
          </w:p>
        </w:tc>
      </w:tr>
      <w:tr w:rsidR="00385FDB" w:rsidRPr="00E92EC1" w14:paraId="37CAA1F7" w14:textId="77777777" w:rsidTr="008A2C2F">
        <w:trPr>
          <w:trHeight w:val="437"/>
        </w:trPr>
        <w:tc>
          <w:tcPr>
            <w:tcW w:w="348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F47C7" w14:textId="6A32C596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WBC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  <w:lang w:val="el-GR"/>
              </w:rPr>
              <w:t>/μ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18273" w14:textId="7F2DE68C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(4000-8000)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5A60F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06DE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500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4482C" w14:textId="5B547961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45000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1AE5B" w14:textId="52C16BDC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66000</w:t>
            </w:r>
          </w:p>
        </w:tc>
      </w:tr>
      <w:tr w:rsidR="00385FDB" w:rsidRPr="00E92EC1" w14:paraId="5DD0BBAB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45074" w14:textId="53121B8B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proofErr w:type="spellStart"/>
            <w:r w:rsidRPr="00E92EC1">
              <w:rPr>
                <w:rFonts w:ascii="Book Antiqua" w:eastAsia="MS PGothic" w:hAnsi="Book Antiqua"/>
                <w:bCs/>
              </w:rPr>
              <w:t>Myelocyte</w:t>
            </w:r>
            <w:proofErr w:type="spellEnd"/>
            <w:r>
              <w:rPr>
                <w:rFonts w:ascii="Book Antiqua" w:eastAsia="MS PGothic" w:hAnsi="Book Antiqua"/>
                <w:bCs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F562B" w14:textId="2F587A7F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-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FA4F3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7D4F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20E00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10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00306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7</w:t>
            </w:r>
          </w:p>
        </w:tc>
      </w:tr>
      <w:tr w:rsidR="00385FDB" w:rsidRPr="00E92EC1" w14:paraId="49B869BB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C7BB2" w14:textId="7AFB0BFC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proofErr w:type="spellStart"/>
            <w:r w:rsidRPr="00E92EC1">
              <w:rPr>
                <w:rFonts w:ascii="Book Antiqua" w:eastAsia="MS PGothic" w:hAnsi="Book Antiqua"/>
                <w:bCs/>
              </w:rPr>
              <w:t>Metamyelocyte</w:t>
            </w:r>
            <w:proofErr w:type="spellEnd"/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216B4" w14:textId="350D3720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-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CB2C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62BA7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58940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F1F16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14</w:t>
            </w:r>
          </w:p>
        </w:tc>
      </w:tr>
      <w:tr w:rsidR="00385FDB" w:rsidRPr="00E92EC1" w14:paraId="44E02FF5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D0380" w14:textId="7A14980C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/>
                <w:bCs/>
              </w:rPr>
              <w:t>Stab leukocytes</w:t>
            </w:r>
            <w:r>
              <w:rPr>
                <w:rFonts w:ascii="Book Antiqua" w:eastAsia="MS PGothic" w:hAnsi="Book Antiqua"/>
                <w:bCs/>
              </w:rPr>
              <w:t xml:space="preserve"> (%)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13CC" w14:textId="7D23F363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0-6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9B005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Arial"/>
              </w:rPr>
            </w:pP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2911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456E7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69CF4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</w:t>
            </w:r>
          </w:p>
        </w:tc>
      </w:tr>
      <w:tr w:rsidR="00385FDB" w:rsidRPr="00E92EC1" w14:paraId="6661333E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C9262" w14:textId="7DCF9CFB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/>
                <w:bCs/>
              </w:rPr>
              <w:t>Segmented leukocytes</w:t>
            </w:r>
            <w:r>
              <w:rPr>
                <w:rFonts w:ascii="Book Antiqua" w:eastAsia="MS PGothic" w:hAnsi="Book Antiqua"/>
                <w:bCs/>
              </w:rPr>
              <w:t xml:space="preserve"> (%)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8A545" w14:textId="2E3E9040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45-68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02F9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98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DF524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49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23EA5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59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A0E3E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67</w:t>
            </w:r>
          </w:p>
        </w:tc>
      </w:tr>
      <w:tr w:rsidR="00385FDB" w:rsidRPr="00E92EC1" w14:paraId="63EE615B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7BFBE" w14:textId="7289F1C8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/>
                <w:bCs/>
              </w:rPr>
              <w:t>Lymphocytes</w:t>
            </w:r>
            <w:r>
              <w:rPr>
                <w:rFonts w:ascii="Book Antiqua" w:eastAsia="MS PGothic" w:hAnsi="Book Antiqua"/>
                <w:bCs/>
              </w:rPr>
              <w:t xml:space="preserve"> (%)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3BD47" w14:textId="32EE6940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20-45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073A6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154DC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16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1668B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5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7CE9D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</w:t>
            </w:r>
          </w:p>
        </w:tc>
      </w:tr>
      <w:tr w:rsidR="00385FDB" w:rsidRPr="00E92EC1" w14:paraId="04E89885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9D7DE" w14:textId="6D84C9DF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/>
                <w:bCs/>
              </w:rPr>
              <w:t>Monocytes</w:t>
            </w:r>
            <w:r>
              <w:rPr>
                <w:rFonts w:ascii="Book Antiqua" w:eastAsia="MS PGothic" w:hAnsi="Book Antiqua"/>
                <w:bCs/>
              </w:rPr>
              <w:t xml:space="preserve"> (%)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B4A7F" w14:textId="1B3A89FE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2-8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8DE34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12111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29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818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19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B4D7E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7</w:t>
            </w:r>
          </w:p>
        </w:tc>
      </w:tr>
      <w:tr w:rsidR="00385FDB" w:rsidRPr="00E92EC1" w14:paraId="7A4934F9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FCD34" w14:textId="5B04E51A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/>
                <w:bCs/>
              </w:rPr>
              <w:t>Eosinophils</w:t>
            </w:r>
            <w:r>
              <w:rPr>
                <w:rFonts w:ascii="Book Antiqua" w:eastAsia="MS PGothic" w:hAnsi="Book Antiqua"/>
                <w:bCs/>
              </w:rPr>
              <w:t xml:space="preserve"> (%)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02825" w14:textId="55B53344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0-6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F7281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Arial"/>
              </w:rPr>
            </w:pP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8746F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7C1A8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Arial"/>
              </w:rPr>
            </w:pP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D2320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385FDB" w:rsidRPr="00E92EC1" w14:paraId="1E6BE3D6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2370E" w14:textId="0E162988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RBC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/>
                <w:color w:val="000000"/>
                <w:kern w:val="24"/>
              </w:rPr>
              <w:t>×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 xml:space="preserve"> 10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  <w:position w:val="7"/>
                <w:vertAlign w:val="superscript"/>
              </w:rPr>
              <w:t>4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/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  <w:lang w:val="el-GR"/>
              </w:rPr>
              <w:t>μ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70501" w14:textId="7C475A68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380-500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7BB4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448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887AE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260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A05D6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303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EC4AD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318</w:t>
            </w:r>
          </w:p>
        </w:tc>
      </w:tr>
      <w:tr w:rsidR="00385FDB" w:rsidRPr="00E92EC1" w14:paraId="1BFA24C7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04B0E" w14:textId="79869380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proofErr w:type="spellStart"/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Hb</w:t>
            </w:r>
            <w:proofErr w:type="spellEnd"/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g/</w:t>
            </w:r>
            <w:proofErr w:type="spellStart"/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dL</w:t>
            </w:r>
            <w:proofErr w:type="spellEnd"/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286A" w14:textId="1A30200A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12.0-16.0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830D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11.5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6937B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6.7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4945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8.1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B084C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8.6</w:t>
            </w:r>
          </w:p>
        </w:tc>
      </w:tr>
      <w:tr w:rsidR="00385FDB" w:rsidRPr="00E92EC1" w14:paraId="3344E5FA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19F9C" w14:textId="5DB6F3FA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/>
                <w:bCs/>
              </w:rPr>
              <w:t>Platelet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/>
                <w:color w:val="000000"/>
                <w:kern w:val="24"/>
              </w:rPr>
              <w:t>×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 xml:space="preserve"> 10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  <w:position w:val="7"/>
                <w:vertAlign w:val="superscript"/>
              </w:rPr>
              <w:t>4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/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  <w:lang w:val="el-GR"/>
              </w:rPr>
              <w:t>μ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52227" w14:textId="01F28DD3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12.0-40.0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69444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3.2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2BA77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3.3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81ED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8.1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7C50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17.9</w:t>
            </w:r>
          </w:p>
        </w:tc>
      </w:tr>
      <w:tr w:rsidR="00385FDB" w:rsidRPr="00E92EC1" w14:paraId="1ECCB33A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76449" w14:textId="17CE5708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CRP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mg/</w:t>
            </w:r>
            <w:proofErr w:type="spellStart"/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dL</w:t>
            </w:r>
            <w:proofErr w:type="spellEnd"/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F34C3" w14:textId="57C5067C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>
              <w:rPr>
                <w:rFonts w:ascii="Book Antiqua" w:eastAsia="MS PGothic" w:hAnsi="Book Antiqua" w:cs="Arial"/>
                <w:color w:val="000000"/>
                <w:kern w:val="24"/>
              </w:rPr>
              <w:t>&lt;</w:t>
            </w:r>
            <w:r>
              <w:rPr>
                <w:rFonts w:ascii="Book Antiqua" w:hAnsi="Book Antiqua" w:cs="Arial" w:hint="eastAsia"/>
                <w:color w:val="000000"/>
                <w:kern w:val="24"/>
                <w:lang w:eastAsia="zh-CN"/>
              </w:rPr>
              <w:t xml:space="preserve"> 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0.30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4BC29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29.71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333CE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46.82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7478B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16.93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073F0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8.01</w:t>
            </w:r>
          </w:p>
        </w:tc>
      </w:tr>
      <w:tr w:rsidR="00385FDB" w:rsidRPr="00E92EC1" w14:paraId="32C5F8CF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48745" w14:textId="09F9868F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TP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g/</w:t>
            </w:r>
            <w:proofErr w:type="spellStart"/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dL</w:t>
            </w:r>
            <w:proofErr w:type="spellEnd"/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63BAD" w14:textId="7B076B5F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6.7-8.3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8A06F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5.1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F9664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4.2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972E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4.1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95246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4.3</w:t>
            </w:r>
          </w:p>
        </w:tc>
      </w:tr>
      <w:tr w:rsidR="00385FDB" w:rsidRPr="00E92EC1" w14:paraId="592670E6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6EB92" w14:textId="72936081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Alb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g/</w:t>
            </w:r>
            <w:proofErr w:type="spellStart"/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dL</w:t>
            </w:r>
            <w:proofErr w:type="spellEnd"/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84018" w14:textId="673FC7CB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3.8-5.3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4CFA5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2.9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EB64C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1.9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454C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1.9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547F6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2.2</w:t>
            </w:r>
          </w:p>
        </w:tc>
      </w:tr>
      <w:tr w:rsidR="00385FDB" w:rsidRPr="00E92EC1" w14:paraId="3AA62C08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5FACD" w14:textId="4B8B463C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AST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U/L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35CBE" w14:textId="09E05096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8-38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598CE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ECA1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9B580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67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4E79C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48</w:t>
            </w:r>
          </w:p>
        </w:tc>
      </w:tr>
      <w:tr w:rsidR="00385FDB" w:rsidRPr="00E92EC1" w14:paraId="35E49CA1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3F903" w14:textId="2986A612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ALT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U/L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4B438" w14:textId="3A9CD2DD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4-44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9D4C0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34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3A04C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26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92F3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79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5463F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79</w:t>
            </w:r>
          </w:p>
        </w:tc>
      </w:tr>
      <w:tr w:rsidR="00385FDB" w:rsidRPr="00E92EC1" w14:paraId="63F8FA74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999BE" w14:textId="1A963B02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lastRenderedPageBreak/>
              <w:t>LDH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U/L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BCBE9" w14:textId="4604EB3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120-245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67940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142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66F27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299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2262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1175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ABCC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973</w:t>
            </w:r>
          </w:p>
        </w:tc>
      </w:tr>
      <w:tr w:rsidR="00385FDB" w:rsidRPr="00E92EC1" w14:paraId="2253BF6F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D1E03" w14:textId="2F532165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ALP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U/L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54C2E" w14:textId="00E94701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105-330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A4E4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215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0BE95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232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C286E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388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7D6AE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545</w:t>
            </w:r>
          </w:p>
        </w:tc>
      </w:tr>
      <w:tr w:rsidR="00385FDB" w:rsidRPr="00E92EC1" w14:paraId="24B43F99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3C04C" w14:textId="4041E001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  <w:lang w:val="el-GR"/>
              </w:rPr>
              <w:t>γ-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GTP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U/L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4D537" w14:textId="3F4E6D0A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>
              <w:rPr>
                <w:rFonts w:ascii="Book Antiqua" w:eastAsia="MS PGothic" w:hAnsi="Book Antiqua" w:cs="Arial"/>
                <w:color w:val="000000"/>
                <w:kern w:val="24"/>
              </w:rPr>
              <w:t>&lt;</w:t>
            </w:r>
            <w:r>
              <w:rPr>
                <w:rFonts w:ascii="Book Antiqua" w:hAnsi="Book Antiqua" w:cs="Arial" w:hint="eastAsia"/>
                <w:color w:val="000000"/>
                <w:kern w:val="24"/>
                <w:lang w:eastAsia="zh-CN"/>
              </w:rPr>
              <w:t xml:space="preserve"> 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30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66AE1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15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F424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13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DB605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43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CA1B4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72</w:t>
            </w:r>
          </w:p>
        </w:tc>
      </w:tr>
      <w:tr w:rsidR="00385FDB" w:rsidRPr="00E92EC1" w14:paraId="13630A9E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895D1" w14:textId="63F5A6C9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T-</w:t>
            </w:r>
            <w:proofErr w:type="spellStart"/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Bil</w:t>
            </w:r>
            <w:proofErr w:type="spellEnd"/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mg/</w:t>
            </w:r>
            <w:proofErr w:type="spellStart"/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dL</w:t>
            </w:r>
            <w:proofErr w:type="spellEnd"/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4679" w14:textId="7E62B00E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0.2-1.2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C7F4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0.5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18A7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0.5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A0B97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0.4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B6C35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0.4</w:t>
            </w:r>
          </w:p>
        </w:tc>
      </w:tr>
      <w:tr w:rsidR="00385FDB" w:rsidRPr="00E92EC1" w14:paraId="05B4AB18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B0F50" w14:textId="49817850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BUN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mg/</w:t>
            </w:r>
            <w:proofErr w:type="spellStart"/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dL</w:t>
            </w:r>
            <w:proofErr w:type="spellEnd"/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74795" w14:textId="1517E93C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8.0-20.0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F4BA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39.4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56ED4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21.2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980D9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17.8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0E9C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14.7</w:t>
            </w:r>
          </w:p>
        </w:tc>
      </w:tr>
      <w:tr w:rsidR="00385FDB" w:rsidRPr="00E92EC1" w14:paraId="389A8DBA" w14:textId="77777777" w:rsidTr="008A2C2F">
        <w:trPr>
          <w:trHeight w:val="437"/>
        </w:trPr>
        <w:tc>
          <w:tcPr>
            <w:tcW w:w="34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4759B" w14:textId="76E50956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Cr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mg/</w:t>
            </w:r>
            <w:proofErr w:type="spellStart"/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dL</w:t>
            </w:r>
            <w:proofErr w:type="spellEnd"/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0BCDC" w14:textId="3B034AD5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0.50-0.86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ACFA2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1.97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C4AB3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1.11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A8E7D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0.77</w:t>
            </w:r>
          </w:p>
        </w:tc>
        <w:tc>
          <w:tcPr>
            <w:tcW w:w="18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94CF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0.85</w:t>
            </w:r>
          </w:p>
        </w:tc>
      </w:tr>
      <w:tr w:rsidR="00385FDB" w:rsidRPr="00E92EC1" w14:paraId="6929A09A" w14:textId="77777777" w:rsidTr="008A2C2F">
        <w:trPr>
          <w:trHeight w:val="437"/>
        </w:trPr>
        <w:tc>
          <w:tcPr>
            <w:tcW w:w="348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BE4ED" w14:textId="1A762F78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e-GFR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(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mL/min/1.73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 xml:space="preserve"> 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m</w:t>
            </w:r>
            <w:r w:rsidRPr="00385FDB">
              <w:rPr>
                <w:rFonts w:ascii="Book Antiqua" w:eastAsia="MS PGothic" w:hAnsi="Book Antiqua" w:cs="Arial"/>
                <w:color w:val="000000"/>
                <w:kern w:val="24"/>
                <w:vertAlign w:val="superscript"/>
              </w:rPr>
              <w:t>2</w:t>
            </w:r>
            <w:r>
              <w:rPr>
                <w:rFonts w:ascii="Book Antiqua" w:eastAsia="MS PGothic" w:hAnsi="Book Antiqua" w:cs="Arial"/>
                <w:color w:val="000000"/>
                <w:kern w:val="24"/>
              </w:rPr>
              <w:t>)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A0F18" w14:textId="160DA0B4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>
              <w:rPr>
                <w:rFonts w:ascii="Book Antiqua" w:eastAsia="MS PGothic" w:hAnsi="Book Antiqua" w:cs="Arial"/>
                <w:color w:val="000000"/>
                <w:kern w:val="24"/>
              </w:rPr>
              <w:t>&gt;</w:t>
            </w:r>
            <w:r>
              <w:rPr>
                <w:rFonts w:ascii="Book Antiqua" w:hAnsi="Book Antiqua" w:cs="Arial" w:hint="eastAsia"/>
                <w:color w:val="000000"/>
                <w:kern w:val="24"/>
                <w:lang w:eastAsia="zh-CN"/>
              </w:rPr>
              <w:t xml:space="preserve"> </w:t>
            </w: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90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D9B28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20.2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606FF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38.2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7710E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56.4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8E8D9" w14:textId="77777777" w:rsidR="00385FDB" w:rsidRPr="00E92EC1" w:rsidRDefault="00385FDB" w:rsidP="00E92EC1">
            <w:pPr>
              <w:spacing w:line="360" w:lineRule="auto"/>
              <w:jc w:val="both"/>
              <w:textAlignment w:val="center"/>
              <w:rPr>
                <w:rFonts w:ascii="Book Antiqua" w:eastAsia="MS PGothic" w:hAnsi="Book Antiqua" w:cs="Arial"/>
              </w:rPr>
            </w:pPr>
            <w:r w:rsidRPr="00E92EC1">
              <w:rPr>
                <w:rFonts w:ascii="Book Antiqua" w:eastAsia="MS PGothic" w:hAnsi="Book Antiqua" w:cs="Arial"/>
                <w:color w:val="000000"/>
                <w:kern w:val="24"/>
              </w:rPr>
              <w:t>50.6</w:t>
            </w:r>
          </w:p>
        </w:tc>
      </w:tr>
    </w:tbl>
    <w:p w14:paraId="6EEEA32B" w14:textId="0BABDD46" w:rsidR="00E92EC1" w:rsidRDefault="00E92EC1" w:rsidP="00E92EC1">
      <w:pPr>
        <w:spacing w:line="360" w:lineRule="auto"/>
        <w:jc w:val="both"/>
        <w:rPr>
          <w:rFonts w:ascii="Book Antiqua" w:eastAsia="MS PGothic" w:hAnsi="Book Antiqua"/>
          <w:bCs/>
        </w:rPr>
      </w:pPr>
      <w:r w:rsidRPr="00E92EC1">
        <w:rPr>
          <w:rFonts w:ascii="Book Antiqua" w:eastAsia="MS PGothic" w:hAnsi="Book Antiqua"/>
          <w:bCs/>
        </w:rPr>
        <w:t xml:space="preserve">WBC: </w:t>
      </w:r>
      <w:r w:rsidR="00385FDB" w:rsidRPr="00E92EC1">
        <w:rPr>
          <w:rFonts w:ascii="Book Antiqua" w:eastAsia="MS PGothic" w:hAnsi="Book Antiqua"/>
          <w:bCs/>
        </w:rPr>
        <w:t>W</w:t>
      </w:r>
      <w:r w:rsidRPr="00E92EC1">
        <w:rPr>
          <w:rFonts w:ascii="Book Antiqua" w:eastAsia="MS PGothic" w:hAnsi="Book Antiqua"/>
          <w:bCs/>
        </w:rPr>
        <w:t xml:space="preserve">hite blood cells; RBC: </w:t>
      </w:r>
      <w:r w:rsidR="00385FDB" w:rsidRPr="00E92EC1">
        <w:rPr>
          <w:rFonts w:ascii="Book Antiqua" w:eastAsia="MS PGothic" w:hAnsi="Book Antiqua"/>
          <w:bCs/>
        </w:rPr>
        <w:t>R</w:t>
      </w:r>
      <w:r w:rsidRPr="00E92EC1">
        <w:rPr>
          <w:rFonts w:ascii="Book Antiqua" w:eastAsia="MS PGothic" w:hAnsi="Book Antiqua"/>
          <w:bCs/>
        </w:rPr>
        <w:t xml:space="preserve">ed blood cells; </w:t>
      </w:r>
      <w:proofErr w:type="spellStart"/>
      <w:r w:rsidRPr="00E92EC1">
        <w:rPr>
          <w:rFonts w:ascii="Book Antiqua" w:eastAsia="MS PGothic" w:hAnsi="Book Antiqua"/>
          <w:bCs/>
        </w:rPr>
        <w:t>Hb</w:t>
      </w:r>
      <w:proofErr w:type="spellEnd"/>
      <w:r w:rsidRPr="00E92EC1">
        <w:rPr>
          <w:rFonts w:ascii="Book Antiqua" w:eastAsia="MS PGothic" w:hAnsi="Book Antiqua"/>
          <w:bCs/>
        </w:rPr>
        <w:t xml:space="preserve">: </w:t>
      </w:r>
      <w:r w:rsidR="00385FDB" w:rsidRPr="00E92EC1">
        <w:rPr>
          <w:rFonts w:ascii="Book Antiqua" w:eastAsia="MS PGothic" w:hAnsi="Book Antiqua"/>
          <w:bCs/>
        </w:rPr>
        <w:t>H</w:t>
      </w:r>
      <w:r w:rsidRPr="00E92EC1">
        <w:rPr>
          <w:rFonts w:ascii="Book Antiqua" w:eastAsia="MS PGothic" w:hAnsi="Book Antiqua"/>
          <w:bCs/>
        </w:rPr>
        <w:t xml:space="preserve">emoglobin; CRP: C-reactive protein; TP: </w:t>
      </w:r>
      <w:r w:rsidR="00385FDB" w:rsidRPr="00E92EC1">
        <w:rPr>
          <w:rFonts w:ascii="Book Antiqua" w:eastAsia="MS PGothic" w:hAnsi="Book Antiqua"/>
          <w:bCs/>
        </w:rPr>
        <w:t>T</w:t>
      </w:r>
      <w:r w:rsidRPr="00E92EC1">
        <w:rPr>
          <w:rFonts w:ascii="Book Antiqua" w:eastAsia="MS PGothic" w:hAnsi="Book Antiqua"/>
          <w:bCs/>
        </w:rPr>
        <w:t xml:space="preserve">otal protein; Alb: </w:t>
      </w:r>
      <w:r w:rsidR="00385FDB" w:rsidRPr="00E92EC1">
        <w:rPr>
          <w:rFonts w:ascii="Book Antiqua" w:eastAsia="MS PGothic" w:hAnsi="Book Antiqua"/>
          <w:bCs/>
        </w:rPr>
        <w:t>A</w:t>
      </w:r>
      <w:r w:rsidRPr="00E92EC1">
        <w:rPr>
          <w:rFonts w:ascii="Book Antiqua" w:eastAsia="MS PGothic" w:hAnsi="Book Antiqua"/>
          <w:bCs/>
        </w:rPr>
        <w:t xml:space="preserve">lbumin; AST: </w:t>
      </w:r>
      <w:r w:rsidR="00385FDB" w:rsidRPr="00E92EC1">
        <w:rPr>
          <w:rFonts w:ascii="Book Antiqua" w:eastAsia="MS PGothic" w:hAnsi="Book Antiqua"/>
          <w:bCs/>
        </w:rPr>
        <w:t>A</w:t>
      </w:r>
      <w:r w:rsidRPr="00E92EC1">
        <w:rPr>
          <w:rFonts w:ascii="Book Antiqua" w:eastAsia="MS PGothic" w:hAnsi="Book Antiqua"/>
          <w:bCs/>
        </w:rPr>
        <w:t xml:space="preserve">spartate aminotransferase; ALT: </w:t>
      </w:r>
      <w:r w:rsidR="00385FDB" w:rsidRPr="00E92EC1">
        <w:rPr>
          <w:rFonts w:ascii="Book Antiqua" w:eastAsia="MS PGothic" w:hAnsi="Book Antiqua"/>
          <w:bCs/>
        </w:rPr>
        <w:t>A</w:t>
      </w:r>
      <w:r w:rsidRPr="00E92EC1">
        <w:rPr>
          <w:rFonts w:ascii="Book Antiqua" w:eastAsia="MS PGothic" w:hAnsi="Book Antiqua"/>
          <w:bCs/>
        </w:rPr>
        <w:t xml:space="preserve">lanine aminotransferase; LDH: </w:t>
      </w:r>
      <w:r w:rsidR="00385FDB" w:rsidRPr="00E92EC1">
        <w:rPr>
          <w:rFonts w:ascii="Book Antiqua" w:eastAsia="MS PGothic" w:hAnsi="Book Antiqua"/>
          <w:bCs/>
        </w:rPr>
        <w:t>L</w:t>
      </w:r>
      <w:r w:rsidRPr="00E92EC1">
        <w:rPr>
          <w:rFonts w:ascii="Book Antiqua" w:eastAsia="MS PGothic" w:hAnsi="Book Antiqua"/>
          <w:bCs/>
        </w:rPr>
        <w:t xml:space="preserve">actate dehydrogenase; ALP: </w:t>
      </w:r>
      <w:r w:rsidR="00385FDB" w:rsidRPr="00E92EC1">
        <w:rPr>
          <w:rFonts w:ascii="Book Antiqua" w:eastAsia="MS PGothic" w:hAnsi="Book Antiqua"/>
          <w:bCs/>
        </w:rPr>
        <w:t>A</w:t>
      </w:r>
      <w:r w:rsidRPr="00E92EC1">
        <w:rPr>
          <w:rFonts w:ascii="Book Antiqua" w:eastAsia="MS PGothic" w:hAnsi="Book Antiqua"/>
          <w:bCs/>
        </w:rPr>
        <w:t>lkaline phosphatase; γ-GTP: γ-</w:t>
      </w:r>
      <w:proofErr w:type="spellStart"/>
      <w:r w:rsidRPr="00E92EC1">
        <w:rPr>
          <w:rFonts w:ascii="Book Antiqua" w:eastAsia="MS PGothic" w:hAnsi="Book Antiqua"/>
          <w:bCs/>
        </w:rPr>
        <w:t>glutamyl</w:t>
      </w:r>
      <w:proofErr w:type="spellEnd"/>
      <w:r w:rsidRPr="00E92EC1">
        <w:rPr>
          <w:rFonts w:ascii="Book Antiqua" w:eastAsia="MS PGothic" w:hAnsi="Book Antiqua"/>
          <w:bCs/>
        </w:rPr>
        <w:t xml:space="preserve"> </w:t>
      </w:r>
      <w:proofErr w:type="spellStart"/>
      <w:r w:rsidRPr="00E92EC1">
        <w:rPr>
          <w:rFonts w:ascii="Book Antiqua" w:eastAsia="MS PGothic" w:hAnsi="Book Antiqua"/>
          <w:bCs/>
        </w:rPr>
        <w:t>transpeptidase</w:t>
      </w:r>
      <w:proofErr w:type="spellEnd"/>
      <w:r w:rsidRPr="00E92EC1">
        <w:rPr>
          <w:rFonts w:ascii="Book Antiqua" w:eastAsia="MS PGothic" w:hAnsi="Book Antiqua"/>
          <w:bCs/>
        </w:rPr>
        <w:t>; T</w:t>
      </w:r>
      <w:r w:rsidR="00385FDB">
        <w:rPr>
          <w:rFonts w:ascii="Book Antiqua" w:eastAsia="MS PGothic" w:hAnsi="Book Antiqua"/>
          <w:bCs/>
        </w:rPr>
        <w:t>-</w:t>
      </w:r>
      <w:proofErr w:type="spellStart"/>
      <w:r w:rsidRPr="00E92EC1">
        <w:rPr>
          <w:rFonts w:ascii="Book Antiqua" w:eastAsia="MS PGothic" w:hAnsi="Book Antiqua"/>
          <w:bCs/>
        </w:rPr>
        <w:t>Bil</w:t>
      </w:r>
      <w:proofErr w:type="spellEnd"/>
      <w:r w:rsidRPr="00E92EC1">
        <w:rPr>
          <w:rFonts w:ascii="Book Antiqua" w:eastAsia="MS PGothic" w:hAnsi="Book Antiqua"/>
          <w:bCs/>
        </w:rPr>
        <w:t xml:space="preserve">: </w:t>
      </w:r>
      <w:r w:rsidR="00385FDB" w:rsidRPr="00E92EC1">
        <w:rPr>
          <w:rFonts w:ascii="Book Antiqua" w:eastAsia="MS PGothic" w:hAnsi="Book Antiqua"/>
          <w:bCs/>
        </w:rPr>
        <w:t>T</w:t>
      </w:r>
      <w:r w:rsidRPr="00E92EC1">
        <w:rPr>
          <w:rFonts w:ascii="Book Antiqua" w:eastAsia="MS PGothic" w:hAnsi="Book Antiqua"/>
          <w:bCs/>
        </w:rPr>
        <w:t xml:space="preserve">otal bilirubin; BUN: </w:t>
      </w:r>
      <w:r w:rsidR="00385FDB" w:rsidRPr="00E92EC1">
        <w:rPr>
          <w:rFonts w:ascii="Book Antiqua" w:eastAsia="MS PGothic" w:hAnsi="Book Antiqua"/>
          <w:bCs/>
        </w:rPr>
        <w:t>B</w:t>
      </w:r>
      <w:r w:rsidRPr="00E92EC1">
        <w:rPr>
          <w:rFonts w:ascii="Book Antiqua" w:eastAsia="MS PGothic" w:hAnsi="Book Antiqua"/>
          <w:bCs/>
        </w:rPr>
        <w:t xml:space="preserve">lood urea nitrogen; Cr: </w:t>
      </w:r>
      <w:r w:rsidR="00385FDB" w:rsidRPr="00E92EC1">
        <w:rPr>
          <w:rFonts w:ascii="Book Antiqua" w:eastAsia="MS PGothic" w:hAnsi="Book Antiqua"/>
          <w:bCs/>
        </w:rPr>
        <w:t>C</w:t>
      </w:r>
      <w:r w:rsidRPr="00E92EC1">
        <w:rPr>
          <w:rFonts w:ascii="Book Antiqua" w:eastAsia="MS PGothic" w:hAnsi="Book Antiqua"/>
          <w:bCs/>
        </w:rPr>
        <w:t xml:space="preserve">reatinine; e-GFR: </w:t>
      </w:r>
      <w:r w:rsidR="00385FDB" w:rsidRPr="00E92EC1">
        <w:rPr>
          <w:rFonts w:ascii="Book Antiqua" w:eastAsia="MS PGothic" w:hAnsi="Book Antiqua"/>
          <w:bCs/>
        </w:rPr>
        <w:t>E</w:t>
      </w:r>
      <w:r w:rsidRPr="00E92EC1">
        <w:rPr>
          <w:rFonts w:ascii="Book Antiqua" w:eastAsia="MS PGothic" w:hAnsi="Book Antiqua"/>
          <w:bCs/>
        </w:rPr>
        <w:t>stimated glomerular filtration rate</w:t>
      </w:r>
      <w:r w:rsidR="00385FDB">
        <w:rPr>
          <w:rFonts w:ascii="Book Antiqua" w:eastAsia="MS PGothic" w:hAnsi="Book Antiqua"/>
          <w:bCs/>
        </w:rPr>
        <w:t>.</w:t>
      </w:r>
    </w:p>
    <w:p w14:paraId="37B1E418" w14:textId="77777777" w:rsidR="00385FDB" w:rsidRDefault="00385FDB" w:rsidP="00E92EC1">
      <w:pPr>
        <w:spacing w:line="360" w:lineRule="auto"/>
        <w:jc w:val="both"/>
        <w:rPr>
          <w:rFonts w:ascii="Book Antiqua" w:eastAsia="MS PGothic" w:hAnsi="Book Antiqua"/>
          <w:bCs/>
        </w:rPr>
      </w:pPr>
    </w:p>
    <w:p w14:paraId="52D27C89" w14:textId="53F6A201" w:rsidR="00385FDB" w:rsidRPr="00E92EC1" w:rsidRDefault="00385FDB" w:rsidP="00E92EC1">
      <w:pPr>
        <w:spacing w:line="360" w:lineRule="auto"/>
        <w:jc w:val="both"/>
        <w:rPr>
          <w:rFonts w:ascii="Book Antiqua" w:eastAsia="MS PGothic" w:hAnsi="Book Antiqua"/>
          <w:bCs/>
        </w:rPr>
        <w:sectPr w:rsidR="00385FDB" w:rsidRPr="00E92EC1" w:rsidSect="00E92EC1">
          <w:headerReference w:type="default" r:id="rId13"/>
          <w:footerReference w:type="default" r:id="rId14"/>
          <w:pgSz w:w="16838" w:h="11906" w:orient="landscape"/>
          <w:pgMar w:top="1701" w:right="1985" w:bottom="1701" w:left="1701" w:header="851" w:footer="992" w:gutter="0"/>
          <w:cols w:space="425"/>
          <w:docGrid w:linePitch="360"/>
        </w:sectPr>
      </w:pPr>
    </w:p>
    <w:p w14:paraId="7000704E" w14:textId="5EFF3B84" w:rsidR="00E92EC1" w:rsidRPr="00385FDB" w:rsidRDefault="00E92EC1" w:rsidP="00E92EC1">
      <w:pPr>
        <w:spacing w:line="360" w:lineRule="auto"/>
        <w:ind w:right="-1"/>
        <w:jc w:val="both"/>
        <w:rPr>
          <w:rFonts w:ascii="Book Antiqua" w:eastAsia="MS PGothic" w:hAnsi="Book Antiqua"/>
          <w:b/>
        </w:rPr>
      </w:pPr>
      <w:r w:rsidRPr="00385FDB">
        <w:rPr>
          <w:rFonts w:ascii="Book Antiqua" w:eastAsia="MS PGothic" w:hAnsi="Book Antiqua"/>
          <w:b/>
        </w:rPr>
        <w:lastRenderedPageBreak/>
        <w:t xml:space="preserve">Table 2 Clinical features of </w:t>
      </w:r>
      <w:proofErr w:type="spellStart"/>
      <w:r w:rsidRPr="00385FDB">
        <w:rPr>
          <w:rFonts w:ascii="Book Antiqua" w:eastAsia="MS PGothic" w:hAnsi="Book Antiqua"/>
          <w:b/>
        </w:rPr>
        <w:t>phlegmonous</w:t>
      </w:r>
      <w:proofErr w:type="spellEnd"/>
      <w:r w:rsidRPr="00385FDB">
        <w:rPr>
          <w:rFonts w:ascii="Book Antiqua" w:eastAsia="MS PGothic" w:hAnsi="Book Antiqua"/>
          <w:b/>
        </w:rPr>
        <w:t xml:space="preserve"> gastritis after chemotherapy for hematological malignancy</w:t>
      </w:r>
    </w:p>
    <w:tbl>
      <w:tblPr>
        <w:tblW w:w="1455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2"/>
        <w:gridCol w:w="1519"/>
        <w:gridCol w:w="639"/>
        <w:gridCol w:w="585"/>
        <w:gridCol w:w="1798"/>
        <w:gridCol w:w="2122"/>
        <w:gridCol w:w="3444"/>
        <w:gridCol w:w="2158"/>
        <w:gridCol w:w="1281"/>
        <w:gridCol w:w="1318"/>
      </w:tblGrid>
      <w:tr w:rsidR="00385FDB" w:rsidRPr="00E92EC1" w14:paraId="2E43D0BF" w14:textId="77777777" w:rsidTr="00341B54">
        <w:trPr>
          <w:trHeight w:val="509"/>
          <w:jc w:val="center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14:paraId="28DA6A28" w14:textId="72CEFAA4" w:rsidR="00385FDB" w:rsidRPr="00385FDB" w:rsidRDefault="00385FDB" w:rsidP="00E92EC1">
            <w:pPr>
              <w:spacing w:line="360" w:lineRule="auto"/>
              <w:jc w:val="both"/>
              <w:rPr>
                <w:rFonts w:ascii="Book Antiqua" w:hAnsi="Book Antiqua" w:cs="MS PGothic"/>
                <w:b/>
                <w:bCs/>
                <w:color w:val="000000"/>
                <w:lang w:eastAsia="zh-CN"/>
              </w:rPr>
            </w:pPr>
            <w:r>
              <w:rPr>
                <w:rFonts w:ascii="Book Antiqua" w:hAnsi="Book Antiqua" w:cs="MS PGothic" w:hint="eastAsia"/>
                <w:b/>
                <w:bCs/>
                <w:color w:val="000000"/>
                <w:lang w:eastAsia="zh-CN"/>
              </w:rPr>
              <w:t>N</w:t>
            </w:r>
            <w:r>
              <w:rPr>
                <w:rFonts w:ascii="Book Antiqua" w:hAnsi="Book Antiqua" w:cs="MS PGothic"/>
                <w:b/>
                <w:bCs/>
                <w:color w:val="000000"/>
                <w:lang w:eastAsia="zh-CN"/>
              </w:rPr>
              <w:t>o.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46B0" w14:textId="2159AF8F" w:rsidR="00385FDB" w:rsidRPr="00385FDB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  <w:color w:val="000000"/>
              </w:rPr>
            </w:pPr>
            <w:r>
              <w:rPr>
                <w:rFonts w:ascii="Book Antiqua" w:eastAsia="MS PGothic" w:hAnsi="Book Antiqua" w:cs="MS PGothic"/>
                <w:b/>
                <w:bCs/>
                <w:color w:val="000000"/>
              </w:rPr>
              <w:t>Ref.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AC92" w14:textId="77777777" w:rsidR="00385FDB" w:rsidRPr="00385FDB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b/>
                <w:bCs/>
                <w:color w:val="000000"/>
              </w:rPr>
              <w:t>Age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46AF" w14:textId="77777777" w:rsidR="00385FDB" w:rsidRPr="00385FDB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b/>
                <w:bCs/>
                <w:color w:val="000000"/>
              </w:rPr>
              <w:t>Sex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AC46" w14:textId="7DF82BEA" w:rsidR="00385FDB" w:rsidRPr="00385FDB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b/>
                <w:bCs/>
                <w:color w:val="000000"/>
              </w:rPr>
              <w:t xml:space="preserve">Hematological </w:t>
            </w:r>
            <w:r>
              <w:rPr>
                <w:rFonts w:ascii="Book Antiqua" w:eastAsia="MS PGothic" w:hAnsi="Book Antiqua" w:cs="MS PGothic"/>
                <w:b/>
                <w:bCs/>
                <w:color w:val="000000"/>
              </w:rPr>
              <w:t>m</w:t>
            </w:r>
            <w:r w:rsidRPr="00385FDB">
              <w:rPr>
                <w:rFonts w:ascii="Book Antiqua" w:eastAsia="MS PGothic" w:hAnsi="Book Antiqua" w:cs="MS PGothic"/>
                <w:b/>
                <w:bCs/>
                <w:color w:val="000000"/>
              </w:rPr>
              <w:t>alignancy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C748" w14:textId="79E67B49" w:rsidR="00385FDB" w:rsidRPr="00385FDB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b/>
                <w:bCs/>
                <w:color w:val="000000"/>
              </w:rPr>
              <w:t>WBC/</w:t>
            </w:r>
            <w:r w:rsidR="00341B54" w:rsidRPr="00341B54">
              <w:rPr>
                <w:rFonts w:ascii="Book Antiqua" w:eastAsia="MS PGothic" w:hAnsi="Book Antiqua"/>
                <w:b/>
              </w:rPr>
              <w:t>neutrophils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E46E" w14:textId="77777777" w:rsidR="00385FDB" w:rsidRPr="00385FDB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b/>
                <w:bCs/>
                <w:color w:val="000000"/>
              </w:rPr>
              <w:t>Pathogen(s)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308C" w14:textId="77777777" w:rsidR="00385FDB" w:rsidRPr="00385FDB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b/>
                <w:bCs/>
                <w:color w:val="000000"/>
              </w:rPr>
              <w:t>Histopathological examination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2395" w14:textId="77777777" w:rsidR="00385FDB" w:rsidRPr="00385FDB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b/>
                <w:bCs/>
                <w:color w:val="000000"/>
              </w:rPr>
              <w:t>Gastric acid secretion inhibitor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D1DC" w14:textId="77777777" w:rsidR="00385FDB" w:rsidRPr="00385FDB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b/>
                <w:bCs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b/>
                <w:bCs/>
                <w:color w:val="000000"/>
              </w:rPr>
              <w:t>Outcome</w:t>
            </w:r>
          </w:p>
        </w:tc>
      </w:tr>
      <w:tr w:rsidR="00385FDB" w:rsidRPr="00E92EC1" w14:paraId="35ACA381" w14:textId="77777777" w:rsidTr="00341B54">
        <w:trPr>
          <w:trHeight w:val="509"/>
          <w:jc w:val="center"/>
        </w:trPr>
        <w:tc>
          <w:tcPr>
            <w:tcW w:w="1060" w:type="dxa"/>
            <w:tcBorders>
              <w:top w:val="single" w:sz="4" w:space="0" w:color="auto"/>
            </w:tcBorders>
          </w:tcPr>
          <w:p w14:paraId="2216F5FC" w14:textId="09724FE8" w:rsidR="00385FDB" w:rsidRPr="00385FDB" w:rsidRDefault="00385FDB" w:rsidP="00E92EC1">
            <w:pPr>
              <w:spacing w:line="360" w:lineRule="auto"/>
              <w:jc w:val="both"/>
              <w:rPr>
                <w:rFonts w:ascii="Book Antiqua" w:hAnsi="Book Antiqua" w:cs="MS PGothic"/>
                <w:color w:val="000000"/>
                <w:lang w:eastAsia="zh-CN"/>
              </w:rPr>
            </w:pPr>
            <w:r>
              <w:rPr>
                <w:rFonts w:ascii="Book Antiqua" w:hAnsi="Book Antiqua" w:cs="MS PGothic" w:hint="eastAsia"/>
                <w:color w:val="000000"/>
                <w:lang w:eastAsia="zh-CN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F18C" w14:textId="495A7074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color w:val="000000"/>
              </w:rPr>
              <w:t xml:space="preserve">Takeuchi </w:t>
            </w:r>
            <w:r w:rsidRPr="00385FDB">
              <w:rPr>
                <w:rFonts w:ascii="Book Antiqua" w:eastAsia="MS PGothic" w:hAnsi="Book Antiqua" w:cs="MS PGothic"/>
                <w:i/>
                <w:iCs/>
                <w:color w:val="000000"/>
              </w:rPr>
              <w:t>et al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[10]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709C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63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E81E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M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7966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ATLL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283A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300/unknown</w:t>
            </w:r>
          </w:p>
        </w:tc>
        <w:tc>
          <w:tcPr>
            <w:tcW w:w="34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21AB" w14:textId="4428461F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Gram-positive cocci and Gram-negative bacilli</w:t>
            </w:r>
            <w:r w:rsidR="00341B54">
              <w:rPr>
                <w:rFonts w:ascii="Book Antiqua" w:eastAsia="MS PGothic" w:hAnsi="Book Antiqua" w:cs="MS PGothic"/>
                <w:color w:val="000000"/>
                <w:vertAlign w:val="superscript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8CD8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Not executed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E75A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H</w:t>
            </w:r>
            <w:r w:rsidRPr="00E92EC1">
              <w:rPr>
                <w:rFonts w:ascii="Book Antiqua" w:eastAsia="MS PGothic" w:hAnsi="Book Antiqua" w:cs="MS PGothic"/>
                <w:color w:val="000000"/>
                <w:vertAlign w:val="subscript"/>
              </w:rPr>
              <w:t>2</w:t>
            </w:r>
            <w:r w:rsidRPr="00E92EC1">
              <w:rPr>
                <w:rFonts w:ascii="Book Antiqua" w:eastAsia="MS PGothic" w:hAnsi="Book Antiqua" w:cs="MS PGothic"/>
                <w:color w:val="000000"/>
              </w:rPr>
              <w:t>-RA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39F7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Death</w:t>
            </w:r>
          </w:p>
        </w:tc>
      </w:tr>
      <w:tr w:rsidR="00385FDB" w:rsidRPr="00E92EC1" w14:paraId="25BCF25D" w14:textId="77777777" w:rsidTr="00341B54">
        <w:trPr>
          <w:trHeight w:val="509"/>
          <w:jc w:val="center"/>
        </w:trPr>
        <w:tc>
          <w:tcPr>
            <w:tcW w:w="1060" w:type="dxa"/>
          </w:tcPr>
          <w:p w14:paraId="7FD6E31A" w14:textId="46C86FA0" w:rsidR="00385FDB" w:rsidRPr="00385FDB" w:rsidRDefault="0024739D" w:rsidP="00E92EC1">
            <w:pPr>
              <w:spacing w:line="360" w:lineRule="auto"/>
              <w:jc w:val="both"/>
              <w:rPr>
                <w:rFonts w:ascii="Book Antiqua" w:hAnsi="Book Antiqua" w:cs="MS PGothic"/>
                <w:color w:val="000000"/>
                <w:lang w:eastAsia="zh-CN"/>
              </w:rPr>
            </w:pPr>
            <w:r>
              <w:rPr>
                <w:rFonts w:ascii="Book Antiqua" w:hAnsi="Book Antiqua" w:cs="MS PGothic" w:hint="eastAsia"/>
                <w:color w:val="000000"/>
                <w:lang w:eastAsia="zh-CN"/>
              </w:rPr>
              <w:t>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3B095F7C" w14:textId="1B19E03F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color w:val="000000"/>
              </w:rPr>
              <w:t xml:space="preserve">Matsumoto </w:t>
            </w:r>
            <w:r w:rsidRPr="00385FDB">
              <w:rPr>
                <w:rFonts w:ascii="Book Antiqua" w:eastAsia="MS PGothic" w:hAnsi="Book Antiqua" w:cs="MS PGothic"/>
                <w:i/>
                <w:iCs/>
                <w:color w:val="000000"/>
              </w:rPr>
              <w:t>et al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[1</w:t>
            </w:r>
            <w:r>
              <w:rPr>
                <w:rFonts w:ascii="Book Antiqua" w:eastAsia="MS PGothic" w:hAnsi="Book Antiqua" w:cs="MS PGothic"/>
                <w:color w:val="000000"/>
                <w:vertAlign w:val="superscript"/>
              </w:rPr>
              <w:t>1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A0E6CB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74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44C2F647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M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66ED771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MF and MM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654BAEC4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800/300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237C6F32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i/>
                <w:iCs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Bacillus thuringiensis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77C28A68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Not executed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7D44AF4A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Unknown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4F059F4B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Death</w:t>
            </w:r>
          </w:p>
        </w:tc>
      </w:tr>
      <w:tr w:rsidR="00385FDB" w:rsidRPr="00E92EC1" w14:paraId="20AD5CB2" w14:textId="77777777" w:rsidTr="00341B54">
        <w:trPr>
          <w:trHeight w:val="509"/>
          <w:jc w:val="center"/>
        </w:trPr>
        <w:tc>
          <w:tcPr>
            <w:tcW w:w="1060" w:type="dxa"/>
          </w:tcPr>
          <w:p w14:paraId="538DA9F3" w14:textId="5D211692" w:rsidR="00385FDB" w:rsidRPr="00385FDB" w:rsidRDefault="00385FDB" w:rsidP="00E92EC1">
            <w:pPr>
              <w:spacing w:line="360" w:lineRule="auto"/>
              <w:jc w:val="both"/>
              <w:rPr>
                <w:rFonts w:ascii="Book Antiqua" w:hAnsi="Book Antiqua" w:cs="MS PGothic"/>
                <w:color w:val="000000"/>
                <w:lang w:eastAsia="zh-CN"/>
              </w:rPr>
            </w:pPr>
            <w:r>
              <w:rPr>
                <w:rFonts w:ascii="Book Antiqua" w:hAnsi="Book Antiqua" w:cs="MS PGothic" w:hint="eastAsia"/>
                <w:color w:val="000000"/>
                <w:lang w:eastAsia="zh-CN"/>
              </w:rPr>
              <w:t>3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5CAAA5C3" w14:textId="1EBD1FE0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color w:val="000000"/>
              </w:rPr>
              <w:t xml:space="preserve">Iqbal </w:t>
            </w:r>
            <w:r w:rsidRPr="00385FDB">
              <w:rPr>
                <w:rFonts w:ascii="Book Antiqua" w:eastAsia="MS PGothic" w:hAnsi="Book Antiqua" w:cs="MS PGothic"/>
                <w:i/>
                <w:iCs/>
                <w:color w:val="000000"/>
              </w:rPr>
              <w:t>et al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[1</w:t>
            </w:r>
            <w:r>
              <w:rPr>
                <w:rFonts w:ascii="Book Antiqua" w:eastAsia="MS PGothic" w:hAnsi="Book Antiqua" w:cs="MS PGothic"/>
                <w:color w:val="000000"/>
                <w:vertAlign w:val="superscript"/>
              </w:rPr>
              <w:t>2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A60ABA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59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11F62FBB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F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C91C837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AML</w:t>
            </w:r>
          </w:p>
          <w:p w14:paraId="6FBAB10E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 xml:space="preserve"> (2nd relapse)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68276670" w14:textId="1B3DF02B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&lt;</w:t>
            </w:r>
            <w:r w:rsidR="00341B54">
              <w:rPr>
                <w:rFonts w:ascii="Book Antiqua" w:eastAsia="MS PGothic" w:hAnsi="Book Antiqua" w:cs="MS PGothic"/>
                <w:color w:val="000000"/>
              </w:rPr>
              <w:t xml:space="preserve"> </w:t>
            </w:r>
            <w:r w:rsidRPr="00E92EC1">
              <w:rPr>
                <w:rFonts w:ascii="Book Antiqua" w:eastAsia="MS PGothic" w:hAnsi="Book Antiqua" w:cs="MS PGothic"/>
                <w:color w:val="000000"/>
              </w:rPr>
              <w:t>100/0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4A91B65F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i/>
                <w:iCs/>
                <w:color w:val="000000"/>
              </w:rPr>
            </w:pPr>
            <w:proofErr w:type="spellStart"/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Citrobacter</w:t>
            </w:r>
            <w:proofErr w:type="spellEnd"/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 xml:space="preserve"> </w:t>
            </w:r>
            <w:proofErr w:type="spellStart"/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freundii</w:t>
            </w:r>
            <w:proofErr w:type="spellEnd"/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 xml:space="preserve">/Enterococcus </w:t>
            </w:r>
            <w:proofErr w:type="spellStart"/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faecalis</w:t>
            </w:r>
            <w:proofErr w:type="spellEnd"/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/Bacillus cereus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530E32A0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Not executed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62B91557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Unknown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174960D" w14:textId="10D523B9" w:rsidR="00385FDB" w:rsidRPr="00E92EC1" w:rsidRDefault="00341B54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Recovered</w:t>
            </w:r>
          </w:p>
        </w:tc>
      </w:tr>
      <w:tr w:rsidR="00385FDB" w:rsidRPr="00E92EC1" w14:paraId="29637FDD" w14:textId="77777777" w:rsidTr="00341B54">
        <w:trPr>
          <w:trHeight w:val="509"/>
          <w:jc w:val="center"/>
        </w:trPr>
        <w:tc>
          <w:tcPr>
            <w:tcW w:w="1060" w:type="dxa"/>
          </w:tcPr>
          <w:p w14:paraId="135E31F4" w14:textId="596BBC79" w:rsidR="00385FDB" w:rsidRPr="00385FDB" w:rsidRDefault="00385FDB" w:rsidP="00E92EC1">
            <w:pPr>
              <w:spacing w:line="360" w:lineRule="auto"/>
              <w:jc w:val="both"/>
              <w:rPr>
                <w:rFonts w:ascii="Book Antiqua" w:hAnsi="Book Antiqua" w:cs="MS PGothic"/>
                <w:color w:val="000000"/>
                <w:lang w:eastAsia="zh-CN"/>
              </w:rPr>
            </w:pPr>
            <w:r>
              <w:rPr>
                <w:rFonts w:ascii="Book Antiqua" w:hAnsi="Book Antiqua" w:cs="MS PGothic" w:hint="eastAsia"/>
                <w:color w:val="000000"/>
                <w:lang w:eastAsia="zh-CN"/>
              </w:rPr>
              <w:t>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35C9E8C3" w14:textId="48243E5A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proofErr w:type="spellStart"/>
            <w:r w:rsidRPr="00385FDB">
              <w:rPr>
                <w:rFonts w:ascii="Book Antiqua" w:eastAsia="MS PGothic" w:hAnsi="Book Antiqua" w:cs="MS PGothic"/>
                <w:color w:val="000000"/>
              </w:rPr>
              <w:t>Inagawa</w:t>
            </w:r>
            <w:proofErr w:type="spellEnd"/>
            <w:r w:rsidRPr="00385FDB">
              <w:rPr>
                <w:rFonts w:ascii="Book Antiqua" w:eastAsia="MS PGothic" w:hAnsi="Book Antiqua" w:cs="MS PGothic"/>
                <w:color w:val="000000"/>
              </w:rPr>
              <w:t xml:space="preserve"> </w:t>
            </w:r>
            <w:r w:rsidRPr="00385FDB">
              <w:rPr>
                <w:rFonts w:ascii="Book Antiqua" w:eastAsia="MS PGothic" w:hAnsi="Book Antiqua" w:cs="MS PGothic"/>
                <w:i/>
                <w:iCs/>
                <w:color w:val="000000"/>
              </w:rPr>
              <w:t>et al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[1</w:t>
            </w:r>
            <w:r>
              <w:rPr>
                <w:rFonts w:ascii="Book Antiqua" w:eastAsia="MS PGothic" w:hAnsi="Book Antiqua" w:cs="MS PGothic"/>
                <w:color w:val="000000"/>
                <w:vertAlign w:val="superscript"/>
              </w:rPr>
              <w:t>3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F3615A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34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1CEA6B60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F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82605C2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APL with MF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15B7D30C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320/20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48283898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i/>
                <w:iCs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Enterobacter cloacae/Enterococcus</w:t>
            </w:r>
            <w:r w:rsidRPr="00E92EC1">
              <w:rPr>
                <w:rFonts w:ascii="Book Antiqua" w:eastAsia="MS PGothic" w:hAnsi="Book Antiqua" w:cs="MS PGothic"/>
                <w:color w:val="000000"/>
              </w:rPr>
              <w:t xml:space="preserve"> species/MRS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4A0FF2C3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Not executed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60E110FC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PPI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5556DD6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Death</w:t>
            </w:r>
          </w:p>
        </w:tc>
      </w:tr>
      <w:tr w:rsidR="00385FDB" w:rsidRPr="00E92EC1" w14:paraId="5E37F3B7" w14:textId="77777777" w:rsidTr="00341B54">
        <w:trPr>
          <w:trHeight w:val="509"/>
          <w:jc w:val="center"/>
        </w:trPr>
        <w:tc>
          <w:tcPr>
            <w:tcW w:w="1060" w:type="dxa"/>
          </w:tcPr>
          <w:p w14:paraId="1A197E9C" w14:textId="152A5B35" w:rsidR="00385FDB" w:rsidRPr="00385FDB" w:rsidRDefault="00385FDB" w:rsidP="00E92EC1">
            <w:pPr>
              <w:spacing w:line="360" w:lineRule="auto"/>
              <w:jc w:val="both"/>
              <w:rPr>
                <w:rFonts w:ascii="Book Antiqua" w:hAnsi="Book Antiqua" w:cs="MS PGothic"/>
                <w:color w:val="000000"/>
                <w:lang w:eastAsia="zh-CN"/>
              </w:rPr>
            </w:pPr>
            <w:r>
              <w:rPr>
                <w:rFonts w:ascii="Book Antiqua" w:hAnsi="Book Antiqua" w:cs="MS PGothic" w:hint="eastAsia"/>
                <w:color w:val="000000"/>
                <w:lang w:eastAsia="zh-CN"/>
              </w:rPr>
              <w:t>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92D01F2" w14:textId="23DCDB99" w:rsidR="00385FDB" w:rsidRPr="00E92EC1" w:rsidRDefault="0024739D" w:rsidP="0024739D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>
              <w:rPr>
                <w:rFonts w:ascii="Book Antiqua" w:hAnsi="Book Antiqua" w:cs="MS PGothic" w:hint="eastAsia"/>
                <w:color w:val="000000"/>
                <w:lang w:eastAsia="zh-CN"/>
              </w:rPr>
              <w:t>Shi</w:t>
            </w:r>
            <w:r w:rsidRPr="00385FDB">
              <w:rPr>
                <w:rFonts w:ascii="Book Antiqua" w:eastAsia="MS PGothic" w:hAnsi="Book Antiqua" w:cs="MS PGothic"/>
                <w:color w:val="000000"/>
              </w:rPr>
              <w:t xml:space="preserve"> </w:t>
            </w:r>
            <w:r w:rsidRPr="00385FDB">
              <w:rPr>
                <w:rFonts w:ascii="Book Antiqua" w:eastAsia="MS PGothic" w:hAnsi="Book Antiqua" w:cs="MS PGothic"/>
                <w:i/>
                <w:iCs/>
                <w:color w:val="000000"/>
              </w:rPr>
              <w:t>et al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[1</w:t>
            </w:r>
            <w:r>
              <w:rPr>
                <w:rFonts w:ascii="Book Antiqua" w:hAnsi="Book Antiqua" w:cs="MS PGothic" w:hint="eastAsia"/>
                <w:color w:val="000000"/>
                <w:vertAlign w:val="superscript"/>
                <w:lang w:eastAsia="zh-CN"/>
              </w:rPr>
              <w:t>4</w:t>
            </w:r>
            <w:bookmarkStart w:id="27" w:name="_GoBack"/>
            <w:bookmarkEnd w:id="27"/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B097BF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33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57BA7DBC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M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8767F2C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MPAL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64F987B6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70/unknown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53D82AF5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i/>
                <w:iCs/>
                <w:color w:val="000000"/>
              </w:rPr>
            </w:pPr>
            <w:proofErr w:type="spellStart"/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Stenotrophomonas</w:t>
            </w:r>
            <w:proofErr w:type="spellEnd"/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 xml:space="preserve"> </w:t>
            </w:r>
            <w:proofErr w:type="spellStart"/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maltophilia</w:t>
            </w:r>
            <w:proofErr w:type="spellEnd"/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26F4CAAD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Not executed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1810283D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PPI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EE47A63" w14:textId="27F1038B" w:rsidR="00385FDB" w:rsidRPr="00E92EC1" w:rsidRDefault="00341B54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Recovered</w:t>
            </w:r>
          </w:p>
        </w:tc>
      </w:tr>
      <w:tr w:rsidR="00385FDB" w:rsidRPr="00E92EC1" w14:paraId="35ED352D" w14:textId="77777777" w:rsidTr="00341B54">
        <w:trPr>
          <w:trHeight w:val="509"/>
          <w:jc w:val="center"/>
        </w:trPr>
        <w:tc>
          <w:tcPr>
            <w:tcW w:w="1060" w:type="dxa"/>
          </w:tcPr>
          <w:p w14:paraId="234F7F91" w14:textId="5B71271A" w:rsidR="00385FDB" w:rsidRPr="00385FDB" w:rsidRDefault="00385FDB" w:rsidP="00E92EC1">
            <w:pPr>
              <w:spacing w:line="360" w:lineRule="auto"/>
              <w:jc w:val="both"/>
              <w:rPr>
                <w:rFonts w:ascii="Book Antiqua" w:hAnsi="Book Antiqua" w:cs="MS PGothic"/>
                <w:color w:val="000000"/>
                <w:lang w:eastAsia="zh-CN"/>
              </w:rPr>
            </w:pPr>
            <w:r>
              <w:rPr>
                <w:rFonts w:ascii="Book Antiqua" w:hAnsi="Book Antiqua" w:cs="MS PGothic" w:hint="eastAsia"/>
                <w:color w:val="000000"/>
                <w:lang w:eastAsia="zh-CN"/>
              </w:rPr>
              <w:t>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38DA5D3" w14:textId="241193A8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385FDB">
              <w:rPr>
                <w:rFonts w:ascii="Book Antiqua" w:eastAsia="MS PGothic" w:hAnsi="Book Antiqua" w:cs="MS PGothic"/>
                <w:color w:val="000000"/>
              </w:rPr>
              <w:t xml:space="preserve">Saito </w:t>
            </w:r>
            <w:r w:rsidRPr="00385FDB">
              <w:rPr>
                <w:rFonts w:ascii="Book Antiqua" w:eastAsia="MS PGothic" w:hAnsi="Book Antiqua" w:cs="MS PGothic"/>
                <w:i/>
                <w:iCs/>
                <w:color w:val="000000"/>
              </w:rPr>
              <w:t>et al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[</w:t>
            </w:r>
            <w:r>
              <w:rPr>
                <w:rFonts w:ascii="Book Antiqua" w:eastAsia="MS PGothic" w:hAnsi="Book Antiqua" w:cs="MS PGothic"/>
                <w:color w:val="000000"/>
                <w:vertAlign w:val="superscript"/>
              </w:rPr>
              <w:t>9</w:t>
            </w:r>
            <w:r w:rsidRPr="00385FDB">
              <w:rPr>
                <w:rFonts w:ascii="Book Antiqua" w:eastAsia="MS PGothic" w:hAnsi="Book Antiqua" w:cs="MS PGothic"/>
                <w:color w:val="000000"/>
                <w:vertAlign w:val="superscript"/>
              </w:rPr>
              <w:t>]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1F4A2D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55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276D4E81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F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7698082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ALL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1573C64F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100/4</w:t>
            </w:r>
          </w:p>
        </w:tc>
        <w:tc>
          <w:tcPr>
            <w:tcW w:w="3444" w:type="dxa"/>
            <w:shd w:val="clear" w:color="auto" w:fill="auto"/>
            <w:noWrap/>
            <w:vAlign w:val="center"/>
            <w:hideMark/>
          </w:tcPr>
          <w:p w14:paraId="158B7854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i/>
                <w:iCs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Bacillus cereus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14:paraId="2293E7C3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Executed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1F2EF4FD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PPI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7795CE2" w14:textId="793883FD" w:rsidR="00385FDB" w:rsidRPr="00E92EC1" w:rsidRDefault="00341B54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Recovered</w:t>
            </w:r>
          </w:p>
        </w:tc>
      </w:tr>
      <w:tr w:rsidR="00385FDB" w:rsidRPr="00E92EC1" w14:paraId="6A41A30A" w14:textId="77777777" w:rsidTr="00341B54">
        <w:trPr>
          <w:trHeight w:val="509"/>
          <w:jc w:val="center"/>
        </w:trPr>
        <w:tc>
          <w:tcPr>
            <w:tcW w:w="1060" w:type="dxa"/>
            <w:tcBorders>
              <w:bottom w:val="single" w:sz="4" w:space="0" w:color="auto"/>
            </w:tcBorders>
          </w:tcPr>
          <w:p w14:paraId="4032BE87" w14:textId="53639DB2" w:rsidR="00385FDB" w:rsidRPr="00385FDB" w:rsidRDefault="00385FDB" w:rsidP="00E92EC1">
            <w:pPr>
              <w:spacing w:line="360" w:lineRule="auto"/>
              <w:jc w:val="both"/>
              <w:rPr>
                <w:rFonts w:ascii="Book Antiqua" w:hAnsi="Book Antiqua" w:cs="MS PGothic"/>
                <w:color w:val="000000"/>
                <w:lang w:eastAsia="zh-CN"/>
              </w:rPr>
            </w:pPr>
            <w:r>
              <w:rPr>
                <w:rFonts w:ascii="Book Antiqua" w:hAnsi="Book Antiqua" w:cs="MS PGothic" w:hint="eastAsia"/>
                <w:color w:val="000000"/>
                <w:lang w:eastAsia="zh-CN"/>
              </w:rPr>
              <w:t>7</w:t>
            </w:r>
            <w:r>
              <w:rPr>
                <w:rFonts w:ascii="Book Antiqua" w:hAnsi="Book Antiqua" w:cs="MS PGothic"/>
                <w:color w:val="000000"/>
                <w:lang w:eastAsia="zh-CN"/>
              </w:rPr>
              <w:t xml:space="preserve"> (this case)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C87A" w14:textId="2FA5A6CF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D4F3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70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45F2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F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1C53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ALL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539A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100/98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FE4E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i/>
                <w:iCs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i/>
                <w:iCs/>
                <w:color w:val="000000"/>
              </w:rPr>
              <w:t>Bacillus cereus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DB7C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Executed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2C7D" w14:textId="77777777" w:rsidR="00385FDB" w:rsidRPr="00E92EC1" w:rsidRDefault="00385FDB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P-CAB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AEC6" w14:textId="2BCCE507" w:rsidR="00385FDB" w:rsidRPr="00E92EC1" w:rsidRDefault="00341B54" w:rsidP="00E92EC1">
            <w:pPr>
              <w:spacing w:line="360" w:lineRule="auto"/>
              <w:jc w:val="both"/>
              <w:rPr>
                <w:rFonts w:ascii="Book Antiqua" w:eastAsia="MS PGothic" w:hAnsi="Book Antiqua" w:cs="MS PGothic"/>
                <w:color w:val="000000"/>
              </w:rPr>
            </w:pPr>
            <w:r w:rsidRPr="00E92EC1">
              <w:rPr>
                <w:rFonts w:ascii="Book Antiqua" w:eastAsia="MS PGothic" w:hAnsi="Book Antiqua" w:cs="MS PGothic"/>
                <w:color w:val="000000"/>
              </w:rPr>
              <w:t>Recovered</w:t>
            </w:r>
          </w:p>
        </w:tc>
      </w:tr>
    </w:tbl>
    <w:p w14:paraId="7D88B3E6" w14:textId="04149463" w:rsidR="009034C4" w:rsidRDefault="00341B54" w:rsidP="00E92EC1">
      <w:pPr>
        <w:spacing w:line="360" w:lineRule="auto"/>
        <w:jc w:val="both"/>
        <w:rPr>
          <w:rFonts w:ascii="Book Antiqua" w:eastAsia="MS PGothic" w:hAnsi="Book Antiqua"/>
          <w:bCs/>
        </w:rPr>
      </w:pPr>
      <w:r w:rsidRPr="00341B54">
        <w:rPr>
          <w:rFonts w:ascii="Book Antiqua" w:eastAsia="MS PGothic" w:hAnsi="Book Antiqua"/>
          <w:bCs/>
          <w:vertAlign w:val="superscript"/>
        </w:rPr>
        <w:lastRenderedPageBreak/>
        <w:t>1</w:t>
      </w:r>
      <w:r w:rsidR="00E92EC1" w:rsidRPr="00E92EC1">
        <w:rPr>
          <w:rFonts w:ascii="Book Antiqua" w:eastAsia="MS PGothic" w:hAnsi="Book Antiqua"/>
          <w:bCs/>
        </w:rPr>
        <w:t>Colonies were confirmed, but bacterial species could not be identified.</w:t>
      </w:r>
      <w:r>
        <w:rPr>
          <w:rFonts w:ascii="Book Antiqua" w:eastAsia="MS PGothic" w:hAnsi="Book Antiqua"/>
          <w:bCs/>
        </w:rPr>
        <w:t xml:space="preserve"> </w:t>
      </w:r>
      <w:r w:rsidRPr="00E92EC1">
        <w:rPr>
          <w:rFonts w:ascii="Book Antiqua" w:eastAsia="MS PGothic" w:hAnsi="Book Antiqua"/>
          <w:bCs/>
        </w:rPr>
        <w:t xml:space="preserve">ATLL: Adult T-cell leukemia/lymphoma; MF: Myelofibrosis; MM: Multiple myeloma; AML: Acute myeloid leukemia; APL: Acute </w:t>
      </w:r>
      <w:proofErr w:type="spellStart"/>
      <w:r w:rsidRPr="00E92EC1">
        <w:rPr>
          <w:rFonts w:ascii="Book Antiqua" w:eastAsia="MS PGothic" w:hAnsi="Book Antiqua"/>
          <w:bCs/>
        </w:rPr>
        <w:t>promyelocytic</w:t>
      </w:r>
      <w:proofErr w:type="spellEnd"/>
      <w:r w:rsidRPr="00E92EC1">
        <w:rPr>
          <w:rFonts w:ascii="Book Antiqua" w:eastAsia="MS PGothic" w:hAnsi="Book Antiqua"/>
          <w:bCs/>
        </w:rPr>
        <w:t xml:space="preserve"> leukemia; MPAL: Mixed-phenotype acute leukemia; ALL: Acute lymphocytic leukemia; WBC: White blood cells; MRS: Methicillin</w:t>
      </w:r>
      <w:r>
        <w:rPr>
          <w:rFonts w:ascii="Book Antiqua" w:eastAsia="MS PGothic" w:hAnsi="Book Antiqua"/>
          <w:bCs/>
        </w:rPr>
        <w:t>-</w:t>
      </w:r>
      <w:r w:rsidRPr="00E92EC1">
        <w:rPr>
          <w:rFonts w:ascii="Book Antiqua" w:eastAsia="MS PGothic" w:hAnsi="Book Antiqua"/>
          <w:bCs/>
        </w:rPr>
        <w:t xml:space="preserve">resistant </w:t>
      </w:r>
      <w:r w:rsidRPr="00E92EC1">
        <w:rPr>
          <w:rFonts w:ascii="Book Antiqua" w:eastAsia="MS PGothic" w:hAnsi="Book Antiqua"/>
          <w:bCs/>
          <w:i/>
        </w:rPr>
        <w:t>Staphylococcus</w:t>
      </w:r>
      <w:r w:rsidRPr="00E92EC1">
        <w:rPr>
          <w:rFonts w:ascii="Book Antiqua" w:eastAsia="MS PGothic" w:hAnsi="Book Antiqua"/>
          <w:bCs/>
        </w:rPr>
        <w:t>; H</w:t>
      </w:r>
      <w:r w:rsidRPr="00E92EC1">
        <w:rPr>
          <w:rFonts w:ascii="Book Antiqua" w:eastAsia="MS PGothic" w:hAnsi="Book Antiqua"/>
          <w:bCs/>
          <w:vertAlign w:val="subscript"/>
        </w:rPr>
        <w:t>2</w:t>
      </w:r>
      <w:r w:rsidRPr="00E92EC1">
        <w:rPr>
          <w:rFonts w:ascii="Book Antiqua" w:eastAsia="MS PGothic" w:hAnsi="Book Antiqua"/>
          <w:bCs/>
        </w:rPr>
        <w:t>-RA: Histamine H</w:t>
      </w:r>
      <w:r w:rsidRPr="00E92EC1">
        <w:rPr>
          <w:rFonts w:ascii="Book Antiqua" w:eastAsia="MS PGothic" w:hAnsi="Book Antiqua"/>
          <w:bCs/>
          <w:vertAlign w:val="subscript"/>
        </w:rPr>
        <w:t>2</w:t>
      </w:r>
      <w:r w:rsidRPr="00E92EC1">
        <w:rPr>
          <w:rFonts w:ascii="Book Antiqua" w:eastAsia="MS PGothic" w:hAnsi="Book Antiqua"/>
          <w:bCs/>
        </w:rPr>
        <w:t>-receptor antagonist, PPI: Proton pump inhibitor; P-CAB: Potassium-competitive acid blocker</w:t>
      </w:r>
      <w:r>
        <w:rPr>
          <w:rFonts w:ascii="Book Antiqua" w:eastAsia="MS PGothic" w:hAnsi="Book Antiqua"/>
          <w:bCs/>
        </w:rPr>
        <w:t>; M: Male; F: Female.</w:t>
      </w:r>
    </w:p>
    <w:p w14:paraId="420D79E9" w14:textId="77777777" w:rsidR="009034C4" w:rsidRDefault="009034C4" w:rsidP="009034C4">
      <w:pPr>
        <w:jc w:val="center"/>
        <w:rPr>
          <w:rFonts w:ascii="Book Antiqua" w:hAnsi="Book Antiqua"/>
        </w:rPr>
      </w:pPr>
      <w:r>
        <w:rPr>
          <w:rFonts w:ascii="Book Antiqua" w:eastAsia="MS PGothic" w:hAnsi="Book Antiqua"/>
          <w:bCs/>
        </w:rPr>
        <w:br w:type="page"/>
      </w: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023BDE25" wp14:editId="4DC5EBA9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ABEF5" w14:textId="77777777" w:rsidR="009034C4" w:rsidRDefault="009034C4" w:rsidP="009034C4">
      <w:pPr>
        <w:jc w:val="center"/>
        <w:rPr>
          <w:rFonts w:ascii="Book Antiqua" w:hAnsi="Book Antiqua"/>
        </w:rPr>
      </w:pPr>
    </w:p>
    <w:p w14:paraId="294C7248" w14:textId="77777777" w:rsidR="009034C4" w:rsidRPr="00763D22" w:rsidRDefault="009034C4" w:rsidP="009034C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4C8ED40" w14:textId="77777777" w:rsidR="009034C4" w:rsidRPr="00763D22" w:rsidRDefault="009034C4" w:rsidP="009034C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B4299D3" w14:textId="77777777" w:rsidR="009034C4" w:rsidRPr="00763D22" w:rsidRDefault="009034C4" w:rsidP="009034C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5140AF2" w14:textId="77777777" w:rsidR="009034C4" w:rsidRPr="00763D22" w:rsidRDefault="009034C4" w:rsidP="009034C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CF4B0D9" w14:textId="77777777" w:rsidR="009034C4" w:rsidRPr="00763D22" w:rsidRDefault="009034C4" w:rsidP="009034C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2311A86" w14:textId="77777777" w:rsidR="009034C4" w:rsidRPr="00763D22" w:rsidRDefault="009034C4" w:rsidP="009034C4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0D3482B" w14:textId="77777777" w:rsidR="009034C4" w:rsidRDefault="009034C4" w:rsidP="009034C4">
      <w:pPr>
        <w:jc w:val="center"/>
        <w:rPr>
          <w:rFonts w:ascii="Book Antiqua" w:hAnsi="Book Antiqua"/>
        </w:rPr>
      </w:pPr>
    </w:p>
    <w:p w14:paraId="2773344D" w14:textId="77777777" w:rsidR="009034C4" w:rsidRDefault="009034C4" w:rsidP="009034C4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CEE9168" wp14:editId="274D198D">
            <wp:extent cx="1447800" cy="1440180"/>
            <wp:effectExtent l="0" t="0" r="0" b="7620"/>
            <wp:docPr id="7" name="图片 7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A336F" w14:textId="77777777" w:rsidR="009034C4" w:rsidRDefault="009034C4" w:rsidP="009034C4">
      <w:pPr>
        <w:jc w:val="center"/>
        <w:rPr>
          <w:rFonts w:ascii="Book Antiqua" w:hAnsi="Book Antiqua"/>
        </w:rPr>
      </w:pPr>
    </w:p>
    <w:p w14:paraId="40D3C16B" w14:textId="77777777" w:rsidR="009034C4" w:rsidRDefault="009034C4" w:rsidP="009034C4">
      <w:pPr>
        <w:jc w:val="center"/>
        <w:rPr>
          <w:rFonts w:ascii="Book Antiqua" w:hAnsi="Book Antiqua"/>
        </w:rPr>
      </w:pPr>
    </w:p>
    <w:p w14:paraId="16AFF047" w14:textId="77777777" w:rsidR="009034C4" w:rsidRDefault="009034C4" w:rsidP="009034C4">
      <w:pPr>
        <w:jc w:val="center"/>
        <w:rPr>
          <w:rFonts w:ascii="Book Antiqua" w:hAnsi="Book Antiqua"/>
        </w:rPr>
      </w:pPr>
    </w:p>
    <w:p w14:paraId="76A1956D" w14:textId="77777777" w:rsidR="009034C4" w:rsidRDefault="009034C4" w:rsidP="009034C4">
      <w:pPr>
        <w:jc w:val="center"/>
        <w:rPr>
          <w:rFonts w:ascii="Book Antiqua" w:hAnsi="Book Antiqua"/>
        </w:rPr>
      </w:pPr>
    </w:p>
    <w:p w14:paraId="2FEE7B4C" w14:textId="77777777" w:rsidR="009034C4" w:rsidRPr="00763D22" w:rsidRDefault="009034C4" w:rsidP="009034C4">
      <w:pPr>
        <w:jc w:val="right"/>
        <w:rPr>
          <w:rFonts w:ascii="Book Antiqua" w:hAnsi="Book Antiqua"/>
          <w:color w:val="000000" w:themeColor="text1"/>
        </w:rPr>
      </w:pPr>
    </w:p>
    <w:p w14:paraId="6AFCE075" w14:textId="77777777" w:rsidR="009034C4" w:rsidRPr="00763D22" w:rsidRDefault="009034C4" w:rsidP="009034C4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sectPr w:rsidR="009034C4" w:rsidRPr="00763D22" w:rsidSect="00EE7CE7">
      <w:pgSz w:w="16838" w:h="11906" w:orient="landscape"/>
      <w:pgMar w:top="1418" w:right="284" w:bottom="72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F9A3A" w14:textId="77777777" w:rsidR="00983E9A" w:rsidRDefault="00983E9A" w:rsidP="007B4D4F">
      <w:r>
        <w:separator/>
      </w:r>
    </w:p>
  </w:endnote>
  <w:endnote w:type="continuationSeparator" w:id="0">
    <w:p w14:paraId="03475736" w14:textId="77777777" w:rsidR="00983E9A" w:rsidRDefault="00983E9A" w:rsidP="007B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FBA0C" w14:textId="77777777" w:rsidR="007B4D4F" w:rsidRPr="007B4D4F" w:rsidRDefault="007B4D4F" w:rsidP="007B4D4F">
    <w:pPr>
      <w:pStyle w:val="a4"/>
      <w:jc w:val="right"/>
      <w:rPr>
        <w:rFonts w:ascii="Book Antiqua" w:hAnsi="Book Antiqua"/>
        <w:sz w:val="24"/>
        <w:szCs w:val="24"/>
      </w:rPr>
    </w:pPr>
    <w:r w:rsidRPr="007B4D4F">
      <w:rPr>
        <w:rFonts w:ascii="Book Antiqua" w:hAnsi="Book Antiqua"/>
        <w:sz w:val="24"/>
        <w:szCs w:val="24"/>
        <w:lang w:val="zh-CN" w:eastAsia="zh-CN"/>
      </w:rPr>
      <w:t xml:space="preserve"> </w:t>
    </w:r>
    <w:r w:rsidRPr="007B4D4F">
      <w:rPr>
        <w:rFonts w:ascii="Book Antiqua" w:hAnsi="Book Antiqua"/>
        <w:sz w:val="24"/>
        <w:szCs w:val="24"/>
      </w:rPr>
      <w:fldChar w:fldCharType="begin"/>
    </w:r>
    <w:r w:rsidRPr="007B4D4F">
      <w:rPr>
        <w:rFonts w:ascii="Book Antiqua" w:hAnsi="Book Antiqua"/>
        <w:sz w:val="24"/>
        <w:szCs w:val="24"/>
      </w:rPr>
      <w:instrText>PAGE  \* Arabic  \* MERGEFORMAT</w:instrText>
    </w:r>
    <w:r w:rsidRPr="007B4D4F">
      <w:rPr>
        <w:rFonts w:ascii="Book Antiqua" w:hAnsi="Book Antiqua"/>
        <w:sz w:val="24"/>
        <w:szCs w:val="24"/>
      </w:rPr>
      <w:fldChar w:fldCharType="separate"/>
    </w:r>
    <w:r w:rsidR="0024739D" w:rsidRPr="0024739D">
      <w:rPr>
        <w:rFonts w:ascii="Book Antiqua" w:hAnsi="Book Antiqua"/>
        <w:noProof/>
        <w:sz w:val="24"/>
        <w:szCs w:val="24"/>
        <w:lang w:val="zh-CN" w:eastAsia="zh-CN"/>
      </w:rPr>
      <w:t>19</w:t>
    </w:r>
    <w:r w:rsidRPr="007B4D4F">
      <w:rPr>
        <w:rFonts w:ascii="Book Antiqua" w:hAnsi="Book Antiqua"/>
        <w:sz w:val="24"/>
        <w:szCs w:val="24"/>
      </w:rPr>
      <w:fldChar w:fldCharType="end"/>
    </w:r>
    <w:r w:rsidRPr="007B4D4F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7B4D4F">
      <w:rPr>
        <w:rFonts w:ascii="Book Antiqua" w:hAnsi="Book Antiqua"/>
        <w:sz w:val="24"/>
        <w:szCs w:val="24"/>
      </w:rPr>
      <w:fldChar w:fldCharType="begin"/>
    </w:r>
    <w:r w:rsidRPr="007B4D4F">
      <w:rPr>
        <w:rFonts w:ascii="Book Antiqua" w:hAnsi="Book Antiqua"/>
        <w:sz w:val="24"/>
        <w:szCs w:val="24"/>
      </w:rPr>
      <w:instrText>NUMPAGES  \* Arabic  \* MERGEFORMAT</w:instrText>
    </w:r>
    <w:r w:rsidRPr="007B4D4F">
      <w:rPr>
        <w:rFonts w:ascii="Book Antiqua" w:hAnsi="Book Antiqua"/>
        <w:sz w:val="24"/>
        <w:szCs w:val="24"/>
      </w:rPr>
      <w:fldChar w:fldCharType="separate"/>
    </w:r>
    <w:r w:rsidR="0024739D" w:rsidRPr="0024739D">
      <w:rPr>
        <w:rFonts w:ascii="Book Antiqua" w:hAnsi="Book Antiqua"/>
        <w:noProof/>
        <w:sz w:val="24"/>
        <w:szCs w:val="24"/>
        <w:lang w:val="zh-CN" w:eastAsia="zh-CN"/>
      </w:rPr>
      <w:t>24</w:t>
    </w:r>
    <w:r w:rsidRPr="007B4D4F">
      <w:rPr>
        <w:rFonts w:ascii="Book Antiqua" w:hAnsi="Book Antiqua"/>
        <w:sz w:val="24"/>
        <w:szCs w:val="24"/>
      </w:rPr>
      <w:fldChar w:fldCharType="end"/>
    </w:r>
  </w:p>
  <w:p w14:paraId="43923F66" w14:textId="77777777" w:rsidR="007B4D4F" w:rsidRDefault="007B4D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C78F" w14:textId="58B422B8" w:rsidR="00E92EC1" w:rsidRDefault="00E92EC1" w:rsidP="00F5131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739D" w:rsidRPr="0024739D">
      <w:rPr>
        <w:noProof/>
        <w:lang w:val="ja-JP"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CEAF1" w14:textId="77777777" w:rsidR="00983E9A" w:rsidRDefault="00983E9A" w:rsidP="007B4D4F">
      <w:r>
        <w:separator/>
      </w:r>
    </w:p>
  </w:footnote>
  <w:footnote w:type="continuationSeparator" w:id="0">
    <w:p w14:paraId="3E1BDA64" w14:textId="77777777" w:rsidR="00983E9A" w:rsidRDefault="00983E9A" w:rsidP="007B4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B50AD" w14:textId="77777777" w:rsidR="00E92EC1" w:rsidRDefault="00E92E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120D3"/>
    <w:rsid w:val="00142A5C"/>
    <w:rsid w:val="00232D32"/>
    <w:rsid w:val="0024739D"/>
    <w:rsid w:val="00292361"/>
    <w:rsid w:val="00341B54"/>
    <w:rsid w:val="00385FDB"/>
    <w:rsid w:val="0044202A"/>
    <w:rsid w:val="00442131"/>
    <w:rsid w:val="004F5583"/>
    <w:rsid w:val="00537C1B"/>
    <w:rsid w:val="005E5D4A"/>
    <w:rsid w:val="006C0C92"/>
    <w:rsid w:val="007B4D4F"/>
    <w:rsid w:val="007D2A4D"/>
    <w:rsid w:val="00841E8D"/>
    <w:rsid w:val="008625A0"/>
    <w:rsid w:val="008A2C2F"/>
    <w:rsid w:val="008A5D5F"/>
    <w:rsid w:val="009034C4"/>
    <w:rsid w:val="00983E9A"/>
    <w:rsid w:val="00A77B3E"/>
    <w:rsid w:val="00AD7C33"/>
    <w:rsid w:val="00B036F7"/>
    <w:rsid w:val="00B771C2"/>
    <w:rsid w:val="00BC60A0"/>
    <w:rsid w:val="00C76307"/>
    <w:rsid w:val="00C852B1"/>
    <w:rsid w:val="00CA2A55"/>
    <w:rsid w:val="00CF1544"/>
    <w:rsid w:val="00E92EC1"/>
    <w:rsid w:val="00EB368C"/>
    <w:rsid w:val="00EC6540"/>
    <w:rsid w:val="00F8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E48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4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D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D4F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034C4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034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邢燕霞</cp:lastModifiedBy>
  <cp:revision>20</cp:revision>
  <dcterms:created xsi:type="dcterms:W3CDTF">2021-05-12T10:17:00Z</dcterms:created>
  <dcterms:modified xsi:type="dcterms:W3CDTF">2021-07-27T07:05:00Z</dcterms:modified>
</cp:coreProperties>
</file>