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E91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Name of Journal: </w:t>
      </w:r>
      <w:r w:rsidRPr="00514591">
        <w:rPr>
          <w:rFonts w:ascii="Book Antiqua" w:eastAsia="Book Antiqua" w:hAnsi="Book Antiqua" w:cs="Book Antiqua"/>
          <w:i/>
          <w:color w:val="000000"/>
        </w:rPr>
        <w:t>World Journal of Gastroenterology</w:t>
      </w:r>
    </w:p>
    <w:p w14:paraId="6487691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NO: </w:t>
      </w:r>
      <w:r w:rsidRPr="00514591">
        <w:rPr>
          <w:rFonts w:ascii="Book Antiqua" w:eastAsia="Book Antiqua" w:hAnsi="Book Antiqua" w:cs="Book Antiqua"/>
          <w:color w:val="000000"/>
        </w:rPr>
        <w:t>66618</w:t>
      </w:r>
    </w:p>
    <w:p w14:paraId="39D8C7B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Type: </w:t>
      </w:r>
      <w:r w:rsidRPr="00514591">
        <w:rPr>
          <w:rFonts w:ascii="Book Antiqua" w:eastAsia="Book Antiqua" w:hAnsi="Book Antiqua" w:cs="Book Antiqua"/>
          <w:color w:val="000000"/>
        </w:rPr>
        <w:t>MINIREVIEWS</w:t>
      </w:r>
    </w:p>
    <w:p w14:paraId="4C71ADB0" w14:textId="77777777" w:rsidR="00A77B3E" w:rsidRPr="00514591" w:rsidRDefault="00A77B3E" w:rsidP="00514591">
      <w:pPr>
        <w:spacing w:line="360" w:lineRule="auto"/>
        <w:jc w:val="both"/>
        <w:rPr>
          <w:rFonts w:ascii="Book Antiqua" w:hAnsi="Book Antiqua"/>
        </w:rPr>
      </w:pPr>
    </w:p>
    <w:p w14:paraId="4021115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Immune checkpoint inhibitor-related hepatotoxicity: </w:t>
      </w:r>
      <w:r w:rsidR="00FE2A56" w:rsidRPr="00514591">
        <w:rPr>
          <w:rFonts w:ascii="Book Antiqua" w:hAnsi="Book Antiqua" w:cs="Book Antiqua"/>
          <w:b/>
          <w:color w:val="000000"/>
          <w:lang w:eastAsia="zh-CN"/>
        </w:rPr>
        <w:t>A</w:t>
      </w:r>
      <w:r w:rsidRPr="00514591">
        <w:rPr>
          <w:rFonts w:ascii="Book Antiqua" w:eastAsia="Book Antiqua" w:hAnsi="Book Antiqua" w:cs="Book Antiqua"/>
          <w:b/>
          <w:color w:val="000000"/>
        </w:rPr>
        <w:t xml:space="preserve"> review</w:t>
      </w:r>
    </w:p>
    <w:p w14:paraId="4FA3906C" w14:textId="77777777" w:rsidR="00A77B3E" w:rsidRPr="00514591" w:rsidRDefault="00A77B3E" w:rsidP="00514591">
      <w:pPr>
        <w:spacing w:line="360" w:lineRule="auto"/>
        <w:jc w:val="both"/>
        <w:rPr>
          <w:rFonts w:ascii="Book Antiqua" w:hAnsi="Book Antiqua"/>
        </w:rPr>
      </w:pPr>
    </w:p>
    <w:p w14:paraId="50E85A32" w14:textId="77777777" w:rsidR="00A77B3E" w:rsidRPr="00514591" w:rsidRDefault="00F9183C" w:rsidP="00514591">
      <w:pPr>
        <w:spacing w:line="360" w:lineRule="auto"/>
        <w:jc w:val="both"/>
        <w:rPr>
          <w:rFonts w:ascii="Book Antiqua" w:hAnsi="Book Antiqua"/>
        </w:rPr>
      </w:pPr>
      <w:r w:rsidRPr="00514591">
        <w:rPr>
          <w:rFonts w:ascii="Book Antiqua" w:eastAsia="Book Antiqua" w:hAnsi="Book Antiqua" w:cs="Book Antiqua"/>
          <w:color w:val="000000"/>
        </w:rPr>
        <w:t xml:space="preserve">Remash </w:t>
      </w:r>
      <w:r>
        <w:rPr>
          <w:rFonts w:ascii="Book Antiqua" w:hAnsi="Book Antiqua" w:cs="Book Antiqua" w:hint="eastAsia"/>
          <w:color w:val="000000"/>
          <w:lang w:eastAsia="zh-CN"/>
        </w:rPr>
        <w:t xml:space="preserve">D </w:t>
      </w:r>
      <w:r w:rsidRPr="00F9183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666BE" w:rsidRPr="00514591">
        <w:rPr>
          <w:rFonts w:ascii="Book Antiqua" w:eastAsia="Book Antiqua" w:hAnsi="Book Antiqua" w:cs="Book Antiqua"/>
          <w:color w:val="000000"/>
        </w:rPr>
        <w:t>I</w:t>
      </w:r>
      <w:r w:rsidR="00827C65">
        <w:rPr>
          <w:rFonts w:ascii="Book Antiqua" w:hAnsi="Book Antiqua" w:cs="Book Antiqua" w:hint="eastAsia"/>
          <w:color w:val="000000"/>
          <w:lang w:eastAsia="zh-CN"/>
        </w:rPr>
        <w:t>CI</w:t>
      </w:r>
      <w:r w:rsidR="001666BE" w:rsidRPr="00514591">
        <w:rPr>
          <w:rFonts w:ascii="Book Antiqua" w:eastAsia="Book Antiqua" w:hAnsi="Book Antiqua" w:cs="Book Antiqua"/>
          <w:color w:val="000000"/>
        </w:rPr>
        <w:t>-related hepatotoxicity</w:t>
      </w:r>
    </w:p>
    <w:p w14:paraId="7CD91DA2" w14:textId="77777777" w:rsidR="00A77B3E" w:rsidRPr="00514591" w:rsidRDefault="00A77B3E" w:rsidP="00514591">
      <w:pPr>
        <w:spacing w:line="360" w:lineRule="auto"/>
        <w:jc w:val="both"/>
        <w:rPr>
          <w:rFonts w:ascii="Book Antiqua" w:hAnsi="Book Antiqua"/>
        </w:rPr>
      </w:pPr>
    </w:p>
    <w:p w14:paraId="3052B82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Devika Remash, David S Prince, Catriona McKenzie, Simone I Strasser, Steven Kao, Ken Liu</w:t>
      </w:r>
    </w:p>
    <w:p w14:paraId="706F8403" w14:textId="77777777" w:rsidR="00A77B3E" w:rsidRPr="00514591" w:rsidRDefault="00A77B3E" w:rsidP="00514591">
      <w:pPr>
        <w:spacing w:line="360" w:lineRule="auto"/>
        <w:jc w:val="both"/>
        <w:rPr>
          <w:rFonts w:ascii="Book Antiqua" w:hAnsi="Book Antiqua"/>
        </w:rPr>
      </w:pPr>
    </w:p>
    <w:p w14:paraId="01284AC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Devika Remash, David S Prince, Catriona McKenzie, Simone I Strasser, Ken Liu, </w:t>
      </w:r>
      <w:r w:rsidRPr="00514591">
        <w:rPr>
          <w:rFonts w:ascii="Book Antiqua" w:eastAsia="Book Antiqua" w:hAnsi="Book Antiqua" w:cs="Book Antiqua"/>
          <w:color w:val="000000"/>
        </w:rPr>
        <w:t>AW Morrow Gastroenterology and Liver Centre, Royal Prince Alfred Hospital, Sydney 2050, NSW, Australia</w:t>
      </w:r>
    </w:p>
    <w:p w14:paraId="01C84B58" w14:textId="77777777" w:rsidR="00A77B3E" w:rsidRPr="00514591" w:rsidRDefault="00A77B3E" w:rsidP="00514591">
      <w:pPr>
        <w:spacing w:line="360" w:lineRule="auto"/>
        <w:jc w:val="both"/>
        <w:rPr>
          <w:rFonts w:ascii="Book Antiqua" w:hAnsi="Book Antiqua"/>
        </w:rPr>
      </w:pPr>
    </w:p>
    <w:p w14:paraId="7BFF2D2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Simone I Strasser, Steven Kao, Ken Liu, </w:t>
      </w:r>
      <w:r w:rsidRPr="00514591">
        <w:rPr>
          <w:rFonts w:ascii="Book Antiqua" w:eastAsia="Book Antiqua" w:hAnsi="Book Antiqua" w:cs="Book Antiqua"/>
          <w:color w:val="000000"/>
        </w:rPr>
        <w:t>Sydney Medical School, University of Sydney, Sydney 2006, NSW, Australia</w:t>
      </w:r>
    </w:p>
    <w:p w14:paraId="07745A18" w14:textId="77777777" w:rsidR="00A77B3E" w:rsidRPr="00514591" w:rsidRDefault="00A77B3E" w:rsidP="00514591">
      <w:pPr>
        <w:spacing w:line="360" w:lineRule="auto"/>
        <w:jc w:val="both"/>
        <w:rPr>
          <w:rFonts w:ascii="Book Antiqua" w:hAnsi="Book Antiqua"/>
        </w:rPr>
      </w:pPr>
    </w:p>
    <w:p w14:paraId="15B10DE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w:t>
      </w:r>
      <w:r w:rsidRPr="00514591">
        <w:rPr>
          <w:rFonts w:ascii="Book Antiqua" w:eastAsia="Book Antiqua" w:hAnsi="Book Antiqua" w:cs="Book Antiqua"/>
          <w:color w:val="000000"/>
        </w:rPr>
        <w:t>Tissue Pathology and Diagnostic Oncology, Royal Prince Alfred Hospital, Sydney 2050, NSW, Australia</w:t>
      </w:r>
    </w:p>
    <w:p w14:paraId="44703AAD" w14:textId="77777777" w:rsidR="00A77B3E" w:rsidRPr="00514591" w:rsidRDefault="00A77B3E" w:rsidP="00514591">
      <w:pPr>
        <w:spacing w:line="360" w:lineRule="auto"/>
        <w:jc w:val="both"/>
        <w:rPr>
          <w:rFonts w:ascii="Book Antiqua" w:hAnsi="Book Antiqua"/>
        </w:rPr>
      </w:pPr>
    </w:p>
    <w:p w14:paraId="2087E92C"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w:t>
      </w:r>
      <w:r w:rsidRPr="00514591">
        <w:rPr>
          <w:rFonts w:ascii="Book Antiqua" w:eastAsia="Book Antiqua" w:hAnsi="Book Antiqua" w:cs="Book Antiqua"/>
          <w:color w:val="000000"/>
        </w:rPr>
        <w:t>New South Wales Health Pathology, New South Wales Health, Sydney 2050, NSW, Australia</w:t>
      </w:r>
    </w:p>
    <w:p w14:paraId="19090D29" w14:textId="77777777" w:rsidR="00A77B3E" w:rsidRPr="00514591" w:rsidRDefault="00A77B3E" w:rsidP="00514591">
      <w:pPr>
        <w:spacing w:line="360" w:lineRule="auto"/>
        <w:jc w:val="both"/>
        <w:rPr>
          <w:rFonts w:ascii="Book Antiqua" w:hAnsi="Book Antiqua"/>
        </w:rPr>
      </w:pPr>
    </w:p>
    <w:p w14:paraId="0B4A9F03" w14:textId="35D3BB8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Steven Kao, </w:t>
      </w:r>
      <w:r w:rsidRPr="00514591">
        <w:rPr>
          <w:rFonts w:ascii="Book Antiqua" w:eastAsia="Book Antiqua" w:hAnsi="Book Antiqua" w:cs="Book Antiqua"/>
          <w:color w:val="000000"/>
        </w:rPr>
        <w:t>Medical Oncology, Chris O</w:t>
      </w:r>
      <w:r w:rsidR="00781FF9">
        <w:rPr>
          <w:rFonts w:ascii="Book Antiqua" w:hAnsi="Book Antiqua" w:cs="Book Antiqua"/>
          <w:color w:val="000000"/>
          <w:lang w:eastAsia="zh-CN"/>
        </w:rPr>
        <w:t>’</w:t>
      </w:r>
      <w:r w:rsidRPr="00514591">
        <w:rPr>
          <w:rFonts w:ascii="Book Antiqua" w:eastAsia="Book Antiqua" w:hAnsi="Book Antiqua" w:cs="Book Antiqua"/>
          <w:color w:val="000000"/>
        </w:rPr>
        <w:t>Brien Lifehouse, Sydney 2050, NSW, Australia</w:t>
      </w:r>
    </w:p>
    <w:p w14:paraId="48C2E3A5" w14:textId="77777777" w:rsidR="00A77B3E" w:rsidRPr="00514591" w:rsidRDefault="00A77B3E" w:rsidP="00514591">
      <w:pPr>
        <w:spacing w:line="360" w:lineRule="auto"/>
        <w:jc w:val="both"/>
        <w:rPr>
          <w:rFonts w:ascii="Book Antiqua" w:hAnsi="Book Antiqua"/>
        </w:rPr>
      </w:pPr>
    </w:p>
    <w:p w14:paraId="77A41B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Author contributions: </w:t>
      </w:r>
      <w:r w:rsidR="00711452" w:rsidRPr="00711452">
        <w:rPr>
          <w:rFonts w:ascii="Book Antiqua" w:eastAsia="Book Antiqua" w:hAnsi="Book Antiqua" w:cs="Book Antiqua"/>
          <w:bCs/>
          <w:color w:val="000000"/>
        </w:rPr>
        <w:t>McKenzie</w:t>
      </w:r>
      <w:r w:rsidR="00711452" w:rsidRPr="00711452">
        <w:rPr>
          <w:rFonts w:ascii="Book Antiqua" w:eastAsia="Book Antiqua" w:hAnsi="Book Antiqua" w:cs="Book Antiqua"/>
          <w:color w:val="000000"/>
        </w:rPr>
        <w:t xml:space="preserve"> C</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Kao</w:t>
      </w:r>
      <w:r w:rsidR="00711452" w:rsidRPr="00711452">
        <w:rPr>
          <w:rFonts w:ascii="Book Antiqua" w:eastAsia="Book Antiqua" w:hAnsi="Book Antiqua" w:cs="Book Antiqua"/>
          <w:color w:val="000000"/>
        </w:rPr>
        <w:t xml:space="preserve"> S</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Strasser</w:t>
      </w:r>
      <w:r w:rsidR="00711452" w:rsidRPr="00711452">
        <w:rPr>
          <w:rFonts w:ascii="Book Antiqua" w:eastAsia="Book Antiqua" w:hAnsi="Book Antiqua" w:cs="Book Antiqua"/>
          <w:color w:val="000000"/>
        </w:rPr>
        <w:t xml:space="preserve"> SI</w:t>
      </w:r>
      <w:r w:rsidRPr="00711452">
        <w:rPr>
          <w:rFonts w:ascii="Book Antiqua" w:eastAsia="Book Antiqua" w:hAnsi="Book Antiqua" w:cs="Book Antiqua"/>
          <w:color w:val="000000"/>
        </w:rPr>
        <w:t xml:space="preserve"> and </w:t>
      </w:r>
      <w:r w:rsidR="00711452" w:rsidRPr="00711452">
        <w:rPr>
          <w:rFonts w:ascii="Book Antiqua" w:eastAsia="Book Antiqua" w:hAnsi="Book Antiqua" w:cs="Book Antiqua"/>
          <w:bCs/>
          <w:color w:val="000000"/>
        </w:rPr>
        <w:t>Liu</w:t>
      </w:r>
      <w:r w:rsidR="00711452" w:rsidRPr="00711452">
        <w:rPr>
          <w:rFonts w:ascii="Book Antiqua" w:eastAsia="Book Antiqua" w:hAnsi="Book Antiqua" w:cs="Book Antiqua"/>
          <w:color w:val="000000"/>
        </w:rPr>
        <w:t xml:space="preserve"> K</w:t>
      </w:r>
      <w:r w:rsidRPr="00711452">
        <w:rPr>
          <w:rFonts w:ascii="Book Antiqua" w:eastAsia="Book Antiqua" w:hAnsi="Book Antiqua" w:cs="Book Antiqua"/>
          <w:color w:val="000000"/>
        </w:rPr>
        <w:t xml:space="preserve"> were involved in the conception of the review</w:t>
      </w:r>
      <w:r w:rsidR="003C48EA">
        <w:rPr>
          <w:rFonts w:ascii="Book Antiqua" w:hAnsi="Book Antiqua" w:cs="Book Antiqua" w:hint="eastAsia"/>
          <w:color w:val="000000"/>
          <w:lang w:eastAsia="zh-CN"/>
        </w:rPr>
        <w:t>, and</w:t>
      </w:r>
      <w:r w:rsidR="003C48EA" w:rsidRPr="00514591">
        <w:rPr>
          <w:rFonts w:ascii="Book Antiqua" w:eastAsia="Book Antiqua" w:hAnsi="Book Antiqua" w:cs="Book Antiqua"/>
          <w:color w:val="000000"/>
        </w:rPr>
        <w:t xml:space="preserve"> critically revised the article</w:t>
      </w:r>
      <w:r w:rsidR="003C48EA">
        <w:rPr>
          <w:rFonts w:ascii="Book Antiqua" w:hAnsi="Book Antiqua" w:cs="Book Antiqua" w:hint="eastAsia"/>
          <w:color w:val="000000"/>
          <w:lang w:eastAsia="zh-CN"/>
        </w:rPr>
        <w:t xml:space="preserve">; </w:t>
      </w:r>
      <w:r w:rsidR="00711452" w:rsidRPr="00711452">
        <w:rPr>
          <w:rFonts w:ascii="Book Antiqua" w:eastAsia="Book Antiqua" w:hAnsi="Book Antiqua" w:cs="Book Antiqua"/>
          <w:bCs/>
          <w:color w:val="000000"/>
        </w:rPr>
        <w:t>Remash</w:t>
      </w:r>
      <w:r w:rsidR="00711452" w:rsidRPr="00711452">
        <w:rPr>
          <w:rFonts w:ascii="Book Antiqua" w:eastAsia="Book Antiqua" w:hAnsi="Book Antiqua" w:cs="Book Antiqua"/>
          <w:color w:val="000000"/>
        </w:rPr>
        <w:t xml:space="preserve"> D</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Prince</w:t>
      </w:r>
      <w:r w:rsidR="00711452" w:rsidRPr="00711452">
        <w:rPr>
          <w:rFonts w:ascii="Book Antiqua" w:eastAsia="Book Antiqua" w:hAnsi="Book Antiqua" w:cs="Book Antiqua"/>
          <w:color w:val="000000"/>
        </w:rPr>
        <w:t xml:space="preserve"> DS</w:t>
      </w:r>
      <w:r w:rsidRPr="00711452">
        <w:rPr>
          <w:rFonts w:ascii="Book Antiqua" w:eastAsia="Book Antiqua" w:hAnsi="Book Antiqua" w:cs="Book Antiqua"/>
          <w:color w:val="000000"/>
        </w:rPr>
        <w:t xml:space="preserve"> and </w:t>
      </w:r>
      <w:r w:rsidR="00711452" w:rsidRPr="00711452">
        <w:rPr>
          <w:rFonts w:ascii="Book Antiqua" w:eastAsia="Book Antiqua" w:hAnsi="Book Antiqua" w:cs="Book Antiqua"/>
          <w:bCs/>
          <w:color w:val="000000"/>
        </w:rPr>
        <w:t>Liu</w:t>
      </w:r>
      <w:r w:rsidR="00711452"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color w:val="000000"/>
        </w:rPr>
        <w:lastRenderedPageBreak/>
        <w:t>K</w:t>
      </w:r>
      <w:r w:rsidRPr="00711452">
        <w:rPr>
          <w:rFonts w:ascii="Book Antiqua" w:eastAsia="Book Antiqua" w:hAnsi="Book Antiqua" w:cs="Book Antiqua"/>
          <w:color w:val="000000"/>
        </w:rPr>
        <w:t xml:space="preserve"> per</w:t>
      </w:r>
      <w:r w:rsidRPr="00514591">
        <w:rPr>
          <w:rFonts w:ascii="Book Antiqua" w:eastAsia="Book Antiqua" w:hAnsi="Book Antiqua" w:cs="Book Antiqua"/>
          <w:color w:val="000000"/>
        </w:rPr>
        <w:t>formed the literature review</w:t>
      </w:r>
      <w:r w:rsidR="001419B1">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w:t>
      </w:r>
      <w:r w:rsidR="001419B1">
        <w:rPr>
          <w:rFonts w:ascii="Book Antiqua" w:hAnsi="Book Antiqua" w:cs="Book Antiqua" w:hint="eastAsia"/>
          <w:color w:val="000000"/>
          <w:lang w:eastAsia="zh-CN"/>
        </w:rPr>
        <w:t xml:space="preserve">and </w:t>
      </w:r>
      <w:r w:rsidRPr="00514591">
        <w:rPr>
          <w:rFonts w:ascii="Book Antiqua" w:eastAsia="Book Antiqua" w:hAnsi="Book Antiqua" w:cs="Book Antiqua"/>
          <w:color w:val="000000"/>
        </w:rPr>
        <w:t xml:space="preserve">drafted the article; </w:t>
      </w:r>
      <w:r w:rsidR="00195D95">
        <w:rPr>
          <w:rFonts w:ascii="Book Antiqua" w:hAnsi="Book Antiqua" w:cs="Book Antiqua" w:hint="eastAsia"/>
          <w:color w:val="000000"/>
          <w:lang w:eastAsia="zh-CN"/>
        </w:rPr>
        <w:t>a</w:t>
      </w:r>
      <w:r w:rsidRPr="00514591">
        <w:rPr>
          <w:rFonts w:ascii="Book Antiqua" w:eastAsia="Book Antiqua" w:hAnsi="Book Antiqua" w:cs="Book Antiqua"/>
          <w:color w:val="000000"/>
        </w:rPr>
        <w:t>ll authors have read and approved the final version.</w:t>
      </w:r>
    </w:p>
    <w:p w14:paraId="6DC24F5B" w14:textId="77777777" w:rsidR="00A77B3E" w:rsidRPr="00514591" w:rsidRDefault="00A77B3E" w:rsidP="00514591">
      <w:pPr>
        <w:spacing w:line="360" w:lineRule="auto"/>
        <w:jc w:val="both"/>
        <w:rPr>
          <w:rFonts w:ascii="Book Antiqua" w:hAnsi="Book Antiqua"/>
        </w:rPr>
      </w:pPr>
    </w:p>
    <w:p w14:paraId="526B53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Corresponding author: Ken Liu, BSc, FRACP, MBBS, Consultant Physician-Scientist, Senior Lecturer, Staff Physician, </w:t>
      </w:r>
      <w:r w:rsidRPr="00514591">
        <w:rPr>
          <w:rFonts w:ascii="Book Antiqua" w:eastAsia="Book Antiqua" w:hAnsi="Book Antiqua" w:cs="Book Antiqua"/>
          <w:color w:val="000000"/>
        </w:rPr>
        <w:t>AW Morrow Gastroenterology and Liver Centre, Royal Prince Alfred Hospital, Missenden Road, Camperdown, Sydney 2050, NSW, Australia. ken.liu@health.nsw.gov.au</w:t>
      </w:r>
    </w:p>
    <w:p w14:paraId="7A719EBD" w14:textId="77777777" w:rsidR="00A77B3E" w:rsidRPr="00514591" w:rsidRDefault="00A77B3E" w:rsidP="00514591">
      <w:pPr>
        <w:spacing w:line="360" w:lineRule="auto"/>
        <w:jc w:val="both"/>
        <w:rPr>
          <w:rFonts w:ascii="Book Antiqua" w:hAnsi="Book Antiqua"/>
        </w:rPr>
      </w:pPr>
    </w:p>
    <w:p w14:paraId="73E3BA4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Received: </w:t>
      </w:r>
      <w:r w:rsidRPr="00514591">
        <w:rPr>
          <w:rFonts w:ascii="Book Antiqua" w:eastAsia="Book Antiqua" w:hAnsi="Book Antiqua" w:cs="Book Antiqua"/>
          <w:color w:val="000000"/>
        </w:rPr>
        <w:t>March 31, 2021</w:t>
      </w:r>
    </w:p>
    <w:p w14:paraId="026E65A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Revised: </w:t>
      </w:r>
      <w:r w:rsidR="004B4414">
        <w:rPr>
          <w:rFonts w:ascii="Book Antiqua" w:hAnsi="Book Antiqua"/>
        </w:rPr>
        <w:t>June 28, 2021</w:t>
      </w:r>
    </w:p>
    <w:p w14:paraId="603E7721" w14:textId="41ABB5A9"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Accepted: </w:t>
      </w:r>
      <w:bookmarkStart w:id="0" w:name="OLE_LINK15"/>
      <w:bookmarkStart w:id="1" w:name="OLE_LINK33"/>
      <w:bookmarkStart w:id="2" w:name="OLE_LINK48"/>
      <w:r w:rsidR="006204F2">
        <w:rPr>
          <w:rFonts w:ascii="Book Antiqua" w:eastAsia="宋体" w:hAnsi="Book Antiqua" w:hint="eastAsia"/>
          <w:color w:val="000000" w:themeColor="text1"/>
        </w:rPr>
        <w:t>Au</w:t>
      </w:r>
      <w:r w:rsidR="006204F2">
        <w:rPr>
          <w:rFonts w:ascii="Book Antiqua" w:eastAsia="宋体" w:hAnsi="Book Antiqua"/>
          <w:color w:val="000000" w:themeColor="text1"/>
        </w:rPr>
        <w:t>gust</w:t>
      </w:r>
      <w:r w:rsidR="006204F2" w:rsidRPr="00F06907">
        <w:rPr>
          <w:rFonts w:ascii="Book Antiqua" w:eastAsia="宋体" w:hAnsi="Book Antiqua"/>
          <w:color w:val="000000" w:themeColor="text1"/>
        </w:rPr>
        <w:t xml:space="preserve"> </w:t>
      </w:r>
      <w:r w:rsidR="006204F2">
        <w:rPr>
          <w:rFonts w:ascii="Book Antiqua" w:eastAsia="宋体" w:hAnsi="Book Antiqua"/>
          <w:color w:val="000000" w:themeColor="text1"/>
        </w:rPr>
        <w:t>3</w:t>
      </w:r>
      <w:r w:rsidR="006204F2" w:rsidRPr="00F06907">
        <w:rPr>
          <w:rFonts w:ascii="Book Antiqua" w:eastAsia="宋体" w:hAnsi="Book Antiqua"/>
          <w:color w:val="000000" w:themeColor="text1"/>
        </w:rPr>
        <w:t>, 2021</w:t>
      </w:r>
      <w:bookmarkEnd w:id="0"/>
      <w:bookmarkEnd w:id="1"/>
      <w:bookmarkEnd w:id="2"/>
    </w:p>
    <w:p w14:paraId="576D276C" w14:textId="3AFCB53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Published online: </w:t>
      </w:r>
      <w:r w:rsidR="00245ED7" w:rsidRPr="00245ED7">
        <w:rPr>
          <w:rFonts w:ascii="Book Antiqua" w:eastAsia="Book Antiqua" w:hAnsi="Book Antiqua" w:cs="Book Antiqua"/>
          <w:bCs/>
          <w:color w:val="000000"/>
        </w:rPr>
        <w:t>August 28, 2021</w:t>
      </w:r>
    </w:p>
    <w:p w14:paraId="118E4370" w14:textId="77777777" w:rsidR="00A77B3E" w:rsidRPr="00514591" w:rsidRDefault="00A77B3E" w:rsidP="00514591">
      <w:pPr>
        <w:spacing w:line="360" w:lineRule="auto"/>
        <w:jc w:val="both"/>
        <w:rPr>
          <w:rFonts w:ascii="Book Antiqua" w:hAnsi="Book Antiqua"/>
        </w:rPr>
        <w:sectPr w:rsidR="00A77B3E" w:rsidRPr="00514591">
          <w:footerReference w:type="default" r:id="rId6"/>
          <w:pgSz w:w="12240" w:h="15840"/>
          <w:pgMar w:top="1440" w:right="1440" w:bottom="1440" w:left="1440" w:header="720" w:footer="720" w:gutter="0"/>
          <w:cols w:space="720"/>
          <w:docGrid w:linePitch="360"/>
        </w:sectPr>
      </w:pPr>
    </w:p>
    <w:p w14:paraId="19BDD41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Abstract</w:t>
      </w:r>
    </w:p>
    <w:p w14:paraId="227D426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The application of immune checkpoint inhibitors (ICI) in advanced cancer has been a major development in the last decade. The indications for ICIs are constantly expanding into new territory across different cancers, disease stages and lines of therapy. With this increased use, adverse events including immune checkpoint inhibitor-related hepatotoxicity (ICH) have emerged as an important clinical problem. This along with the introduction of ICI as first- and second-line treatments for advanced hepatocellular carcinoma makes ICH very relevant to gastroenterologists and hepatologists. The incidence of ICH varies between 1</w:t>
      </w:r>
      <w:r w:rsidR="006E688A"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-20% depending on the number, type and dose of ICI received. Investigation and management generally involve excluding differential diagnoses and following a stepwise escalation of withholding or ceasing ICI, corticosteroid treatment and adding other immunosuppressive agents depending on the severity of toxicity. The majority of patients with ICH recover and some may even safely recommence ICI therapy. Guideline recommendations are largely based on evidence derived from retrospective case series which highlights a priority for future research. </w:t>
      </w:r>
    </w:p>
    <w:p w14:paraId="3A68518A" w14:textId="77777777" w:rsidR="00A77B3E" w:rsidRPr="00514591" w:rsidRDefault="00A77B3E" w:rsidP="00514591">
      <w:pPr>
        <w:spacing w:line="360" w:lineRule="auto"/>
        <w:jc w:val="both"/>
        <w:rPr>
          <w:rFonts w:ascii="Book Antiqua" w:hAnsi="Book Antiqua"/>
        </w:rPr>
      </w:pPr>
    </w:p>
    <w:p w14:paraId="4F0CEDD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Key Words: </w:t>
      </w:r>
      <w:r w:rsidRPr="00514591">
        <w:rPr>
          <w:rFonts w:ascii="Book Antiqua" w:eastAsia="Book Antiqua" w:hAnsi="Book Antiqua" w:cs="Book Antiqua"/>
          <w:color w:val="000000"/>
        </w:rPr>
        <w:t xml:space="preserve">Immunotherapy; Immune checkpoint inhibitors; Hepatitis; Adverse </w:t>
      </w:r>
      <w:r w:rsidR="006E688A">
        <w:rPr>
          <w:rFonts w:ascii="Book Antiqua" w:hAnsi="Book Antiqua" w:cs="Book Antiqua" w:hint="eastAsia"/>
          <w:color w:val="000000"/>
          <w:lang w:eastAsia="zh-CN"/>
        </w:rPr>
        <w:t>d</w:t>
      </w:r>
      <w:r w:rsidRPr="00514591">
        <w:rPr>
          <w:rFonts w:ascii="Book Antiqua" w:eastAsia="Book Antiqua" w:hAnsi="Book Antiqua" w:cs="Book Antiqua"/>
          <w:color w:val="000000"/>
        </w:rPr>
        <w:t xml:space="preserve">rug </w:t>
      </w:r>
      <w:r w:rsidR="006E688A">
        <w:rPr>
          <w:rFonts w:ascii="Book Antiqua" w:hAnsi="Book Antiqua" w:cs="Book Antiqua" w:hint="eastAsia"/>
          <w:color w:val="000000"/>
          <w:lang w:eastAsia="zh-CN"/>
        </w:rPr>
        <w:t>e</w:t>
      </w:r>
      <w:r w:rsidRPr="00514591">
        <w:rPr>
          <w:rFonts w:ascii="Book Antiqua" w:eastAsia="Book Antiqua" w:hAnsi="Book Antiqua" w:cs="Book Antiqua"/>
          <w:color w:val="000000"/>
        </w:rPr>
        <w:t>vent; Drug-</w:t>
      </w:r>
      <w:r w:rsidR="006E688A">
        <w:rPr>
          <w:rFonts w:ascii="Book Antiqua" w:hAnsi="Book Antiqua" w:cs="Book Antiqua" w:hint="eastAsia"/>
          <w:color w:val="000000"/>
          <w:lang w:eastAsia="zh-CN"/>
        </w:rPr>
        <w:t>i</w:t>
      </w:r>
      <w:r w:rsidRPr="00514591">
        <w:rPr>
          <w:rFonts w:ascii="Book Antiqua" w:eastAsia="Book Antiqua" w:hAnsi="Book Antiqua" w:cs="Book Antiqua"/>
          <w:color w:val="000000"/>
        </w:rPr>
        <w:t xml:space="preserve">nduced </w:t>
      </w:r>
      <w:r w:rsidR="006E688A">
        <w:rPr>
          <w:rFonts w:ascii="Book Antiqua" w:hAnsi="Book Antiqua" w:cs="Book Antiqua" w:hint="eastAsia"/>
          <w:color w:val="000000"/>
          <w:lang w:eastAsia="zh-CN"/>
        </w:rPr>
        <w:t>l</w:t>
      </w:r>
      <w:r w:rsidRPr="00514591">
        <w:rPr>
          <w:rFonts w:ascii="Book Antiqua" w:eastAsia="Book Antiqua" w:hAnsi="Book Antiqua" w:cs="Book Antiqua"/>
          <w:color w:val="000000"/>
        </w:rPr>
        <w:t xml:space="preserve">iver </w:t>
      </w:r>
      <w:r w:rsidR="006E688A">
        <w:rPr>
          <w:rFonts w:ascii="Book Antiqua" w:hAnsi="Book Antiqua" w:cs="Book Antiqua" w:hint="eastAsia"/>
          <w:color w:val="000000"/>
          <w:lang w:eastAsia="zh-CN"/>
        </w:rPr>
        <w:t>i</w:t>
      </w:r>
      <w:r w:rsidRPr="00514591">
        <w:rPr>
          <w:rFonts w:ascii="Book Antiqua" w:eastAsia="Book Antiqua" w:hAnsi="Book Antiqua" w:cs="Book Antiqua"/>
          <w:color w:val="000000"/>
        </w:rPr>
        <w:t>njury; Immunosuppression</w:t>
      </w:r>
    </w:p>
    <w:p w14:paraId="30566B9A" w14:textId="77777777" w:rsidR="00205F73" w:rsidRDefault="00205F73" w:rsidP="00205F73">
      <w:pPr>
        <w:spacing w:line="360" w:lineRule="auto"/>
        <w:jc w:val="both"/>
        <w:rPr>
          <w:lang w:eastAsia="zh-CN"/>
        </w:rPr>
      </w:pPr>
    </w:p>
    <w:p w14:paraId="7E6AB7E0" w14:textId="77777777" w:rsidR="00205F73" w:rsidRDefault="00205F73" w:rsidP="00205F7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F1D10C6" w14:textId="77777777" w:rsidR="00205F73" w:rsidRDefault="00205F73" w:rsidP="00205F73">
      <w:pPr>
        <w:spacing w:line="360" w:lineRule="auto"/>
        <w:jc w:val="both"/>
        <w:rPr>
          <w:lang w:eastAsia="zh-CN"/>
        </w:rPr>
      </w:pPr>
    </w:p>
    <w:p w14:paraId="52A8FA10" w14:textId="335ADF36" w:rsidR="00950CFD" w:rsidRDefault="00205F73" w:rsidP="00205F73">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666BE" w:rsidRPr="00514591">
        <w:rPr>
          <w:rFonts w:ascii="Book Antiqua" w:eastAsia="Book Antiqua" w:hAnsi="Book Antiqua" w:cs="Book Antiqua"/>
          <w:color w:val="000000"/>
        </w:rPr>
        <w:t xml:space="preserve">Remash D, Prince DS, McKenzie C, Strasser SI, Kao S, Liu K. Immune checkpoint inhibitor-related hepatotoxicity: </w:t>
      </w:r>
      <w:r w:rsidR="002C049C">
        <w:rPr>
          <w:rFonts w:ascii="Book Antiqua" w:hAnsi="Book Antiqua" w:cs="Book Antiqua" w:hint="eastAsia"/>
          <w:color w:val="000000"/>
          <w:lang w:eastAsia="zh-CN"/>
        </w:rPr>
        <w:t>A</w:t>
      </w:r>
      <w:r w:rsidR="001666BE" w:rsidRPr="00514591">
        <w:rPr>
          <w:rFonts w:ascii="Book Antiqua" w:eastAsia="Book Antiqua" w:hAnsi="Book Antiqua" w:cs="Book Antiqua"/>
          <w:color w:val="000000"/>
        </w:rPr>
        <w:t xml:space="preserve"> review. </w:t>
      </w:r>
      <w:r w:rsidR="001666BE" w:rsidRPr="00514591">
        <w:rPr>
          <w:rFonts w:ascii="Book Antiqua" w:eastAsia="Book Antiqua" w:hAnsi="Book Antiqua" w:cs="Book Antiqua"/>
          <w:i/>
          <w:iCs/>
          <w:color w:val="000000"/>
        </w:rPr>
        <w:t>World J Gastroenterol</w:t>
      </w:r>
      <w:r w:rsidR="001666BE" w:rsidRPr="00514591">
        <w:rPr>
          <w:rFonts w:ascii="Book Antiqua" w:eastAsia="Book Antiqua" w:hAnsi="Book Antiqua" w:cs="Book Antiqua"/>
          <w:color w:val="000000"/>
        </w:rPr>
        <w:t xml:space="preserve"> 2021;</w:t>
      </w:r>
      <w:r w:rsidR="00245ED7" w:rsidRPr="00245ED7">
        <w:rPr>
          <w:rFonts w:ascii="Book Antiqua" w:eastAsia="Book Antiqua" w:hAnsi="Book Antiqua" w:cs="Book Antiqua"/>
          <w:color w:val="000000"/>
        </w:rPr>
        <w:t xml:space="preserve"> 27(3</w:t>
      </w:r>
      <w:r w:rsidR="00245ED7">
        <w:rPr>
          <w:rFonts w:ascii="Book Antiqua" w:hAnsi="Book Antiqua" w:cs="Book Antiqua" w:hint="eastAsia"/>
          <w:color w:val="000000"/>
          <w:lang w:eastAsia="zh-CN"/>
        </w:rPr>
        <w:t>2</w:t>
      </w:r>
      <w:r w:rsidR="00245ED7" w:rsidRPr="00245ED7">
        <w:rPr>
          <w:rFonts w:ascii="Book Antiqua" w:eastAsia="Book Antiqua" w:hAnsi="Book Antiqua" w:cs="Book Antiqua"/>
          <w:color w:val="000000"/>
        </w:rPr>
        <w:t xml:space="preserve">): </w:t>
      </w:r>
      <w:r w:rsidR="00950CFD" w:rsidRPr="00950CFD">
        <w:rPr>
          <w:rFonts w:ascii="Book Antiqua" w:eastAsia="Book Antiqua" w:hAnsi="Book Antiqua" w:cs="Book Antiqua"/>
          <w:color w:val="000000"/>
        </w:rPr>
        <w:t>5376-5391</w:t>
      </w:r>
      <w:r w:rsidR="00245ED7" w:rsidRPr="00245ED7">
        <w:rPr>
          <w:rFonts w:ascii="Book Antiqua" w:eastAsia="Book Antiqua" w:hAnsi="Book Antiqua" w:cs="Book Antiqua"/>
          <w:color w:val="000000"/>
        </w:rPr>
        <w:t xml:space="preserve"> </w:t>
      </w:r>
    </w:p>
    <w:p w14:paraId="61227B82" w14:textId="41314C50" w:rsidR="00950CFD" w:rsidRDefault="00245ED7" w:rsidP="00205F73">
      <w:pPr>
        <w:spacing w:line="360" w:lineRule="auto"/>
        <w:jc w:val="both"/>
        <w:rPr>
          <w:rFonts w:ascii="Book Antiqua" w:eastAsia="Book Antiqua" w:hAnsi="Book Antiqua" w:cs="Book Antiqua"/>
          <w:color w:val="000000"/>
        </w:rPr>
      </w:pPr>
      <w:r w:rsidRPr="00245ED7">
        <w:rPr>
          <w:rFonts w:ascii="Book Antiqua" w:eastAsia="Book Antiqua" w:hAnsi="Book Antiqua" w:cs="Book Antiqua"/>
          <w:color w:val="000000"/>
        </w:rPr>
        <w:t>URL: https://www.wjgnet.com/1007-9327/full/v27/i3</w:t>
      </w:r>
      <w:r>
        <w:rPr>
          <w:rFonts w:ascii="Book Antiqua" w:hAnsi="Book Antiqua" w:cs="Book Antiqua" w:hint="eastAsia"/>
          <w:color w:val="000000"/>
          <w:lang w:eastAsia="zh-CN"/>
        </w:rPr>
        <w:t>2</w:t>
      </w:r>
      <w:r w:rsidRPr="00245ED7">
        <w:rPr>
          <w:rFonts w:ascii="Book Antiqua" w:eastAsia="Book Antiqua" w:hAnsi="Book Antiqua" w:cs="Book Antiqua"/>
          <w:color w:val="000000"/>
        </w:rPr>
        <w:t>/</w:t>
      </w:r>
      <w:r w:rsidR="00950CFD" w:rsidRPr="00950CFD">
        <w:rPr>
          <w:rFonts w:ascii="Book Antiqua" w:eastAsia="Book Antiqua" w:hAnsi="Book Antiqua" w:cs="Book Antiqua"/>
          <w:color w:val="000000"/>
        </w:rPr>
        <w:t>5376</w:t>
      </w:r>
      <w:r w:rsidRPr="00245ED7">
        <w:rPr>
          <w:rFonts w:ascii="Book Antiqua" w:eastAsia="Book Antiqua" w:hAnsi="Book Antiqua" w:cs="Book Antiqua"/>
          <w:color w:val="000000"/>
        </w:rPr>
        <w:t xml:space="preserve">.htm  </w:t>
      </w:r>
    </w:p>
    <w:p w14:paraId="2E826DC4" w14:textId="79C9A5E8" w:rsidR="00A77B3E" w:rsidRPr="00514591" w:rsidRDefault="00245ED7" w:rsidP="00205F73">
      <w:pPr>
        <w:spacing w:line="360" w:lineRule="auto"/>
        <w:jc w:val="both"/>
        <w:rPr>
          <w:rFonts w:ascii="Book Antiqua" w:hAnsi="Book Antiqua"/>
        </w:rPr>
      </w:pPr>
      <w:r w:rsidRPr="00245ED7">
        <w:rPr>
          <w:rFonts w:ascii="Book Antiqua" w:eastAsia="Book Antiqua" w:hAnsi="Book Antiqua" w:cs="Book Antiqua"/>
          <w:color w:val="000000"/>
        </w:rPr>
        <w:t>DOI: https://dx.doi.org/10.3748/wjg.v27.i3</w:t>
      </w:r>
      <w:r>
        <w:rPr>
          <w:rFonts w:ascii="Book Antiqua" w:hAnsi="Book Antiqua" w:cs="Book Antiqua" w:hint="eastAsia"/>
          <w:color w:val="000000"/>
          <w:lang w:eastAsia="zh-CN"/>
        </w:rPr>
        <w:t>2</w:t>
      </w:r>
      <w:r w:rsidRPr="00245ED7">
        <w:rPr>
          <w:rFonts w:ascii="Book Antiqua" w:eastAsia="Book Antiqua" w:hAnsi="Book Antiqua" w:cs="Book Antiqua"/>
          <w:color w:val="000000"/>
        </w:rPr>
        <w:t>.</w:t>
      </w:r>
      <w:r w:rsidR="00950CFD" w:rsidRPr="00950CFD">
        <w:rPr>
          <w:rFonts w:ascii="Book Antiqua" w:eastAsia="Book Antiqua" w:hAnsi="Book Antiqua" w:cs="Book Antiqua"/>
          <w:color w:val="000000"/>
        </w:rPr>
        <w:t>5376</w:t>
      </w:r>
    </w:p>
    <w:p w14:paraId="5CB9C933" w14:textId="77777777" w:rsidR="00A77B3E" w:rsidRPr="00514591" w:rsidRDefault="00A77B3E" w:rsidP="00514591">
      <w:pPr>
        <w:spacing w:line="360" w:lineRule="auto"/>
        <w:jc w:val="both"/>
        <w:rPr>
          <w:rFonts w:ascii="Book Antiqua" w:hAnsi="Book Antiqua"/>
        </w:rPr>
      </w:pPr>
    </w:p>
    <w:p w14:paraId="5E6890E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lastRenderedPageBreak/>
        <w:t xml:space="preserve">Core Tip: </w:t>
      </w:r>
      <w:r w:rsidRPr="00514591">
        <w:rPr>
          <w:rFonts w:ascii="Book Antiqua" w:eastAsia="Book Antiqua" w:hAnsi="Book Antiqua" w:cs="Book Antiqua"/>
          <w:color w:val="000000"/>
        </w:rPr>
        <w:t>Immune checkpoint inhibitor</w:t>
      </w:r>
      <w:r w:rsidR="00C47AC3">
        <w:rPr>
          <w:rFonts w:ascii="Book Antiqua" w:hAnsi="Book Antiqua" w:cs="Book Antiqua" w:hint="eastAsia"/>
          <w:color w:val="000000"/>
          <w:lang w:eastAsia="zh-CN"/>
        </w:rPr>
        <w:t xml:space="preserve"> </w:t>
      </w:r>
      <w:r w:rsidR="00C47AC3" w:rsidRPr="00514591">
        <w:rPr>
          <w:rFonts w:ascii="Book Antiqua" w:eastAsia="Book Antiqua" w:hAnsi="Book Antiqua" w:cs="Book Antiqua"/>
          <w:color w:val="000000"/>
        </w:rPr>
        <w:t>(ICI)</w:t>
      </w:r>
      <w:r w:rsidRPr="00514591">
        <w:rPr>
          <w:rFonts w:ascii="Book Antiqua" w:eastAsia="Book Antiqua" w:hAnsi="Book Antiqua" w:cs="Book Antiqua"/>
          <w:color w:val="000000"/>
        </w:rPr>
        <w:t xml:space="preserve">-related hepatotoxicity (ICH) is an increasingly encountered clinical problem for gastroenterologists. Although the diagnosis should be suspected in patients receiving </w:t>
      </w:r>
      <w:r w:rsidR="00C47AC3">
        <w:rPr>
          <w:rFonts w:ascii="Book Antiqua" w:hAnsi="Book Antiqua" w:cs="Book Antiqua" w:hint="eastAsia"/>
          <w:color w:val="000000"/>
          <w:lang w:eastAsia="zh-CN"/>
        </w:rPr>
        <w:t>ICI</w:t>
      </w:r>
      <w:r w:rsidRPr="00514591">
        <w:rPr>
          <w:rFonts w:ascii="Book Antiqua" w:eastAsia="Book Antiqua" w:hAnsi="Book Antiqua" w:cs="Book Antiqua"/>
          <w:color w:val="000000"/>
        </w:rPr>
        <w:t xml:space="preserve"> with liver function test derangements, a thorough history, examination and targeted liver investigations including cross-sectional imaging should be performed to exclude differential diagnoses. Once ICH is confirmed, its severity should be graded which then guides management. Management of ICH follows a stepwise approach beginning with cessation of ICI, followed by corticosteroids and other immunosuppressants with close monitoring after each step. The decision to recommence ICI after recovery is made on a case-by-case basis.</w:t>
      </w:r>
    </w:p>
    <w:p w14:paraId="6C8CC769" w14:textId="77777777" w:rsidR="00A77B3E" w:rsidRPr="00514591" w:rsidRDefault="00A77B3E" w:rsidP="00514591">
      <w:pPr>
        <w:spacing w:line="360" w:lineRule="auto"/>
        <w:jc w:val="both"/>
        <w:rPr>
          <w:rFonts w:ascii="Book Antiqua" w:hAnsi="Book Antiqua"/>
        </w:rPr>
      </w:pPr>
    </w:p>
    <w:p w14:paraId="6FCAF5E3" w14:textId="77777777" w:rsidR="00A77B3E" w:rsidRPr="00514591" w:rsidRDefault="00B073F7"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br w:type="page"/>
      </w:r>
      <w:r w:rsidR="001666BE" w:rsidRPr="00514591">
        <w:rPr>
          <w:rFonts w:ascii="Book Antiqua" w:eastAsia="Book Antiqua" w:hAnsi="Book Antiqua" w:cs="Book Antiqua"/>
          <w:b/>
          <w:caps/>
          <w:color w:val="000000"/>
          <w:u w:val="single"/>
        </w:rPr>
        <w:lastRenderedPageBreak/>
        <w:t>INTRODUCTION</w:t>
      </w:r>
    </w:p>
    <w:p w14:paraId="5847F14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Immunological recognition of cancer cells involves an antigen presenting cell binding and presenting tumor antigens to a T cell </w:t>
      </w:r>
      <w:r w:rsidRPr="00514591">
        <w:rPr>
          <w:rFonts w:ascii="Book Antiqua" w:eastAsia="Book Antiqua" w:hAnsi="Book Antiqua" w:cs="Book Antiqua"/>
          <w:i/>
          <w:iCs/>
          <w:color w:val="000000"/>
        </w:rPr>
        <w:t>via</w:t>
      </w:r>
      <w:r w:rsidRPr="00514591">
        <w:rPr>
          <w:rFonts w:ascii="Book Antiqua" w:eastAsia="Book Antiqua" w:hAnsi="Book Antiqua" w:cs="Book Antiqua"/>
          <w:color w:val="000000"/>
        </w:rPr>
        <w:t xml:space="preserve"> its T-cell receptor. The ensuing immune response depends on the presence of either co-stimulatory molecules (which results in immune activation) or inhibitory molecules (which results in immune downregulation and exhaustion). These inhibitory (so called checkpoint) molecules exist as a ‘brake’ to prevent excessive immune activation or autoimmunity. However, they are also exploited by tumor cells to evade detection by the immune system and facilitate tumor progression</w:t>
      </w:r>
      <w:r w:rsidRPr="00514591">
        <w:rPr>
          <w:rFonts w:ascii="Book Antiqua" w:eastAsia="Book Antiqua" w:hAnsi="Book Antiqua" w:cs="Book Antiqua"/>
          <w:color w:val="000000"/>
          <w:vertAlign w:val="superscript"/>
        </w:rPr>
        <w:t>[1]</w:t>
      </w:r>
      <w:r w:rsidRPr="00514591">
        <w:rPr>
          <w:rFonts w:ascii="Book Antiqua" w:eastAsia="Book Antiqua" w:hAnsi="Book Antiqua" w:cs="Book Antiqua"/>
          <w:color w:val="000000"/>
        </w:rPr>
        <w:t>.</w:t>
      </w:r>
    </w:p>
    <w:p w14:paraId="5B00660B"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Immunotherapy has recently revolutionized the treatment of advanced malignancy. It involves the use of monoclonal antibodies to inhibit these immune checkpoint molecules leading to immune activation against cancer cells. The main immune checkpoint molecules currently targeted by immunotherapy are the programmed cell death protein 1 (PD-1), programmed death-ligand 1 (PD-L1), and cytotoxic T-lymphocyte-associated protein 4 (CTLA-4). Since the CTLA-4 inhibitor ipilimumab was approved for the treatment of metastatic melanoma in 2011</w:t>
      </w:r>
      <w:r w:rsidRPr="00514591">
        <w:rPr>
          <w:rFonts w:ascii="Book Antiqua" w:eastAsia="Book Antiqua" w:hAnsi="Book Antiqua" w:cs="Book Antiqua"/>
          <w:color w:val="000000"/>
          <w:vertAlign w:val="superscript"/>
        </w:rPr>
        <w:t>[2]</w:t>
      </w:r>
      <w:r w:rsidRPr="00514591">
        <w:rPr>
          <w:rFonts w:ascii="Book Antiqua" w:eastAsia="Book Antiqua" w:hAnsi="Book Antiqua" w:cs="Book Antiqua"/>
          <w:color w:val="000000"/>
        </w:rPr>
        <w:t>, immunotherapies have been trialled in many other malignancies with varying success. With their increased use, the toxicities of immunotherapies have also emerged as an important clinical problem. As expected, the side effect of enhancing the body’s immune response to cancer is unwanted inflammation. These immune related adverse events (irAEs) can affect almost any organ but most commonly the skin, liver, gastrointestinal tract and endocrine glands. Treatment of irAEs may require temporary or permanent cessation of immunotherapy with or without commencement of immunosuppression which is suboptimal (at least theoretically) in terms of anti-cancer effect.</w:t>
      </w:r>
    </w:p>
    <w:p w14:paraId="39579CBF"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For gastroenterologists and hepatologists, immunotherapy-related hepatotoxicity deserves special mention as it is commonly encountered. Furthermore, checkpoint inhibitors have recently been added to first- and second-line treatment options for advanced hepatocellular carcinoma (HCC) after promising clinical trial results</w:t>
      </w:r>
      <w:r w:rsidRPr="00514591">
        <w:rPr>
          <w:rFonts w:ascii="Book Antiqua" w:eastAsia="Book Antiqua" w:hAnsi="Book Antiqua" w:cs="Book Antiqua"/>
          <w:color w:val="000000"/>
          <w:vertAlign w:val="superscript"/>
        </w:rPr>
        <w:t>[3-5]</w:t>
      </w:r>
      <w:r w:rsidRPr="00514591">
        <w:rPr>
          <w:rFonts w:ascii="Book Antiqua" w:eastAsia="Book Antiqua" w:hAnsi="Book Antiqua" w:cs="Book Antiqua"/>
          <w:color w:val="000000"/>
        </w:rPr>
        <w:t xml:space="preserve">. These patients tend to have relatively limited liver reserve since most HCCs occur on a </w:t>
      </w:r>
      <w:r w:rsidRPr="00514591">
        <w:rPr>
          <w:rFonts w:ascii="Book Antiqua" w:eastAsia="Book Antiqua" w:hAnsi="Book Antiqua" w:cs="Book Antiqua"/>
          <w:color w:val="000000"/>
        </w:rPr>
        <w:lastRenderedPageBreak/>
        <w:t>background of liver cirrhosis</w:t>
      </w:r>
      <w:r w:rsidRPr="00514591">
        <w:rPr>
          <w:rFonts w:ascii="Book Antiqua" w:eastAsia="Book Antiqua" w:hAnsi="Book Antiqua" w:cs="Book Antiqua"/>
          <w:color w:val="000000"/>
          <w:vertAlign w:val="superscript"/>
        </w:rPr>
        <w:t>[6]</w:t>
      </w:r>
      <w:r w:rsidRPr="00514591">
        <w:rPr>
          <w:rFonts w:ascii="Book Antiqua" w:eastAsia="Book Antiqua" w:hAnsi="Book Antiqua" w:cs="Book Antiqua"/>
          <w:color w:val="000000"/>
        </w:rPr>
        <w:t xml:space="preserve">. Thus, immunotherapy-related hepatotoxicity can result in liver failure and even death. </w:t>
      </w:r>
    </w:p>
    <w:p w14:paraId="712522AD"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In this review, we summarize the latest literature on epidemiology, pathophysiology, diagnosis, assessment and management of </w:t>
      </w:r>
      <w:r w:rsidR="00C47AC3" w:rsidRPr="00514591">
        <w:rPr>
          <w:rFonts w:ascii="Book Antiqua" w:eastAsia="Book Antiqua" w:hAnsi="Book Antiqua" w:cs="Book Antiqua"/>
          <w:color w:val="000000"/>
        </w:rPr>
        <w:t>immune checkpoint inhibitors</w:t>
      </w:r>
      <w:r w:rsidRPr="00514591">
        <w:rPr>
          <w:rFonts w:ascii="Book Antiqua" w:eastAsia="Book Antiqua" w:hAnsi="Book Antiqua" w:cs="Book Antiqua"/>
          <w:color w:val="000000"/>
        </w:rPr>
        <w:t xml:space="preserve"> (ICI)-induced hepatoxicity (ICH). </w:t>
      </w:r>
    </w:p>
    <w:p w14:paraId="38B03824" w14:textId="77777777" w:rsidR="00A77B3E" w:rsidRPr="00514591" w:rsidRDefault="00A77B3E" w:rsidP="00514591">
      <w:pPr>
        <w:spacing w:line="360" w:lineRule="auto"/>
        <w:jc w:val="both"/>
        <w:rPr>
          <w:rFonts w:ascii="Book Antiqua" w:hAnsi="Book Antiqua"/>
        </w:rPr>
      </w:pPr>
    </w:p>
    <w:p w14:paraId="5B66892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Epidemiology of ICH</w:t>
      </w:r>
    </w:p>
    <w:p w14:paraId="07A79ED8" w14:textId="77777777" w:rsidR="00A77B3E" w:rsidRPr="00C47AC3" w:rsidRDefault="001666BE" w:rsidP="00514591">
      <w:pPr>
        <w:spacing w:line="360" w:lineRule="auto"/>
        <w:jc w:val="both"/>
        <w:rPr>
          <w:rFonts w:ascii="Book Antiqua" w:hAnsi="Book Antiqua"/>
          <w:b/>
        </w:rPr>
      </w:pPr>
      <w:r w:rsidRPr="00C47AC3">
        <w:rPr>
          <w:rFonts w:ascii="Book Antiqua" w:eastAsia="Book Antiqua" w:hAnsi="Book Antiqua" w:cs="Book Antiqua"/>
          <w:b/>
          <w:i/>
          <w:color w:val="000000"/>
        </w:rPr>
        <w:t>Incidence</w:t>
      </w:r>
    </w:p>
    <w:p w14:paraId="44856E8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Although ICH is primarily considered a ‘hepatitis’ presenting with elevated transaminases, cases of immune-mediated ‘cholangitis’ with elevated biliary enzymes are generally also included in its definition. Further complicating the diagnosis of ICH (and therefore measurement of its incidence) is that ICI is increasingly being used in combination with other chemotherapies and targeted therapies which can themselves can cause hepatotoxicity. Indeed, distinguishing between ICH and </w:t>
      </w:r>
      <w:r w:rsidR="00C47AC3" w:rsidRPr="00514591">
        <w:rPr>
          <w:rFonts w:ascii="Book Antiqua" w:eastAsia="Book Antiqua" w:hAnsi="Book Antiqua" w:cs="Book Antiqua"/>
          <w:color w:val="000000"/>
        </w:rPr>
        <w:t>drug-induced liver injury (DILI)</w:t>
      </w:r>
      <w:r w:rsidRPr="00514591">
        <w:rPr>
          <w:rFonts w:ascii="Book Antiqua" w:eastAsia="Book Antiqua" w:hAnsi="Book Antiqua" w:cs="Book Antiqua"/>
          <w:color w:val="000000"/>
        </w:rPr>
        <w:t xml:space="preserve"> secondary to co-administered therapy can be difficult.</w:t>
      </w:r>
    </w:p>
    <w:p w14:paraId="4DED20E1" w14:textId="77777777" w:rsidR="00A77B3E" w:rsidRPr="00C47AC3" w:rsidRDefault="001666BE" w:rsidP="00C47AC3">
      <w:pPr>
        <w:spacing w:line="360" w:lineRule="auto"/>
        <w:ind w:firstLineChars="200" w:firstLine="480"/>
        <w:jc w:val="both"/>
        <w:rPr>
          <w:rFonts w:ascii="Book Antiqua" w:hAnsi="Book Antiqua"/>
          <w:lang w:eastAsia="zh-CN"/>
        </w:rPr>
      </w:pPr>
      <w:r w:rsidRPr="00514591">
        <w:rPr>
          <w:rFonts w:ascii="Book Antiqua" w:eastAsia="Book Antiqua" w:hAnsi="Book Antiqua" w:cs="Book Antiqua"/>
          <w:color w:val="000000"/>
        </w:rPr>
        <w:t xml:space="preserve">The reported incidence of ICH depends on the severity grade </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according to common terminology criteria for adverse events </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CTCAE</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discussed further below</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type and dose of ICI and if it was used as monotherapy or in combination with another ICI. The reported incidence of all ICH (any grade) varies widely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-30% while only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-20% experience severe ICH (grade 3 or 4)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Fulminant hepatic failure and death following ICI has also been reported with an incidence of up to 0.4%, particularly with CTLA-4 inhibitors</w:t>
      </w:r>
      <w:r w:rsidRPr="00514591">
        <w:rPr>
          <w:rFonts w:ascii="Book Antiqua" w:eastAsia="Book Antiqua" w:hAnsi="Book Antiqua" w:cs="Book Antiqua"/>
          <w:color w:val="000000"/>
          <w:vertAlign w:val="superscript"/>
        </w:rPr>
        <w:t>[7]</w:t>
      </w:r>
      <w:r w:rsidRPr="00514591">
        <w:rPr>
          <w:rFonts w:ascii="Book Antiqua" w:eastAsia="Book Antiqua" w:hAnsi="Book Antiqua" w:cs="Book Antiqua"/>
          <w:color w:val="000000"/>
        </w:rPr>
        <w:t>. Indeed, ICH is overrepresented in cases of severe irAEs and accounts for 16% of all immunotherapy-related fatalities</w:t>
      </w:r>
      <w:r w:rsidRPr="00514591">
        <w:rPr>
          <w:rFonts w:ascii="Book Antiqua" w:eastAsia="Book Antiqua" w:hAnsi="Book Antiqua" w:cs="Book Antiqua"/>
          <w:color w:val="000000"/>
          <w:vertAlign w:val="superscript"/>
        </w:rPr>
        <w:t>[8]</w:t>
      </w:r>
      <w:r w:rsidRPr="00514591">
        <w:rPr>
          <w:rFonts w:ascii="Book Antiqua" w:eastAsia="Book Antiqua" w:hAnsi="Book Antiqua" w:cs="Book Antiqua"/>
          <w:color w:val="000000"/>
        </w:rPr>
        <w:t xml:space="preserve">. </w:t>
      </w:r>
    </w:p>
    <w:p w14:paraId="1D1345A9"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Among patients receiving monotherapy, CTLA-4 inhibitors (ipilimumab and tremelimumab) have the highest rate of hepatoxicity</w:t>
      </w:r>
      <w:r w:rsidRPr="00514591">
        <w:rPr>
          <w:rFonts w:ascii="Book Antiqua" w:eastAsia="Book Antiqua" w:hAnsi="Book Antiqua" w:cs="Book Antiqua"/>
          <w:color w:val="000000"/>
          <w:vertAlign w:val="superscript"/>
        </w:rPr>
        <w:t>[9]</w:t>
      </w:r>
      <w:r w:rsidRPr="00514591">
        <w:rPr>
          <w:rFonts w:ascii="Book Antiqua" w:eastAsia="Book Antiqua" w:hAnsi="Book Antiqua" w:cs="Book Antiqua"/>
          <w:color w:val="000000"/>
        </w:rPr>
        <w:t>. The incidence of ICH following CTLA-4 inhibitor monotherapy ranges between mostly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-30% (mostly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-15%) with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-20% (mostly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-10%) being grade 3/4 in severity</w:t>
      </w:r>
      <w:r w:rsidR="00C47AC3">
        <w:rPr>
          <w:rFonts w:ascii="Book Antiqua" w:eastAsia="Book Antiqua" w:hAnsi="Book Antiqua" w:cs="Book Antiqua"/>
          <w:color w:val="000000"/>
          <w:vertAlign w:val="superscript"/>
        </w:rPr>
        <w:t>[2,</w:t>
      </w:r>
      <w:r w:rsidRPr="00514591">
        <w:rPr>
          <w:rFonts w:ascii="Book Antiqua" w:eastAsia="Book Antiqua" w:hAnsi="Book Antiqua" w:cs="Book Antiqua"/>
          <w:color w:val="000000"/>
          <w:vertAlign w:val="superscript"/>
        </w:rPr>
        <w:t>10-12]</w:t>
      </w:r>
      <w:r w:rsidRPr="00514591">
        <w:rPr>
          <w:rFonts w:ascii="Book Antiqua" w:eastAsia="Book Antiqua" w:hAnsi="Book Antiqua" w:cs="Book Antiqua"/>
          <w:color w:val="000000"/>
        </w:rPr>
        <w:t>. The frequency of ICH appears to increase when higher doses of CTLA-4 inhibitors are administered. For ipilimumab, reported rates of hepatitis (any grade) were only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-5% in patients treated </w:t>
      </w:r>
      <w:r w:rsidRPr="00514591">
        <w:rPr>
          <w:rFonts w:ascii="Book Antiqua" w:eastAsia="Book Antiqua" w:hAnsi="Book Antiqua" w:cs="Book Antiqua"/>
          <w:color w:val="000000"/>
        </w:rPr>
        <w:lastRenderedPageBreak/>
        <w:t>with standard doses (3 mg/kg) compared to 15</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-16% in those treated with high dose (10 mg/kg)</w:t>
      </w:r>
      <w:r w:rsidR="00C47AC3">
        <w:rPr>
          <w:rFonts w:ascii="Book Antiqua" w:eastAsia="Book Antiqua" w:hAnsi="Book Antiqua" w:cs="Book Antiqua"/>
          <w:color w:val="000000"/>
          <w:vertAlign w:val="superscript"/>
        </w:rPr>
        <w:t>[13,</w:t>
      </w:r>
      <w:r w:rsidRPr="00514591">
        <w:rPr>
          <w:rFonts w:ascii="Book Antiqua" w:eastAsia="Book Antiqua" w:hAnsi="Book Antiqua" w:cs="Book Antiqua"/>
          <w:color w:val="000000"/>
          <w:vertAlign w:val="superscript"/>
        </w:rPr>
        <w:t>14]</w:t>
      </w:r>
      <w:r w:rsidRPr="00514591">
        <w:rPr>
          <w:rFonts w:ascii="Book Antiqua" w:eastAsia="Book Antiqua" w:hAnsi="Book Antiqua" w:cs="Book Antiqua"/>
          <w:color w:val="000000"/>
        </w:rPr>
        <w:t xml:space="preserve">. </w:t>
      </w:r>
    </w:p>
    <w:p w14:paraId="076429C8" w14:textId="72C6087C"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In large trials of PD-L1 inhibitors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color w:val="000000"/>
        </w:rPr>
        <w:t xml:space="preserve"> atezolizumab, durvalumab, avelumab) patients exhibited rates of ICH similar to those observed for CTLA-4 inhibitors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-17% overall,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-5% grade 3/4)</w:t>
      </w:r>
      <w:r w:rsidRPr="00514591">
        <w:rPr>
          <w:rFonts w:ascii="Book Antiqua" w:eastAsia="Book Antiqua" w:hAnsi="Book Antiqua" w:cs="Book Antiqua"/>
          <w:color w:val="000000"/>
          <w:vertAlign w:val="superscript"/>
        </w:rPr>
        <w:t>[15-17]</w:t>
      </w:r>
      <w:r w:rsidRPr="00514591">
        <w:rPr>
          <w:rFonts w:ascii="Book Antiqua" w:eastAsia="Book Antiqua" w:hAnsi="Book Antiqua" w:cs="Book Antiqua"/>
          <w:color w:val="000000"/>
        </w:rPr>
        <w:t>. In contrast, monotherapy with PD-1 inhibitors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i/>
          <w:iCs/>
          <w:color w:val="000000"/>
        </w:rPr>
        <w:t xml:space="preserve"> </w:t>
      </w:r>
      <w:r w:rsidRPr="00514591">
        <w:rPr>
          <w:rFonts w:ascii="Book Antiqua" w:eastAsia="Book Antiqua" w:hAnsi="Book Antiqua" w:cs="Book Antiqua"/>
          <w:color w:val="000000"/>
        </w:rPr>
        <w:t>nivolumab, pembrolizumab) results in the lowest incidence of ICH with rates consistently reported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 (mostly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 and very few grade 3/4 reactions (&lt;</w:t>
      </w:r>
      <w:r w:rsidR="00C47AC3">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1%)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Unlike CTLA-4 inhibitors, the incidence of irAEs secondary to PD-1 and PD-L1 inhibitors does not appear to be dose-related</w:t>
      </w:r>
      <w:r w:rsidRPr="00514591">
        <w:rPr>
          <w:rFonts w:ascii="Book Antiqua" w:eastAsia="Book Antiqua" w:hAnsi="Book Antiqua" w:cs="Book Antiqua"/>
          <w:color w:val="000000"/>
          <w:vertAlign w:val="superscript"/>
        </w:rPr>
        <w:t>[18]</w:t>
      </w:r>
      <w:r w:rsidR="00C47AC3">
        <w:rPr>
          <w:rFonts w:ascii="Book Antiqua" w:eastAsia="Book Antiqua" w:hAnsi="Book Antiqua" w:cs="Book Antiqua"/>
          <w:color w:val="000000"/>
        </w:rPr>
        <w:t>.</w:t>
      </w:r>
      <w:r w:rsidRPr="00514591">
        <w:rPr>
          <w:rFonts w:ascii="Book Antiqua" w:eastAsia="Book Antiqua" w:hAnsi="Book Antiqua" w:cs="Book Antiqua"/>
          <w:color w:val="000000"/>
        </w:rPr>
        <w:t xml:space="preserve"> </w:t>
      </w:r>
    </w:p>
    <w:p w14:paraId="28A398C7"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Combination therapy with CTLA-4 and PD-1 blockade has been shown to have synergistic anti-tumor effect in advanced melanoma</w:t>
      </w:r>
      <w:r w:rsidRPr="00514591">
        <w:rPr>
          <w:rFonts w:ascii="Book Antiqua" w:eastAsia="Book Antiqua" w:hAnsi="Book Antiqua" w:cs="Book Antiqua"/>
          <w:color w:val="000000"/>
          <w:vertAlign w:val="superscript"/>
        </w:rPr>
        <w:t>[19]</w:t>
      </w:r>
      <w:r w:rsidRPr="00514591">
        <w:rPr>
          <w:rFonts w:ascii="Book Antiqua" w:eastAsia="Book Antiqua" w:hAnsi="Book Antiqua" w:cs="Book Antiqua"/>
          <w:color w:val="000000"/>
        </w:rPr>
        <w:t>. As expected, combination therapy also results in higher rates of irAEs including ICH. In this group, ICH of any grade occurs in 18</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-22% overall with 8</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-11% having severe hepatitis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xml:space="preserve">). </w:t>
      </w:r>
    </w:p>
    <w:p w14:paraId="2728C9D6"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As experience with ICI increases, real-world observational data on ICH have emerged and the incidence appears to be comparable to rates reported in clinical trials</w:t>
      </w:r>
      <w:r w:rsidR="00C47AC3">
        <w:rPr>
          <w:rFonts w:ascii="Book Antiqua" w:eastAsia="Book Antiqua" w:hAnsi="Book Antiqua" w:cs="Book Antiqua"/>
          <w:color w:val="000000"/>
          <w:vertAlign w:val="superscript"/>
        </w:rPr>
        <w:t>[20,</w:t>
      </w:r>
      <w:r w:rsidRPr="00514591">
        <w:rPr>
          <w:rFonts w:ascii="Book Antiqua" w:eastAsia="Book Antiqua" w:hAnsi="Book Antiqua" w:cs="Book Antiqua"/>
          <w:color w:val="000000"/>
          <w:vertAlign w:val="superscript"/>
        </w:rPr>
        <w:t>21]</w:t>
      </w:r>
      <w:r w:rsidRPr="00514591">
        <w:rPr>
          <w:rFonts w:ascii="Book Antiqua" w:eastAsia="Book Antiqua" w:hAnsi="Book Antiqua" w:cs="Book Antiqua"/>
          <w:color w:val="000000"/>
        </w:rPr>
        <w:t xml:space="preserve">. </w:t>
      </w:r>
    </w:p>
    <w:p w14:paraId="62D3CB6A" w14:textId="77777777" w:rsidR="00A77B3E" w:rsidRPr="00514591" w:rsidRDefault="00A77B3E" w:rsidP="00514591">
      <w:pPr>
        <w:spacing w:line="360" w:lineRule="auto"/>
        <w:jc w:val="both"/>
        <w:rPr>
          <w:rFonts w:ascii="Book Antiqua" w:hAnsi="Book Antiqua"/>
        </w:rPr>
      </w:pPr>
    </w:p>
    <w:p w14:paraId="722F95F2" w14:textId="77777777" w:rsidR="00A77B3E" w:rsidRPr="00C47AC3" w:rsidRDefault="001666BE" w:rsidP="00514591">
      <w:pPr>
        <w:spacing w:line="360" w:lineRule="auto"/>
        <w:jc w:val="both"/>
        <w:rPr>
          <w:rFonts w:ascii="Book Antiqua" w:hAnsi="Book Antiqua"/>
          <w:b/>
        </w:rPr>
      </w:pPr>
      <w:r w:rsidRPr="00C47AC3">
        <w:rPr>
          <w:rFonts w:ascii="Book Antiqua" w:eastAsia="Book Antiqua" w:hAnsi="Book Antiqua" w:cs="Book Antiqua"/>
          <w:b/>
          <w:i/>
          <w:iCs/>
          <w:color w:val="000000"/>
        </w:rPr>
        <w:t>Other risk factors</w:t>
      </w:r>
    </w:p>
    <w:p w14:paraId="2698491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The type of underlying malignancy appears to impact on the risk of developing ICH. A meta-analysis of 17 phase II and III trials of ICI in advanced cancer found a higher likelihood of hepatotoxicity in melanoma patients compared to other types of cancer (odds ratio 5.66 </w:t>
      </w:r>
      <w:r w:rsidRPr="00514591">
        <w:rPr>
          <w:rFonts w:ascii="Book Antiqua" w:eastAsia="Book Antiqua" w:hAnsi="Book Antiqua" w:cs="Book Antiqua"/>
          <w:i/>
          <w:iCs/>
          <w:color w:val="000000"/>
        </w:rPr>
        <w:t>vs</w:t>
      </w:r>
      <w:r w:rsidRPr="00514591">
        <w:rPr>
          <w:rFonts w:ascii="Book Antiqua" w:eastAsia="Book Antiqua" w:hAnsi="Book Antiqua" w:cs="Book Antiqua"/>
          <w:color w:val="000000"/>
        </w:rPr>
        <w:t xml:space="preserve"> 2.71, respectively)</w:t>
      </w:r>
      <w:r w:rsidRPr="00514591">
        <w:rPr>
          <w:rFonts w:ascii="Book Antiqua" w:eastAsia="Book Antiqua" w:hAnsi="Book Antiqua" w:cs="Book Antiqua"/>
          <w:color w:val="000000"/>
          <w:vertAlign w:val="superscript"/>
        </w:rPr>
        <w:t>[22]</w:t>
      </w:r>
      <w:r w:rsidRPr="00514591">
        <w:rPr>
          <w:rFonts w:ascii="Book Antiqua" w:eastAsia="Book Antiqua" w:hAnsi="Book Antiqua" w:cs="Book Antiqua"/>
          <w:color w:val="000000"/>
        </w:rPr>
        <w:t xml:space="preserve">. </w:t>
      </w:r>
    </w:p>
    <w:p w14:paraId="3B38F204"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 small study of patients with pre-existing autoimmune disease observed high rates of irAEs (33% experienced grade 3-5 events) and exacerbations of autoimmune disease (27% experienced flares requiring treatment) following ipilimumab treatment</w:t>
      </w:r>
      <w:r w:rsidRPr="00514591">
        <w:rPr>
          <w:rFonts w:ascii="Book Antiqua" w:eastAsia="Book Antiqua" w:hAnsi="Book Antiqua" w:cs="Book Antiqua"/>
          <w:color w:val="000000"/>
          <w:vertAlign w:val="superscript"/>
        </w:rPr>
        <w:t>[23]</w:t>
      </w:r>
      <w:r w:rsidRPr="00514591">
        <w:rPr>
          <w:rFonts w:ascii="Book Antiqua" w:eastAsia="Book Antiqua" w:hAnsi="Book Antiqua" w:cs="Book Antiqua"/>
          <w:color w:val="000000"/>
        </w:rPr>
        <w:t>. However, none of these patients had autoimmune liver conditions nor experienced ICH. In a larger study of patients with pre-existing autoimmune conditions receiving anti-PD-1 therapy, rates of ICH were similar to those reported in studies of general patients (3% overall, 2% grade 3/4)</w:t>
      </w:r>
      <w:r w:rsidRPr="00514591">
        <w:rPr>
          <w:rFonts w:ascii="Book Antiqua" w:eastAsia="Book Antiqua" w:hAnsi="Book Antiqua" w:cs="Book Antiqua"/>
          <w:color w:val="000000"/>
          <w:vertAlign w:val="superscript"/>
        </w:rPr>
        <w:t>[24]</w:t>
      </w:r>
      <w:r w:rsidR="00C47AC3">
        <w:rPr>
          <w:rFonts w:ascii="Book Antiqua" w:eastAsia="Book Antiqua" w:hAnsi="Book Antiqua" w:cs="Book Antiqua"/>
          <w:color w:val="000000"/>
        </w:rPr>
        <w:t>.</w:t>
      </w:r>
      <w:r w:rsidRPr="00514591">
        <w:rPr>
          <w:rFonts w:ascii="Book Antiqua" w:eastAsia="Book Antiqua" w:hAnsi="Book Antiqua" w:cs="Book Antiqua"/>
          <w:color w:val="000000"/>
        </w:rPr>
        <w:t xml:space="preserve"> Again, none of these patients had a liver-specific </w:t>
      </w:r>
      <w:r w:rsidRPr="00514591">
        <w:rPr>
          <w:rFonts w:ascii="Book Antiqua" w:eastAsia="Book Antiqua" w:hAnsi="Book Antiqua" w:cs="Book Antiqua"/>
          <w:color w:val="000000"/>
        </w:rPr>
        <w:lastRenderedPageBreak/>
        <w:t>autoimmune condition. Unsurprisingly, irAEs are common when a patient with previous irAEs is rechallenged. However, irAE encountered after one ICI does not seem to predict the same irAEs when switching to a different class of ICI</w:t>
      </w:r>
      <w:r w:rsidRPr="00514591">
        <w:rPr>
          <w:rFonts w:ascii="Book Antiqua" w:eastAsia="Book Antiqua" w:hAnsi="Book Antiqua" w:cs="Book Antiqua"/>
          <w:color w:val="000000"/>
          <w:vertAlign w:val="superscript"/>
        </w:rPr>
        <w:t>[24]</w:t>
      </w:r>
      <w:r w:rsidRPr="00514591">
        <w:rPr>
          <w:rFonts w:ascii="Book Antiqua" w:eastAsia="Book Antiqua" w:hAnsi="Book Antiqua" w:cs="Book Antiqua"/>
          <w:color w:val="000000"/>
        </w:rPr>
        <w:t>.</w:t>
      </w:r>
    </w:p>
    <w:p w14:paraId="12A94432"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From trials in advanced HCC, ICI appears to be generally well-tolerated in patients with underlying liver disease. Although elevated aspartate aminotransferase (AST) and/or alanine aminotransferase (ALT) were commonly reported adverse events in this population (15</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-23% any grade, 6</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-13% grade 3/4), the proportion attributable to ICH were similar to those seen in trials of patients without liver disease</w:t>
      </w:r>
      <w:r w:rsidRPr="00514591">
        <w:rPr>
          <w:rFonts w:ascii="Book Antiqua" w:eastAsia="Book Antiqua" w:hAnsi="Book Antiqua" w:cs="Book Antiqua"/>
          <w:color w:val="000000"/>
          <w:vertAlign w:val="superscript"/>
        </w:rPr>
        <w:t>[3-5]</w:t>
      </w:r>
      <w:r w:rsidRPr="00514591">
        <w:rPr>
          <w:rFonts w:ascii="Book Antiqua" w:eastAsia="Book Antiqua" w:hAnsi="Book Antiqua" w:cs="Book Antiqua"/>
          <w:color w:val="000000"/>
        </w:rPr>
        <w:t>. However, trials in patients with liver disease included primarily those with compensated (Child-Pugh class A) cirrhosis, thus limiting the generalizability of these findings to sicker patients. Reassuringly, sub-analyses of a small number of patients with Child-Pugh class B7-8 (decompensated) cirrhosis in the Checkmate-040 study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49) revealed overall ICH rates of 8% following nivolumab treatment</w:t>
      </w:r>
      <w:r w:rsidRPr="00514591">
        <w:rPr>
          <w:rFonts w:ascii="Book Antiqua" w:eastAsia="Book Antiqua" w:hAnsi="Book Antiqua" w:cs="Book Antiqua"/>
          <w:color w:val="000000"/>
          <w:vertAlign w:val="superscript"/>
        </w:rPr>
        <w:t>[25]</w:t>
      </w:r>
      <w:r w:rsidRPr="00514591">
        <w:rPr>
          <w:rFonts w:ascii="Book Antiqua" w:eastAsia="Book Antiqua" w:hAnsi="Book Antiqua" w:cs="Book Antiqua"/>
          <w:color w:val="000000"/>
        </w:rPr>
        <w:t>. Thus, from limited initial data of patients with Child-Pugh class A or early Child-Pugh class B cirrhosis, the incidence of ICH does not appear to be s</w:t>
      </w:r>
      <w:r w:rsidRPr="00514591">
        <w:rPr>
          <w:rStyle w:val="MsoCommentReference0"/>
          <w:rFonts w:ascii="Book Antiqua" w:eastAsia="Book Antiqua" w:hAnsi="Book Antiqua" w:cs="Book Antiqua"/>
          <w:color w:val="000000"/>
        </w:rPr>
        <w:t>i</w:t>
      </w:r>
      <w:r w:rsidRPr="00514591">
        <w:rPr>
          <w:rFonts w:ascii="Book Antiqua" w:eastAsia="Book Antiqua" w:hAnsi="Book Antiqua" w:cs="Book Antiqua"/>
          <w:color w:val="000000"/>
        </w:rPr>
        <w:t xml:space="preserve">gnificantly higher than in those without liver disease. </w:t>
      </w:r>
    </w:p>
    <w:p w14:paraId="02A9E33F" w14:textId="32406B7E"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High rates of allograft rejection and graft failure have been described in solid organ transplant recipients</w:t>
      </w:r>
      <w:r w:rsidRPr="00514591">
        <w:rPr>
          <w:rFonts w:ascii="Book Antiqua" w:eastAsia="Book Antiqua" w:hAnsi="Book Antiqua" w:cs="Book Antiqua"/>
          <w:color w:val="000000"/>
          <w:vertAlign w:val="superscript"/>
        </w:rPr>
        <w:t>[26]</w:t>
      </w:r>
      <w:r w:rsidRPr="00514591">
        <w:rPr>
          <w:rFonts w:ascii="Book Antiqua" w:eastAsia="Book Antiqua" w:hAnsi="Book Antiqua" w:cs="Book Antiqua"/>
          <w:color w:val="000000"/>
        </w:rPr>
        <w:t>. In particular, ICI treatment may be a consideration in liver transplant recipients for recurrent HCC or other malignancies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color w:val="000000"/>
        </w:rPr>
        <w:t xml:space="preserve"> melanoma). Liver injury (due to allograft rejection, not ICH) has been reported in 29</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-37% of liver transplant patients in small series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11-19)</w:t>
      </w:r>
      <w:r w:rsidRPr="00514591">
        <w:rPr>
          <w:rFonts w:ascii="Book Antiqua" w:eastAsia="Book Antiqua" w:hAnsi="Book Antiqua" w:cs="Book Antiqua"/>
          <w:color w:val="000000"/>
          <w:vertAlign w:val="superscript"/>
        </w:rPr>
        <w:t>[26-28]</w:t>
      </w:r>
      <w:r w:rsidRPr="00514591">
        <w:rPr>
          <w:rFonts w:ascii="Book Antiqua" w:eastAsia="Book Antiqua" w:hAnsi="Book Antiqua" w:cs="Book Antiqua"/>
          <w:color w:val="000000"/>
        </w:rPr>
        <w:t>. Of concern, a high proportion (3/4, 75%) of these rejections were fatal, although patient numbers were small</w:t>
      </w:r>
      <w:r w:rsidR="005451ED">
        <w:rPr>
          <w:rFonts w:ascii="Book Antiqua" w:eastAsia="Book Antiqua" w:hAnsi="Book Antiqua" w:cs="Book Antiqua"/>
          <w:color w:val="000000"/>
          <w:vertAlign w:val="superscript"/>
        </w:rPr>
        <w:t>[26,</w:t>
      </w:r>
      <w:r w:rsidRPr="00514591">
        <w:rPr>
          <w:rFonts w:ascii="Book Antiqua" w:eastAsia="Book Antiqua" w:hAnsi="Book Antiqua" w:cs="Book Antiqua"/>
          <w:color w:val="000000"/>
          <w:vertAlign w:val="superscript"/>
        </w:rPr>
        <w:t>28]</w:t>
      </w:r>
      <w:r w:rsidRPr="00514591">
        <w:rPr>
          <w:rFonts w:ascii="Book Antiqua" w:eastAsia="Book Antiqua" w:hAnsi="Book Antiqua" w:cs="Book Antiqua"/>
          <w:color w:val="000000"/>
        </w:rPr>
        <w:t xml:space="preserve">. </w:t>
      </w:r>
    </w:p>
    <w:p w14:paraId="4A7F9A63" w14:textId="77777777" w:rsidR="00A77B3E" w:rsidRPr="00514591" w:rsidRDefault="00A77B3E" w:rsidP="00514591">
      <w:pPr>
        <w:spacing w:line="360" w:lineRule="auto"/>
        <w:jc w:val="both"/>
        <w:rPr>
          <w:rFonts w:ascii="Book Antiqua" w:hAnsi="Book Antiqua"/>
        </w:rPr>
      </w:pPr>
    </w:p>
    <w:p w14:paraId="1C52B22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 xml:space="preserve">Pathogenesis of ICH </w:t>
      </w:r>
    </w:p>
    <w:p w14:paraId="2B88E852"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The exact pathogenesis of ICH is not fully understood but likely to be multifactorial. The general theory is that ICI-induced immune activation leads to not only a tumor-specific T cell response but also loss of peripheral tolerance against the patient’s own cells</w:t>
      </w:r>
      <w:r w:rsidRPr="00514591">
        <w:rPr>
          <w:rFonts w:ascii="Book Antiqua" w:eastAsia="Book Antiqua" w:hAnsi="Book Antiqua" w:cs="Book Antiqua"/>
          <w:color w:val="000000"/>
          <w:vertAlign w:val="superscript"/>
        </w:rPr>
        <w:t>[</w:t>
      </w:r>
      <w:r w:rsidR="00701F39">
        <w:rPr>
          <w:rFonts w:ascii="Book Antiqua" w:hAnsi="Book Antiqua" w:cs="Book Antiqua" w:hint="eastAsia"/>
          <w:color w:val="000000"/>
          <w:vertAlign w:val="superscript"/>
          <w:lang w:eastAsia="zh-CN"/>
        </w:rPr>
        <w:t>29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In the case of ICH, immune activation against hepatocytes leads to a T-cell mediated hepatitis and hepatocyte death. </w:t>
      </w:r>
    </w:p>
    <w:p w14:paraId="3E455214"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lastRenderedPageBreak/>
        <w:t>Mechanistically, proposed processes involved in irAEs include: T cell reactions to shared antigens expressed on both tumors and target organs, development of autoantibodies, of ICI antibodies directly binding to target organs and/or overactivation of immune cells leading to excessive cytokine secretion</w:t>
      </w:r>
      <w:r w:rsidRPr="00514591">
        <w:rPr>
          <w:rFonts w:ascii="Book Antiqua" w:eastAsia="Book Antiqua" w:hAnsi="Book Antiqua" w:cs="Book Antiqua"/>
          <w:color w:val="000000"/>
          <w:vertAlign w:val="superscript"/>
        </w:rPr>
        <w:t>[</w:t>
      </w:r>
      <w:r w:rsidR="00701F39">
        <w:rPr>
          <w:rFonts w:ascii="Book Antiqua" w:hAnsi="Book Antiqua" w:cs="Book Antiqua" w:hint="eastAsia"/>
          <w:color w:val="000000"/>
          <w:vertAlign w:val="superscript"/>
          <w:lang w:eastAsia="zh-CN"/>
        </w:rPr>
        <w:t>29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The precise mechanism(s) underlying ICH development has not been elucidated. </w:t>
      </w:r>
    </w:p>
    <w:p w14:paraId="046A9D44"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It also remains unclear why certain patients develop ICH but not others. It has been proposed that genetic factors play an important role, however, no obvious high-risk genetic loci have been identified to date. Although it is a focus of active research, there are currently no reliable biomarkers to predict ICH in routine clinical use. </w:t>
      </w:r>
    </w:p>
    <w:p w14:paraId="091FDE92" w14:textId="77777777" w:rsidR="00A77B3E" w:rsidRPr="00514591" w:rsidRDefault="00A77B3E" w:rsidP="00514591">
      <w:pPr>
        <w:spacing w:line="360" w:lineRule="auto"/>
        <w:jc w:val="both"/>
        <w:rPr>
          <w:rFonts w:ascii="Book Antiqua" w:hAnsi="Book Antiqua"/>
        </w:rPr>
      </w:pPr>
    </w:p>
    <w:p w14:paraId="26AA489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Clinical Features</w:t>
      </w:r>
    </w:p>
    <w:p w14:paraId="6DB0134F"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Presentation </w:t>
      </w:r>
    </w:p>
    <w:p w14:paraId="16E1B5F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ICH is usually asymptomatic and detected incidentally on routine liver function tests (LFTs) performed during monitoring after ICI treatment. The median time to onset of ICH is most commonly reported as 8-12 wk</w:t>
      </w:r>
      <w:r w:rsidRPr="00514591">
        <w:rPr>
          <w:rFonts w:ascii="Book Antiqua" w:eastAsia="Book Antiqua" w:hAnsi="Book Antiqua" w:cs="Book Antiqua"/>
          <w:color w:val="000000"/>
          <w:vertAlign w:val="superscript"/>
        </w:rPr>
        <w:t>[1</w:t>
      </w:r>
      <w:r w:rsidR="005451ED">
        <w:rPr>
          <w:rFonts w:ascii="Book Antiqua" w:eastAsia="Book Antiqua" w:hAnsi="Book Antiqua" w:cs="Book Antiqua"/>
          <w:color w:val="000000"/>
          <w:vertAlign w:val="superscript"/>
        </w:rPr>
        <w:t>4,</w:t>
      </w:r>
      <w:r w:rsidR="00701F39">
        <w:rPr>
          <w:rFonts w:ascii="Book Antiqua" w:hAnsi="Book Antiqua" w:cs="Book Antiqua" w:hint="eastAsia"/>
          <w:color w:val="000000"/>
          <w:vertAlign w:val="superscript"/>
          <w:lang w:eastAsia="zh-CN"/>
        </w:rPr>
        <w:t>30</w:t>
      </w:r>
      <w:r w:rsidR="005451ED">
        <w:rPr>
          <w:rFonts w:ascii="Book Antiqua" w:eastAsia="Book Antiqua" w:hAnsi="Book Antiqua" w:cs="Book Antiqua"/>
          <w:color w:val="000000"/>
          <w:vertAlign w:val="superscript"/>
        </w:rPr>
        <w:t>,</w:t>
      </w:r>
      <w:r w:rsidR="00701F39">
        <w:rPr>
          <w:rFonts w:ascii="Book Antiqua" w:hAnsi="Book Antiqua" w:cs="Book Antiqua" w:hint="eastAsia"/>
          <w:color w:val="000000"/>
          <w:vertAlign w:val="superscript"/>
          <w:lang w:eastAsia="zh-CN"/>
        </w:rPr>
        <w:t>31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however it can manifest as early as 2-3 wk after initiating ICI treatment</w:t>
      </w:r>
      <w:r w:rsidR="005451ED">
        <w:rPr>
          <w:rFonts w:ascii="Book Antiqua" w:eastAsia="Book Antiqua" w:hAnsi="Book Antiqua" w:cs="Book Antiqua"/>
          <w:color w:val="000000"/>
          <w:vertAlign w:val="superscript"/>
        </w:rPr>
        <w:t>[14,</w:t>
      </w:r>
      <w:r w:rsidR="00CC340F">
        <w:rPr>
          <w:rFonts w:ascii="Book Antiqua" w:hAnsi="Book Antiqua" w:cs="Book Antiqua" w:hint="eastAsia"/>
          <w:color w:val="000000"/>
          <w:vertAlign w:val="superscript"/>
          <w:lang w:eastAsia="zh-CN"/>
        </w:rPr>
        <w:t>32</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Patients with more severe disease can present clinically with fever, jaundice, right-sided abdominal pain, dark urine and easy bruising. As aforementioned, acute liver failure (encephalopathy and coagulopathy) is rare, especially as the initial presentation</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Clinical presentations may vary depending on the class of ICI with fever found to be a more prominent feature in ICH secondary to CTLA-4 inhibitors compared to anti-PD-1 or anti-PD-L1 antibodies in one study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6C0E665F"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 hepatocellular pattern of LFTs elevation (or transaminitis) is the most common pattern seen with ALT typically being higher than AST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However, a cholestatic or mixed pattern of LFTs derangement is more common with PD-1/PD-L1 inhibitors compared to CTLA-4 inhibitors</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Rarely, cases of immune-mediated cholangiopathy (discussed further below) have also been described particularly with PD-1/PD-L1 inhibitors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Elevations in total bilirubin can also be seen which reflects either prolonged injury or a sign of more severe disease.</w:t>
      </w:r>
    </w:p>
    <w:p w14:paraId="7F7A39B4" w14:textId="77777777" w:rsidR="00A77B3E" w:rsidRPr="00514591" w:rsidRDefault="00A77B3E" w:rsidP="00514591">
      <w:pPr>
        <w:spacing w:line="360" w:lineRule="auto"/>
        <w:jc w:val="both"/>
        <w:rPr>
          <w:rFonts w:ascii="Book Antiqua" w:hAnsi="Book Antiqua"/>
        </w:rPr>
      </w:pPr>
    </w:p>
    <w:p w14:paraId="0F049D83" w14:textId="77777777" w:rsidR="00A77B3E" w:rsidRPr="005451ED" w:rsidRDefault="001666BE" w:rsidP="00514591">
      <w:pPr>
        <w:spacing w:line="360" w:lineRule="auto"/>
        <w:jc w:val="both"/>
        <w:rPr>
          <w:rFonts w:ascii="Book Antiqua" w:hAnsi="Book Antiqua"/>
          <w:b/>
          <w:i/>
        </w:rPr>
      </w:pPr>
      <w:r w:rsidRPr="005451ED">
        <w:rPr>
          <w:rFonts w:ascii="Book Antiqua" w:eastAsia="Book Antiqua" w:hAnsi="Book Antiqua" w:cs="Book Antiqua"/>
          <w:b/>
          <w:i/>
          <w:iCs/>
          <w:color w:val="000000"/>
        </w:rPr>
        <w:lastRenderedPageBreak/>
        <w:t>Diagnosis, differentials and work-up</w:t>
      </w:r>
    </w:p>
    <w:p w14:paraId="3F1B6C74" w14:textId="77777777" w:rsidR="00A77B3E" w:rsidRPr="005451ED"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Although clinicians should be vigilant in looking for ICH in patients receiving ICI, not all cases of newly deranged LFTs are due to ICH. Indeed, a diagnosis of ICH only accounts for a fraction (less than 20</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-30%) of all patients who were reported to have elevated AST and/or ALT as an adverse event in clinical trials</w:t>
      </w:r>
      <w:r w:rsidR="005451ED">
        <w:rPr>
          <w:rFonts w:ascii="Book Antiqua" w:eastAsia="Book Antiqua" w:hAnsi="Book Antiqua" w:cs="Book Antiqua"/>
          <w:color w:val="000000"/>
          <w:vertAlign w:val="superscript"/>
        </w:rPr>
        <w:t>[4,5,</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Therefore, ICH is a diagnosis of exclusion and it is still important to conduct a thorough assessment to exclude other common differentials. A list of differential diagnoses with suggested investigations (or ‘liver screen’) is shown in</w:t>
      </w:r>
      <w:r w:rsidRPr="005451ED">
        <w:rPr>
          <w:rFonts w:ascii="Book Antiqua" w:eastAsia="Book Antiqua" w:hAnsi="Book Antiqua" w:cs="Book Antiqua"/>
          <w:color w:val="000000"/>
        </w:rPr>
        <w:t xml:space="preserve"> </w:t>
      </w:r>
      <w:r w:rsidRPr="005451ED">
        <w:rPr>
          <w:rFonts w:ascii="Book Antiqua" w:eastAsia="Book Antiqua" w:hAnsi="Book Antiqua" w:cs="Book Antiqua"/>
          <w:bCs/>
          <w:color w:val="000000"/>
        </w:rPr>
        <w:t>Table 2</w:t>
      </w:r>
      <w:r w:rsidRPr="005451ED">
        <w:rPr>
          <w:rFonts w:ascii="Book Antiqua" w:eastAsia="Book Antiqua" w:hAnsi="Book Antiqua" w:cs="Book Antiqua"/>
          <w:color w:val="000000"/>
        </w:rPr>
        <w:t>.</w:t>
      </w:r>
    </w:p>
    <w:p w14:paraId="1A1C6B05"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 few key differential diagnoses deserve mention. Liver function abnormalities are more common when ICI are used in combination with other systemic chemotherapies such as dacarbazine or vemurafenib in melanoma</w:t>
      </w:r>
      <w:r w:rsidRPr="00514591">
        <w:rPr>
          <w:rFonts w:ascii="Book Antiqua" w:eastAsia="Book Antiqua" w:hAnsi="Book Antiqua" w:cs="Book Antiqua"/>
          <w:color w:val="000000"/>
          <w:vertAlign w:val="superscript"/>
        </w:rPr>
        <w:t>[32]</w:t>
      </w:r>
      <w:r w:rsidRPr="00514591">
        <w:rPr>
          <w:rFonts w:ascii="Book Antiqua" w:eastAsia="Book Antiqua" w:hAnsi="Book Antiqua" w:cs="Book Antiqua"/>
          <w:color w:val="000000"/>
        </w:rPr>
        <w:t>, paclitaxel and carboplatin in lung cancer</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40</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or bevacizumab in HCC</w:t>
      </w:r>
      <w:r w:rsidRPr="00514591">
        <w:rPr>
          <w:rFonts w:ascii="Book Antiqua" w:eastAsia="Book Antiqua" w:hAnsi="Book Antiqua" w:cs="Book Antiqua"/>
          <w:color w:val="000000"/>
          <w:vertAlign w:val="superscript"/>
        </w:rPr>
        <w:t>[3]</w:t>
      </w:r>
      <w:r w:rsidRPr="00514591">
        <w:rPr>
          <w:rFonts w:ascii="Book Antiqua" w:eastAsia="Book Antiqua" w:hAnsi="Book Antiqua" w:cs="Book Antiqua"/>
          <w:color w:val="000000"/>
        </w:rPr>
        <w:t xml:space="preserve">. Furthermore, patients should be asked about other recent medications including non-prescription treatments (over-the-counter, complementary and herbal medications) and their alcohol intake. All the above can cause a non-immune mediated (direct or idiosyncratic) </w:t>
      </w:r>
      <w:r w:rsidR="00C47AC3">
        <w:rPr>
          <w:rFonts w:ascii="Book Antiqua" w:eastAsia="Book Antiqua" w:hAnsi="Book Antiqua" w:cs="Book Antiqua"/>
          <w:color w:val="000000"/>
        </w:rPr>
        <w:t>DILI</w:t>
      </w:r>
      <w:r w:rsidRPr="00514591">
        <w:rPr>
          <w:rFonts w:ascii="Book Antiqua" w:eastAsia="Book Antiqua" w:hAnsi="Book Antiqua" w:cs="Book Antiqua"/>
          <w:color w:val="000000"/>
        </w:rPr>
        <w:t>. Hence, a detailed medication history should be performed. Practically, it can be difficult</w:t>
      </w:r>
      <w:r w:rsidR="00DF1296">
        <w:rPr>
          <w:rFonts w:ascii="Book Antiqua" w:eastAsia="Book Antiqua" w:hAnsi="Book Antiqua" w:cs="Book Antiqua"/>
          <w:color w:val="000000"/>
        </w:rPr>
        <w:t xml:space="preserve"> differentiating between ICH </w:t>
      </w:r>
      <w:r w:rsidR="00DF1296" w:rsidRPr="00DF1296">
        <w:rPr>
          <w:rFonts w:ascii="Book Antiqua" w:eastAsia="Book Antiqua" w:hAnsi="Book Antiqua" w:cs="Book Antiqua"/>
          <w:i/>
          <w:color w:val="000000"/>
        </w:rPr>
        <w:t>vs</w:t>
      </w:r>
      <w:r w:rsidRPr="00514591">
        <w:rPr>
          <w:rFonts w:ascii="Book Antiqua" w:eastAsia="Book Antiqua" w:hAnsi="Book Antiqua" w:cs="Book Antiqua"/>
          <w:color w:val="000000"/>
        </w:rPr>
        <w:t xml:space="preserve"> non-ICI mediated DILI and further investigations such as liver biopsy may not reliably separate these entities.</w:t>
      </w:r>
    </w:p>
    <w:p w14:paraId="4F42603A" w14:textId="6A948A3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Patients with malignancy can also have direct tumor spread to the liver or regional lymph nodes which can lead to LFTs derangement from either biliary obstruction by bulky metastases or widespread infiltration of the liver. One study of 70 patients with liver injury after receiving pembrolizumab (mainly for melanoma) found the cause of liver injury as determined by ‘expert adjudication’ was due to progressive hepatic metastases or malignant bili</w:t>
      </w:r>
      <w:r w:rsidR="005451ED">
        <w:rPr>
          <w:rFonts w:ascii="Book Antiqua" w:eastAsia="Book Antiqua" w:hAnsi="Book Antiqua" w:cs="Book Antiqua"/>
          <w:color w:val="000000"/>
        </w:rPr>
        <w:t>ary obstruction in 60% of cases</w:t>
      </w:r>
      <w:r w:rsidR="00A3241C">
        <w:rPr>
          <w:rFonts w:ascii="Book Antiqua" w:eastAsia="Book Antiqua" w:hAnsi="Book Antiqua" w:cs="Book Antiqua"/>
          <w:color w:val="000000"/>
        </w:rPr>
        <w:t xml:space="preserve"> (</w:t>
      </w:r>
      <w:r w:rsidRPr="00514591">
        <w:rPr>
          <w:rFonts w:ascii="Book Antiqua" w:eastAsia="Book Antiqua" w:hAnsi="Book Antiqua" w:cs="Book Antiqua"/>
          <w:color w:val="000000"/>
        </w:rPr>
        <w:t>double the number of cases judged to be due to ICH</w:t>
      </w:r>
      <w:r w:rsidR="00A3241C">
        <w:rPr>
          <w:rFonts w:ascii="Book Antiqua" w:eastAsia="Book Antiqua" w:hAnsi="Book Antiqua" w:cs="Book Antiqua"/>
          <w:color w:val="000000"/>
        </w:rPr>
        <w: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Cross-sectional imaging with either abdominal ultrasound or more commonly computed tomography scan can be useful to identify biliary obstruction and the extent of liver metastases. As advanced cancer patients tend to get regular scans to monitor response to therapy, there may be a recent scan for review or comparison. Otherwise, imaging findings in patients with ICH are mild and non-</w:t>
      </w:r>
      <w:r w:rsidRPr="00514591">
        <w:rPr>
          <w:rFonts w:ascii="Book Antiqua" w:eastAsia="Book Antiqua" w:hAnsi="Book Antiqua" w:cs="Book Antiqua"/>
          <w:color w:val="000000"/>
        </w:rPr>
        <w:lastRenderedPageBreak/>
        <w:t>specific even in severe cases and may include hepatomegaly, periportal edema, or periportal lymphadenopathy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Extensive bone metastases can draw attention to the liver by causing elevations in total alkaline phosphatase (without a rise in gamma-glutamyl transferase)</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which can be clarified by checking the bone-specific isoform (ostase).</w:t>
      </w:r>
    </w:p>
    <w:p w14:paraId="407280DD"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Patients receiving certain systemic chemotherapies are at increased risk of reactivation of chronic hepatitis B. Although hepatitis B reactivation is very rare (&lt;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1%) with ICI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it can also occur with other co-administered chemotherapies or during treatment of ICH with corticosteroids. Therefore, patients should have their hepatitis B status checked routinely prior to commencing treatment with ICIs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be considered for prophylactic antiviral therapy. Although a flare of hepatitis C virus (HCV) secondary to ICI therapy has not been previously reported</w:t>
      </w:r>
      <w:r w:rsidR="005451ED">
        <w:rPr>
          <w:rFonts w:ascii="Book Antiqua" w:eastAsia="Book Antiqua" w:hAnsi="Book Antiqua" w:cs="Book Antiqua"/>
          <w:color w:val="000000"/>
          <w:vertAlign w:val="superscript"/>
        </w:rPr>
        <w:t>[4,</w:t>
      </w:r>
      <w:r w:rsidRPr="00514591">
        <w:rPr>
          <w:rFonts w:ascii="Book Antiqua" w:eastAsia="Book Antiqua" w:hAnsi="Book Antiqua" w:cs="Book Antiqua"/>
          <w:color w:val="000000"/>
          <w:vertAlign w:val="superscript"/>
        </w:rPr>
        <w:t>5]</w:t>
      </w:r>
      <w:r w:rsidRPr="00514591">
        <w:rPr>
          <w:rFonts w:ascii="Book Antiqua" w:eastAsia="Book Antiqua" w:hAnsi="Book Antiqua" w:cs="Book Antiqua"/>
          <w:color w:val="000000"/>
        </w:rPr>
        <w:t>, patients with untreated HCV should have close monitoring of their viral load and LFTs, which may both fluctuate during treatment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Indeed, anti-PD1 treatment has been shown to facilitate control of chronic HCV infection</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with some patients achieving dramatic reductions in their viral load and normalization of their ALT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03C6786E" w14:textId="77777777" w:rsidR="00A77B3E" w:rsidRPr="00514591" w:rsidRDefault="00A77B3E" w:rsidP="00514591">
      <w:pPr>
        <w:spacing w:line="360" w:lineRule="auto"/>
        <w:jc w:val="both"/>
        <w:rPr>
          <w:rFonts w:ascii="Book Antiqua" w:hAnsi="Book Antiqua"/>
        </w:rPr>
      </w:pPr>
    </w:p>
    <w:p w14:paraId="7006B4C7"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Role of liver biopsy</w:t>
      </w:r>
    </w:p>
    <w:p w14:paraId="4C5225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Although a liver biopsy is useful to exclude differential diagnoses and assess the degree of liver inflammation, it is usually not necessary in the work-up and management of ICH. Its invasive nature and cost, means it is generally reserved for situations when the diagnosis is unclear despite non-invasive investigations or the clinical course is atypical and not responding to standard treatments. Histological findings in ICH is variable but typically demonstrate lobular and/or periportal inflammation</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Centrilobular necrosis and central endothelialitis may also be present. Some distinct phenotypes may exist with granulomatous hepatitis reported in patients treated with CTLA-4 inhibitors, and a lobular, non-granulomatous hepatitis in those treated with anti-PD-1/anti-PD-L1 antibodies. Inflammatory infiltrates in ICH are predominantly activated T-lymphocytes (mainly CD8+) and histiocytes with few or no plasma cells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Comparatively, patients </w:t>
      </w:r>
      <w:r w:rsidRPr="00514591">
        <w:rPr>
          <w:rFonts w:ascii="Book Antiqua" w:eastAsia="Book Antiqua" w:hAnsi="Book Antiqua" w:cs="Book Antiqua"/>
          <w:color w:val="000000"/>
        </w:rPr>
        <w:lastRenderedPageBreak/>
        <w:t>with autoimmune hepatitis flares have proportionately more CD20+ B lymphocytes and CD4+ T-lymphocytes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r w:rsidRPr="00C36011">
        <w:rPr>
          <w:rFonts w:ascii="Book Antiqua" w:eastAsia="Book Antiqua" w:hAnsi="Book Antiqua" w:cs="Book Antiqua"/>
          <w:bCs/>
          <w:color w:val="000000"/>
        </w:rPr>
        <w:t>Figure 1</w:t>
      </w:r>
      <w:r w:rsidRPr="00514591">
        <w:rPr>
          <w:rFonts w:ascii="Book Antiqua" w:eastAsia="Book Antiqua" w:hAnsi="Book Antiqua" w:cs="Book Antiqua"/>
          <w:color w:val="000000"/>
        </w:rPr>
        <w:t xml:space="preserve"> presents two distinct histologic presentations of ICI-induced hepatotoxicity.</w:t>
      </w:r>
    </w:p>
    <w:p w14:paraId="0677D51D" w14:textId="77777777" w:rsidR="00A77B3E" w:rsidRPr="00514591" w:rsidRDefault="00A77B3E" w:rsidP="00514591">
      <w:pPr>
        <w:spacing w:line="360" w:lineRule="auto"/>
        <w:jc w:val="both"/>
        <w:rPr>
          <w:rFonts w:ascii="Book Antiqua" w:hAnsi="Book Antiqua"/>
          <w:lang w:eastAsia="zh-CN"/>
        </w:rPr>
      </w:pPr>
    </w:p>
    <w:p w14:paraId="3E377E2B"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iCs/>
          <w:color w:val="000000"/>
        </w:rPr>
        <w:t>Assessing causality and grading severity</w:t>
      </w:r>
    </w:p>
    <w:p w14:paraId="71F0202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Establishing causality for ICI causing hepatotoxicity begins with excluding differential diagnoses as outlined above. Formal scoring systems such as the Roussel Uclaf Causality Assessment Method (RUCAM) provide a useful framework and are often used in the DILI research setting but less so in clinical practice</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One problem with RUCAM is the difficulty in achieving scores to classify patients as having ‘definite’ or ‘highly probable’ DILI without rechallenging the patient with ICI which is not always safe to do. Instead the majority of patients are labelled as ‘probable’ DILI</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240E1431"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Once a diagnosis of ICH is judged to be the likely cause of the patient’s deranged LFTs, the severity of hepatotoxicity should be graded </w:t>
      </w:r>
      <w:r w:rsidR="00C47AC3">
        <w:rPr>
          <w:rFonts w:ascii="Book Antiqua" w:eastAsia="Book Antiqua" w:hAnsi="Book Antiqua" w:cs="Book Antiqua"/>
          <w:color w:val="000000"/>
        </w:rPr>
        <w:t>as it determines the treatment.</w:t>
      </w:r>
      <w:r w:rsidRPr="00514591">
        <w:rPr>
          <w:rFonts w:ascii="Book Antiqua" w:eastAsia="Book Antiqua" w:hAnsi="Book Antiqua" w:cs="Book Antiqua"/>
          <w:color w:val="000000"/>
        </w:rPr>
        <w:t xml:space="preserve"> Most oncology clinical trials report the severity of liver injury according to the </w:t>
      </w:r>
      <w:r w:rsidR="00C47AC3">
        <w:rPr>
          <w:rFonts w:ascii="Book Antiqua" w:eastAsia="Book Antiqua" w:hAnsi="Book Antiqua" w:cs="Book Antiqua"/>
          <w:color w:val="000000"/>
        </w:rPr>
        <w:t>CTCAE</w:t>
      </w:r>
      <w:r w:rsidRPr="00514591">
        <w:rPr>
          <w:rFonts w:ascii="Book Antiqua" w:eastAsia="Book Antiqua" w:hAnsi="Book Antiqua" w:cs="Book Antiqua"/>
          <w:color w:val="000000"/>
        </w:rPr>
        <w:t xml:space="preserve"> whereas the </w:t>
      </w:r>
      <w:r w:rsidR="00C47AC3" w:rsidRPr="00514591">
        <w:rPr>
          <w:rFonts w:ascii="Book Antiqua" w:eastAsia="Book Antiqua" w:hAnsi="Book Antiqua" w:cs="Book Antiqua"/>
          <w:color w:val="000000"/>
        </w:rPr>
        <w:t>DILI</w:t>
      </w:r>
      <w:r w:rsidRPr="00514591">
        <w:rPr>
          <w:rFonts w:ascii="Book Antiqua" w:eastAsia="Book Antiqua" w:hAnsi="Book Antiqua" w:cs="Book Antiqua"/>
          <w:color w:val="000000"/>
        </w:rPr>
        <w:t xml:space="preserve"> Network (DILIN) severity index is commonly used for grading DILI severity. Both grading systems take into account the patient’s symptoms, degree of liver enzyme and bilirubin derangement and/or international normalized ratio (DILIN only) (</w:t>
      </w:r>
      <w:r w:rsidRPr="005451ED">
        <w:rPr>
          <w:rFonts w:ascii="Book Antiqua" w:eastAsia="Book Antiqua" w:hAnsi="Book Antiqua" w:cs="Book Antiqua"/>
          <w:bCs/>
          <w:color w:val="000000"/>
        </w:rPr>
        <w:t>Table 3</w:t>
      </w:r>
      <w:r w:rsidRPr="00514591">
        <w:rPr>
          <w:rFonts w:ascii="Book Antiqua" w:eastAsia="Book Antiqua" w:hAnsi="Book Antiqua" w:cs="Book Antiqua"/>
          <w:color w:val="000000"/>
        </w:rPr>
        <w:t xml:space="preserve">). It should be noted that neither CTCAE nor DILIN systems were devised specifically for grading ICH, but rather for raised LFTs secondary to any anti-cancer therapy. </w:t>
      </w:r>
    </w:p>
    <w:p w14:paraId="4B29733E" w14:textId="77777777" w:rsidR="00A77B3E" w:rsidRPr="00514591" w:rsidRDefault="00A77B3E" w:rsidP="00514591">
      <w:pPr>
        <w:spacing w:line="360" w:lineRule="auto"/>
        <w:jc w:val="both"/>
        <w:rPr>
          <w:rFonts w:ascii="Book Antiqua" w:hAnsi="Book Antiqua"/>
        </w:rPr>
      </w:pPr>
    </w:p>
    <w:p w14:paraId="1036EA6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Management of ICH</w:t>
      </w:r>
    </w:p>
    <w:p w14:paraId="25CAC22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As ICH is a relatively new entity, there have been no prospective randomized controlled trials evaluating different treatment recommendations. Thus, current international treatment guidelines are all based on low level evidence (case series and expert opinion). </w:t>
      </w:r>
      <w:r w:rsidRPr="005451ED">
        <w:rPr>
          <w:rFonts w:ascii="Book Antiqua" w:eastAsia="Book Antiqua" w:hAnsi="Book Antiqua" w:cs="Book Antiqua"/>
          <w:bCs/>
          <w:color w:val="000000"/>
        </w:rPr>
        <w:t>Table 4</w:t>
      </w:r>
      <w:r w:rsidRPr="00514591">
        <w:rPr>
          <w:rFonts w:ascii="Book Antiqua" w:eastAsia="Book Antiqua" w:hAnsi="Book Antiqua" w:cs="Book Antiqua"/>
          <w:color w:val="000000"/>
        </w:rPr>
        <w:t xml:space="preserve"> outlines treatment recommendations from major oncology and hepatology societies for each CTCAE grade of ICH. Importantly, treatment should be patient-centred with their active involvement in decision making throughout.</w:t>
      </w:r>
    </w:p>
    <w:p w14:paraId="6E86A150"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lastRenderedPageBreak/>
        <w:t>As with any other DILI, temporary or permanent discontinuation of the culprit agent should be the first step and is recommended by all society guidelines for moderate (≥</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grade 2) ICH. Therefore, LFTs should be checked at baseline and prior to each dose of ICI. Since the pathogenesis of hepatotoxicity is immune-mediated, immunosuppression is the other mainstay of treatment. Although minor differences exist between guidelines, they generally all follow a stepwise algorithm involving withholding or ceasing ICI, followed by corticosteroid treatment </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oral prednisolone or </w:t>
      </w:r>
      <w:r w:rsidR="005451ED" w:rsidRPr="00514591">
        <w:rPr>
          <w:rFonts w:ascii="Book Antiqua" w:eastAsia="Book Antiqua" w:hAnsi="Book Antiqua" w:cs="Book Antiqua"/>
          <w:color w:val="000000"/>
        </w:rPr>
        <w:t>intravenous (IV)</w:t>
      </w:r>
      <w:r w:rsidRPr="00514591">
        <w:rPr>
          <w:rFonts w:ascii="Book Antiqua" w:eastAsia="Book Antiqua" w:hAnsi="Book Antiqua" w:cs="Book Antiqua"/>
          <w:color w:val="000000"/>
        </w:rPr>
        <w:t xml:space="preserve"> methylprednisolone</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and further immunosuppression </w:t>
      </w:r>
      <w:r w:rsidR="005451ED">
        <w:rPr>
          <w:rFonts w:ascii="Book Antiqua" w:hAnsi="Book Antiqua" w:cs="Book Antiqua" w:hint="eastAsia"/>
          <w:color w:val="000000"/>
          <w:lang w:eastAsia="zh-CN"/>
        </w:rPr>
        <w:t>[</w:t>
      </w:r>
      <w:r w:rsidR="005451ED" w:rsidRPr="00514591">
        <w:rPr>
          <w:rFonts w:ascii="Book Antiqua" w:eastAsia="Book Antiqua" w:hAnsi="Book Antiqua" w:cs="Book Antiqua"/>
          <w:color w:val="000000"/>
        </w:rPr>
        <w:t>mycophenolate mofetil (MMF)</w:t>
      </w:r>
      <w:r w:rsidRPr="00514591">
        <w:rPr>
          <w:rFonts w:ascii="Book Antiqua" w:eastAsia="Book Antiqua" w:hAnsi="Book Antiqua" w:cs="Book Antiqua"/>
          <w:color w:val="000000"/>
        </w:rPr>
        <w:t xml:space="preserve">, calcineurin inhibitors and anti-thymocyte antibodies </w:t>
      </w:r>
      <w:r w:rsidRPr="00514591">
        <w:rPr>
          <w:rFonts w:ascii="Book Antiqua" w:eastAsia="Book Antiqua" w:hAnsi="Book Antiqua" w:cs="Book Antiqua"/>
          <w:i/>
          <w:iCs/>
          <w:color w:val="000000"/>
        </w:rPr>
        <w:t>etc.</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depending on the initial severity and response to subsequent treatment. </w:t>
      </w:r>
    </w:p>
    <w:p w14:paraId="3DE769C8" w14:textId="77777777" w:rsidR="00A77B3E" w:rsidRPr="00514591" w:rsidRDefault="00A77B3E" w:rsidP="00514591">
      <w:pPr>
        <w:spacing w:line="360" w:lineRule="auto"/>
        <w:jc w:val="both"/>
        <w:rPr>
          <w:rFonts w:ascii="Book Antiqua" w:hAnsi="Book Antiqua"/>
        </w:rPr>
      </w:pPr>
    </w:p>
    <w:p w14:paraId="71D1F0E6"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Withdrawal of ICI</w:t>
      </w:r>
    </w:p>
    <w:p w14:paraId="1E13A03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A considerable proportion of patients can undergo resolution of ICH without need for immunosuppressive therapy. At least three small case series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6-16) have reported ICH resolution rates of 38</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-50% by simply withholding the ICI even in those with grade 3/4 disease</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50</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51</w:t>
      </w:r>
      <w:r w:rsidR="0046172C">
        <w:rPr>
          <w:rFonts w:ascii="Book Antiqua" w:hAnsi="Book Antiqua" w:cs="Book Antiqua" w:hint="eastAsia"/>
          <w:color w:val="000000"/>
          <w:vertAlign w:val="superscript"/>
          <w:lang w:eastAsia="zh-CN"/>
        </w:rPr>
        <w:t>]</w:t>
      </w:r>
      <w:r w:rsidRPr="00514591">
        <w:rPr>
          <w:rFonts w:ascii="Book Antiqua" w:eastAsia="Book Antiqua" w:hAnsi="Book Antiqua" w:cs="Book Antiqua"/>
          <w:color w:val="000000"/>
        </w:rPr>
        <w:t>. However, most society guidelines recommend starting corticosteroids for patients with ≥</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grade 2 ICH, highlighting that guideline recommendations should always be applied in the appropriate clinical context. Therefore, a period of close LFTs monitoring after withholding ICI (daily to weekly depending on severity of ICH) may be useful in helping some patients avoid unnecessary immunosuppression and their related side effects. This period of observation is particularly important in cases where ICI has been co-administered with other potentially hepatotoxic drugs. Cessation of these drugs (without immunosuppression) may lead to recovery if they were the main culprit for the liver injury. Whether ICI therapy should be temporarily or permanently ceased will be discussed later.</w:t>
      </w:r>
    </w:p>
    <w:p w14:paraId="71F53C5C" w14:textId="77777777" w:rsidR="00A77B3E" w:rsidRPr="00514591" w:rsidRDefault="00A77B3E" w:rsidP="00514591">
      <w:pPr>
        <w:spacing w:line="360" w:lineRule="auto"/>
        <w:jc w:val="both"/>
        <w:rPr>
          <w:rFonts w:ascii="Book Antiqua" w:hAnsi="Book Antiqua"/>
        </w:rPr>
      </w:pPr>
    </w:p>
    <w:p w14:paraId="681976FA"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Corticosteroids </w:t>
      </w:r>
    </w:p>
    <w:p w14:paraId="33F641D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lastRenderedPageBreak/>
        <w:t>As discussed above, commencement of corticosteroids is not essential but something to be considered depending on the severity of ICH and initial response in LFTs after withholding ICI. Oral prednisolone at a dose of 0.5-1</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mg/kg of body weight is the recommended for patients with grade 2 hepatotoxicity and </w:t>
      </w:r>
      <w:r w:rsidR="005451ED">
        <w:rPr>
          <w:rFonts w:ascii="Book Antiqua" w:eastAsia="Book Antiqua" w:hAnsi="Book Antiqua" w:cs="Book Antiqua"/>
          <w:color w:val="000000"/>
        </w:rPr>
        <w:t>IV</w:t>
      </w:r>
      <w:r w:rsidRPr="00514591">
        <w:rPr>
          <w:rFonts w:ascii="Book Antiqua" w:eastAsia="Book Antiqua" w:hAnsi="Book Antiqua" w:cs="Book Antiqua"/>
          <w:color w:val="000000"/>
        </w:rPr>
        <w:t xml:space="preserve"> boluses of methylprednisolone 1-2</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mg/kg of body weight for patients with grade 3/4 toxicity. It is important to note these dosing regimens are not derived from comparative studies but were instead extrapolated from treatment of other irAEs or autoimmune hepatitis. Indeed, higher doses of corticosteroids (&gt;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60</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mg daily of oral prednisolone) has not been shown to confer additional benefit in time to hepatitis resolution compared to lower doses</w:t>
      </w:r>
      <w:r w:rsidRPr="00514591">
        <w:rPr>
          <w:rFonts w:ascii="Book Antiqua" w:eastAsia="Book Antiqua" w:hAnsi="Book Antiqua" w:cs="Book Antiqua"/>
          <w:color w:val="000000"/>
          <w:vertAlign w:val="superscript"/>
        </w:rPr>
        <w:t>[20]</w:t>
      </w:r>
      <w:r w:rsidRPr="00514591">
        <w:rPr>
          <w:rFonts w:ascii="Book Antiqua" w:eastAsia="Book Antiqua" w:hAnsi="Book Antiqua" w:cs="Book Antiqua"/>
          <w:color w:val="000000"/>
        </w:rPr>
        <w:t>. A therapeutic response and eventual resolution of ICH is achieved in the majority of patients by withholding ICI and commencing corticosteroids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This </w:t>
      </w:r>
      <w:r w:rsidR="005451ED">
        <w:rPr>
          <w:rFonts w:ascii="Book Antiqua" w:eastAsia="Book Antiqua" w:hAnsi="Book Antiqua" w:cs="Book Antiqua"/>
          <w:color w:val="000000"/>
        </w:rPr>
        <w:t>should be evident after 2-3 d</w:t>
      </w:r>
      <w:r w:rsidRPr="00514591">
        <w:rPr>
          <w:rFonts w:ascii="Book Antiqua" w:eastAsia="Book Antiqua" w:hAnsi="Book Antiqua" w:cs="Book Antiqua"/>
          <w:color w:val="000000"/>
        </w:rPr>
        <w:t xml:space="preserve"> of treatment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Once a response is seen, steroids should then be tapered gradually over at least 4 wk to minimize the risk of rebound hepatitis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As for other conditions, patients receiving systemic corticosteroids should be monitored for its complications including infection, hyperglycemia, and psychosis.</w:t>
      </w:r>
    </w:p>
    <w:p w14:paraId="0948B9F6" w14:textId="77777777" w:rsidR="00A77B3E" w:rsidRPr="00514591" w:rsidRDefault="00A77B3E" w:rsidP="00514591">
      <w:pPr>
        <w:spacing w:line="360" w:lineRule="auto"/>
        <w:jc w:val="both"/>
        <w:rPr>
          <w:rFonts w:ascii="Book Antiqua" w:hAnsi="Book Antiqua"/>
        </w:rPr>
      </w:pPr>
    </w:p>
    <w:p w14:paraId="4612D893"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Refractory disease </w:t>
      </w:r>
    </w:p>
    <w:p w14:paraId="5C0B60C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 minority of patients either do not respond or fail to normalize their LFTs back to baseline despite corticosteroid treatment. If there is no response with oral prednisolone, IV methylprednisolone can be considered. In the setting ICH that is refractory to both oral and IV corticosteroids, </w:t>
      </w:r>
      <w:r w:rsidR="005451ED">
        <w:rPr>
          <w:rFonts w:ascii="Book Antiqua" w:eastAsia="Book Antiqua" w:hAnsi="Book Antiqua" w:cs="Book Antiqua"/>
          <w:color w:val="000000"/>
        </w:rPr>
        <w:t>MMF</w:t>
      </w:r>
      <w:r w:rsidRPr="00514591">
        <w:rPr>
          <w:rFonts w:ascii="Book Antiqua" w:eastAsia="Book Antiqua" w:hAnsi="Book Antiqua" w:cs="Book Antiqua"/>
          <w:color w:val="000000"/>
        </w:rPr>
        <w:t xml:space="preserve"> has been the preferred second-line agent at a dose of 500-1000</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mg twice daily (</w:t>
      </w:r>
      <w:r w:rsidRPr="005451ED">
        <w:rPr>
          <w:rFonts w:ascii="Book Antiqua" w:eastAsia="Book Antiqua" w:hAnsi="Book Antiqua" w:cs="Book Antiqua"/>
          <w:bCs/>
          <w:color w:val="000000"/>
        </w:rPr>
        <w:t>Table 4</w:t>
      </w:r>
      <w:r w:rsidRPr="00514591">
        <w:rPr>
          <w:rFonts w:ascii="Book Antiqua" w:eastAsia="Book Antiqua" w:hAnsi="Book Antiqua" w:cs="Book Antiqua"/>
          <w:color w:val="000000"/>
        </w:rPr>
        <w:t>). Azathioprine is the first-line steroid-sparing agent used in autoimmune hepatitis. Although its use has been reported in ICH, it is usually not favored because its immunosuppressive effect takes several months to peak and its metabolites can cause hepatotoxicity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54</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The main side effects from MMF are gastrointestinal upset (abdominal pain, nausea, vomiting and diarrhea) and cytopenia.</w:t>
      </w:r>
    </w:p>
    <w:p w14:paraId="3B8DC422"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For ICH refractory to corticosteroids and MMF, collective experience is limited to case reports. Calcineurin inhibitors (tacrolimus and cyclosporine) have been used with varying success in autoimmune hepatitis and form the backbone of liver transplant </w:t>
      </w:r>
      <w:r w:rsidRPr="00514591">
        <w:rPr>
          <w:rFonts w:ascii="Book Antiqua" w:eastAsia="Book Antiqua" w:hAnsi="Book Antiqua" w:cs="Book Antiqua"/>
          <w:color w:val="000000"/>
        </w:rPr>
        <w:lastRenderedPageBreak/>
        <w:t>rejection treatment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Their mechanism of action against T cell mediated liver inflammation makes them a logical choice in treatment-refractory ICH. Calcineurin inhibitors</w:t>
      </w:r>
      <w:r w:rsidR="005451ED">
        <w:rPr>
          <w:rFonts w:ascii="Book Antiqua" w:eastAsia="Book Antiqua" w:hAnsi="Book Antiqua" w:cs="Book Antiqua"/>
          <w:color w:val="000000"/>
          <w:vertAlign w:val="superscript"/>
        </w:rPr>
        <w:t>[20,</w:t>
      </w:r>
      <w:r w:rsidR="00CC340F">
        <w:rPr>
          <w:rFonts w:ascii="Book Antiqua" w:hAnsi="Book Antiqua" w:cs="Book Antiqua" w:hint="eastAsia"/>
          <w:color w:val="000000"/>
          <w:vertAlign w:val="superscript"/>
          <w:lang w:eastAsia="zh-CN"/>
        </w:rPr>
        <w:t>56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along with other agents including anti-thymocyte globulin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tocilizumab</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plasma exchange</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60</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even infliximab have all been used successfully to treat steroid-refractory ICH</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However, infliximab is not recommended by most guidelines since it is can cause an autoimmune phenotype DILI, albeit rarely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If not done prior, a liver biopsy should be strongly considered before commencing these third-line immunosuppressive agents.</w:t>
      </w:r>
    </w:p>
    <w:p w14:paraId="48AA2B83"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As aforementioned, ICH can also present as an immune-mediated cholangiopathy, especially in those receiving PD-1/PD-L1 inhibitors. In this entity, the inflammation is centred around the biliary tree with CD8+ T cell infiltration seen on liver b</w:t>
      </w:r>
      <w:r w:rsidR="005451ED">
        <w:rPr>
          <w:rFonts w:ascii="Book Antiqua" w:eastAsia="Book Antiqua" w:hAnsi="Book Antiqua" w:cs="Book Antiqua"/>
          <w:color w:val="000000"/>
        </w:rPr>
        <w:t>iopsy. Characteristically has a</w:t>
      </w:r>
      <w:r w:rsidRPr="00514591">
        <w:rPr>
          <w:rFonts w:ascii="Book Antiqua" w:eastAsia="Book Antiqua" w:hAnsi="Book Antiqua" w:cs="Book Antiqua"/>
          <w:color w:val="000000"/>
        </w:rPr>
        <w:t xml:space="preserve"> moderate to poor response to steroid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the addition of ursodeoxycholic acid to immunosuppression may be helpful</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w:t>
      </w:r>
      <w:r w:rsidRPr="00514591">
        <w:rPr>
          <w:rFonts w:ascii="Book Antiqua" w:eastAsia="Book Antiqua" w:hAnsi="Book Antiqua" w:cs="Book Antiqua"/>
          <w:i/>
          <w:iCs/>
          <w:color w:val="000000"/>
        </w:rPr>
        <w:t xml:space="preserve"> </w:t>
      </w:r>
    </w:p>
    <w:p w14:paraId="43540E4A" w14:textId="77777777" w:rsidR="00A77B3E" w:rsidRPr="00514591" w:rsidRDefault="00A77B3E" w:rsidP="00514591">
      <w:pPr>
        <w:spacing w:line="360" w:lineRule="auto"/>
        <w:jc w:val="both"/>
        <w:rPr>
          <w:rFonts w:ascii="Book Antiqua" w:hAnsi="Book Antiqua"/>
        </w:rPr>
      </w:pPr>
    </w:p>
    <w:p w14:paraId="0AB51496"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Ongoing monitoring and prognosis</w:t>
      </w:r>
    </w:p>
    <w:p w14:paraId="5FE380F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Once a response is achieved, patients should have ongoing monitoring for clinical signs and symptoms and LFTs. The monitoring frequency (between daily to weekly) is titrated according to the severity of ICH and rate of improvement after commencing treatment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Subsequent LFTs also help guide decisions regarding weaning of immunosuppression. Importantly, LFTs monitoring (fortnightly to monthly) should continue after apparent resolution of ICH and completion of immunosuppression as rebound hepatitis has been reported in up to a third of patients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35D6EEE7"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Although the majority of ICH patients recover and deaths due to hepatitis very rarely occur, the impact of ICH and its treatment on cancer outcomes is unclear. In a study of 491 pembrolizumab-treated patients, Tsung </w:t>
      </w:r>
      <w:r w:rsidRPr="00514591">
        <w:rPr>
          <w:rFonts w:ascii="Book Antiqua" w:eastAsia="Book Antiqua" w:hAnsi="Book Antiqua" w:cs="Book Antiqua"/>
          <w:i/>
          <w:iCs/>
          <w:color w:val="000000"/>
        </w:rPr>
        <w:t>et al</w:t>
      </w:r>
      <w:r w:rsidR="005451ED"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005451ED"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demonstrated that development of liver injury portended worse overall survival compared to those without liver injury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On sub-analysis, patients with liver injury due to ‘probable’ ICH exhibited significantly better survival compared to those with other causes of liver injury (</w:t>
      </w:r>
      <w:r w:rsidRPr="00514591">
        <w:rPr>
          <w:rFonts w:ascii="Book Antiqua" w:eastAsia="Book Antiqua" w:hAnsi="Book Antiqua" w:cs="Book Antiqua"/>
          <w:i/>
          <w:iCs/>
          <w:color w:val="000000"/>
        </w:rPr>
        <w:t>e.g.,</w:t>
      </w:r>
      <w:r w:rsidRPr="00514591">
        <w:rPr>
          <w:rFonts w:ascii="Book Antiqua" w:eastAsia="Book Antiqua" w:hAnsi="Book Antiqua" w:cs="Book Antiqua"/>
          <w:color w:val="000000"/>
        </w:rPr>
        <w:t xml:space="preserve"> hepatic metastases). In contrast, corticosteroid treatment in melanoma </w:t>
      </w:r>
      <w:r w:rsidRPr="00514591">
        <w:rPr>
          <w:rFonts w:ascii="Book Antiqua" w:eastAsia="Book Antiqua" w:hAnsi="Book Antiqua" w:cs="Book Antiqua"/>
          <w:color w:val="000000"/>
        </w:rPr>
        <w:lastRenderedPageBreak/>
        <w:t>patients with irAEs (including ICH) after CTLA-4 blockade did not impact on treatment response or survival</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w:t>
      </w:r>
    </w:p>
    <w:p w14:paraId="1197DABA"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As patients receiving ICI typically have advanced (incurable) malignancy, referral to palliative care services should be considered if not already done so. Palliative care services may assist clinicians and patients with managing the symptoms arising from irAEs, making treatment decisions (including when to cease therapy), and future planning. Early referral to palliative care has been shown to significantly improve patient physical and psychological symptoms, quality of life, and treatment satisfaction</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68</w:t>
      </w:r>
      <w:r w:rsidR="005451ED">
        <w:rPr>
          <w:rFonts w:ascii="Book Antiqua" w:hAnsi="Book Antiqua" w:cs="Book Antiqua" w:hint="eastAsia"/>
          <w:color w:val="000000"/>
          <w:vertAlign w:val="superscript"/>
          <w:lang w:eastAsia="zh-CN"/>
        </w:rPr>
        <w:t>]</w:t>
      </w:r>
      <w:r w:rsidRPr="00514591">
        <w:rPr>
          <w:rFonts w:ascii="Book Antiqua" w:eastAsia="Book Antiqua" w:hAnsi="Book Antiqua" w:cs="Book Antiqua"/>
          <w:color w:val="000000"/>
        </w:rPr>
        <w:t>.</w:t>
      </w:r>
    </w:p>
    <w:p w14:paraId="09AEDE00" w14:textId="77777777" w:rsidR="00A77B3E" w:rsidRPr="00514591" w:rsidRDefault="00A77B3E" w:rsidP="00514591">
      <w:pPr>
        <w:spacing w:line="360" w:lineRule="auto"/>
        <w:jc w:val="both"/>
        <w:rPr>
          <w:rFonts w:ascii="Book Antiqua" w:hAnsi="Book Antiqua"/>
        </w:rPr>
      </w:pPr>
    </w:p>
    <w:p w14:paraId="148763F8" w14:textId="77777777" w:rsidR="00A77B3E" w:rsidRPr="005451ED" w:rsidRDefault="00DF1296" w:rsidP="00514591">
      <w:pPr>
        <w:spacing w:line="360" w:lineRule="auto"/>
        <w:jc w:val="both"/>
        <w:rPr>
          <w:rFonts w:ascii="Book Antiqua" w:hAnsi="Book Antiqua"/>
          <w:b/>
        </w:rPr>
      </w:pPr>
      <w:r>
        <w:rPr>
          <w:rFonts w:ascii="Book Antiqua" w:eastAsia="Book Antiqua" w:hAnsi="Book Antiqua" w:cs="Book Antiqua"/>
          <w:b/>
          <w:i/>
          <w:iCs/>
          <w:color w:val="000000"/>
        </w:rPr>
        <w:t>Restarting vs</w:t>
      </w:r>
      <w:r w:rsidR="001666BE" w:rsidRPr="005451ED">
        <w:rPr>
          <w:rFonts w:ascii="Book Antiqua" w:eastAsia="Book Antiqua" w:hAnsi="Book Antiqua" w:cs="Book Antiqua"/>
          <w:b/>
          <w:i/>
          <w:iCs/>
          <w:color w:val="000000"/>
        </w:rPr>
        <w:t xml:space="preserve"> permanently ceasing ICI </w:t>
      </w:r>
    </w:p>
    <w:p w14:paraId="2912DCE3"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The decision on whether to restart or permanently cease ICI is a difficult one. Although current guidelines recommend temporarily withholding ICI in grade 2 ICH and permanently ceasing in grade 3/4 (</w:t>
      </w:r>
      <w:r w:rsidRPr="00973338">
        <w:rPr>
          <w:rFonts w:ascii="Book Antiqua" w:eastAsia="Book Antiqua" w:hAnsi="Book Antiqua" w:cs="Book Antiqua"/>
          <w:bCs/>
          <w:color w:val="000000"/>
        </w:rPr>
        <w:t>Table 4</w:t>
      </w:r>
      <w:r w:rsidRPr="00514591">
        <w:rPr>
          <w:rFonts w:ascii="Book Antiqua" w:eastAsia="Book Antiqua" w:hAnsi="Book Antiqua" w:cs="Book Antiqua"/>
          <w:color w:val="000000"/>
        </w:rPr>
        <w:t>), the decision is often more challenging and involves weighing up the ICH (its severity and response to immunosuppression) against the advanced cancer (its current activity, response to ICI and other available treatment options). Furthermore, multiple case reports have described successful reintroduction of ICI without ICH recurrence despite initial grade 3/4 hepatotoxicity. Other promising strategies include co-administration of budesonide (corticosteroid with high first-pass metabolism) when rechallenging with ICI</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or resuming anti-PD-1 monotherapy in patients with severe toxicity from combination ICI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70</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However, these approaches need confirmatory study before they can be widely adopted. At present, the decision to rechallenge with ICI should still be determined on a case-by-case basis through multidisciplinary discussion.</w:t>
      </w:r>
    </w:p>
    <w:p w14:paraId="53B0C85B" w14:textId="77777777" w:rsidR="00A77B3E" w:rsidRPr="00514591" w:rsidRDefault="00A77B3E" w:rsidP="00514591">
      <w:pPr>
        <w:spacing w:line="360" w:lineRule="auto"/>
        <w:jc w:val="both"/>
        <w:rPr>
          <w:rFonts w:ascii="Book Antiqua" w:hAnsi="Book Antiqua"/>
        </w:rPr>
      </w:pPr>
    </w:p>
    <w:p w14:paraId="4003275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Future directions</w:t>
      </w:r>
    </w:p>
    <w:p w14:paraId="540A38F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As the indications and frequency of ICI use expand, recognition and management of ICH will be an increasingly important issue. Current guideline recommendations are based on experience found in retrospective case series due to relatively low numbers of </w:t>
      </w:r>
      <w:r w:rsidRPr="00514591">
        <w:rPr>
          <w:rFonts w:ascii="Book Antiqua" w:eastAsia="Book Antiqua" w:hAnsi="Book Antiqua" w:cs="Book Antiqua"/>
          <w:color w:val="000000"/>
        </w:rPr>
        <w:lastRenderedPageBreak/>
        <w:t>patients developing ICH overall (especially those who are steroid refractory). In order to strengthen the evidence base in this area, clearly both prospective large observational registries and eventually randomized controlled trials are needed. This would almost certainly involve collaborations across many centers for patient recruitment. Our rudimentary knowledge of the pathobiology behind ICH also limits our ability to predict which patients will develop it and who will respond to treatment. Therefore, efforts at the basic science level to study the genetic and immune profile of ICH patients are equally important. As our knowledge and experience increases, ICI selection may be personalized to each individual in the future not only with regards to their cancer response but also their risk of developing ICH and how best to treat it.</w:t>
      </w:r>
    </w:p>
    <w:p w14:paraId="2737F9DA" w14:textId="77777777" w:rsidR="00A77B3E" w:rsidRPr="00514591" w:rsidRDefault="00A77B3E" w:rsidP="00514591">
      <w:pPr>
        <w:spacing w:line="360" w:lineRule="auto"/>
        <w:jc w:val="both"/>
        <w:rPr>
          <w:rFonts w:ascii="Book Antiqua" w:hAnsi="Book Antiqua"/>
        </w:rPr>
      </w:pPr>
    </w:p>
    <w:p w14:paraId="2978FAC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CONCLUSION</w:t>
      </w:r>
    </w:p>
    <w:p w14:paraId="2139BBA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In summary, we have arrived at a new era of cancer therapy where ICI will form the backbone of many regimens. Uncommonly, these treatments are complicated by ICH which can be severe. After excluding key differential diagnoses, the management algorithm follows a stepwise escalation in immunosuppression. The majority of patients recover with some being able to recommence ICI therapy. Future studies are needed to boost the evidence base and hence confidence behind current treatment recommendations.</w:t>
      </w:r>
    </w:p>
    <w:p w14:paraId="3EE0A5D9" w14:textId="77777777" w:rsidR="00A77B3E" w:rsidRPr="00514591" w:rsidRDefault="00A77B3E" w:rsidP="00514591">
      <w:pPr>
        <w:spacing w:line="360" w:lineRule="auto"/>
        <w:jc w:val="both"/>
        <w:rPr>
          <w:rFonts w:ascii="Book Antiqua" w:hAnsi="Book Antiqua"/>
        </w:rPr>
      </w:pPr>
    </w:p>
    <w:p w14:paraId="4B4747C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REFERENCES</w:t>
      </w:r>
    </w:p>
    <w:p w14:paraId="089A78BD" w14:textId="77777777" w:rsidR="00514591" w:rsidRPr="00514591" w:rsidRDefault="00514591" w:rsidP="00514591">
      <w:pPr>
        <w:spacing w:line="360" w:lineRule="auto"/>
        <w:jc w:val="both"/>
        <w:rPr>
          <w:rFonts w:ascii="Book Antiqua" w:hAnsi="Book Antiqua"/>
        </w:rPr>
      </w:pPr>
      <w:bookmarkStart w:id="3" w:name="OLE_LINK98"/>
      <w:r w:rsidRPr="00514591">
        <w:rPr>
          <w:rFonts w:ascii="Book Antiqua" w:hAnsi="Book Antiqua"/>
        </w:rPr>
        <w:t xml:space="preserve">1 </w:t>
      </w:r>
      <w:r w:rsidRPr="00514591">
        <w:rPr>
          <w:rFonts w:ascii="Book Antiqua" w:hAnsi="Book Antiqua"/>
          <w:b/>
          <w:bCs/>
        </w:rPr>
        <w:t>Xu W</w:t>
      </w:r>
      <w:r w:rsidRPr="00514591">
        <w:rPr>
          <w:rFonts w:ascii="Book Antiqua" w:hAnsi="Book Antiqua"/>
        </w:rPr>
        <w:t xml:space="preserve">, Liu K, Chen M, Sun JY, McCaughan GW, Lu XJ, Ji J. Immunotherapy for hepatocellular carcinoma: recent advances and future perspectives. </w:t>
      </w:r>
      <w:r w:rsidRPr="00514591">
        <w:rPr>
          <w:rFonts w:ascii="Book Antiqua" w:hAnsi="Book Antiqua"/>
          <w:i/>
          <w:iCs/>
        </w:rPr>
        <w:t>Ther Adv Med Oncol</w:t>
      </w:r>
      <w:r w:rsidRPr="00514591">
        <w:rPr>
          <w:rFonts w:ascii="Book Antiqua" w:hAnsi="Book Antiqua"/>
        </w:rPr>
        <w:t xml:space="preserve"> 2019; </w:t>
      </w:r>
      <w:r w:rsidRPr="00514591">
        <w:rPr>
          <w:rFonts w:ascii="Book Antiqua" w:hAnsi="Book Antiqua"/>
          <w:b/>
          <w:bCs/>
        </w:rPr>
        <w:t>11</w:t>
      </w:r>
      <w:r w:rsidRPr="00514591">
        <w:rPr>
          <w:rFonts w:ascii="Book Antiqua" w:hAnsi="Book Antiqua"/>
        </w:rPr>
        <w:t>: 1758835919862692 [PMID: 31384311 DOI: 10.1177/1758835919862692]</w:t>
      </w:r>
    </w:p>
    <w:p w14:paraId="2916A86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 </w:t>
      </w:r>
      <w:r w:rsidRPr="00514591">
        <w:rPr>
          <w:rFonts w:ascii="Book Antiqua" w:hAnsi="Book Antiqua"/>
          <w:b/>
          <w:bCs/>
        </w:rPr>
        <w:t>Hodi FS</w:t>
      </w:r>
      <w:r w:rsidRPr="00514591">
        <w:rPr>
          <w:rFonts w:ascii="Book Antiqua" w:hAnsi="Book Antiqua"/>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w:t>
      </w:r>
      <w:r w:rsidRPr="00514591">
        <w:rPr>
          <w:rFonts w:ascii="Book Antiqua" w:hAnsi="Book Antiqua"/>
        </w:rPr>
        <w:lastRenderedPageBreak/>
        <w:t xml:space="preserve">Improved survival with ipilimumab in patients with metastatic melanoma. </w:t>
      </w:r>
      <w:r w:rsidRPr="00514591">
        <w:rPr>
          <w:rFonts w:ascii="Book Antiqua" w:hAnsi="Book Antiqua"/>
          <w:i/>
          <w:iCs/>
        </w:rPr>
        <w:t>N Engl J Med</w:t>
      </w:r>
      <w:r w:rsidRPr="00514591">
        <w:rPr>
          <w:rFonts w:ascii="Book Antiqua" w:hAnsi="Book Antiqua"/>
        </w:rPr>
        <w:t xml:space="preserve"> 2010; </w:t>
      </w:r>
      <w:r w:rsidRPr="00514591">
        <w:rPr>
          <w:rFonts w:ascii="Book Antiqua" w:hAnsi="Book Antiqua"/>
          <w:b/>
          <w:bCs/>
        </w:rPr>
        <w:t>363</w:t>
      </w:r>
      <w:r w:rsidRPr="00514591">
        <w:rPr>
          <w:rFonts w:ascii="Book Antiqua" w:hAnsi="Book Antiqua"/>
        </w:rPr>
        <w:t>: 711-723 [PMID: 20525992 DOI: 10.1056/NEJMoa1003466]</w:t>
      </w:r>
    </w:p>
    <w:p w14:paraId="654744AB"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3 </w:t>
      </w:r>
      <w:r w:rsidRPr="00514591">
        <w:rPr>
          <w:rFonts w:ascii="Book Antiqua" w:hAnsi="Book Antiqua"/>
          <w:b/>
          <w:bCs/>
        </w:rPr>
        <w:t>Finn RS</w:t>
      </w:r>
      <w:r w:rsidRPr="00514591">
        <w:rPr>
          <w:rFonts w:ascii="Book Antiqua" w:hAnsi="Book Antiqua"/>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514591">
        <w:rPr>
          <w:rFonts w:ascii="Book Antiqua" w:hAnsi="Book Antiqua"/>
          <w:i/>
          <w:iCs/>
        </w:rPr>
        <w:t>N Engl J Med</w:t>
      </w:r>
      <w:r w:rsidRPr="00514591">
        <w:rPr>
          <w:rFonts w:ascii="Book Antiqua" w:hAnsi="Book Antiqua"/>
        </w:rPr>
        <w:t xml:space="preserve"> 2020; </w:t>
      </w:r>
      <w:r w:rsidRPr="00514591">
        <w:rPr>
          <w:rFonts w:ascii="Book Antiqua" w:hAnsi="Book Antiqua"/>
          <w:b/>
          <w:bCs/>
        </w:rPr>
        <w:t>382</w:t>
      </w:r>
      <w:r w:rsidRPr="00514591">
        <w:rPr>
          <w:rFonts w:ascii="Book Antiqua" w:hAnsi="Book Antiqua"/>
        </w:rPr>
        <w:t>: 1894-1905 [PMID: 32402160 DOI: 10.1056/NEJMoa1915745]</w:t>
      </w:r>
    </w:p>
    <w:p w14:paraId="7A22385F"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4 </w:t>
      </w:r>
      <w:r w:rsidRPr="00514591">
        <w:rPr>
          <w:rFonts w:ascii="Book Antiqua" w:hAnsi="Book Antiqua"/>
          <w:b/>
          <w:bCs/>
        </w:rPr>
        <w:t>El-Khoueiry AB</w:t>
      </w:r>
      <w:r w:rsidRPr="00514591">
        <w:rPr>
          <w:rFonts w:ascii="Book Antiqua" w:hAnsi="Book Antiqua"/>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514591">
        <w:rPr>
          <w:rFonts w:ascii="Book Antiqua" w:hAnsi="Book Antiqua"/>
          <w:i/>
          <w:iCs/>
        </w:rPr>
        <w:t>Lancet</w:t>
      </w:r>
      <w:r w:rsidRPr="00514591">
        <w:rPr>
          <w:rFonts w:ascii="Book Antiqua" w:hAnsi="Book Antiqua"/>
        </w:rPr>
        <w:t xml:space="preserve"> 2017; </w:t>
      </w:r>
      <w:r w:rsidRPr="00514591">
        <w:rPr>
          <w:rFonts w:ascii="Book Antiqua" w:hAnsi="Book Antiqua"/>
          <w:b/>
          <w:bCs/>
        </w:rPr>
        <w:t>389</w:t>
      </w:r>
      <w:r w:rsidRPr="00514591">
        <w:rPr>
          <w:rFonts w:ascii="Book Antiqua" w:hAnsi="Book Antiqua"/>
        </w:rPr>
        <w:t>: 2492-2502 [PMID: 28434648 DOI: 10.1016/S0140-6736(17)31046-2]</w:t>
      </w:r>
    </w:p>
    <w:p w14:paraId="0DD99611"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5 </w:t>
      </w:r>
      <w:r w:rsidRPr="00514591">
        <w:rPr>
          <w:rFonts w:ascii="Book Antiqua" w:hAnsi="Book Antiqua"/>
          <w:b/>
          <w:bCs/>
        </w:rPr>
        <w:t>Finn RS</w:t>
      </w:r>
      <w:r w:rsidRPr="00514591">
        <w:rPr>
          <w:rFonts w:ascii="Book Antiqua" w:hAnsi="Book Antiqua"/>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sidRPr="00514591">
        <w:rPr>
          <w:rFonts w:ascii="Book Antiqua" w:hAnsi="Book Antiqua"/>
          <w:i/>
          <w:iCs/>
        </w:rPr>
        <w:t>J Clin Oncol</w:t>
      </w:r>
      <w:r w:rsidRPr="00514591">
        <w:rPr>
          <w:rFonts w:ascii="Book Antiqua" w:hAnsi="Book Antiqua"/>
        </w:rPr>
        <w:t xml:space="preserve"> 2020; </w:t>
      </w:r>
      <w:r w:rsidRPr="00514591">
        <w:rPr>
          <w:rFonts w:ascii="Book Antiqua" w:hAnsi="Book Antiqua"/>
          <w:b/>
          <w:bCs/>
        </w:rPr>
        <w:t>38</w:t>
      </w:r>
      <w:r w:rsidRPr="00514591">
        <w:rPr>
          <w:rFonts w:ascii="Book Antiqua" w:hAnsi="Book Antiqua"/>
        </w:rPr>
        <w:t>: 193-202 [PMID: 31790344 DOI: 10.1200/JCO.19.01307]</w:t>
      </w:r>
    </w:p>
    <w:p w14:paraId="6F5EBFE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6 </w:t>
      </w:r>
      <w:r w:rsidRPr="00514591">
        <w:rPr>
          <w:rFonts w:ascii="Book Antiqua" w:hAnsi="Book Antiqua"/>
          <w:b/>
          <w:bCs/>
        </w:rPr>
        <w:t>Liu K</w:t>
      </w:r>
      <w:r w:rsidRPr="00AD42C2">
        <w:rPr>
          <w:rFonts w:ascii="Book Antiqua" w:hAnsi="Book Antiqua"/>
          <w:bCs/>
        </w:rPr>
        <w:t>,</w:t>
      </w:r>
      <w:r w:rsidRPr="00AD42C2">
        <w:rPr>
          <w:rFonts w:ascii="Book Antiqua" w:hAnsi="Book Antiqua"/>
        </w:rPr>
        <w:t xml:space="preserve"> </w:t>
      </w:r>
      <w:r w:rsidRPr="00514591">
        <w:rPr>
          <w:rFonts w:ascii="Book Antiqua" w:hAnsi="Book Antiqua"/>
        </w:rPr>
        <w:t xml:space="preserve">Zhang X, Xu W, Chen J, Yu J, Gamble JR, McCaughan GW. Targeting the vasculature in hepatocellular carcinoma treatment: Starving vs normalizing blood supply. </w:t>
      </w:r>
      <w:r w:rsidRPr="005A15E5">
        <w:rPr>
          <w:rFonts w:ascii="Book Antiqua" w:hAnsi="Book Antiqua"/>
          <w:i/>
        </w:rPr>
        <w:t>Clin Transl Gastroenterol</w:t>
      </w:r>
      <w:r w:rsidRPr="00514591">
        <w:rPr>
          <w:rFonts w:ascii="Book Antiqua" w:hAnsi="Book Antiqua"/>
        </w:rPr>
        <w:t xml:space="preserve"> 2017; </w:t>
      </w:r>
      <w:r w:rsidRPr="005A15E5">
        <w:rPr>
          <w:rFonts w:ascii="Book Antiqua" w:hAnsi="Book Antiqua"/>
          <w:b/>
        </w:rPr>
        <w:t>8</w:t>
      </w:r>
      <w:r w:rsidRPr="006204F2">
        <w:rPr>
          <w:rFonts w:ascii="Book Antiqua" w:hAnsi="Book Antiqua"/>
          <w:bCs/>
        </w:rPr>
        <w:t>:</w:t>
      </w:r>
      <w:r w:rsidRPr="00514591">
        <w:rPr>
          <w:rFonts w:ascii="Book Antiqua" w:hAnsi="Book Antiqua"/>
        </w:rPr>
        <w:t xml:space="preserve"> e98 [DOI:</w:t>
      </w:r>
      <w:r w:rsidR="005A15E5">
        <w:rPr>
          <w:rFonts w:ascii="Book Antiqua" w:hAnsi="Book Antiqua" w:hint="eastAsia"/>
          <w:lang w:eastAsia="zh-CN"/>
        </w:rPr>
        <w:t xml:space="preserve"> </w:t>
      </w:r>
      <w:r w:rsidRPr="00514591">
        <w:rPr>
          <w:rFonts w:ascii="Book Antiqua" w:hAnsi="Book Antiqua"/>
        </w:rPr>
        <w:t>10.1038/ctg.2017.28]</w:t>
      </w:r>
    </w:p>
    <w:p w14:paraId="20F4BD7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7 </w:t>
      </w:r>
      <w:r w:rsidRPr="00514591">
        <w:rPr>
          <w:rFonts w:ascii="Book Antiqua" w:hAnsi="Book Antiqua"/>
          <w:b/>
          <w:bCs/>
        </w:rPr>
        <w:t>Wang DY</w:t>
      </w:r>
      <w:r w:rsidRPr="00514591">
        <w:rPr>
          <w:rFonts w:ascii="Book Antiqua" w:hAnsi="Book Antiqua"/>
        </w:rPr>
        <w:t xml:space="preserve">, Salem JE, Cohen JV, Chandra S, Menzer C, Ye F, Zhao S, Das S, Beckermann KE, Ha L, Rathmell WK, Ancell KK, Balko JM, Bowman C, Davis EJ, Chism DD, Horn L, Long GV, Carlino MS, Lebrun-Vignes B, Eroglu Z, Hassel JC, Menzies AM, Sosman JA, Sullivan RJ, Moslehi JJ, Johnson DB. Fatal Toxic Effects Associated With Immune Checkpoint Inhibitors: A Systematic Review and Meta-analysis. </w:t>
      </w:r>
      <w:r w:rsidRPr="00514591">
        <w:rPr>
          <w:rFonts w:ascii="Book Antiqua" w:hAnsi="Book Antiqua"/>
          <w:i/>
          <w:iCs/>
        </w:rPr>
        <w:t>JAMA Oncol</w:t>
      </w:r>
      <w:r w:rsidRPr="00514591">
        <w:rPr>
          <w:rFonts w:ascii="Book Antiqua" w:hAnsi="Book Antiqua"/>
        </w:rPr>
        <w:t xml:space="preserve"> 2018; </w:t>
      </w:r>
      <w:r w:rsidRPr="00514591">
        <w:rPr>
          <w:rFonts w:ascii="Book Antiqua" w:hAnsi="Book Antiqua"/>
          <w:b/>
          <w:bCs/>
        </w:rPr>
        <w:t>4</w:t>
      </w:r>
      <w:r w:rsidRPr="00514591">
        <w:rPr>
          <w:rFonts w:ascii="Book Antiqua" w:hAnsi="Book Antiqua"/>
        </w:rPr>
        <w:t>: 1721-1728 [PMID: 30242316 DOI: 10.1001/jamaoncol.2018.3923]</w:t>
      </w:r>
    </w:p>
    <w:p w14:paraId="681528B6" w14:textId="77777777" w:rsidR="00514591" w:rsidRPr="00514591" w:rsidRDefault="00514591" w:rsidP="00514591">
      <w:pPr>
        <w:spacing w:line="360" w:lineRule="auto"/>
        <w:jc w:val="both"/>
        <w:rPr>
          <w:rFonts w:ascii="Book Antiqua" w:hAnsi="Book Antiqua"/>
        </w:rPr>
      </w:pPr>
      <w:r w:rsidRPr="00514591">
        <w:rPr>
          <w:rFonts w:ascii="Book Antiqua" w:hAnsi="Book Antiqua"/>
        </w:rPr>
        <w:lastRenderedPageBreak/>
        <w:t xml:space="preserve">8 </w:t>
      </w:r>
      <w:r w:rsidRPr="00514591">
        <w:rPr>
          <w:rFonts w:ascii="Book Antiqua" w:hAnsi="Book Antiqua"/>
          <w:b/>
          <w:bCs/>
        </w:rPr>
        <w:t>Sznol M</w:t>
      </w:r>
      <w:r w:rsidRPr="00514591">
        <w:rPr>
          <w:rFonts w:ascii="Book Antiqua" w:hAnsi="Book Antiqua"/>
        </w:rPr>
        <w:t xml:space="preserve">, Ferrucci PF, Hogg D, Atkins MB, Wolter P, Guidoboni M, Lebbé C, Kirkwood JM, Schachter J, Daniels GA, Hassel J, Cebon J, Gerritsen W, Atkinson V, Thomas L, McCaffrey J, Power D, Walker D, Bhore R, Jiang J, Hodi FS, Wolchok JD. Pooled Analysis Safety Profile of Nivolumab and Ipilimumab Combination Therapy in Patients With Advanced Melanoma. </w:t>
      </w:r>
      <w:r w:rsidRPr="00514591">
        <w:rPr>
          <w:rFonts w:ascii="Book Antiqua" w:hAnsi="Book Antiqua"/>
          <w:i/>
          <w:iCs/>
        </w:rPr>
        <w:t>J Clin Oncol</w:t>
      </w:r>
      <w:r w:rsidRPr="00514591">
        <w:rPr>
          <w:rFonts w:ascii="Book Antiqua" w:hAnsi="Book Antiqua"/>
        </w:rPr>
        <w:t xml:space="preserve"> 2017; </w:t>
      </w:r>
      <w:r w:rsidRPr="00514591">
        <w:rPr>
          <w:rFonts w:ascii="Book Antiqua" w:hAnsi="Book Antiqua"/>
          <w:b/>
          <w:bCs/>
        </w:rPr>
        <w:t>35</w:t>
      </w:r>
      <w:r w:rsidRPr="00514591">
        <w:rPr>
          <w:rFonts w:ascii="Book Antiqua" w:hAnsi="Book Antiqua"/>
        </w:rPr>
        <w:t>: 3815-3822 [PMID: 28915085 DOI: 10.1200/JCO.2016.72.1167]</w:t>
      </w:r>
    </w:p>
    <w:p w14:paraId="0EC7CDF3"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9 </w:t>
      </w:r>
      <w:r w:rsidRPr="00514591">
        <w:rPr>
          <w:rFonts w:ascii="Book Antiqua" w:hAnsi="Book Antiqua"/>
          <w:b/>
          <w:bCs/>
        </w:rPr>
        <w:t>Topalian SL</w:t>
      </w:r>
      <w:r w:rsidRPr="00514591">
        <w:rPr>
          <w:rFonts w:ascii="Book Antiqua" w:hAnsi="Book Antiqua"/>
        </w:rPr>
        <w:t xml:space="preserve">, Sznol M, McDermott DF, Kluger HM, Carvajal RD, Sharfman WH, Brahmer JR, Lawrence DP, Atkins MB, Powderly JD, Leming PD, Lipson EJ, Puzanov I, Smith DC, Taube JM, Wigginton JM, Kollia GD, Gupta A, Pardoll DM, Sosman JA, Hodi FS. Survival, durable tumor remission, and long-term safety in patients with advanced melanoma receiving nivolumab. </w:t>
      </w:r>
      <w:r w:rsidRPr="00514591">
        <w:rPr>
          <w:rFonts w:ascii="Book Antiqua" w:hAnsi="Book Antiqua"/>
          <w:i/>
          <w:iCs/>
        </w:rPr>
        <w:t>J Clin Oncol</w:t>
      </w:r>
      <w:r w:rsidRPr="00514591">
        <w:rPr>
          <w:rFonts w:ascii="Book Antiqua" w:hAnsi="Book Antiqua"/>
        </w:rPr>
        <w:t xml:space="preserve"> 2014; </w:t>
      </w:r>
      <w:r w:rsidRPr="00514591">
        <w:rPr>
          <w:rFonts w:ascii="Book Antiqua" w:hAnsi="Book Antiqua"/>
          <w:b/>
          <w:bCs/>
        </w:rPr>
        <w:t>32</w:t>
      </w:r>
      <w:r w:rsidRPr="00514591">
        <w:rPr>
          <w:rFonts w:ascii="Book Antiqua" w:hAnsi="Book Antiqua"/>
        </w:rPr>
        <w:t>: 1020-1030 [PMID: 24590637 DOI: 10.1200/JCO.2013.53.0105]</w:t>
      </w:r>
    </w:p>
    <w:p w14:paraId="2234921C"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10 </w:t>
      </w:r>
      <w:r w:rsidRPr="00514591">
        <w:rPr>
          <w:rFonts w:ascii="Book Antiqua" w:hAnsi="Book Antiqua"/>
          <w:b/>
          <w:bCs/>
        </w:rPr>
        <w:t>Sharpe AH</w:t>
      </w:r>
      <w:r w:rsidRPr="00514591">
        <w:rPr>
          <w:rFonts w:ascii="Book Antiqua" w:hAnsi="Book Antiqua"/>
        </w:rPr>
        <w:t xml:space="preserve">. Introduction to checkpoint inhibitors and cancer immunotherapy. </w:t>
      </w:r>
      <w:r w:rsidRPr="00514591">
        <w:rPr>
          <w:rFonts w:ascii="Book Antiqua" w:hAnsi="Book Antiqua"/>
          <w:i/>
          <w:iCs/>
        </w:rPr>
        <w:t>Immunol Rev</w:t>
      </w:r>
      <w:r w:rsidRPr="00514591">
        <w:rPr>
          <w:rFonts w:ascii="Book Antiqua" w:hAnsi="Book Antiqua"/>
        </w:rPr>
        <w:t xml:space="preserve"> 2017; </w:t>
      </w:r>
      <w:r w:rsidRPr="00514591">
        <w:rPr>
          <w:rFonts w:ascii="Book Antiqua" w:hAnsi="Book Antiqua"/>
          <w:b/>
          <w:bCs/>
        </w:rPr>
        <w:t>276</w:t>
      </w:r>
      <w:r w:rsidRPr="00514591">
        <w:rPr>
          <w:rFonts w:ascii="Book Antiqua" w:hAnsi="Book Antiqua"/>
        </w:rPr>
        <w:t>: 5-8 [PMID: 28258698 DOI: 10.1111/imr.12531]</w:t>
      </w:r>
    </w:p>
    <w:p w14:paraId="55D603CD"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11 </w:t>
      </w:r>
      <w:r w:rsidRPr="00514591">
        <w:rPr>
          <w:rFonts w:ascii="Book Antiqua" w:hAnsi="Book Antiqua"/>
          <w:b/>
          <w:bCs/>
        </w:rPr>
        <w:t>Chascsa DM</w:t>
      </w:r>
      <w:r w:rsidRPr="00AD42C2">
        <w:rPr>
          <w:rFonts w:ascii="Book Antiqua" w:hAnsi="Book Antiqua"/>
          <w:bCs/>
        </w:rPr>
        <w:t>,</w:t>
      </w:r>
      <w:r w:rsidRPr="00AD42C2">
        <w:rPr>
          <w:rFonts w:ascii="Book Antiqua" w:hAnsi="Book Antiqua"/>
        </w:rPr>
        <w:t xml:space="preserve"> </w:t>
      </w:r>
      <w:r w:rsidRPr="00514591">
        <w:rPr>
          <w:rFonts w:ascii="Book Antiqua" w:hAnsi="Book Antiqua"/>
        </w:rPr>
        <w:t xml:space="preserve">Rakela J. Knowns and unknowns: the safety and efficacy of cancer immunotherapy in chronic </w:t>
      </w:r>
      <w:r w:rsidR="005A15E5">
        <w:rPr>
          <w:rFonts w:ascii="Book Antiqua" w:hAnsi="Book Antiqua"/>
        </w:rPr>
        <w:t xml:space="preserve">liver disease. </w:t>
      </w:r>
      <w:r w:rsidR="005A15E5" w:rsidRPr="005A15E5">
        <w:rPr>
          <w:rFonts w:ascii="Book Antiqua" w:hAnsi="Book Antiqua"/>
          <w:i/>
        </w:rPr>
        <w:t>Curr Hepatol Rep</w:t>
      </w:r>
      <w:r w:rsidRPr="00514591">
        <w:rPr>
          <w:rFonts w:ascii="Book Antiqua" w:hAnsi="Book Antiqua"/>
        </w:rPr>
        <w:t xml:space="preserve"> 2018;</w:t>
      </w:r>
      <w:r w:rsidR="005A15E5">
        <w:rPr>
          <w:rFonts w:ascii="Book Antiqua" w:hAnsi="Book Antiqua" w:hint="eastAsia"/>
          <w:lang w:eastAsia="zh-CN"/>
        </w:rPr>
        <w:t xml:space="preserve"> </w:t>
      </w:r>
      <w:r w:rsidRPr="00514591">
        <w:rPr>
          <w:rFonts w:ascii="Book Antiqua" w:hAnsi="Book Antiqua"/>
          <w:b/>
          <w:bCs/>
        </w:rPr>
        <w:t>17</w:t>
      </w:r>
      <w:r w:rsidRPr="00514591">
        <w:rPr>
          <w:rFonts w:ascii="Book Antiqua" w:hAnsi="Book Antiqua"/>
        </w:rPr>
        <w:t>:</w:t>
      </w:r>
      <w:r w:rsidR="005A15E5">
        <w:rPr>
          <w:rFonts w:ascii="Book Antiqua" w:hAnsi="Book Antiqua" w:hint="eastAsia"/>
          <w:lang w:eastAsia="zh-CN"/>
        </w:rPr>
        <w:t xml:space="preserve"> </w:t>
      </w:r>
      <w:r w:rsidRPr="00514591">
        <w:rPr>
          <w:rFonts w:ascii="Book Antiqua" w:hAnsi="Book Antiqua"/>
        </w:rPr>
        <w:t>153-</w:t>
      </w:r>
      <w:r w:rsidR="005A15E5">
        <w:rPr>
          <w:rFonts w:ascii="Book Antiqua" w:hAnsi="Book Antiqua" w:hint="eastAsia"/>
          <w:lang w:eastAsia="zh-CN"/>
        </w:rPr>
        <w:t>15</w:t>
      </w:r>
      <w:r w:rsidRPr="00514591">
        <w:rPr>
          <w:rFonts w:ascii="Book Antiqua" w:hAnsi="Book Antiqua"/>
        </w:rPr>
        <w:t>5 [DOI:</w:t>
      </w:r>
      <w:r w:rsidR="005A15E5">
        <w:rPr>
          <w:rFonts w:ascii="Book Antiqua" w:hAnsi="Book Antiqua" w:hint="eastAsia"/>
          <w:lang w:eastAsia="zh-CN"/>
        </w:rPr>
        <w:t xml:space="preserve"> </w:t>
      </w:r>
      <w:r w:rsidRPr="00514591">
        <w:rPr>
          <w:rFonts w:ascii="Book Antiqua" w:hAnsi="Book Antiqua"/>
        </w:rPr>
        <w:t>10.1007/s11901-018-0408-8]</w:t>
      </w:r>
    </w:p>
    <w:p w14:paraId="0E5CC231"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12 </w:t>
      </w:r>
      <w:r w:rsidRPr="00514591">
        <w:rPr>
          <w:rFonts w:ascii="Book Antiqua" w:hAnsi="Book Antiqua"/>
          <w:b/>
          <w:bCs/>
        </w:rPr>
        <w:t>Weber JS</w:t>
      </w:r>
      <w:r w:rsidRPr="00514591">
        <w:rPr>
          <w:rFonts w:ascii="Book Antiqua" w:hAnsi="Book Antiqua"/>
        </w:rPr>
        <w:t xml:space="preserve">, Hodi FS, Wolchok JD, Topalian SL, Schadendorf D, Larkin J, Sznol M, Long GV, Li H, Waxman IM, Jiang J, Robert C. Safety Profile of Nivolumab Monotherapy: A Pooled Analysis of Patients With Advanced Melanoma. </w:t>
      </w:r>
      <w:r w:rsidRPr="00514591">
        <w:rPr>
          <w:rFonts w:ascii="Book Antiqua" w:hAnsi="Book Antiqua"/>
          <w:i/>
          <w:iCs/>
        </w:rPr>
        <w:t>J Clin Oncol</w:t>
      </w:r>
      <w:r w:rsidRPr="00514591">
        <w:rPr>
          <w:rFonts w:ascii="Book Antiqua" w:hAnsi="Book Antiqua"/>
        </w:rPr>
        <w:t xml:space="preserve"> 2017; </w:t>
      </w:r>
      <w:r w:rsidRPr="00514591">
        <w:rPr>
          <w:rFonts w:ascii="Book Antiqua" w:hAnsi="Book Antiqua"/>
          <w:b/>
          <w:bCs/>
        </w:rPr>
        <w:t>35</w:t>
      </w:r>
      <w:r w:rsidRPr="00514591">
        <w:rPr>
          <w:rFonts w:ascii="Book Antiqua" w:hAnsi="Book Antiqua"/>
        </w:rPr>
        <w:t>: 785-792 [PMID: 28068177 DOI: 10.1200/JCO.2015.66.1389]</w:t>
      </w:r>
    </w:p>
    <w:p w14:paraId="179288CD"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13 </w:t>
      </w:r>
      <w:r w:rsidRPr="00514591">
        <w:rPr>
          <w:rFonts w:ascii="Book Antiqua" w:hAnsi="Book Antiqua"/>
          <w:b/>
          <w:bCs/>
        </w:rPr>
        <w:t>Ascierto PA</w:t>
      </w:r>
      <w:r w:rsidRPr="00514591">
        <w:rPr>
          <w:rFonts w:ascii="Book Antiqua" w:hAnsi="Book Antiqua"/>
        </w:rPr>
        <w:t xml:space="preserve">, Del Vecchio M, Robert C, Mackiewicz A, Chiarion-Sileni V, Arance A, Lebbé C, Bastholt L, Hamid O, Rutkowski P, McNeil C, Garbe C, Loquai C, Dreno B, Thomas L, Grob JJ, Liszkay G, Nyakas M, Gutzmer R, Pikiel J, Grange F, Hoeller C, Ferraresi V, Smylie M, Schadendorf D, Mortier L, Svane IM, Hennicken D, Qureshi A, Maio M. Ipilimumab 10 mg/kg versus ipilimumab 3 mg/kg in patients with unresectable or metastatic melanoma: a randomised, double-blind, multicentre, phase 3 trial. </w:t>
      </w:r>
      <w:r w:rsidRPr="00514591">
        <w:rPr>
          <w:rFonts w:ascii="Book Antiqua" w:hAnsi="Book Antiqua"/>
          <w:i/>
          <w:iCs/>
        </w:rPr>
        <w:t>Lancet Oncol</w:t>
      </w:r>
      <w:r w:rsidRPr="00514591">
        <w:rPr>
          <w:rFonts w:ascii="Book Antiqua" w:hAnsi="Book Antiqua"/>
        </w:rPr>
        <w:t xml:space="preserve"> 2017; </w:t>
      </w:r>
      <w:r w:rsidRPr="00514591">
        <w:rPr>
          <w:rFonts w:ascii="Book Antiqua" w:hAnsi="Book Antiqua"/>
          <w:b/>
          <w:bCs/>
        </w:rPr>
        <w:t>18</w:t>
      </w:r>
      <w:r w:rsidRPr="00514591">
        <w:rPr>
          <w:rFonts w:ascii="Book Antiqua" w:hAnsi="Book Antiqua"/>
        </w:rPr>
        <w:t>: 611-622 [PMID: 28359784 DOI: 10.1016/S1470-2045(17)30231-0]</w:t>
      </w:r>
    </w:p>
    <w:p w14:paraId="6B96E062" w14:textId="77777777" w:rsidR="00514591" w:rsidRPr="00514591" w:rsidRDefault="00514591" w:rsidP="00514591">
      <w:pPr>
        <w:spacing w:line="360" w:lineRule="auto"/>
        <w:jc w:val="both"/>
        <w:rPr>
          <w:rFonts w:ascii="Book Antiqua" w:hAnsi="Book Antiqua"/>
          <w:lang w:eastAsia="zh-CN"/>
        </w:rPr>
      </w:pPr>
      <w:r w:rsidRPr="00514591">
        <w:rPr>
          <w:rFonts w:ascii="Book Antiqua" w:hAnsi="Book Antiqua"/>
        </w:rPr>
        <w:lastRenderedPageBreak/>
        <w:t xml:space="preserve">14 </w:t>
      </w:r>
      <w:r w:rsidR="005A15E5" w:rsidRPr="005A15E5">
        <w:rPr>
          <w:rFonts w:ascii="Book Antiqua" w:hAnsi="Book Antiqua"/>
          <w:b/>
        </w:rPr>
        <w:t xml:space="preserve">Lewis AM, </w:t>
      </w:r>
      <w:r w:rsidR="005A15E5" w:rsidRPr="005A15E5">
        <w:rPr>
          <w:rFonts w:ascii="Book Antiqua" w:hAnsi="Book Antiqua"/>
        </w:rPr>
        <w:t>Croughan WD, Aranibar N, Lee AG, Warrack B, Abu-Absi NR, Patel R, Drew B, Borys MC, Reily MD, Li ZJ. Understanding and Controlling Sialylation in a CHO Fc-Fu</w:t>
      </w:r>
      <w:r w:rsidR="005A15E5">
        <w:rPr>
          <w:rFonts w:ascii="Book Antiqua" w:hAnsi="Book Antiqua"/>
        </w:rPr>
        <w:t xml:space="preserve">sion Process. </w:t>
      </w:r>
      <w:r w:rsidR="005A15E5" w:rsidRPr="005A15E5">
        <w:rPr>
          <w:rFonts w:ascii="Book Antiqua" w:hAnsi="Book Antiqua"/>
          <w:i/>
        </w:rPr>
        <w:t xml:space="preserve">PLoS One </w:t>
      </w:r>
      <w:r w:rsidR="005A15E5" w:rsidRPr="005A15E5">
        <w:rPr>
          <w:rFonts w:ascii="Book Antiqua" w:hAnsi="Book Antiqua"/>
        </w:rPr>
        <w:t>2016;</w:t>
      </w:r>
      <w:r w:rsidR="005A15E5" w:rsidRPr="005A15E5">
        <w:rPr>
          <w:rFonts w:ascii="Book Antiqua" w:hAnsi="Book Antiqua" w:hint="eastAsia"/>
          <w:b/>
          <w:lang w:eastAsia="zh-CN"/>
        </w:rPr>
        <w:t xml:space="preserve"> </w:t>
      </w:r>
      <w:r w:rsidR="005A15E5" w:rsidRPr="005A15E5">
        <w:rPr>
          <w:rFonts w:ascii="Book Antiqua" w:hAnsi="Book Antiqua"/>
          <w:b/>
        </w:rPr>
        <w:t>11:</w:t>
      </w:r>
      <w:r w:rsidR="005A15E5" w:rsidRPr="005A15E5">
        <w:rPr>
          <w:rFonts w:ascii="Book Antiqua" w:hAnsi="Book Antiqua" w:hint="eastAsia"/>
          <w:b/>
          <w:lang w:eastAsia="zh-CN"/>
        </w:rPr>
        <w:t xml:space="preserve"> </w:t>
      </w:r>
      <w:r w:rsidR="005A15E5" w:rsidRPr="005A15E5">
        <w:rPr>
          <w:rFonts w:ascii="Book Antiqua" w:hAnsi="Book Antiqua"/>
        </w:rPr>
        <w:t xml:space="preserve">e0157111 </w:t>
      </w:r>
      <w:r w:rsidR="005A15E5">
        <w:rPr>
          <w:rFonts w:ascii="Book Antiqua" w:hAnsi="Book Antiqua" w:hint="eastAsia"/>
          <w:lang w:eastAsia="zh-CN"/>
        </w:rPr>
        <w:t>[</w:t>
      </w:r>
      <w:r w:rsidR="005A15E5" w:rsidRPr="005A15E5">
        <w:rPr>
          <w:rFonts w:ascii="Book Antiqua" w:hAnsi="Book Antiqua"/>
        </w:rPr>
        <w:t>PMID: 27310468</w:t>
      </w:r>
      <w:r w:rsidR="005A15E5">
        <w:rPr>
          <w:rFonts w:ascii="Book Antiqua" w:hAnsi="Book Antiqua" w:hint="eastAsia"/>
          <w:lang w:eastAsia="zh-CN"/>
        </w:rPr>
        <w:t xml:space="preserve"> DOI</w:t>
      </w:r>
      <w:r w:rsidR="005A15E5">
        <w:rPr>
          <w:rFonts w:ascii="Book Antiqua" w:hAnsi="Book Antiqua"/>
        </w:rPr>
        <w:t>: 10.1371/journal.pone.0157111</w:t>
      </w:r>
      <w:r w:rsidR="005A15E5">
        <w:rPr>
          <w:rFonts w:ascii="Book Antiqua" w:hAnsi="Book Antiqua" w:hint="eastAsia"/>
          <w:lang w:eastAsia="zh-CN"/>
        </w:rPr>
        <w:t>]</w:t>
      </w:r>
    </w:p>
    <w:p w14:paraId="162B0D7C" w14:textId="539C45E8" w:rsidR="00514591" w:rsidRPr="00370BCB" w:rsidRDefault="00514591" w:rsidP="00514591">
      <w:pPr>
        <w:spacing w:line="360" w:lineRule="auto"/>
        <w:jc w:val="both"/>
        <w:rPr>
          <w:rFonts w:ascii="Book Antiqua" w:hAnsi="Book Antiqua"/>
        </w:rPr>
      </w:pPr>
      <w:r w:rsidRPr="00370BCB">
        <w:rPr>
          <w:rFonts w:ascii="Book Antiqua" w:hAnsi="Book Antiqua"/>
        </w:rPr>
        <w:t>15</w:t>
      </w:r>
      <w:r w:rsidR="008779D3" w:rsidRPr="00370BCB">
        <w:rPr>
          <w:rFonts w:ascii="Book Antiqua" w:hAnsi="Book Antiqua" w:hint="eastAsia"/>
          <w:b/>
        </w:rPr>
        <w:t xml:space="preserve"> </w:t>
      </w:r>
      <w:r w:rsidR="008779D3" w:rsidRPr="00370BCB">
        <w:rPr>
          <w:rFonts w:ascii="Book Antiqua" w:hAnsi="Book Antiqua"/>
          <w:b/>
        </w:rPr>
        <w:t>H</w:t>
      </w:r>
      <w:r w:rsidR="008779D3" w:rsidRPr="00370BCB">
        <w:rPr>
          <w:rFonts w:ascii="Book Antiqua" w:hAnsi="Book Antiqua" w:hint="eastAsia"/>
          <w:b/>
          <w:lang w:eastAsia="zh-CN"/>
        </w:rPr>
        <w:t>ighlights of prescribing information</w:t>
      </w:r>
      <w:r w:rsidR="008779D3" w:rsidRPr="00370BCB">
        <w:rPr>
          <w:rFonts w:ascii="Book Antiqua" w:hAnsi="Book Antiqua" w:hint="eastAsia"/>
        </w:rPr>
        <w:t>.</w:t>
      </w:r>
      <w:r w:rsidRPr="00370BCB">
        <w:rPr>
          <w:rFonts w:ascii="Book Antiqua" w:hAnsi="Book Antiqua"/>
        </w:rPr>
        <w:t xml:space="preserve"> Imfinzi (Durvalumab)</w:t>
      </w:r>
      <w:r w:rsidR="008779D3" w:rsidRPr="00370BCB">
        <w:rPr>
          <w:rFonts w:ascii="Book Antiqua" w:hAnsi="Book Antiqua" w:hint="eastAsia"/>
        </w:rPr>
        <w:t>.</w:t>
      </w:r>
      <w:r w:rsidRPr="00370BCB">
        <w:rPr>
          <w:rFonts w:ascii="Book Antiqua" w:hAnsi="Book Antiqua"/>
        </w:rPr>
        <w:t xml:space="preserve"> [</w:t>
      </w:r>
      <w:r w:rsidR="008779D3" w:rsidRPr="00370BCB">
        <w:rPr>
          <w:rFonts w:ascii="Book Antiqua" w:hAnsi="Book Antiqua" w:hint="eastAsia"/>
        </w:rPr>
        <w:t>cited 20 January 2021</w:t>
      </w:r>
      <w:r w:rsidRPr="00370BCB">
        <w:rPr>
          <w:rFonts w:ascii="Book Antiqua" w:hAnsi="Book Antiqua"/>
        </w:rPr>
        <w:t>]</w:t>
      </w:r>
      <w:r w:rsidR="008779D3" w:rsidRPr="00370BCB">
        <w:rPr>
          <w:rFonts w:ascii="Book Antiqua" w:hAnsi="Book Antiqua" w:hint="eastAsia"/>
        </w:rPr>
        <w:t xml:space="preserve">. </w:t>
      </w:r>
      <w:r w:rsidR="008779D3" w:rsidRPr="00370BCB">
        <w:rPr>
          <w:rFonts w:ascii="Book Antiqua" w:hAnsi="Book Antiqua"/>
        </w:rPr>
        <w:t xml:space="preserve">Available from: </w:t>
      </w:r>
      <w:hyperlink r:id="rId7" w:history="1">
        <w:r w:rsidR="008779D3" w:rsidRPr="00370BCB">
          <w:rPr>
            <w:rFonts w:ascii="Book Antiqua" w:hAnsi="Book Antiqua"/>
          </w:rPr>
          <w:t>https://www.accessdata.fda.gov/drugsatfda_docs/label/2020/761069s018lbl.pdf</w:t>
        </w:r>
      </w:hyperlink>
    </w:p>
    <w:p w14:paraId="0CB10785" w14:textId="650920D7" w:rsidR="00514591" w:rsidRPr="00514591" w:rsidRDefault="00514591" w:rsidP="00514591">
      <w:pPr>
        <w:spacing w:line="360" w:lineRule="auto"/>
        <w:jc w:val="both"/>
        <w:rPr>
          <w:rFonts w:ascii="Book Antiqua" w:hAnsi="Book Antiqua"/>
        </w:rPr>
      </w:pPr>
      <w:r w:rsidRPr="00370BCB">
        <w:rPr>
          <w:rFonts w:ascii="Book Antiqua" w:hAnsi="Book Antiqua"/>
        </w:rPr>
        <w:t xml:space="preserve">16 </w:t>
      </w:r>
      <w:r w:rsidR="008779D3" w:rsidRPr="00370BCB">
        <w:rPr>
          <w:rFonts w:ascii="Book Antiqua" w:hAnsi="Book Antiqua"/>
          <w:b/>
        </w:rPr>
        <w:t>H</w:t>
      </w:r>
      <w:r w:rsidR="008779D3" w:rsidRPr="00370BCB">
        <w:rPr>
          <w:rFonts w:ascii="Book Antiqua" w:hAnsi="Book Antiqua" w:hint="eastAsia"/>
          <w:b/>
          <w:lang w:eastAsia="zh-CN"/>
        </w:rPr>
        <w:t>ighlights of prescribing information</w:t>
      </w:r>
      <w:r w:rsidR="008779D3" w:rsidRPr="00370BCB">
        <w:rPr>
          <w:rFonts w:ascii="Book Antiqua" w:hAnsi="Book Antiqua" w:hint="eastAsia"/>
        </w:rPr>
        <w:t>.</w:t>
      </w:r>
      <w:r w:rsidR="008779D3" w:rsidRPr="00370BCB">
        <w:rPr>
          <w:rFonts w:ascii="Book Antiqua" w:hAnsi="Book Antiqua"/>
        </w:rPr>
        <w:t xml:space="preserve"> </w:t>
      </w:r>
      <w:r w:rsidRPr="00370BCB">
        <w:rPr>
          <w:rFonts w:ascii="Book Antiqua" w:hAnsi="Book Antiqua"/>
        </w:rPr>
        <w:t>Tecentriq (Atezolizumab)</w:t>
      </w:r>
      <w:r w:rsidR="008779D3" w:rsidRPr="00370BCB">
        <w:rPr>
          <w:rFonts w:ascii="Book Antiqua" w:hAnsi="Book Antiqua" w:hint="eastAsia"/>
          <w:lang w:eastAsia="zh-CN"/>
        </w:rPr>
        <w:t>.</w:t>
      </w:r>
      <w:r w:rsidRPr="00370BCB">
        <w:rPr>
          <w:rFonts w:ascii="Book Antiqua" w:hAnsi="Book Antiqua"/>
        </w:rPr>
        <w:t xml:space="preserve"> </w:t>
      </w:r>
      <w:r w:rsidR="008779D3" w:rsidRPr="00370BCB">
        <w:rPr>
          <w:rFonts w:ascii="Book Antiqua" w:hAnsi="Book Antiqua"/>
        </w:rPr>
        <w:t>[</w:t>
      </w:r>
      <w:r w:rsidR="008779D3" w:rsidRPr="00370BCB">
        <w:rPr>
          <w:rFonts w:ascii="Book Antiqua" w:hAnsi="Book Antiqua" w:hint="eastAsia"/>
        </w:rPr>
        <w:t>cited 20 January 2021</w:t>
      </w:r>
      <w:r w:rsidR="008779D3" w:rsidRPr="00370BCB">
        <w:rPr>
          <w:rFonts w:ascii="Book Antiqua" w:hAnsi="Book Antiqua"/>
        </w:rPr>
        <w:t>]</w:t>
      </w:r>
      <w:r w:rsidR="008779D3" w:rsidRPr="00370BCB">
        <w:rPr>
          <w:rFonts w:ascii="Book Antiqua" w:hAnsi="Book Antiqua" w:hint="eastAsia"/>
        </w:rPr>
        <w:t xml:space="preserve">. </w:t>
      </w:r>
      <w:r w:rsidR="008779D3" w:rsidRPr="00370BCB">
        <w:rPr>
          <w:rFonts w:ascii="Book Antiqua" w:hAnsi="Book Antiqua"/>
        </w:rPr>
        <w:t xml:space="preserve">Available from: </w:t>
      </w:r>
      <w:hyperlink r:id="rId8" w:history="1">
        <w:r w:rsidR="008779D3" w:rsidRPr="00370BCB">
          <w:rPr>
            <w:rFonts w:ascii="Book Antiqua" w:hAnsi="Book Antiqua"/>
          </w:rPr>
          <w:t>https://www.accessdata.fda.gov/drugsatfda_docs/label/2020/761034s028lbl.pdf</w:t>
        </w:r>
      </w:hyperlink>
    </w:p>
    <w:p w14:paraId="7E7A3901" w14:textId="77777777" w:rsidR="00514591" w:rsidRPr="00514591" w:rsidRDefault="00514591" w:rsidP="00514591">
      <w:pPr>
        <w:spacing w:line="360" w:lineRule="auto"/>
        <w:jc w:val="both"/>
        <w:rPr>
          <w:rFonts w:ascii="Book Antiqua" w:hAnsi="Book Antiqua"/>
        </w:rPr>
      </w:pPr>
      <w:r w:rsidRPr="00514591">
        <w:rPr>
          <w:rFonts w:ascii="Book Antiqua" w:hAnsi="Book Antiqua"/>
        </w:rPr>
        <w:t>17</w:t>
      </w:r>
      <w:r w:rsidRPr="009E31F4">
        <w:rPr>
          <w:rFonts w:ascii="Book Antiqua" w:hAnsi="Book Antiqua"/>
          <w:b/>
        </w:rPr>
        <w:t xml:space="preserve"> </w:t>
      </w:r>
      <w:r w:rsidR="009E31F4" w:rsidRPr="009E31F4">
        <w:rPr>
          <w:rFonts w:ascii="Book Antiqua" w:hAnsi="Book Antiqua"/>
          <w:b/>
        </w:rPr>
        <w:t xml:space="preserve">Lanitis T, </w:t>
      </w:r>
      <w:r w:rsidR="009E31F4" w:rsidRPr="009E31F4">
        <w:rPr>
          <w:rFonts w:ascii="Book Antiqua" w:hAnsi="Book Antiqua"/>
        </w:rPr>
        <w:t>Proskorovsky I, Ambavane A, Hunger M, Zheng Y, Bharmal M, Phatak H. Survival Analysis in Patients with Metastatic Merkel Cell Carcinoma Treate</w:t>
      </w:r>
      <w:r w:rsidR="009E31F4">
        <w:rPr>
          <w:rFonts w:ascii="Book Antiqua" w:hAnsi="Book Antiqua"/>
        </w:rPr>
        <w:t xml:space="preserve">d with Avelumab. </w:t>
      </w:r>
      <w:r w:rsidR="009E31F4" w:rsidRPr="009E31F4">
        <w:rPr>
          <w:rFonts w:ascii="Book Antiqua" w:hAnsi="Book Antiqua"/>
          <w:i/>
        </w:rPr>
        <w:t>Adv Ther</w:t>
      </w:r>
      <w:r w:rsidR="009E31F4" w:rsidRPr="009E31F4">
        <w:rPr>
          <w:rFonts w:ascii="Book Antiqua" w:hAnsi="Book Antiqua"/>
        </w:rPr>
        <w:t xml:space="preserve"> 2019;</w:t>
      </w:r>
      <w:r w:rsidR="009E31F4">
        <w:rPr>
          <w:rFonts w:ascii="Book Antiqua" w:hAnsi="Book Antiqua" w:hint="eastAsia"/>
          <w:lang w:eastAsia="zh-CN"/>
        </w:rPr>
        <w:t xml:space="preserve"> </w:t>
      </w:r>
      <w:r w:rsidR="009E31F4" w:rsidRPr="009E31F4">
        <w:rPr>
          <w:rFonts w:ascii="Book Antiqua" w:hAnsi="Book Antiqua"/>
          <w:b/>
        </w:rPr>
        <w:t>36:</w:t>
      </w:r>
      <w:r w:rsidR="009E31F4">
        <w:rPr>
          <w:rFonts w:ascii="Book Antiqua" w:hAnsi="Book Antiqua" w:hint="eastAsia"/>
          <w:lang w:eastAsia="zh-CN"/>
        </w:rPr>
        <w:t xml:space="preserve"> </w:t>
      </w:r>
      <w:r w:rsidR="009E31F4">
        <w:rPr>
          <w:rFonts w:ascii="Book Antiqua" w:hAnsi="Book Antiqua"/>
        </w:rPr>
        <w:t>2327-2341</w:t>
      </w:r>
      <w:r w:rsidR="009E31F4" w:rsidRPr="009E31F4">
        <w:rPr>
          <w:rFonts w:ascii="Book Antiqua" w:hAnsi="Book Antiqua"/>
        </w:rPr>
        <w:t xml:space="preserve"> </w:t>
      </w:r>
      <w:r w:rsidR="009E31F4">
        <w:rPr>
          <w:rFonts w:ascii="Book Antiqua" w:hAnsi="Book Antiqua" w:hint="eastAsia"/>
          <w:lang w:eastAsia="zh-CN"/>
        </w:rPr>
        <w:t>[</w:t>
      </w:r>
      <w:r w:rsidR="009E31F4" w:rsidRPr="009E31F4">
        <w:rPr>
          <w:rFonts w:ascii="Book Antiqua" w:hAnsi="Book Antiqua"/>
        </w:rPr>
        <w:t>PMID: 31350728</w:t>
      </w:r>
      <w:r w:rsidR="009E31F4">
        <w:rPr>
          <w:rFonts w:ascii="Book Antiqua" w:hAnsi="Book Antiqua" w:hint="eastAsia"/>
          <w:lang w:eastAsia="zh-CN"/>
        </w:rPr>
        <w:t xml:space="preserve"> DOI</w:t>
      </w:r>
      <w:r w:rsidR="009E31F4" w:rsidRPr="009E31F4">
        <w:rPr>
          <w:rFonts w:ascii="Book Antiqua" w:hAnsi="Book Antiqua"/>
        </w:rPr>
        <w:t>: 10.1007/s12325-019-01034-0</w:t>
      </w:r>
      <w:r w:rsidR="009E31F4">
        <w:rPr>
          <w:rFonts w:ascii="Book Antiqua" w:hAnsi="Book Antiqua" w:hint="eastAsia"/>
          <w:lang w:eastAsia="zh-CN"/>
        </w:rPr>
        <w:t>]</w:t>
      </w:r>
      <w:r w:rsidR="009E31F4" w:rsidRPr="009E31F4">
        <w:rPr>
          <w:rFonts w:ascii="Book Antiqua" w:hAnsi="Book Antiqua"/>
        </w:rPr>
        <w:t xml:space="preserve"> </w:t>
      </w:r>
    </w:p>
    <w:p w14:paraId="31E9C45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18 </w:t>
      </w:r>
      <w:r w:rsidRPr="00514591">
        <w:rPr>
          <w:rFonts w:ascii="Book Antiqua" w:hAnsi="Book Antiqua"/>
          <w:b/>
          <w:bCs/>
        </w:rPr>
        <w:t>Wang PF</w:t>
      </w:r>
      <w:r w:rsidRPr="00514591">
        <w:rPr>
          <w:rFonts w:ascii="Book Antiqua" w:hAnsi="Book Antiqua"/>
        </w:rPr>
        <w:t xml:space="preserve">, Chen Y, Song SY, Wang TJ, Ji WJ, Li SW, Liu N, Yan CX. Immune-Related Adverse Events Associated with Anti-PD-1/PD-L1 Treatment for Malignancies: A Meta-Analysis. </w:t>
      </w:r>
      <w:r w:rsidRPr="00514591">
        <w:rPr>
          <w:rFonts w:ascii="Book Antiqua" w:hAnsi="Book Antiqua"/>
          <w:i/>
          <w:iCs/>
        </w:rPr>
        <w:t>Front Pharmacol</w:t>
      </w:r>
      <w:r w:rsidRPr="00514591">
        <w:rPr>
          <w:rFonts w:ascii="Book Antiqua" w:hAnsi="Book Antiqua"/>
        </w:rPr>
        <w:t xml:space="preserve"> 2017; </w:t>
      </w:r>
      <w:r w:rsidRPr="00514591">
        <w:rPr>
          <w:rFonts w:ascii="Book Antiqua" w:hAnsi="Book Antiqua"/>
          <w:b/>
          <w:bCs/>
        </w:rPr>
        <w:t>8</w:t>
      </w:r>
      <w:r w:rsidRPr="00514591">
        <w:rPr>
          <w:rFonts w:ascii="Book Antiqua" w:hAnsi="Book Antiqua"/>
        </w:rPr>
        <w:t>: 730 [PMID: 29093678 DOI: 10.3389/fphar.2017.00730]</w:t>
      </w:r>
    </w:p>
    <w:p w14:paraId="701E0383"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19 </w:t>
      </w:r>
      <w:r w:rsidRPr="00514591">
        <w:rPr>
          <w:rFonts w:ascii="Book Antiqua" w:hAnsi="Book Antiqua"/>
          <w:b/>
          <w:bCs/>
        </w:rPr>
        <w:t>Intlekofer AM</w:t>
      </w:r>
      <w:r w:rsidRPr="00514591">
        <w:rPr>
          <w:rFonts w:ascii="Book Antiqua" w:hAnsi="Book Antiqua"/>
        </w:rPr>
        <w:t xml:space="preserve">, Thompson CB. At the bench: preclinical rationale for CTLA-4 and PD-1 blockade as cancer immunotherapy. </w:t>
      </w:r>
      <w:r w:rsidRPr="00514591">
        <w:rPr>
          <w:rFonts w:ascii="Book Antiqua" w:hAnsi="Book Antiqua"/>
          <w:i/>
          <w:iCs/>
        </w:rPr>
        <w:t>J Leukoc Biol</w:t>
      </w:r>
      <w:r w:rsidRPr="00514591">
        <w:rPr>
          <w:rFonts w:ascii="Book Antiqua" w:hAnsi="Book Antiqua"/>
        </w:rPr>
        <w:t xml:space="preserve"> 2013; </w:t>
      </w:r>
      <w:r w:rsidRPr="00514591">
        <w:rPr>
          <w:rFonts w:ascii="Book Antiqua" w:hAnsi="Book Antiqua"/>
          <w:b/>
          <w:bCs/>
        </w:rPr>
        <w:t>94</w:t>
      </w:r>
      <w:r w:rsidRPr="00514591">
        <w:rPr>
          <w:rFonts w:ascii="Book Antiqua" w:hAnsi="Book Antiqua"/>
        </w:rPr>
        <w:t>: 25-39 [PMID: 23625198 DOI: 10.1189/jlb.1212621]</w:t>
      </w:r>
    </w:p>
    <w:p w14:paraId="4A79A47C"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20 </w:t>
      </w:r>
      <w:r w:rsidRPr="00514591">
        <w:rPr>
          <w:rFonts w:ascii="Book Antiqua" w:hAnsi="Book Antiqua"/>
          <w:b/>
          <w:bCs/>
        </w:rPr>
        <w:t>Cheung V</w:t>
      </w:r>
      <w:r w:rsidRPr="00514591">
        <w:rPr>
          <w:rFonts w:ascii="Book Antiqua" w:hAnsi="Book Antiqua"/>
        </w:rPr>
        <w:t xml:space="preserve">, Gupta T, Payne M, Middleton MR, Collier JD, Simmons A, Klenerman P, Brain O, Cobbold JF. Immunotherapy-related hepatitis: real-world experience from a tertiary centre. </w:t>
      </w:r>
      <w:r w:rsidRPr="00514591">
        <w:rPr>
          <w:rFonts w:ascii="Book Antiqua" w:hAnsi="Book Antiqua"/>
          <w:i/>
          <w:iCs/>
        </w:rPr>
        <w:t>Frontline Gastroenterol</w:t>
      </w:r>
      <w:r w:rsidRPr="00514591">
        <w:rPr>
          <w:rFonts w:ascii="Book Antiqua" w:hAnsi="Book Antiqua"/>
        </w:rPr>
        <w:t xml:space="preserve"> 2019; </w:t>
      </w:r>
      <w:r w:rsidRPr="00514591">
        <w:rPr>
          <w:rFonts w:ascii="Book Antiqua" w:hAnsi="Book Antiqua"/>
          <w:b/>
          <w:bCs/>
        </w:rPr>
        <w:t>10</w:t>
      </w:r>
      <w:r w:rsidRPr="00514591">
        <w:rPr>
          <w:rFonts w:ascii="Book Antiqua" w:hAnsi="Book Antiqua"/>
        </w:rPr>
        <w:t>: 364-371 [PMID: 31656561 DOI: 10.1136/flgastro-2018-101146]</w:t>
      </w:r>
    </w:p>
    <w:p w14:paraId="37A8187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21 </w:t>
      </w:r>
      <w:r w:rsidRPr="00514591">
        <w:rPr>
          <w:rFonts w:ascii="Book Antiqua" w:hAnsi="Book Antiqua"/>
          <w:b/>
          <w:bCs/>
        </w:rPr>
        <w:t>Mizuno K</w:t>
      </w:r>
      <w:r w:rsidRPr="00514591">
        <w:rPr>
          <w:rFonts w:ascii="Book Antiqua" w:hAnsi="Book Antiqua"/>
        </w:rPr>
        <w:t xml:space="preserve">, Ito T, Ishigami M, Ishizu Y, Kuzuya T, Honda T, Kawashima H, Inukai Y, Toyoda H, Yokota K, Hase T, Maeda O, Kiyoi H, Nagino M, Hibi H, Kodera Y, Fujimoto Y, Sone M, Gotoh M, Ando Y, Akiyama M, Hasegawa Y, Fujishiro M. Real world data of liver injury induced by immune checkpoint inhibitors in Japanese patients with </w:t>
      </w:r>
      <w:r w:rsidRPr="00514591">
        <w:rPr>
          <w:rFonts w:ascii="Book Antiqua" w:hAnsi="Book Antiqua"/>
        </w:rPr>
        <w:lastRenderedPageBreak/>
        <w:t xml:space="preserve">advanced malignancies. </w:t>
      </w:r>
      <w:r w:rsidRPr="00514591">
        <w:rPr>
          <w:rFonts w:ascii="Book Antiqua" w:hAnsi="Book Antiqua"/>
          <w:i/>
          <w:iCs/>
        </w:rPr>
        <w:t>J Gastroenterol</w:t>
      </w:r>
      <w:r w:rsidRPr="00514591">
        <w:rPr>
          <w:rFonts w:ascii="Book Antiqua" w:hAnsi="Book Antiqua"/>
        </w:rPr>
        <w:t xml:space="preserve"> 2020; </w:t>
      </w:r>
      <w:r w:rsidRPr="00514591">
        <w:rPr>
          <w:rFonts w:ascii="Book Antiqua" w:hAnsi="Book Antiqua"/>
          <w:b/>
          <w:bCs/>
        </w:rPr>
        <w:t>55</w:t>
      </w:r>
      <w:r w:rsidRPr="00514591">
        <w:rPr>
          <w:rFonts w:ascii="Book Antiqua" w:hAnsi="Book Antiqua"/>
        </w:rPr>
        <w:t>: 653-661 [PMID: 32124082 DOI: 10.1007/s00535-020-01677-9]</w:t>
      </w:r>
    </w:p>
    <w:p w14:paraId="46BF6AE4"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22 </w:t>
      </w:r>
      <w:r w:rsidRPr="00514591">
        <w:rPr>
          <w:rFonts w:ascii="Book Antiqua" w:hAnsi="Book Antiqua"/>
          <w:b/>
          <w:bCs/>
        </w:rPr>
        <w:t>Wang W</w:t>
      </w:r>
      <w:r w:rsidRPr="00514591">
        <w:rPr>
          <w:rFonts w:ascii="Book Antiqua" w:hAnsi="Book Antiqua"/>
        </w:rPr>
        <w:t xml:space="preserve">, Lie P, Guo M, He J. Risk of hepatotoxicity in cancer patients treated with immune checkpoint inhibitors: A systematic review and meta-analysis of published data. </w:t>
      </w:r>
      <w:r w:rsidRPr="00514591">
        <w:rPr>
          <w:rFonts w:ascii="Book Antiqua" w:hAnsi="Book Antiqua"/>
          <w:i/>
          <w:iCs/>
        </w:rPr>
        <w:t>Int J Cancer</w:t>
      </w:r>
      <w:r w:rsidRPr="00514591">
        <w:rPr>
          <w:rFonts w:ascii="Book Antiqua" w:hAnsi="Book Antiqua"/>
        </w:rPr>
        <w:t xml:space="preserve"> 2017; </w:t>
      </w:r>
      <w:r w:rsidRPr="00514591">
        <w:rPr>
          <w:rFonts w:ascii="Book Antiqua" w:hAnsi="Book Antiqua"/>
          <w:b/>
          <w:bCs/>
        </w:rPr>
        <w:t>141</w:t>
      </w:r>
      <w:r w:rsidRPr="00514591">
        <w:rPr>
          <w:rFonts w:ascii="Book Antiqua" w:hAnsi="Book Antiqua"/>
        </w:rPr>
        <w:t>: 1018-1028 [PMID: 28263392 DOI: 10.1002/ijc.30678]</w:t>
      </w:r>
    </w:p>
    <w:p w14:paraId="3874889E"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23 </w:t>
      </w:r>
      <w:r w:rsidRPr="00514591">
        <w:rPr>
          <w:rFonts w:ascii="Book Antiqua" w:hAnsi="Book Antiqua"/>
          <w:b/>
          <w:bCs/>
        </w:rPr>
        <w:t>Johnson DB</w:t>
      </w:r>
      <w:r w:rsidRPr="00514591">
        <w:rPr>
          <w:rFonts w:ascii="Book Antiqua" w:hAnsi="Book Antiqua"/>
        </w:rPr>
        <w:t xml:space="preserve">, Sullivan RJ, Ott PA, Carlino MS, Khushalani NI, Ye F, Guminski A, Puzanov I, Lawrence DP, Buchbinder EI, Mudigonda T, Spencer K, Bender C, Lee J, Kaufman HL, Menzies AM, Hassel JC, Mehnert JM, Sosman JA, Long GV, Clark JI. Ipilimumab Therapy in Patients With Advanced Melanoma and Preexisting Autoimmune Disorders. </w:t>
      </w:r>
      <w:r w:rsidRPr="00514591">
        <w:rPr>
          <w:rFonts w:ascii="Book Antiqua" w:hAnsi="Book Antiqua"/>
          <w:i/>
          <w:iCs/>
        </w:rPr>
        <w:t>JAMA Oncol</w:t>
      </w:r>
      <w:r w:rsidRPr="00514591">
        <w:rPr>
          <w:rFonts w:ascii="Book Antiqua" w:hAnsi="Book Antiqua"/>
        </w:rPr>
        <w:t xml:space="preserve"> 2016; </w:t>
      </w:r>
      <w:r w:rsidRPr="00514591">
        <w:rPr>
          <w:rFonts w:ascii="Book Antiqua" w:hAnsi="Book Antiqua"/>
          <w:b/>
          <w:bCs/>
        </w:rPr>
        <w:t>2</w:t>
      </w:r>
      <w:r w:rsidRPr="00514591">
        <w:rPr>
          <w:rFonts w:ascii="Book Antiqua" w:hAnsi="Book Antiqua"/>
        </w:rPr>
        <w:t>: 234-240 [PMID: 26633184 DOI: 10.1001/jamaoncol.2015.4368]</w:t>
      </w:r>
    </w:p>
    <w:p w14:paraId="69A9DC6E"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24 </w:t>
      </w:r>
      <w:r w:rsidRPr="00514591">
        <w:rPr>
          <w:rFonts w:ascii="Book Antiqua" w:hAnsi="Book Antiqua"/>
          <w:b/>
          <w:bCs/>
        </w:rPr>
        <w:t>Menzies AM</w:t>
      </w:r>
      <w:r w:rsidRPr="00514591">
        <w:rPr>
          <w:rFonts w:ascii="Book Antiqua" w:hAnsi="Book Antiqua"/>
        </w:rPr>
        <w:t xml:space="preserve">, Johnson DB, Ramanujam S, Atkinson VG, Wong ANM, Park JJ, McQuade JL, Shoushtari AN, Tsai KK, Eroglu Z, Klein O, Hassel JC, Sosman JA, Guminski A, Sullivan RJ, Ribas A, Carlino MS, Davies MA, Sandhu SK, Long GV. Anti-PD-1 therapy in patients with advanced melanoma and preexisting autoimmune disorders or major toxicity with ipilimumab. </w:t>
      </w:r>
      <w:r w:rsidRPr="00514591">
        <w:rPr>
          <w:rFonts w:ascii="Book Antiqua" w:hAnsi="Book Antiqua"/>
          <w:i/>
          <w:iCs/>
        </w:rPr>
        <w:t>Ann Oncol</w:t>
      </w:r>
      <w:r w:rsidRPr="00514591">
        <w:rPr>
          <w:rFonts w:ascii="Book Antiqua" w:hAnsi="Book Antiqua"/>
        </w:rPr>
        <w:t xml:space="preserve"> 2017; </w:t>
      </w:r>
      <w:r w:rsidRPr="00514591">
        <w:rPr>
          <w:rFonts w:ascii="Book Antiqua" w:hAnsi="Book Antiqua"/>
          <w:b/>
          <w:bCs/>
        </w:rPr>
        <w:t>28</w:t>
      </w:r>
      <w:r w:rsidRPr="00514591">
        <w:rPr>
          <w:rFonts w:ascii="Book Antiqua" w:hAnsi="Book Antiqua"/>
        </w:rPr>
        <w:t>: 368-376 [PMID: 27687304 DOI: 10.1093/annonc/mdw443]</w:t>
      </w:r>
    </w:p>
    <w:p w14:paraId="347A494B"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25 </w:t>
      </w:r>
      <w:r w:rsidRPr="00514591">
        <w:rPr>
          <w:rFonts w:ascii="Book Antiqua" w:hAnsi="Book Antiqua"/>
          <w:b/>
          <w:bCs/>
        </w:rPr>
        <w:t>Kudo M</w:t>
      </w:r>
      <w:r w:rsidRPr="00AD42C2">
        <w:rPr>
          <w:rFonts w:ascii="Book Antiqua" w:hAnsi="Book Antiqua"/>
          <w:bCs/>
        </w:rPr>
        <w:t>,</w:t>
      </w:r>
      <w:r w:rsidRPr="00AD42C2">
        <w:rPr>
          <w:rFonts w:ascii="Book Antiqua" w:hAnsi="Book Antiqua"/>
        </w:rPr>
        <w:t xml:space="preserve"> </w:t>
      </w:r>
      <w:r w:rsidRPr="00514591">
        <w:rPr>
          <w:rFonts w:ascii="Book Antiqua" w:hAnsi="Book Antiqua"/>
        </w:rPr>
        <w:t>Matilla A, Santoro A, Melero I,</w:t>
      </w:r>
      <w:r w:rsidR="00DF1296" w:rsidRPr="00DF1296">
        <w:rPr>
          <w:rFonts w:ascii="Book Antiqua" w:hAnsi="Book Antiqua"/>
        </w:rPr>
        <w:t xml:space="preserve"> Sangro</w:t>
      </w:r>
      <w:r w:rsidRPr="00514591">
        <w:rPr>
          <w:rFonts w:ascii="Book Antiqua" w:hAnsi="Book Antiqua"/>
        </w:rPr>
        <w:t xml:space="preserve"> </w:t>
      </w:r>
      <w:r w:rsidR="00DF1296" w:rsidRPr="00DF1296">
        <w:rPr>
          <w:rFonts w:ascii="Book Antiqua" w:hAnsi="Book Antiqua"/>
        </w:rPr>
        <w:t>B</w:t>
      </w:r>
      <w:r w:rsidR="00DF1296">
        <w:rPr>
          <w:rFonts w:ascii="Book Antiqua" w:hAnsi="Book Antiqua" w:hint="eastAsia"/>
          <w:lang w:eastAsia="zh-CN"/>
        </w:rPr>
        <w:t>.</w:t>
      </w:r>
      <w:r w:rsidR="00DF1296" w:rsidRPr="00DF1296">
        <w:rPr>
          <w:rFonts w:ascii="Book Antiqua" w:hAnsi="Book Antiqua"/>
        </w:rPr>
        <w:t xml:space="preserve"> </w:t>
      </w:r>
      <w:r w:rsidRPr="00514591">
        <w:rPr>
          <w:rFonts w:ascii="Book Antiqua" w:hAnsi="Book Antiqua"/>
        </w:rPr>
        <w:t>Checkmate-040: Nivolumab (NIVO) in patients (pts) with advanced hepatocellular carcinoma (aHCC) and Child-Pu</w:t>
      </w:r>
      <w:r w:rsidR="0032265B">
        <w:rPr>
          <w:rFonts w:ascii="Book Antiqua" w:hAnsi="Book Antiqua"/>
        </w:rPr>
        <w:t xml:space="preserve">gh B (CPB) status. </w:t>
      </w:r>
      <w:r w:rsidR="0032265B" w:rsidRPr="0032265B">
        <w:rPr>
          <w:rFonts w:ascii="Book Antiqua" w:hAnsi="Book Antiqua"/>
          <w:i/>
        </w:rPr>
        <w:t>J Clin Oncol</w:t>
      </w:r>
      <w:r w:rsidRPr="0032265B">
        <w:rPr>
          <w:rFonts w:ascii="Book Antiqua" w:hAnsi="Book Antiqua"/>
          <w:i/>
        </w:rPr>
        <w:t xml:space="preserve"> </w:t>
      </w:r>
      <w:r w:rsidRPr="00514591">
        <w:rPr>
          <w:rFonts w:ascii="Book Antiqua" w:hAnsi="Book Antiqua"/>
        </w:rPr>
        <w:t>2019;</w:t>
      </w:r>
      <w:r w:rsidR="0032265B">
        <w:rPr>
          <w:rFonts w:ascii="Book Antiqua" w:hAnsi="Book Antiqua" w:hint="eastAsia"/>
          <w:lang w:eastAsia="zh-CN"/>
        </w:rPr>
        <w:t xml:space="preserve"> </w:t>
      </w:r>
      <w:r w:rsidRPr="0032265B">
        <w:rPr>
          <w:rFonts w:ascii="Book Antiqua" w:hAnsi="Book Antiqua"/>
          <w:b/>
        </w:rPr>
        <w:t>37</w:t>
      </w:r>
      <w:r w:rsidRPr="006204F2">
        <w:rPr>
          <w:rFonts w:ascii="Book Antiqua" w:hAnsi="Book Antiqua"/>
          <w:bCs/>
        </w:rPr>
        <w:t>:</w:t>
      </w:r>
      <w:r w:rsidR="0032265B" w:rsidRPr="0032265B">
        <w:rPr>
          <w:rFonts w:ascii="Book Antiqua" w:hAnsi="Book Antiqua" w:hint="eastAsia"/>
          <w:b/>
          <w:lang w:eastAsia="zh-CN"/>
        </w:rPr>
        <w:t xml:space="preserve"> </w:t>
      </w:r>
      <w:r w:rsidRPr="00514591">
        <w:rPr>
          <w:rFonts w:ascii="Book Antiqua" w:hAnsi="Book Antiqua"/>
        </w:rPr>
        <w:t>327 [DOI: 10.1200/JCO.2019.37.4_suppl.327]</w:t>
      </w:r>
    </w:p>
    <w:p w14:paraId="525A9A3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26 </w:t>
      </w:r>
      <w:r w:rsidRPr="00514591">
        <w:rPr>
          <w:rFonts w:ascii="Book Antiqua" w:hAnsi="Book Antiqua"/>
          <w:b/>
          <w:bCs/>
        </w:rPr>
        <w:t>Abdel-Wahab N</w:t>
      </w:r>
      <w:r w:rsidRPr="00514591">
        <w:rPr>
          <w:rFonts w:ascii="Book Antiqua" w:hAnsi="Book Antiqua"/>
        </w:rPr>
        <w:t xml:space="preserve">, Safa H, Abudayyeh A, Johnson DH, Trinh VA, Zobniw CM, Lin H, Wong MK, Abdelrahim M, Gaber AO, Suarez-Almazor ME, Diab A. Checkpoint inhibitor therapy for cancer in solid organ transplantation recipients: an institutional experience and a systematic review of the literature. </w:t>
      </w:r>
      <w:r w:rsidRPr="00514591">
        <w:rPr>
          <w:rFonts w:ascii="Book Antiqua" w:hAnsi="Book Antiqua"/>
          <w:i/>
          <w:iCs/>
        </w:rPr>
        <w:t>J Immunother Cancer</w:t>
      </w:r>
      <w:r w:rsidRPr="00514591">
        <w:rPr>
          <w:rFonts w:ascii="Book Antiqua" w:hAnsi="Book Antiqua"/>
        </w:rPr>
        <w:t xml:space="preserve"> 2019; </w:t>
      </w:r>
      <w:r w:rsidRPr="00514591">
        <w:rPr>
          <w:rFonts w:ascii="Book Antiqua" w:hAnsi="Book Antiqua"/>
          <w:b/>
          <w:bCs/>
        </w:rPr>
        <w:t>7</w:t>
      </w:r>
      <w:r w:rsidRPr="00514591">
        <w:rPr>
          <w:rFonts w:ascii="Book Antiqua" w:hAnsi="Book Antiqua"/>
        </w:rPr>
        <w:t>: 106 [PMID: 30992053 DOI: 10.1186/s40425-019-0585-1]</w:t>
      </w:r>
    </w:p>
    <w:p w14:paraId="78DAECE5"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27 </w:t>
      </w:r>
      <w:r w:rsidRPr="00514591">
        <w:rPr>
          <w:rFonts w:ascii="Book Antiqua" w:hAnsi="Book Antiqua"/>
          <w:b/>
          <w:bCs/>
        </w:rPr>
        <w:t>Kumar V</w:t>
      </w:r>
      <w:r w:rsidRPr="00514591">
        <w:rPr>
          <w:rFonts w:ascii="Book Antiqua" w:hAnsi="Book Antiqua"/>
        </w:rPr>
        <w:t xml:space="preserve">, Shinagare AB, Rennke HG, Ghai S, Lorch JH, Ott PA, Rahma OE. The Safety and Efficacy of Checkpoint Inhibitors in Transplant Recipients: A Case Series and Systematic Review of Literature. </w:t>
      </w:r>
      <w:r w:rsidRPr="00514591">
        <w:rPr>
          <w:rFonts w:ascii="Book Antiqua" w:hAnsi="Book Antiqua"/>
          <w:i/>
          <w:iCs/>
        </w:rPr>
        <w:t>Oncologist</w:t>
      </w:r>
      <w:r w:rsidRPr="00514591">
        <w:rPr>
          <w:rFonts w:ascii="Book Antiqua" w:hAnsi="Book Antiqua"/>
        </w:rPr>
        <w:t xml:space="preserve"> 2020; </w:t>
      </w:r>
      <w:r w:rsidRPr="00514591">
        <w:rPr>
          <w:rFonts w:ascii="Book Antiqua" w:hAnsi="Book Antiqua"/>
          <w:b/>
          <w:bCs/>
        </w:rPr>
        <w:t>25</w:t>
      </w:r>
      <w:r w:rsidRPr="00514591">
        <w:rPr>
          <w:rFonts w:ascii="Book Antiqua" w:hAnsi="Book Antiqua"/>
        </w:rPr>
        <w:t>: 505-514 [PMID: 32043699 DOI: 10.1634/theoncologist.2019-0659]</w:t>
      </w:r>
    </w:p>
    <w:p w14:paraId="01BF00E3" w14:textId="77777777" w:rsidR="00514591" w:rsidRPr="00514591" w:rsidRDefault="00514591" w:rsidP="00514591">
      <w:pPr>
        <w:spacing w:line="360" w:lineRule="auto"/>
        <w:jc w:val="both"/>
        <w:rPr>
          <w:rFonts w:ascii="Book Antiqua" w:hAnsi="Book Antiqua"/>
        </w:rPr>
      </w:pPr>
      <w:r w:rsidRPr="00514591">
        <w:rPr>
          <w:rFonts w:ascii="Book Antiqua" w:hAnsi="Book Antiqua"/>
        </w:rPr>
        <w:lastRenderedPageBreak/>
        <w:t xml:space="preserve">28 </w:t>
      </w:r>
      <w:r w:rsidRPr="00514591">
        <w:rPr>
          <w:rFonts w:ascii="Book Antiqua" w:hAnsi="Book Antiqua"/>
          <w:b/>
          <w:bCs/>
        </w:rPr>
        <w:t>Munker S</w:t>
      </w:r>
      <w:r w:rsidRPr="00514591">
        <w:rPr>
          <w:rFonts w:ascii="Book Antiqua" w:hAnsi="Book Antiqua"/>
        </w:rPr>
        <w:t xml:space="preserve">, De Toni EN. Use of checkpoint inhibitors in liver transplant recipients. </w:t>
      </w:r>
      <w:r w:rsidRPr="00514591">
        <w:rPr>
          <w:rFonts w:ascii="Book Antiqua" w:hAnsi="Book Antiqua"/>
          <w:i/>
          <w:iCs/>
        </w:rPr>
        <w:t>United European Gastroenterol J</w:t>
      </w:r>
      <w:r w:rsidRPr="00514591">
        <w:rPr>
          <w:rFonts w:ascii="Book Antiqua" w:hAnsi="Book Antiqua"/>
        </w:rPr>
        <w:t xml:space="preserve"> 2018; </w:t>
      </w:r>
      <w:r w:rsidRPr="00514591">
        <w:rPr>
          <w:rFonts w:ascii="Book Antiqua" w:hAnsi="Book Antiqua"/>
          <w:b/>
          <w:bCs/>
        </w:rPr>
        <w:t>6</w:t>
      </w:r>
      <w:r w:rsidRPr="00514591">
        <w:rPr>
          <w:rFonts w:ascii="Book Antiqua" w:hAnsi="Book Antiqua"/>
        </w:rPr>
        <w:t>: 970-973 [PMID: 30228883 DOI: 10.1177/2050640618774631]</w:t>
      </w:r>
    </w:p>
    <w:p w14:paraId="1791A2F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29</w:t>
      </w:r>
      <w:r w:rsidR="00514591" w:rsidRPr="00514591">
        <w:rPr>
          <w:rFonts w:ascii="Book Antiqua" w:hAnsi="Book Antiqua"/>
        </w:rPr>
        <w:t xml:space="preserve"> </w:t>
      </w:r>
      <w:r w:rsidR="00514591" w:rsidRPr="00514591">
        <w:rPr>
          <w:rFonts w:ascii="Book Antiqua" w:hAnsi="Book Antiqua"/>
          <w:b/>
          <w:bCs/>
        </w:rPr>
        <w:t>König D</w:t>
      </w:r>
      <w:r w:rsidR="00514591" w:rsidRPr="00514591">
        <w:rPr>
          <w:rFonts w:ascii="Book Antiqua" w:hAnsi="Book Antiqua"/>
        </w:rPr>
        <w:t xml:space="preserve">, Läubli H. Mechanisms of Immune-Related Complications in Cancer Patients Treated with Immune Checkpoint Inhibitors. </w:t>
      </w:r>
      <w:r w:rsidR="00514591" w:rsidRPr="00514591">
        <w:rPr>
          <w:rFonts w:ascii="Book Antiqua" w:hAnsi="Book Antiqua"/>
          <w:i/>
          <w:iCs/>
        </w:rPr>
        <w:t>Pharmacology</w:t>
      </w:r>
      <w:r w:rsidR="00514591" w:rsidRPr="00514591">
        <w:rPr>
          <w:rFonts w:ascii="Book Antiqua" w:hAnsi="Book Antiqua"/>
        </w:rPr>
        <w:t xml:space="preserve"> 2021; </w:t>
      </w:r>
      <w:r w:rsidR="00514591" w:rsidRPr="00514591">
        <w:rPr>
          <w:rFonts w:ascii="Book Antiqua" w:hAnsi="Book Antiqua"/>
          <w:b/>
          <w:bCs/>
        </w:rPr>
        <w:t>106</w:t>
      </w:r>
      <w:r w:rsidR="00514591" w:rsidRPr="00514591">
        <w:rPr>
          <w:rFonts w:ascii="Book Antiqua" w:hAnsi="Book Antiqua"/>
        </w:rPr>
        <w:t>: 123-136 [PMID: 32721966 DOI: 10.1159/000509081]</w:t>
      </w:r>
    </w:p>
    <w:p w14:paraId="49258E70"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30</w:t>
      </w:r>
      <w:r w:rsidR="00514591" w:rsidRPr="00514591">
        <w:rPr>
          <w:rFonts w:ascii="Book Antiqua" w:hAnsi="Book Antiqua"/>
        </w:rPr>
        <w:t xml:space="preserve"> </w:t>
      </w:r>
      <w:r w:rsidR="00514591" w:rsidRPr="00514591">
        <w:rPr>
          <w:rFonts w:ascii="Book Antiqua" w:hAnsi="Book Antiqua"/>
          <w:b/>
          <w:bCs/>
        </w:rPr>
        <w:t>Alessandrino F</w:t>
      </w:r>
      <w:r w:rsidR="00514591" w:rsidRPr="00514591">
        <w:rPr>
          <w:rFonts w:ascii="Book Antiqua" w:hAnsi="Book Antiqua"/>
        </w:rPr>
        <w:t xml:space="preserve">, Tirumani SH, Krajewski KM, Shinagare AB, Jagannathan JP, Ramaiya NH, Di Salvo DN. Imaging of hepatic toxicity of systemic therapy in a tertiary cancer centre: chemotherapy, haematopoietic stem cell transplantation, molecular targeted therapies, and immune checkpoint inhibitors. </w:t>
      </w:r>
      <w:r w:rsidR="00514591" w:rsidRPr="00514591">
        <w:rPr>
          <w:rFonts w:ascii="Book Antiqua" w:hAnsi="Book Antiqua"/>
          <w:i/>
          <w:iCs/>
        </w:rPr>
        <w:t>Clin Radiol</w:t>
      </w:r>
      <w:r w:rsidR="00514591" w:rsidRPr="00514591">
        <w:rPr>
          <w:rFonts w:ascii="Book Antiqua" w:hAnsi="Book Antiqua"/>
        </w:rPr>
        <w:t xml:space="preserve"> 2017; </w:t>
      </w:r>
      <w:r w:rsidR="00514591" w:rsidRPr="00514591">
        <w:rPr>
          <w:rFonts w:ascii="Book Antiqua" w:hAnsi="Book Antiqua"/>
          <w:b/>
          <w:bCs/>
        </w:rPr>
        <w:t>72</w:t>
      </w:r>
      <w:r w:rsidR="00514591" w:rsidRPr="00514591">
        <w:rPr>
          <w:rFonts w:ascii="Book Antiqua" w:hAnsi="Book Antiqua"/>
        </w:rPr>
        <w:t>: 521-533 [PMID: 28476244 DOI: 10.1016/j.crad.2017.04.003]</w:t>
      </w:r>
    </w:p>
    <w:p w14:paraId="40D62BB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31</w:t>
      </w:r>
      <w:r w:rsidR="00514591" w:rsidRPr="00514591">
        <w:rPr>
          <w:rFonts w:ascii="Book Antiqua" w:hAnsi="Book Antiqua"/>
        </w:rPr>
        <w:t xml:space="preserve"> </w:t>
      </w:r>
      <w:r w:rsidR="00514591" w:rsidRPr="00514591">
        <w:rPr>
          <w:rFonts w:ascii="Book Antiqua" w:hAnsi="Book Antiqua"/>
          <w:b/>
          <w:bCs/>
        </w:rPr>
        <w:t>Weber JS</w:t>
      </w:r>
      <w:r w:rsidR="00514591" w:rsidRPr="00514591">
        <w:rPr>
          <w:rFonts w:ascii="Book Antiqua" w:hAnsi="Book Antiqua"/>
        </w:rPr>
        <w:t xml:space="preserve">, Kähler KC, Hauschild A. Management of immune-related adverse events and kinetics of response with ipilimumab. </w:t>
      </w:r>
      <w:r w:rsidR="00514591" w:rsidRPr="00514591">
        <w:rPr>
          <w:rFonts w:ascii="Book Antiqua" w:hAnsi="Book Antiqua"/>
          <w:i/>
          <w:iCs/>
        </w:rPr>
        <w:t>J Clin Oncol</w:t>
      </w:r>
      <w:r w:rsidR="00514591" w:rsidRPr="00514591">
        <w:rPr>
          <w:rFonts w:ascii="Book Antiqua" w:hAnsi="Book Antiqua"/>
        </w:rPr>
        <w:t xml:space="preserve"> 2012; </w:t>
      </w:r>
      <w:r w:rsidR="00514591" w:rsidRPr="00514591">
        <w:rPr>
          <w:rFonts w:ascii="Book Antiqua" w:hAnsi="Book Antiqua"/>
          <w:b/>
          <w:bCs/>
        </w:rPr>
        <w:t>30</w:t>
      </w:r>
      <w:r w:rsidR="00514591" w:rsidRPr="00514591">
        <w:rPr>
          <w:rFonts w:ascii="Book Antiqua" w:hAnsi="Book Antiqua"/>
        </w:rPr>
        <w:t>: 2691-2697 [PMID: 22614989 DOI: 10.1200/JCO.2012.41.6750]</w:t>
      </w:r>
    </w:p>
    <w:p w14:paraId="7357DAD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32</w:t>
      </w:r>
      <w:r w:rsidR="00514591" w:rsidRPr="00514591">
        <w:rPr>
          <w:rFonts w:ascii="Book Antiqua" w:hAnsi="Book Antiqua"/>
        </w:rPr>
        <w:t xml:space="preserve"> </w:t>
      </w:r>
      <w:r w:rsidR="00514591" w:rsidRPr="00514591">
        <w:rPr>
          <w:rFonts w:ascii="Book Antiqua" w:hAnsi="Book Antiqua"/>
          <w:b/>
          <w:bCs/>
        </w:rPr>
        <w:t>Fashoyin-Aje L</w:t>
      </w:r>
      <w:r w:rsidR="00514591" w:rsidRPr="00514591">
        <w:rPr>
          <w:rFonts w:ascii="Book Antiqua" w:hAnsi="Book Antiqua"/>
        </w:rPr>
        <w:t xml:space="preserve">, Donoghue M, Chen H, He K, Veeraraghavan J, Goldberg KB, Keegan P, McKee AE, Pazdur R. FDA Approval Summary: Pembrolizumab for Recurrent Locally Advanced or Metastatic Gastric or Gastroesophageal Junction Adenocarcinoma Expressing PD-L1. </w:t>
      </w:r>
      <w:r w:rsidR="00514591" w:rsidRPr="00514591">
        <w:rPr>
          <w:rFonts w:ascii="Book Antiqua" w:hAnsi="Book Antiqua"/>
          <w:i/>
          <w:iCs/>
        </w:rPr>
        <w:t>Oncologist</w:t>
      </w:r>
      <w:r w:rsidR="00514591" w:rsidRPr="00514591">
        <w:rPr>
          <w:rFonts w:ascii="Book Antiqua" w:hAnsi="Book Antiqua"/>
        </w:rPr>
        <w:t xml:space="preserve"> 2019; </w:t>
      </w:r>
      <w:r w:rsidR="00514591" w:rsidRPr="00514591">
        <w:rPr>
          <w:rFonts w:ascii="Book Antiqua" w:hAnsi="Book Antiqua"/>
          <w:b/>
          <w:bCs/>
        </w:rPr>
        <w:t>24</w:t>
      </w:r>
      <w:r w:rsidR="00514591" w:rsidRPr="00514591">
        <w:rPr>
          <w:rFonts w:ascii="Book Antiqua" w:hAnsi="Book Antiqua"/>
        </w:rPr>
        <w:t>: 103-109 [PMID: 30120163 DOI: 10.1634/theoncologist.2018-0221]</w:t>
      </w:r>
    </w:p>
    <w:p w14:paraId="0C72DE9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33</w:t>
      </w:r>
      <w:r w:rsidR="00514591" w:rsidRPr="00514591">
        <w:rPr>
          <w:rFonts w:ascii="Book Antiqua" w:hAnsi="Book Antiqua"/>
        </w:rPr>
        <w:t xml:space="preserve"> </w:t>
      </w:r>
      <w:r w:rsidR="00514591" w:rsidRPr="00514591">
        <w:rPr>
          <w:rFonts w:ascii="Book Antiqua" w:hAnsi="Book Antiqua"/>
          <w:b/>
          <w:bCs/>
        </w:rPr>
        <w:t>Ready N</w:t>
      </w:r>
      <w:r w:rsidR="00514591" w:rsidRPr="00514591">
        <w:rPr>
          <w:rFonts w:ascii="Book Antiqua" w:hAnsi="Book Antiqua"/>
        </w:rPr>
        <w:t xml:space="preserve">, Farago AF, de Braud F, Atmaca A, Hellmann MD, Schneider JG, Spigel DR, Moreno V, Chau I, Hann CL, Eder JP, Steele NL, Pieters A, Fairchild J, Antonia SJ. Third-Line Nivolumab Monotherapy in Recurrent SCLC: CheckMate 032. </w:t>
      </w:r>
      <w:r w:rsidR="00514591" w:rsidRPr="00514591">
        <w:rPr>
          <w:rFonts w:ascii="Book Antiqua" w:hAnsi="Book Antiqua"/>
          <w:i/>
          <w:iCs/>
        </w:rPr>
        <w:t>J Thorac Oncol</w:t>
      </w:r>
      <w:r w:rsidR="00514591" w:rsidRPr="00514591">
        <w:rPr>
          <w:rFonts w:ascii="Book Antiqua" w:hAnsi="Book Antiqua"/>
        </w:rPr>
        <w:t xml:space="preserve"> 2019; </w:t>
      </w:r>
      <w:r w:rsidR="00514591" w:rsidRPr="00514591">
        <w:rPr>
          <w:rFonts w:ascii="Book Antiqua" w:hAnsi="Book Antiqua"/>
          <w:b/>
          <w:bCs/>
        </w:rPr>
        <w:t>14</w:t>
      </w:r>
      <w:r w:rsidR="00514591" w:rsidRPr="00514591">
        <w:rPr>
          <w:rFonts w:ascii="Book Antiqua" w:hAnsi="Book Antiqua"/>
        </w:rPr>
        <w:t>: 237-244 [PMID: 30316010 DOI: 10.1016/j.jtho.2018.10.003]</w:t>
      </w:r>
    </w:p>
    <w:p w14:paraId="2DD13BB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34</w:t>
      </w:r>
      <w:r w:rsidR="00514591" w:rsidRPr="00514591">
        <w:rPr>
          <w:rFonts w:ascii="Book Antiqua" w:hAnsi="Book Antiqua"/>
        </w:rPr>
        <w:t xml:space="preserve"> </w:t>
      </w:r>
      <w:r w:rsidR="00514591" w:rsidRPr="00514591">
        <w:rPr>
          <w:rFonts w:ascii="Book Antiqua" w:hAnsi="Book Antiqua"/>
          <w:b/>
          <w:bCs/>
        </w:rPr>
        <w:t>Suzman DL</w:t>
      </w:r>
      <w:r w:rsidR="00514591" w:rsidRPr="00514591">
        <w:rPr>
          <w:rFonts w:ascii="Book Antiqua" w:hAnsi="Book Antiqua"/>
        </w:rPr>
        <w:t xml:space="preserve">, Pelosof L, Rosenberg A, Avigan MI. Hepatotoxicity of immune checkpoint inhibitors: An evolving picture of risk associated with a vital class of immunotherapy agents. </w:t>
      </w:r>
      <w:r w:rsidR="00514591" w:rsidRPr="00514591">
        <w:rPr>
          <w:rFonts w:ascii="Book Antiqua" w:hAnsi="Book Antiqua"/>
          <w:i/>
          <w:iCs/>
        </w:rPr>
        <w:t>Liver Int</w:t>
      </w:r>
      <w:r w:rsidR="00514591" w:rsidRPr="00514591">
        <w:rPr>
          <w:rFonts w:ascii="Book Antiqua" w:hAnsi="Book Antiqua"/>
        </w:rPr>
        <w:t xml:space="preserve"> 2018; </w:t>
      </w:r>
      <w:r w:rsidR="00514591" w:rsidRPr="00514591">
        <w:rPr>
          <w:rFonts w:ascii="Book Antiqua" w:hAnsi="Book Antiqua"/>
          <w:b/>
          <w:bCs/>
        </w:rPr>
        <w:t>38</w:t>
      </w:r>
      <w:r w:rsidR="00514591" w:rsidRPr="00514591">
        <w:rPr>
          <w:rFonts w:ascii="Book Antiqua" w:hAnsi="Book Antiqua"/>
        </w:rPr>
        <w:t>: 976-987 [PMID: 29603856 DOI: 10.1111/liv.13746]</w:t>
      </w:r>
    </w:p>
    <w:p w14:paraId="4EECA98E"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35</w:t>
      </w:r>
      <w:r w:rsidR="00514591" w:rsidRPr="00514591">
        <w:rPr>
          <w:rFonts w:ascii="Book Antiqua" w:hAnsi="Book Antiqua"/>
        </w:rPr>
        <w:t xml:space="preserve"> </w:t>
      </w:r>
      <w:r w:rsidR="00514591" w:rsidRPr="00514591">
        <w:rPr>
          <w:rFonts w:ascii="Book Antiqua" w:hAnsi="Book Antiqua"/>
          <w:b/>
          <w:bCs/>
        </w:rPr>
        <w:t>Jennings JJ</w:t>
      </w:r>
      <w:r w:rsidR="00514591" w:rsidRPr="00514591">
        <w:rPr>
          <w:rFonts w:ascii="Book Antiqua" w:hAnsi="Book Antiqua"/>
        </w:rPr>
        <w:t xml:space="preserve">, Mandaliya R, Nakshabandi A, Lewis JH. Hepatotoxicity induced by immune checkpoint inhibitors: a comprehensive review including current and </w:t>
      </w:r>
      <w:r w:rsidR="00514591" w:rsidRPr="00514591">
        <w:rPr>
          <w:rFonts w:ascii="Book Antiqua" w:hAnsi="Book Antiqua"/>
        </w:rPr>
        <w:lastRenderedPageBreak/>
        <w:t xml:space="preserve">alternative management strategies. </w:t>
      </w:r>
      <w:r w:rsidR="00514591" w:rsidRPr="00514591">
        <w:rPr>
          <w:rFonts w:ascii="Book Antiqua" w:hAnsi="Book Antiqua"/>
          <w:i/>
          <w:iCs/>
        </w:rPr>
        <w:t>Expert Opin Drug Metab Toxicol</w:t>
      </w:r>
      <w:r w:rsidR="00514591" w:rsidRPr="00514591">
        <w:rPr>
          <w:rFonts w:ascii="Book Antiqua" w:hAnsi="Book Antiqua"/>
        </w:rPr>
        <w:t xml:space="preserve"> 2019; </w:t>
      </w:r>
      <w:r w:rsidR="00514591" w:rsidRPr="00514591">
        <w:rPr>
          <w:rFonts w:ascii="Book Antiqua" w:hAnsi="Book Antiqua"/>
          <w:b/>
          <w:bCs/>
        </w:rPr>
        <w:t>15</w:t>
      </w:r>
      <w:r w:rsidR="00514591" w:rsidRPr="00514591">
        <w:rPr>
          <w:rFonts w:ascii="Book Antiqua" w:hAnsi="Book Antiqua"/>
        </w:rPr>
        <w:t>: 231-244 [PMID: 30677306 DOI: 10.1080/17425255.2019.1574744]</w:t>
      </w:r>
    </w:p>
    <w:p w14:paraId="683190C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36</w:t>
      </w:r>
      <w:r w:rsidR="00514591" w:rsidRPr="00514591">
        <w:rPr>
          <w:rFonts w:ascii="Book Antiqua" w:hAnsi="Book Antiqua"/>
        </w:rPr>
        <w:t xml:space="preserve"> </w:t>
      </w:r>
      <w:r w:rsidR="00514591" w:rsidRPr="00514591">
        <w:rPr>
          <w:rFonts w:ascii="Book Antiqua" w:hAnsi="Book Antiqua"/>
          <w:b/>
          <w:bCs/>
        </w:rPr>
        <w:t>De Martin E</w:t>
      </w:r>
      <w:r w:rsidR="00514591" w:rsidRPr="00514591">
        <w:rPr>
          <w:rFonts w:ascii="Book Antiqua" w:hAnsi="Book Antiqua"/>
        </w:rPr>
        <w:t xml:space="preserve">, Michot JM, Papouin B, Champiat S, Mateus C, Lambotte O, Roche B, Antonini TM, Coilly A, Laghouati S, Robert C, Marabelle A, Guettier C, Samuel D. Characterization of liver injury induced by cancer immunotherapy using immune checkpoint inhibitors. </w:t>
      </w:r>
      <w:r w:rsidR="00514591" w:rsidRPr="00514591">
        <w:rPr>
          <w:rFonts w:ascii="Book Antiqua" w:hAnsi="Book Antiqua"/>
          <w:i/>
          <w:iCs/>
        </w:rPr>
        <w:t>J Hepatol</w:t>
      </w:r>
      <w:r w:rsidR="00514591" w:rsidRPr="00514591">
        <w:rPr>
          <w:rFonts w:ascii="Book Antiqua" w:hAnsi="Book Antiqua"/>
        </w:rPr>
        <w:t xml:space="preserve"> 2018; </w:t>
      </w:r>
      <w:r w:rsidR="00514591" w:rsidRPr="00514591">
        <w:rPr>
          <w:rFonts w:ascii="Book Antiqua" w:hAnsi="Book Antiqua"/>
          <w:b/>
          <w:bCs/>
        </w:rPr>
        <w:t>68</w:t>
      </w:r>
      <w:r w:rsidR="00514591" w:rsidRPr="00514591">
        <w:rPr>
          <w:rFonts w:ascii="Book Antiqua" w:hAnsi="Book Antiqua"/>
        </w:rPr>
        <w:t>: 1181-1190 [PMID: 29427729 DOI: 10.1016/j.jhep.2018.01.033]</w:t>
      </w:r>
    </w:p>
    <w:p w14:paraId="508B836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37</w:t>
      </w:r>
      <w:r w:rsidR="00514591" w:rsidRPr="00514591">
        <w:rPr>
          <w:rFonts w:ascii="Book Antiqua" w:hAnsi="Book Antiqua"/>
        </w:rPr>
        <w:t xml:space="preserve"> </w:t>
      </w:r>
      <w:r w:rsidR="00514591" w:rsidRPr="00514591">
        <w:rPr>
          <w:rFonts w:ascii="Book Antiqua" w:hAnsi="Book Antiqua"/>
          <w:b/>
          <w:bCs/>
        </w:rPr>
        <w:t>Imoto K</w:t>
      </w:r>
      <w:r w:rsidR="00514591" w:rsidRPr="00514591">
        <w:rPr>
          <w:rFonts w:ascii="Book Antiqua" w:hAnsi="Book Antiqua"/>
        </w:rPr>
        <w:t xml:space="preserve">, Kohjima M, Hioki T, Kurashige T, Kurokawa M, Tashiro S, Suzuki H, Kuwano A, Tanaka M, Okada S, Kato M, Ogawa Y. Clinical Features of Liver Injury Induced by Immune Checkpoint Inhibitors in Japanese Patients. </w:t>
      </w:r>
      <w:r w:rsidR="00514591" w:rsidRPr="00514591">
        <w:rPr>
          <w:rFonts w:ascii="Book Antiqua" w:hAnsi="Book Antiqua"/>
          <w:i/>
          <w:iCs/>
        </w:rPr>
        <w:t>Can J Gastroenterol Hepatol</w:t>
      </w:r>
      <w:r w:rsidR="00514591" w:rsidRPr="00514591">
        <w:rPr>
          <w:rFonts w:ascii="Book Antiqua" w:hAnsi="Book Antiqua"/>
        </w:rPr>
        <w:t xml:space="preserve"> 2019; </w:t>
      </w:r>
      <w:r w:rsidR="00514591" w:rsidRPr="00514591">
        <w:rPr>
          <w:rFonts w:ascii="Book Antiqua" w:hAnsi="Book Antiqua"/>
          <w:b/>
          <w:bCs/>
        </w:rPr>
        <w:t>2019</w:t>
      </w:r>
      <w:r w:rsidR="00514591" w:rsidRPr="00514591">
        <w:rPr>
          <w:rFonts w:ascii="Book Antiqua" w:hAnsi="Book Antiqua"/>
        </w:rPr>
        <w:t>: 6391712 [PMID: 31929981 DOI: 10.1155/2019/6391712]</w:t>
      </w:r>
    </w:p>
    <w:p w14:paraId="133DA65F"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38</w:t>
      </w:r>
      <w:r w:rsidR="00514591" w:rsidRPr="00514591">
        <w:rPr>
          <w:rFonts w:ascii="Book Antiqua" w:hAnsi="Book Antiqua"/>
        </w:rPr>
        <w:t xml:space="preserve"> </w:t>
      </w:r>
      <w:r w:rsidR="00514591" w:rsidRPr="00514591">
        <w:rPr>
          <w:rFonts w:ascii="Book Antiqua" w:hAnsi="Book Antiqua"/>
          <w:b/>
          <w:bCs/>
        </w:rPr>
        <w:t>Fouchard M</w:t>
      </w:r>
      <w:r w:rsidR="00514591" w:rsidRPr="00514591">
        <w:rPr>
          <w:rFonts w:ascii="Book Antiqua" w:hAnsi="Book Antiqua"/>
        </w:rPr>
        <w:t xml:space="preserve">, Jantzem H, Quere G, Descourt R, Robinet G, Poureau PG. Three cases of immune cholangitis related to anti-programmed cell death and programmed cell death ligand agents for the treatment of non-small cell lung cancer. </w:t>
      </w:r>
      <w:r w:rsidR="00514591" w:rsidRPr="00514591">
        <w:rPr>
          <w:rFonts w:ascii="Book Antiqua" w:hAnsi="Book Antiqua"/>
          <w:i/>
          <w:iCs/>
        </w:rPr>
        <w:t>Eur J Cancer</w:t>
      </w:r>
      <w:r w:rsidR="00514591" w:rsidRPr="00514591">
        <w:rPr>
          <w:rFonts w:ascii="Book Antiqua" w:hAnsi="Book Antiqua"/>
        </w:rPr>
        <w:t xml:space="preserve"> 2019; </w:t>
      </w:r>
      <w:r w:rsidR="00514591" w:rsidRPr="00514591">
        <w:rPr>
          <w:rFonts w:ascii="Book Antiqua" w:hAnsi="Book Antiqua"/>
          <w:b/>
          <w:bCs/>
        </w:rPr>
        <w:t>115</w:t>
      </w:r>
      <w:r w:rsidR="00514591" w:rsidRPr="00514591">
        <w:rPr>
          <w:rFonts w:ascii="Book Antiqua" w:hAnsi="Book Antiqua"/>
        </w:rPr>
        <w:t>: 107-110 [PMID: 31132740 DOI: 10.1016/j.ejca.2019.04.022]</w:t>
      </w:r>
    </w:p>
    <w:p w14:paraId="3F243FB6"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39</w:t>
      </w:r>
      <w:r w:rsidR="00514591" w:rsidRPr="00514591">
        <w:rPr>
          <w:rFonts w:ascii="Book Antiqua" w:hAnsi="Book Antiqua"/>
        </w:rPr>
        <w:t xml:space="preserve"> </w:t>
      </w:r>
      <w:r w:rsidR="00514591" w:rsidRPr="00514591">
        <w:rPr>
          <w:rFonts w:ascii="Book Antiqua" w:hAnsi="Book Antiqua"/>
          <w:b/>
          <w:bCs/>
        </w:rPr>
        <w:t>Tsung I</w:t>
      </w:r>
      <w:r w:rsidR="00514591" w:rsidRPr="00514591">
        <w:rPr>
          <w:rFonts w:ascii="Book Antiqua" w:hAnsi="Book Antiqua"/>
        </w:rPr>
        <w:t xml:space="preserve">, Dolan R, Lao CD, Fecher L, Riggenbach K, Yeboah-Korang A, Fontana RJ. Liver injury is most commonly due to hepatic metastases rather than drug hepatotoxicity during pembrolizumab immunotherapy. </w:t>
      </w:r>
      <w:r w:rsidR="00514591" w:rsidRPr="00514591">
        <w:rPr>
          <w:rFonts w:ascii="Book Antiqua" w:hAnsi="Book Antiqua"/>
          <w:i/>
          <w:iCs/>
        </w:rPr>
        <w:t>Aliment Pharmacol Ther</w:t>
      </w:r>
      <w:r w:rsidR="00514591" w:rsidRPr="00514591">
        <w:rPr>
          <w:rFonts w:ascii="Book Antiqua" w:hAnsi="Book Antiqua"/>
        </w:rPr>
        <w:t xml:space="preserve"> 2019; </w:t>
      </w:r>
      <w:r w:rsidR="00514591" w:rsidRPr="00514591">
        <w:rPr>
          <w:rFonts w:ascii="Book Antiqua" w:hAnsi="Book Antiqua"/>
          <w:b/>
          <w:bCs/>
        </w:rPr>
        <w:t>50</w:t>
      </w:r>
      <w:r w:rsidR="00514591" w:rsidRPr="00514591">
        <w:rPr>
          <w:rFonts w:ascii="Book Antiqua" w:hAnsi="Book Antiqua"/>
        </w:rPr>
        <w:t>: 800-808 [PMID: 31309615 DOI: 10.1111/apt.15413]</w:t>
      </w:r>
    </w:p>
    <w:p w14:paraId="6CAD019B"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40</w:t>
      </w:r>
      <w:r w:rsidR="00514591" w:rsidRPr="00514591">
        <w:rPr>
          <w:rFonts w:ascii="Book Antiqua" w:hAnsi="Book Antiqua"/>
        </w:rPr>
        <w:t xml:space="preserve"> </w:t>
      </w:r>
      <w:r w:rsidR="00514591" w:rsidRPr="00514591">
        <w:rPr>
          <w:rFonts w:ascii="Book Antiqua" w:hAnsi="Book Antiqua"/>
          <w:b/>
          <w:bCs/>
        </w:rPr>
        <w:t>Lynch TJ</w:t>
      </w:r>
      <w:r w:rsidR="00514591" w:rsidRPr="00514591">
        <w:rPr>
          <w:rFonts w:ascii="Book Antiqua" w:hAnsi="Book Antiqua"/>
        </w:rPr>
        <w:t xml:space="preserve">, Bondarenko I, Luft A, Serwatowski P, Barlesi F, Chacko R, Sebastian M, Neal J, Lu H, Cuillerot JM, Reck M. Ipilimumab in combination with paclitaxel and carboplatin as first-line treatment in stage IIIB/IV non-small-cell lung cancer: results from a randomized, double-blind, multicenter phase II study. </w:t>
      </w:r>
      <w:r w:rsidR="00514591" w:rsidRPr="00514591">
        <w:rPr>
          <w:rFonts w:ascii="Book Antiqua" w:hAnsi="Book Antiqua"/>
          <w:i/>
          <w:iCs/>
        </w:rPr>
        <w:t>J Clin Oncol</w:t>
      </w:r>
      <w:r w:rsidR="00514591" w:rsidRPr="00514591">
        <w:rPr>
          <w:rFonts w:ascii="Book Antiqua" w:hAnsi="Book Antiqua"/>
        </w:rPr>
        <w:t xml:space="preserve"> 2012; </w:t>
      </w:r>
      <w:r w:rsidR="00514591" w:rsidRPr="00514591">
        <w:rPr>
          <w:rFonts w:ascii="Book Antiqua" w:hAnsi="Book Antiqua"/>
          <w:b/>
          <w:bCs/>
        </w:rPr>
        <w:t>30</w:t>
      </w:r>
      <w:r w:rsidR="00514591" w:rsidRPr="00514591">
        <w:rPr>
          <w:rFonts w:ascii="Book Antiqua" w:hAnsi="Book Antiqua"/>
        </w:rPr>
        <w:t>: 2046-2054 [PMID: 22547592 DOI: 10.1200/JCO.2011.38.4032]</w:t>
      </w:r>
    </w:p>
    <w:p w14:paraId="4423850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41</w:t>
      </w:r>
      <w:r w:rsidR="00514591" w:rsidRPr="00514591">
        <w:rPr>
          <w:rFonts w:ascii="Book Antiqua" w:hAnsi="Book Antiqua"/>
        </w:rPr>
        <w:t xml:space="preserve"> </w:t>
      </w:r>
      <w:r w:rsidR="00514591" w:rsidRPr="00514591">
        <w:rPr>
          <w:rFonts w:ascii="Book Antiqua" w:hAnsi="Book Antiqua"/>
          <w:b/>
          <w:bCs/>
        </w:rPr>
        <w:t>Reck M</w:t>
      </w:r>
      <w:r w:rsidR="00514591" w:rsidRPr="00514591">
        <w:rPr>
          <w:rFonts w:ascii="Book Antiqua" w:hAnsi="Book Antiqua"/>
        </w:rPr>
        <w:t xml:space="preserve">, Bondarenko I, Luft A, Serwatowski P, Barlesi F, Chacko R, Sebastian M, Lu H, Cuillerot JM, Lynch TJ. Ipilimumab in combination with paclitaxel and carboplatin as first-line therapy in extensive-disease-small-cell lung cancer: results from a randomized, double-blind, multicenter phase 2 trial. </w:t>
      </w:r>
      <w:r w:rsidR="00514591" w:rsidRPr="00514591">
        <w:rPr>
          <w:rFonts w:ascii="Book Antiqua" w:hAnsi="Book Antiqua"/>
          <w:i/>
          <w:iCs/>
        </w:rPr>
        <w:t>Ann Oncol</w:t>
      </w:r>
      <w:r w:rsidR="00514591" w:rsidRPr="00514591">
        <w:rPr>
          <w:rFonts w:ascii="Book Antiqua" w:hAnsi="Book Antiqua"/>
        </w:rPr>
        <w:t xml:space="preserve"> 2013; </w:t>
      </w:r>
      <w:r w:rsidR="00514591" w:rsidRPr="00514591">
        <w:rPr>
          <w:rFonts w:ascii="Book Antiqua" w:hAnsi="Book Antiqua"/>
          <w:b/>
          <w:bCs/>
        </w:rPr>
        <w:t>24</w:t>
      </w:r>
      <w:r w:rsidR="00514591" w:rsidRPr="00514591">
        <w:rPr>
          <w:rFonts w:ascii="Book Antiqua" w:hAnsi="Book Antiqua"/>
        </w:rPr>
        <w:t>: 75-83 [PMID: 22858559 DOI: 10.1093/annonc/mds213]</w:t>
      </w:r>
    </w:p>
    <w:p w14:paraId="21B24E35"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lastRenderedPageBreak/>
        <w:t>42</w:t>
      </w:r>
      <w:r w:rsidR="00514591" w:rsidRPr="00514591">
        <w:rPr>
          <w:rFonts w:ascii="Book Antiqua" w:hAnsi="Book Antiqua"/>
        </w:rPr>
        <w:t xml:space="preserve"> </w:t>
      </w:r>
      <w:r w:rsidR="00514591" w:rsidRPr="00514591">
        <w:rPr>
          <w:rFonts w:ascii="Book Antiqua" w:hAnsi="Book Antiqua"/>
          <w:b/>
          <w:bCs/>
        </w:rPr>
        <w:t>Kim KW</w:t>
      </w:r>
      <w:r w:rsidR="00514591" w:rsidRPr="00514591">
        <w:rPr>
          <w:rFonts w:ascii="Book Antiqua" w:hAnsi="Book Antiqua"/>
        </w:rPr>
        <w:t xml:space="preserve">, Ramaiya NH, Krajewski KM, Jagannathan JP, Tirumani SH, Srivastava A, Ibrahim N. Ipilimumab associated hepatitis: imaging and clinicopathologic findings. </w:t>
      </w:r>
      <w:r w:rsidR="00514591" w:rsidRPr="00514591">
        <w:rPr>
          <w:rFonts w:ascii="Book Antiqua" w:hAnsi="Book Antiqua"/>
          <w:i/>
          <w:iCs/>
        </w:rPr>
        <w:t>Invest New Drugs</w:t>
      </w:r>
      <w:r w:rsidR="00514591" w:rsidRPr="00514591">
        <w:rPr>
          <w:rFonts w:ascii="Book Antiqua" w:hAnsi="Book Antiqua"/>
        </w:rPr>
        <w:t xml:space="preserve"> 2013; </w:t>
      </w:r>
      <w:r w:rsidR="00514591" w:rsidRPr="00514591">
        <w:rPr>
          <w:rFonts w:ascii="Book Antiqua" w:hAnsi="Book Antiqua"/>
          <w:b/>
          <w:bCs/>
        </w:rPr>
        <w:t>31</w:t>
      </w:r>
      <w:r w:rsidR="00514591" w:rsidRPr="00514591">
        <w:rPr>
          <w:rFonts w:ascii="Book Antiqua" w:hAnsi="Book Antiqua"/>
        </w:rPr>
        <w:t>: 1071-1077 [PMID: 23408334 DOI: 10.1007/s10637-013-9939-6]</w:t>
      </w:r>
    </w:p>
    <w:p w14:paraId="506F0EB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43</w:t>
      </w:r>
      <w:r w:rsidR="00514591" w:rsidRPr="00514591">
        <w:rPr>
          <w:rFonts w:ascii="Book Antiqua" w:hAnsi="Book Antiqua"/>
        </w:rPr>
        <w:t xml:space="preserve"> </w:t>
      </w:r>
      <w:r w:rsidR="00514591" w:rsidRPr="00514591">
        <w:rPr>
          <w:rFonts w:ascii="Book Antiqua" w:hAnsi="Book Antiqua"/>
          <w:b/>
          <w:bCs/>
        </w:rPr>
        <w:t>Fohr B</w:t>
      </w:r>
      <w:r w:rsidR="00514591" w:rsidRPr="00514591">
        <w:rPr>
          <w:rFonts w:ascii="Book Antiqua" w:hAnsi="Book Antiqua"/>
        </w:rPr>
        <w:t xml:space="preserve">, Dunstan CR, Seibel MJ. Clinical review 165: Markers of bone remodeling in metastatic bone disease. </w:t>
      </w:r>
      <w:r w:rsidR="00514591" w:rsidRPr="00514591">
        <w:rPr>
          <w:rFonts w:ascii="Book Antiqua" w:hAnsi="Book Antiqua"/>
          <w:i/>
          <w:iCs/>
        </w:rPr>
        <w:t>J Clin Endocrinol Metab</w:t>
      </w:r>
      <w:r w:rsidR="00514591" w:rsidRPr="00514591">
        <w:rPr>
          <w:rFonts w:ascii="Book Antiqua" w:hAnsi="Book Antiqua"/>
        </w:rPr>
        <w:t xml:space="preserve"> 2003; </w:t>
      </w:r>
      <w:r w:rsidR="00514591" w:rsidRPr="00514591">
        <w:rPr>
          <w:rFonts w:ascii="Book Antiqua" w:hAnsi="Book Antiqua"/>
          <w:b/>
          <w:bCs/>
        </w:rPr>
        <w:t>88</w:t>
      </w:r>
      <w:r w:rsidR="00514591" w:rsidRPr="00514591">
        <w:rPr>
          <w:rFonts w:ascii="Book Antiqua" w:hAnsi="Book Antiqua"/>
        </w:rPr>
        <w:t>: 5059-5075 [PMID: 14602728 DOI: 10.1210/jc.2003-030910]</w:t>
      </w:r>
    </w:p>
    <w:p w14:paraId="4F95271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44</w:t>
      </w:r>
      <w:r w:rsidR="00514591" w:rsidRPr="00514591">
        <w:rPr>
          <w:rFonts w:ascii="Book Antiqua" w:hAnsi="Book Antiqua"/>
        </w:rPr>
        <w:t xml:space="preserve"> </w:t>
      </w:r>
      <w:r w:rsidR="00514591" w:rsidRPr="00514591">
        <w:rPr>
          <w:rFonts w:ascii="Book Antiqua" w:hAnsi="Book Antiqua"/>
          <w:b/>
          <w:bCs/>
        </w:rPr>
        <w:t>Wong GL</w:t>
      </w:r>
      <w:r w:rsidR="00514591" w:rsidRPr="00514591">
        <w:rPr>
          <w:rFonts w:ascii="Book Antiqua" w:hAnsi="Book Antiqua"/>
        </w:rPr>
        <w:t xml:space="preserve">, Wong VW, Hui VW, Yip TC, Tse YK, Liang LY, Lui RN, Mok TS, Chan HL, Chan SL. Hepatitis Flare During Immunotherapy in Patients With Current or Past Hepatitis B Virus Infection. </w:t>
      </w:r>
      <w:r w:rsidR="00514591" w:rsidRPr="00514591">
        <w:rPr>
          <w:rFonts w:ascii="Book Antiqua" w:hAnsi="Book Antiqua"/>
          <w:i/>
          <w:iCs/>
        </w:rPr>
        <w:t>Am J Gastroenterol</w:t>
      </w:r>
      <w:r w:rsidR="00514591" w:rsidRPr="00514591">
        <w:rPr>
          <w:rFonts w:ascii="Book Antiqua" w:hAnsi="Book Antiqua"/>
        </w:rPr>
        <w:t xml:space="preserve"> 2021; </w:t>
      </w:r>
      <w:r w:rsidR="00514591" w:rsidRPr="00514591">
        <w:rPr>
          <w:rFonts w:ascii="Book Antiqua" w:hAnsi="Book Antiqua"/>
          <w:b/>
          <w:bCs/>
        </w:rPr>
        <w:t>116</w:t>
      </w:r>
      <w:r w:rsidR="00514591" w:rsidRPr="00514591">
        <w:rPr>
          <w:rFonts w:ascii="Book Antiqua" w:hAnsi="Book Antiqua"/>
        </w:rPr>
        <w:t>: 1274-1283 [PMID: 33560651 DOI: 10.14309/ajg.0000000000001142]</w:t>
      </w:r>
    </w:p>
    <w:p w14:paraId="2808E98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45</w:t>
      </w:r>
      <w:r w:rsidR="00514591" w:rsidRPr="00514591">
        <w:rPr>
          <w:rFonts w:ascii="Book Antiqua" w:hAnsi="Book Antiqua"/>
        </w:rPr>
        <w:t xml:space="preserve"> </w:t>
      </w:r>
      <w:r w:rsidR="00514591" w:rsidRPr="00514591">
        <w:rPr>
          <w:rFonts w:ascii="Book Antiqua" w:hAnsi="Book Antiqua"/>
          <w:b/>
          <w:bCs/>
        </w:rPr>
        <w:t>Hwang JP</w:t>
      </w:r>
      <w:r w:rsidR="00514591" w:rsidRPr="00514591">
        <w:rPr>
          <w:rFonts w:ascii="Book Antiqua" w:hAnsi="Book Antiqua"/>
        </w:rPr>
        <w:t xml:space="preserve">, Feld JJ, Hammond SP, Wang SH, Alston-Johnson DE, Cryer DR, Hershman DL, Loehrer AP, Sabichi AL, Symington BE, Terrault N, Wong ML, Somerfield MR, Artz AS. Hepatitis B Virus Screening and Management for Patients With Cancer Prior to Therapy: ASCO Provisional Clinical Opinion Update. </w:t>
      </w:r>
      <w:r w:rsidR="00514591" w:rsidRPr="00514591">
        <w:rPr>
          <w:rFonts w:ascii="Book Antiqua" w:hAnsi="Book Antiqua"/>
          <w:i/>
          <w:iCs/>
        </w:rPr>
        <w:t>J Clin Oncol</w:t>
      </w:r>
      <w:r w:rsidR="00514591" w:rsidRPr="00514591">
        <w:rPr>
          <w:rFonts w:ascii="Book Antiqua" w:hAnsi="Book Antiqua"/>
        </w:rPr>
        <w:t xml:space="preserve"> 2020; </w:t>
      </w:r>
      <w:r w:rsidR="00514591" w:rsidRPr="00514591">
        <w:rPr>
          <w:rFonts w:ascii="Book Antiqua" w:hAnsi="Book Antiqua"/>
          <w:b/>
          <w:bCs/>
        </w:rPr>
        <w:t>38</w:t>
      </w:r>
      <w:r w:rsidR="00514591" w:rsidRPr="00514591">
        <w:rPr>
          <w:rFonts w:ascii="Book Antiqua" w:hAnsi="Book Antiqua"/>
        </w:rPr>
        <w:t>: 3698-3715 [PMID: 32716741 DOI: 10.1200/JCO.20.01757]</w:t>
      </w:r>
    </w:p>
    <w:p w14:paraId="78F2DF6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46</w:t>
      </w:r>
      <w:r w:rsidR="00514591" w:rsidRPr="00514591">
        <w:rPr>
          <w:rFonts w:ascii="Book Antiqua" w:hAnsi="Book Antiqua"/>
        </w:rPr>
        <w:t xml:space="preserve"> </w:t>
      </w:r>
      <w:r w:rsidR="00514591" w:rsidRPr="00514591">
        <w:rPr>
          <w:rFonts w:ascii="Book Antiqua" w:hAnsi="Book Antiqua"/>
          <w:b/>
          <w:bCs/>
        </w:rPr>
        <w:t>Jang S</w:t>
      </w:r>
      <w:r w:rsidR="00514591" w:rsidRPr="00514591">
        <w:rPr>
          <w:rFonts w:ascii="Book Antiqua" w:hAnsi="Book Antiqua"/>
        </w:rPr>
        <w:t xml:space="preserve">, Venna S. Antitumor and Anti-Hepatitis C Viral Response After Administration of the Anti-Programmed Death 1 Antibody Pembrolizumab. </w:t>
      </w:r>
      <w:r w:rsidR="00514591" w:rsidRPr="00514591">
        <w:rPr>
          <w:rFonts w:ascii="Book Antiqua" w:hAnsi="Book Antiqua"/>
          <w:i/>
          <w:iCs/>
        </w:rPr>
        <w:t>J Oncol Pract</w:t>
      </w:r>
      <w:r w:rsidR="00514591" w:rsidRPr="00514591">
        <w:rPr>
          <w:rFonts w:ascii="Book Antiqua" w:hAnsi="Book Antiqua"/>
        </w:rPr>
        <w:t xml:space="preserve"> 2017; </w:t>
      </w:r>
      <w:r w:rsidR="00514591" w:rsidRPr="00514591">
        <w:rPr>
          <w:rFonts w:ascii="Book Antiqua" w:hAnsi="Book Antiqua"/>
          <w:b/>
          <w:bCs/>
        </w:rPr>
        <w:t>13</w:t>
      </w:r>
      <w:r w:rsidR="00514591" w:rsidRPr="00514591">
        <w:rPr>
          <w:rFonts w:ascii="Book Antiqua" w:hAnsi="Book Antiqua"/>
        </w:rPr>
        <w:t>: 462-464 [PMID: 28562196 DOI: 10.1200/JOP.2016.019224]</w:t>
      </w:r>
    </w:p>
    <w:p w14:paraId="1870DDE4" w14:textId="640D55D3" w:rsidR="00514591" w:rsidRPr="00514591" w:rsidRDefault="00BA6431" w:rsidP="00514591">
      <w:pPr>
        <w:spacing w:line="360" w:lineRule="auto"/>
        <w:jc w:val="both"/>
        <w:rPr>
          <w:rFonts w:ascii="Book Antiqua" w:hAnsi="Book Antiqua"/>
        </w:rPr>
      </w:pPr>
      <w:r>
        <w:rPr>
          <w:rFonts w:ascii="Book Antiqua" w:hAnsi="Book Antiqua" w:hint="eastAsia"/>
          <w:lang w:eastAsia="zh-CN"/>
        </w:rPr>
        <w:t>47</w:t>
      </w:r>
      <w:r w:rsidR="00514591" w:rsidRPr="00514591">
        <w:rPr>
          <w:rFonts w:ascii="Book Antiqua" w:hAnsi="Book Antiqua"/>
        </w:rPr>
        <w:t xml:space="preserve"> </w:t>
      </w:r>
      <w:r w:rsidR="00514591" w:rsidRPr="00514591">
        <w:rPr>
          <w:rFonts w:ascii="Book Antiqua" w:hAnsi="Book Antiqua"/>
          <w:b/>
          <w:bCs/>
        </w:rPr>
        <w:t>Fuller MJ</w:t>
      </w:r>
      <w:r w:rsidR="00514591" w:rsidRPr="00514591">
        <w:rPr>
          <w:rFonts w:ascii="Book Antiqua" w:hAnsi="Book Antiqua"/>
        </w:rPr>
        <w:t xml:space="preserve">, Callendret B, Zhu B, Freeman GJ, Hasselschwert DL, Satterfield W, Sharpe AH, Dustin LB, Rice CM, Grakoui A, Ahmed R, Walker CM. Immunotherapy of chronic hepatitis C virus infection with antibodies against programmed cell death-1 (PD-1). </w:t>
      </w:r>
      <w:r w:rsidR="00781FF9">
        <w:rPr>
          <w:rFonts w:ascii="Book Antiqua" w:hAnsi="Book Antiqua"/>
          <w:i/>
          <w:iCs/>
        </w:rPr>
        <w:t>Proc Natl Acad Sci US</w:t>
      </w:r>
      <w:r w:rsidR="00514591" w:rsidRPr="00514591">
        <w:rPr>
          <w:rFonts w:ascii="Book Antiqua" w:hAnsi="Book Antiqua"/>
          <w:i/>
          <w:iCs/>
        </w:rPr>
        <w:t>A</w:t>
      </w:r>
      <w:r w:rsidR="00514591" w:rsidRPr="00514591">
        <w:rPr>
          <w:rFonts w:ascii="Book Antiqua" w:hAnsi="Book Antiqua"/>
        </w:rPr>
        <w:t xml:space="preserve"> 2013; </w:t>
      </w:r>
      <w:r w:rsidR="00514591" w:rsidRPr="00514591">
        <w:rPr>
          <w:rFonts w:ascii="Book Antiqua" w:hAnsi="Book Antiqua"/>
          <w:b/>
          <w:bCs/>
        </w:rPr>
        <w:t>110</w:t>
      </w:r>
      <w:r w:rsidR="00514591" w:rsidRPr="00514591">
        <w:rPr>
          <w:rFonts w:ascii="Book Antiqua" w:hAnsi="Book Antiqua"/>
        </w:rPr>
        <w:t>: 15001-15006 [PMID: 23980172 DOI: 10.1073/pnas.1312772110]</w:t>
      </w:r>
    </w:p>
    <w:p w14:paraId="3CFD304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48</w:t>
      </w:r>
      <w:r w:rsidR="00514591" w:rsidRPr="00514591">
        <w:rPr>
          <w:rFonts w:ascii="Book Antiqua" w:hAnsi="Book Antiqua"/>
        </w:rPr>
        <w:t xml:space="preserve"> </w:t>
      </w:r>
      <w:r w:rsidR="00514591" w:rsidRPr="00514591">
        <w:rPr>
          <w:rFonts w:ascii="Book Antiqua" w:hAnsi="Book Antiqua"/>
          <w:b/>
          <w:bCs/>
        </w:rPr>
        <w:t>Zen Y</w:t>
      </w:r>
      <w:r w:rsidR="00514591" w:rsidRPr="00514591">
        <w:rPr>
          <w:rFonts w:ascii="Book Antiqua" w:hAnsi="Book Antiqua"/>
        </w:rPr>
        <w:t xml:space="preserve">, Yeh MM. Hepatotoxicity of immune checkpoint inhibitors: a histology study of seven cases in comparison with autoimmune hepatitis and idiosyncratic drug-induced liver injury. </w:t>
      </w:r>
      <w:r w:rsidR="00514591" w:rsidRPr="00514591">
        <w:rPr>
          <w:rFonts w:ascii="Book Antiqua" w:hAnsi="Book Antiqua"/>
          <w:i/>
          <w:iCs/>
        </w:rPr>
        <w:t>Mod Pathol</w:t>
      </w:r>
      <w:r w:rsidR="00514591" w:rsidRPr="00514591">
        <w:rPr>
          <w:rFonts w:ascii="Book Antiqua" w:hAnsi="Book Antiqua"/>
        </w:rPr>
        <w:t xml:space="preserve"> 2018; </w:t>
      </w:r>
      <w:r w:rsidR="00514591" w:rsidRPr="00514591">
        <w:rPr>
          <w:rFonts w:ascii="Book Antiqua" w:hAnsi="Book Antiqua"/>
          <w:b/>
          <w:bCs/>
        </w:rPr>
        <w:t>31</w:t>
      </w:r>
      <w:r w:rsidR="00514591" w:rsidRPr="00514591">
        <w:rPr>
          <w:rFonts w:ascii="Book Antiqua" w:hAnsi="Book Antiqua"/>
        </w:rPr>
        <w:t>: 965-973 [PMID: 29403081 DOI: 10.1038/s41379-018-0013-y]</w:t>
      </w:r>
    </w:p>
    <w:p w14:paraId="58329D7D"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49</w:t>
      </w:r>
      <w:r w:rsidR="00514591" w:rsidRPr="00514591">
        <w:rPr>
          <w:rFonts w:ascii="Book Antiqua" w:hAnsi="Book Antiqua"/>
        </w:rPr>
        <w:t xml:space="preserve"> </w:t>
      </w:r>
      <w:r w:rsidR="00514591" w:rsidRPr="00514591">
        <w:rPr>
          <w:rFonts w:ascii="Book Antiqua" w:hAnsi="Book Antiqua"/>
          <w:b/>
          <w:bCs/>
        </w:rPr>
        <w:t>Danan G</w:t>
      </w:r>
      <w:r w:rsidR="00514591" w:rsidRPr="00514591">
        <w:rPr>
          <w:rFonts w:ascii="Book Antiqua" w:hAnsi="Book Antiqua"/>
        </w:rPr>
        <w:t xml:space="preserve">, Benichou C. Causality assessment of adverse reactions to drugs--I. A novel method based on the conclusions of international consensus meetings: application to </w:t>
      </w:r>
      <w:r w:rsidR="00514591" w:rsidRPr="00514591">
        <w:rPr>
          <w:rFonts w:ascii="Book Antiqua" w:hAnsi="Book Antiqua"/>
        </w:rPr>
        <w:lastRenderedPageBreak/>
        <w:t xml:space="preserve">drug-induced liver injuries. </w:t>
      </w:r>
      <w:r w:rsidR="00514591" w:rsidRPr="00514591">
        <w:rPr>
          <w:rFonts w:ascii="Book Antiqua" w:hAnsi="Book Antiqua"/>
          <w:i/>
          <w:iCs/>
        </w:rPr>
        <w:t>J Clin Epidemiol</w:t>
      </w:r>
      <w:r w:rsidR="00514591" w:rsidRPr="00514591">
        <w:rPr>
          <w:rFonts w:ascii="Book Antiqua" w:hAnsi="Book Antiqua"/>
        </w:rPr>
        <w:t xml:space="preserve"> 1993; </w:t>
      </w:r>
      <w:r w:rsidR="00514591" w:rsidRPr="00514591">
        <w:rPr>
          <w:rFonts w:ascii="Book Antiqua" w:hAnsi="Book Antiqua"/>
          <w:b/>
          <w:bCs/>
        </w:rPr>
        <w:t>46</w:t>
      </w:r>
      <w:r w:rsidR="00514591" w:rsidRPr="00514591">
        <w:rPr>
          <w:rFonts w:ascii="Book Antiqua" w:hAnsi="Book Antiqua"/>
        </w:rPr>
        <w:t>: 1323-1330 [PMID: 8229110 DOI: 10.1016/0895-4356(93)90101-6]</w:t>
      </w:r>
    </w:p>
    <w:p w14:paraId="28D0A1FF"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50</w:t>
      </w:r>
      <w:r w:rsidR="00514591" w:rsidRPr="00514591">
        <w:rPr>
          <w:rFonts w:ascii="Book Antiqua" w:hAnsi="Book Antiqua"/>
        </w:rPr>
        <w:t xml:space="preserve"> </w:t>
      </w:r>
      <w:r w:rsidR="00514591" w:rsidRPr="00514591">
        <w:rPr>
          <w:rFonts w:ascii="Book Antiqua" w:hAnsi="Book Antiqua"/>
          <w:b/>
          <w:bCs/>
        </w:rPr>
        <w:t>Bernardo SG</w:t>
      </w:r>
      <w:r w:rsidR="00514591" w:rsidRPr="00514591">
        <w:rPr>
          <w:rFonts w:ascii="Book Antiqua" w:hAnsi="Book Antiqua"/>
        </w:rPr>
        <w:t xml:space="preserve">, Moskalenko M, Pan M, Shah S, Sidhu HK, Sicular S, Harcharik S, Chang R, Friedlander P, Saenger YM. Elevated rates of transaminitis during ipilimumab therapy for metastatic melanoma. </w:t>
      </w:r>
      <w:r w:rsidR="00514591" w:rsidRPr="00514591">
        <w:rPr>
          <w:rFonts w:ascii="Book Antiqua" w:hAnsi="Book Antiqua"/>
          <w:i/>
          <w:iCs/>
        </w:rPr>
        <w:t>Melanoma Res</w:t>
      </w:r>
      <w:r w:rsidR="00514591" w:rsidRPr="00514591">
        <w:rPr>
          <w:rFonts w:ascii="Book Antiqua" w:hAnsi="Book Antiqua"/>
        </w:rPr>
        <w:t xml:space="preserve"> 2013; </w:t>
      </w:r>
      <w:r w:rsidR="00514591" w:rsidRPr="00514591">
        <w:rPr>
          <w:rFonts w:ascii="Book Antiqua" w:hAnsi="Book Antiqua"/>
          <w:b/>
          <w:bCs/>
        </w:rPr>
        <w:t>23</w:t>
      </w:r>
      <w:r w:rsidR="00514591" w:rsidRPr="00514591">
        <w:rPr>
          <w:rFonts w:ascii="Book Antiqua" w:hAnsi="Book Antiqua"/>
        </w:rPr>
        <w:t>: 47-54 [PMID: 23262440 DOI: 10.1097/CMR.0b013e32835c7e68]</w:t>
      </w:r>
    </w:p>
    <w:p w14:paraId="66E3887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51</w:t>
      </w:r>
      <w:r w:rsidR="00514591" w:rsidRPr="00514591">
        <w:rPr>
          <w:rFonts w:ascii="Book Antiqua" w:hAnsi="Book Antiqua"/>
        </w:rPr>
        <w:t xml:space="preserve"> </w:t>
      </w:r>
      <w:r w:rsidR="00514591" w:rsidRPr="00514591">
        <w:rPr>
          <w:rFonts w:ascii="Book Antiqua" w:hAnsi="Book Antiqua"/>
          <w:b/>
          <w:bCs/>
        </w:rPr>
        <w:t>Gauci ML</w:t>
      </w:r>
      <w:r w:rsidR="00514591" w:rsidRPr="00514591">
        <w:rPr>
          <w:rFonts w:ascii="Book Antiqua" w:hAnsi="Book Antiqua"/>
        </w:rPr>
        <w:t xml:space="preserve">, Baroudjian B, Zeboulon C, Pages C, Poté N, Roux O, Bouattour M, Lebbé C; PATIO group. Immune-related hepatitis with immunotherapy: Are corticosteroids always needed? </w:t>
      </w:r>
      <w:r w:rsidR="00514591" w:rsidRPr="00514591">
        <w:rPr>
          <w:rFonts w:ascii="Book Antiqua" w:hAnsi="Book Antiqua"/>
          <w:i/>
          <w:iCs/>
        </w:rPr>
        <w:t>J Hepatol</w:t>
      </w:r>
      <w:r w:rsidR="00514591" w:rsidRPr="00514591">
        <w:rPr>
          <w:rFonts w:ascii="Book Antiqua" w:hAnsi="Book Antiqua"/>
        </w:rPr>
        <w:t xml:space="preserve"> 2018; </w:t>
      </w:r>
      <w:r w:rsidR="00514591" w:rsidRPr="00514591">
        <w:rPr>
          <w:rFonts w:ascii="Book Antiqua" w:hAnsi="Book Antiqua"/>
          <w:b/>
          <w:bCs/>
        </w:rPr>
        <w:t>69</w:t>
      </w:r>
      <w:r w:rsidR="00514591" w:rsidRPr="00514591">
        <w:rPr>
          <w:rFonts w:ascii="Book Antiqua" w:hAnsi="Book Antiqua"/>
        </w:rPr>
        <w:t>: 548-550 [PMID: 29747956 DOI: 10.1016/j.jhep.2018.03.034]</w:t>
      </w:r>
    </w:p>
    <w:p w14:paraId="41F6BBA8" w14:textId="2D2C5A9A" w:rsidR="00514591" w:rsidRPr="00514591" w:rsidRDefault="00BA6431" w:rsidP="00514591">
      <w:pPr>
        <w:spacing w:line="360" w:lineRule="auto"/>
        <w:jc w:val="both"/>
        <w:rPr>
          <w:rFonts w:ascii="Book Antiqua" w:hAnsi="Book Antiqua"/>
        </w:rPr>
      </w:pPr>
      <w:r>
        <w:rPr>
          <w:rFonts w:ascii="Book Antiqua" w:hAnsi="Book Antiqua" w:hint="eastAsia"/>
          <w:lang w:eastAsia="zh-CN"/>
        </w:rPr>
        <w:t>52</w:t>
      </w:r>
      <w:r w:rsidR="00514591" w:rsidRPr="00514591">
        <w:rPr>
          <w:rFonts w:ascii="Book Antiqua" w:hAnsi="Book Antiqua"/>
        </w:rPr>
        <w:t xml:space="preserve"> </w:t>
      </w:r>
      <w:r w:rsidR="00514591" w:rsidRPr="007256FC">
        <w:rPr>
          <w:rFonts w:ascii="Book Antiqua" w:hAnsi="Book Antiqua"/>
          <w:b/>
        </w:rPr>
        <w:t>European Association for the Study of the Liver</w:t>
      </w:r>
      <w:r w:rsidR="00514591" w:rsidRPr="00514591">
        <w:rPr>
          <w:rFonts w:ascii="Book Antiqua" w:hAnsi="Book Antiqua"/>
        </w:rPr>
        <w:t xml:space="preserve">; Clinical </w:t>
      </w:r>
      <w:r w:rsidR="00781FF9">
        <w:rPr>
          <w:rFonts w:ascii="Book Antiqua" w:hAnsi="Book Antiqua"/>
        </w:rPr>
        <w:t>Practice Guideline Panel: Chair</w:t>
      </w:r>
      <w:r w:rsidR="00514591" w:rsidRPr="00514591">
        <w:rPr>
          <w:rFonts w:ascii="Book Antiqua" w:hAnsi="Book Antiqua"/>
        </w:rPr>
        <w:t>; Panel members; EASL</w:t>
      </w:r>
      <w:r w:rsidR="00781FF9">
        <w:rPr>
          <w:rFonts w:ascii="Book Antiqua" w:hAnsi="Book Antiqua"/>
        </w:rPr>
        <w:t xml:space="preserve"> Governing Board representative</w:t>
      </w:r>
      <w:r w:rsidR="00514591" w:rsidRPr="00514591">
        <w:rPr>
          <w:rFonts w:ascii="Book Antiqua" w:hAnsi="Book Antiqua"/>
        </w:rPr>
        <w:t xml:space="preserve">. EASL Clinical Practice Guidelines: Drug-induced liver injury. </w:t>
      </w:r>
      <w:r w:rsidR="00514591" w:rsidRPr="00064431">
        <w:rPr>
          <w:rFonts w:ascii="Book Antiqua" w:hAnsi="Book Antiqua"/>
          <w:i/>
        </w:rPr>
        <w:t>J Hepatol</w:t>
      </w:r>
      <w:r w:rsidR="00514591" w:rsidRPr="006C7C58">
        <w:rPr>
          <w:rFonts w:ascii="Book Antiqua" w:hAnsi="Book Antiqua"/>
        </w:rPr>
        <w:t xml:space="preserve"> </w:t>
      </w:r>
      <w:r w:rsidR="00514591" w:rsidRPr="00514591">
        <w:rPr>
          <w:rFonts w:ascii="Book Antiqua" w:hAnsi="Book Antiqua"/>
        </w:rPr>
        <w:t xml:space="preserve">2019; </w:t>
      </w:r>
      <w:r w:rsidR="00514591" w:rsidRPr="00064431">
        <w:rPr>
          <w:rFonts w:ascii="Book Antiqua" w:hAnsi="Book Antiqua"/>
          <w:b/>
        </w:rPr>
        <w:t>70:</w:t>
      </w:r>
      <w:r w:rsidR="00514591" w:rsidRPr="00514591">
        <w:rPr>
          <w:rFonts w:ascii="Book Antiqua" w:hAnsi="Book Antiqua"/>
        </w:rPr>
        <w:t xml:space="preserve"> 1222-1261 [</w:t>
      </w:r>
      <w:r w:rsidR="00064431" w:rsidRPr="00064431">
        <w:rPr>
          <w:rFonts w:ascii="Book Antiqua" w:hAnsi="Book Antiqua"/>
        </w:rPr>
        <w:t>PMID: 30926241</w:t>
      </w:r>
      <w:r w:rsidR="00064431" w:rsidRPr="00064431">
        <w:rPr>
          <w:rFonts w:ascii="Book Antiqua" w:hAnsi="Book Antiqua" w:hint="eastAsia"/>
        </w:rPr>
        <w:t xml:space="preserve"> </w:t>
      </w:r>
      <w:r w:rsidR="00514591" w:rsidRPr="00514591">
        <w:rPr>
          <w:rFonts w:ascii="Book Antiqua" w:hAnsi="Book Antiqua"/>
        </w:rPr>
        <w:t>DOI:</w:t>
      </w:r>
      <w:r w:rsidR="00064431">
        <w:rPr>
          <w:rFonts w:ascii="Book Antiqua" w:hAnsi="Book Antiqua" w:hint="eastAsia"/>
          <w:lang w:eastAsia="zh-CN"/>
        </w:rPr>
        <w:t xml:space="preserve"> </w:t>
      </w:r>
      <w:r w:rsidR="00514591" w:rsidRPr="00514591">
        <w:rPr>
          <w:rFonts w:ascii="Book Antiqua" w:hAnsi="Book Antiqua"/>
        </w:rPr>
        <w:t>10.1016/j.jhep.2019.02.014]</w:t>
      </w:r>
    </w:p>
    <w:p w14:paraId="3189FCFD" w14:textId="77777777" w:rsidR="00514591" w:rsidRPr="00514591" w:rsidRDefault="00BA6431" w:rsidP="00514591">
      <w:pPr>
        <w:spacing w:line="360" w:lineRule="auto"/>
        <w:jc w:val="both"/>
        <w:rPr>
          <w:rFonts w:ascii="Book Antiqua" w:hAnsi="Book Antiqua"/>
          <w:lang w:eastAsia="zh-CN"/>
        </w:rPr>
      </w:pPr>
      <w:r w:rsidRPr="00370BCB">
        <w:rPr>
          <w:rFonts w:ascii="Book Antiqua" w:hAnsi="Book Antiqua" w:hint="eastAsia"/>
          <w:lang w:eastAsia="zh-CN"/>
        </w:rPr>
        <w:t>53</w:t>
      </w:r>
      <w:r w:rsidR="001465EA" w:rsidRPr="00370BCB">
        <w:rPr>
          <w:rFonts w:ascii="Book Antiqua" w:hAnsi="Book Antiqua"/>
        </w:rPr>
        <w:t xml:space="preserve"> </w:t>
      </w:r>
      <w:r w:rsidR="00514591" w:rsidRPr="00370BCB">
        <w:rPr>
          <w:rFonts w:ascii="Book Antiqua" w:hAnsi="Book Antiqua"/>
          <w:b/>
        </w:rPr>
        <w:t>eviQ</w:t>
      </w:r>
      <w:r w:rsidR="00514591" w:rsidRPr="00370BCB">
        <w:rPr>
          <w:rFonts w:ascii="Book Antiqua" w:hAnsi="Book Antiqua"/>
        </w:rPr>
        <w:t>. Management of immune-related adverse events 2020.</w:t>
      </w:r>
      <w:r w:rsidR="001465EA" w:rsidRPr="00370BCB">
        <w:rPr>
          <w:rFonts w:ascii="Book Antiqua" w:hAnsi="Book Antiqua"/>
        </w:rPr>
        <w:t xml:space="preserve"> [</w:t>
      </w:r>
      <w:r w:rsidR="00D2056E" w:rsidRPr="00370BCB">
        <w:rPr>
          <w:rFonts w:ascii="Book Antiqua" w:hAnsi="Book Antiqua" w:hint="eastAsia"/>
          <w:lang w:eastAsia="zh-CN"/>
        </w:rPr>
        <w:t>c</w:t>
      </w:r>
      <w:r w:rsidR="001465EA" w:rsidRPr="00370BCB">
        <w:rPr>
          <w:rFonts w:ascii="Book Antiqua" w:hAnsi="Book Antiqua"/>
        </w:rPr>
        <w:t>ited 1 March 2021]</w:t>
      </w:r>
      <w:r w:rsidR="001465EA" w:rsidRPr="00370BCB">
        <w:rPr>
          <w:rFonts w:ascii="Book Antiqua" w:hAnsi="Book Antiqua" w:hint="eastAsia"/>
          <w:lang w:eastAsia="zh-CN"/>
        </w:rPr>
        <w:t>.</w:t>
      </w:r>
      <w:r w:rsidR="001465EA" w:rsidRPr="00370BCB">
        <w:rPr>
          <w:rFonts w:ascii="Book Antiqua" w:hAnsi="Book Antiqua"/>
        </w:rPr>
        <w:t xml:space="preserve"> </w:t>
      </w:r>
      <w:r w:rsidR="00514591" w:rsidRPr="00370BCB">
        <w:rPr>
          <w:rFonts w:ascii="Book Antiqua" w:hAnsi="Book Antiqua"/>
        </w:rPr>
        <w:t>Available from: https://www.eviq.org.au/clinical-resources/side-effect-and-toxicity-management/immunological/1993-management-of-immune-related</w:t>
      </w:r>
      <w:r w:rsidR="001465EA" w:rsidRPr="00370BCB">
        <w:rPr>
          <w:rFonts w:ascii="Book Antiqua" w:hAnsi="Book Antiqua"/>
        </w:rPr>
        <w:t>-adverse-events#hepatotoxicity</w:t>
      </w:r>
    </w:p>
    <w:p w14:paraId="15BB516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54</w:t>
      </w:r>
      <w:r w:rsidR="00514591" w:rsidRPr="00514591">
        <w:rPr>
          <w:rFonts w:ascii="Book Antiqua" w:hAnsi="Book Antiqua"/>
        </w:rPr>
        <w:t xml:space="preserve"> </w:t>
      </w:r>
      <w:r w:rsidR="00514591" w:rsidRPr="00514591">
        <w:rPr>
          <w:rFonts w:ascii="Book Antiqua" w:hAnsi="Book Antiqua"/>
          <w:b/>
          <w:bCs/>
        </w:rPr>
        <w:t>Iwamoto K</w:t>
      </w:r>
      <w:r w:rsidR="00514591" w:rsidRPr="00514591">
        <w:rPr>
          <w:rFonts w:ascii="Book Antiqua" w:hAnsi="Book Antiqua"/>
        </w:rPr>
        <w:t xml:space="preserve">, Ishitsuka Y, Tanaka R, Sekine I, Fujimoto M. Azathioprine combination therapy for steroid-refractory hepatic immune system-related adverse events. </w:t>
      </w:r>
      <w:r w:rsidR="00514591" w:rsidRPr="00514591">
        <w:rPr>
          <w:rFonts w:ascii="Book Antiqua" w:hAnsi="Book Antiqua"/>
          <w:i/>
          <w:iCs/>
        </w:rPr>
        <w:t>Eur J Dermatol</w:t>
      </w:r>
      <w:r w:rsidR="00514591" w:rsidRPr="00514591">
        <w:rPr>
          <w:rFonts w:ascii="Book Antiqua" w:hAnsi="Book Antiqua"/>
        </w:rPr>
        <w:t xml:space="preserve"> 2017; </w:t>
      </w:r>
      <w:r w:rsidR="00514591" w:rsidRPr="00514591">
        <w:rPr>
          <w:rFonts w:ascii="Book Antiqua" w:hAnsi="Book Antiqua"/>
          <w:b/>
          <w:bCs/>
        </w:rPr>
        <w:t>27</w:t>
      </w:r>
      <w:r w:rsidR="00514591" w:rsidRPr="00514591">
        <w:rPr>
          <w:rFonts w:ascii="Book Antiqua" w:hAnsi="Book Antiqua"/>
        </w:rPr>
        <w:t>: 301-303 [PMID: 28468733 DOI: 10.1684/ejd.2017.2973]</w:t>
      </w:r>
    </w:p>
    <w:p w14:paraId="4E2E8793" w14:textId="77777777" w:rsidR="00514591" w:rsidRPr="00514591" w:rsidRDefault="00BA6431" w:rsidP="00514591">
      <w:pPr>
        <w:spacing w:line="360" w:lineRule="auto"/>
        <w:jc w:val="both"/>
        <w:rPr>
          <w:rFonts w:ascii="Book Antiqua" w:hAnsi="Book Antiqua"/>
          <w:lang w:eastAsia="zh-CN"/>
        </w:rPr>
      </w:pPr>
      <w:r>
        <w:rPr>
          <w:rFonts w:ascii="Book Antiqua" w:hAnsi="Book Antiqua" w:hint="eastAsia"/>
          <w:lang w:eastAsia="zh-CN"/>
        </w:rPr>
        <w:t>55</w:t>
      </w:r>
      <w:r w:rsidR="00514591" w:rsidRPr="00514591">
        <w:rPr>
          <w:rFonts w:ascii="Book Antiqua" w:hAnsi="Book Antiqua"/>
        </w:rPr>
        <w:t xml:space="preserve"> </w:t>
      </w:r>
      <w:r w:rsidR="00355B03" w:rsidRPr="00355B03">
        <w:rPr>
          <w:rFonts w:ascii="Book Antiqua" w:hAnsi="Book Antiqua"/>
          <w:b/>
        </w:rPr>
        <w:t>Cheng R,</w:t>
      </w:r>
      <w:r w:rsidR="00355B03" w:rsidRPr="00355B03">
        <w:rPr>
          <w:rFonts w:ascii="Book Antiqua" w:hAnsi="Book Antiqua"/>
        </w:rPr>
        <w:t xml:space="preserve"> Cooper A, Kench J, Watson G, Bye W, McNeil C, Shackel N. Ipilimumab-induced toxicities and the gastroenterologist.</w:t>
      </w:r>
      <w:r w:rsidR="00355B03">
        <w:rPr>
          <w:rFonts w:ascii="Book Antiqua" w:hAnsi="Book Antiqua"/>
        </w:rPr>
        <w:t xml:space="preserve"> </w:t>
      </w:r>
      <w:r w:rsidR="00355B03" w:rsidRPr="00355B03">
        <w:rPr>
          <w:rFonts w:ascii="Book Antiqua" w:hAnsi="Book Antiqua"/>
          <w:i/>
        </w:rPr>
        <w:t>J Gastroenterol Hepatol</w:t>
      </w:r>
      <w:r w:rsidR="00355B03" w:rsidRPr="00355B03">
        <w:rPr>
          <w:rFonts w:ascii="Book Antiqua" w:hAnsi="Book Antiqua"/>
        </w:rPr>
        <w:t xml:space="preserve"> 2015;</w:t>
      </w:r>
      <w:r w:rsidR="00355B03" w:rsidRPr="00355B03">
        <w:rPr>
          <w:rFonts w:ascii="Book Antiqua" w:hAnsi="Book Antiqua" w:hint="eastAsia"/>
          <w:b/>
          <w:lang w:eastAsia="zh-CN"/>
        </w:rPr>
        <w:t xml:space="preserve"> </w:t>
      </w:r>
      <w:r w:rsidR="00355B03" w:rsidRPr="00355B03">
        <w:rPr>
          <w:rFonts w:ascii="Book Antiqua" w:hAnsi="Book Antiqua"/>
          <w:b/>
        </w:rPr>
        <w:t>30:</w:t>
      </w:r>
      <w:r w:rsidR="00355B03" w:rsidRPr="00355B03">
        <w:rPr>
          <w:rFonts w:ascii="Book Antiqua" w:hAnsi="Book Antiqua" w:hint="eastAsia"/>
          <w:b/>
          <w:lang w:eastAsia="zh-CN"/>
        </w:rPr>
        <w:t xml:space="preserve"> </w:t>
      </w:r>
      <w:r w:rsidR="00355B03">
        <w:rPr>
          <w:rFonts w:ascii="Book Antiqua" w:hAnsi="Book Antiqua"/>
        </w:rPr>
        <w:t>657-</w:t>
      </w:r>
      <w:r w:rsidR="00355B03">
        <w:rPr>
          <w:rFonts w:ascii="Book Antiqua" w:hAnsi="Book Antiqua" w:hint="eastAsia"/>
          <w:lang w:eastAsia="zh-CN"/>
        </w:rPr>
        <w:t>6</w:t>
      </w:r>
      <w:r w:rsidR="00355B03">
        <w:rPr>
          <w:rFonts w:ascii="Book Antiqua" w:hAnsi="Book Antiqua"/>
        </w:rPr>
        <w:t xml:space="preserve">66 </w:t>
      </w:r>
      <w:r w:rsidR="00355B03">
        <w:rPr>
          <w:rFonts w:ascii="Book Antiqua" w:hAnsi="Book Antiqua" w:hint="eastAsia"/>
          <w:lang w:eastAsia="zh-CN"/>
        </w:rPr>
        <w:t>[</w:t>
      </w:r>
      <w:r w:rsidR="00355B03" w:rsidRPr="00355B03">
        <w:rPr>
          <w:rFonts w:ascii="Book Antiqua" w:hAnsi="Book Antiqua"/>
        </w:rPr>
        <w:t xml:space="preserve">PMID: 25641691 </w:t>
      </w:r>
      <w:r w:rsidR="00355B03">
        <w:rPr>
          <w:rFonts w:ascii="Book Antiqua" w:hAnsi="Book Antiqua" w:hint="eastAsia"/>
          <w:lang w:eastAsia="zh-CN"/>
        </w:rPr>
        <w:t>DOI</w:t>
      </w:r>
      <w:r w:rsidR="00355B03">
        <w:rPr>
          <w:rFonts w:ascii="Book Antiqua" w:hAnsi="Book Antiqua"/>
        </w:rPr>
        <w:t>: 10.1111/jgh.12888</w:t>
      </w:r>
      <w:r w:rsidR="00355B03">
        <w:rPr>
          <w:rFonts w:ascii="Book Antiqua" w:hAnsi="Book Antiqua" w:hint="eastAsia"/>
          <w:lang w:eastAsia="zh-CN"/>
        </w:rPr>
        <w:t>]</w:t>
      </w:r>
    </w:p>
    <w:p w14:paraId="6A14043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56</w:t>
      </w:r>
      <w:r w:rsidR="00514591" w:rsidRPr="00514591">
        <w:rPr>
          <w:rFonts w:ascii="Book Antiqua" w:hAnsi="Book Antiqua"/>
        </w:rPr>
        <w:t xml:space="preserve"> </w:t>
      </w:r>
      <w:r w:rsidR="00514591" w:rsidRPr="00514591">
        <w:rPr>
          <w:rFonts w:ascii="Book Antiqua" w:hAnsi="Book Antiqua"/>
          <w:b/>
          <w:bCs/>
        </w:rPr>
        <w:t>Huffman BM</w:t>
      </w:r>
      <w:r w:rsidR="00514591" w:rsidRPr="00514591">
        <w:rPr>
          <w:rFonts w:ascii="Book Antiqua" w:hAnsi="Book Antiqua"/>
        </w:rPr>
        <w:t xml:space="preserve">, Kottschade LA, Kamath PS, Markovic SN. Hepatotoxicity After Immune Checkpoint Inhibitor Therapy in Melanoma: Natural Progression and Management. </w:t>
      </w:r>
      <w:r w:rsidR="00514591" w:rsidRPr="00514591">
        <w:rPr>
          <w:rFonts w:ascii="Book Antiqua" w:hAnsi="Book Antiqua"/>
          <w:i/>
          <w:iCs/>
        </w:rPr>
        <w:t>Am J Clin Oncol</w:t>
      </w:r>
      <w:r w:rsidR="00514591" w:rsidRPr="00514591">
        <w:rPr>
          <w:rFonts w:ascii="Book Antiqua" w:hAnsi="Book Antiqua"/>
        </w:rPr>
        <w:t xml:space="preserve"> 2018; </w:t>
      </w:r>
      <w:r w:rsidR="00514591" w:rsidRPr="00514591">
        <w:rPr>
          <w:rFonts w:ascii="Book Antiqua" w:hAnsi="Book Antiqua"/>
          <w:b/>
          <w:bCs/>
        </w:rPr>
        <w:t>41</w:t>
      </w:r>
      <w:r w:rsidR="00514591" w:rsidRPr="00514591">
        <w:rPr>
          <w:rFonts w:ascii="Book Antiqua" w:hAnsi="Book Antiqua"/>
        </w:rPr>
        <w:t>: 760-765 [PMID: 28749795 DOI: 10.1097/COC.0000000000000374]</w:t>
      </w:r>
    </w:p>
    <w:p w14:paraId="1CF2AED0"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lastRenderedPageBreak/>
        <w:t>57</w:t>
      </w:r>
      <w:r w:rsidR="00514591" w:rsidRPr="00514591">
        <w:rPr>
          <w:rFonts w:ascii="Book Antiqua" w:hAnsi="Book Antiqua"/>
        </w:rPr>
        <w:t xml:space="preserve"> </w:t>
      </w:r>
      <w:r w:rsidR="00514591" w:rsidRPr="00514591">
        <w:rPr>
          <w:rFonts w:ascii="Book Antiqua" w:hAnsi="Book Antiqua"/>
          <w:b/>
          <w:bCs/>
        </w:rPr>
        <w:t>Mack CL</w:t>
      </w:r>
      <w:r w:rsidR="00514591" w:rsidRPr="00514591">
        <w:rPr>
          <w:rFonts w:ascii="Book Antiqua" w:hAnsi="Book Antiqua"/>
        </w:rPr>
        <w:t xml:space="preserve">, Adams D, Assis DN, Kerkar N, Manns MP, Mayo MJ, Vierling JM, Alsawas M, Murad MH, Czaja AJ. Diagnosis and Management of Autoimmune Hepatitis in Adults and Children: 2019 Practice Guidance and Guidelines From the American Association for the Study of Liver Diseases. </w:t>
      </w:r>
      <w:r w:rsidR="00514591" w:rsidRPr="00514591">
        <w:rPr>
          <w:rFonts w:ascii="Book Antiqua" w:hAnsi="Book Antiqua"/>
          <w:i/>
          <w:iCs/>
        </w:rPr>
        <w:t>Hepatology</w:t>
      </w:r>
      <w:r w:rsidR="00514591" w:rsidRPr="00514591">
        <w:rPr>
          <w:rFonts w:ascii="Book Antiqua" w:hAnsi="Book Antiqua"/>
        </w:rPr>
        <w:t xml:space="preserve"> 2020; </w:t>
      </w:r>
      <w:r w:rsidR="00514591" w:rsidRPr="00514591">
        <w:rPr>
          <w:rFonts w:ascii="Book Antiqua" w:hAnsi="Book Antiqua"/>
          <w:b/>
          <w:bCs/>
        </w:rPr>
        <w:t>72</w:t>
      </w:r>
      <w:r w:rsidR="00514591" w:rsidRPr="00514591">
        <w:rPr>
          <w:rFonts w:ascii="Book Antiqua" w:hAnsi="Book Antiqua"/>
        </w:rPr>
        <w:t>: 671-722 [PMID: 31863477 DOI: 10.1002/hep.31065]</w:t>
      </w:r>
    </w:p>
    <w:p w14:paraId="25292C9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58</w:t>
      </w:r>
      <w:r w:rsidR="00514591" w:rsidRPr="00514591">
        <w:rPr>
          <w:rFonts w:ascii="Book Antiqua" w:hAnsi="Book Antiqua"/>
        </w:rPr>
        <w:t xml:space="preserve"> </w:t>
      </w:r>
      <w:r w:rsidR="00514591" w:rsidRPr="00514591">
        <w:rPr>
          <w:rFonts w:ascii="Book Antiqua" w:hAnsi="Book Antiqua"/>
          <w:b/>
          <w:bCs/>
        </w:rPr>
        <w:t>Chmiel KD</w:t>
      </w:r>
      <w:r w:rsidR="00514591" w:rsidRPr="00514591">
        <w:rPr>
          <w:rFonts w:ascii="Book Antiqua" w:hAnsi="Book Antiqua"/>
        </w:rPr>
        <w:t xml:space="preserve">, Suan D, Liddle C, Nankivell B, Ibrahim R, Bautista C, Thompson J, Fulcher D, Kefford R. Resolution of severe ipilimumab-induced hepatitis after antithymocyte globulin therapy. </w:t>
      </w:r>
      <w:r w:rsidR="00514591" w:rsidRPr="00514591">
        <w:rPr>
          <w:rFonts w:ascii="Book Antiqua" w:hAnsi="Book Antiqua"/>
          <w:i/>
          <w:iCs/>
        </w:rPr>
        <w:t>J Clin Oncol</w:t>
      </w:r>
      <w:r w:rsidR="00514591" w:rsidRPr="00514591">
        <w:rPr>
          <w:rFonts w:ascii="Book Antiqua" w:hAnsi="Book Antiqua"/>
        </w:rPr>
        <w:t xml:space="preserve"> 2011; </w:t>
      </w:r>
      <w:r w:rsidR="00514591" w:rsidRPr="00514591">
        <w:rPr>
          <w:rFonts w:ascii="Book Antiqua" w:hAnsi="Book Antiqua"/>
          <w:b/>
          <w:bCs/>
        </w:rPr>
        <w:t>29</w:t>
      </w:r>
      <w:r w:rsidR="00514591" w:rsidRPr="00514591">
        <w:rPr>
          <w:rFonts w:ascii="Book Antiqua" w:hAnsi="Book Antiqua"/>
        </w:rPr>
        <w:t>: e237-e240 [PMID: 21220617 DOI: 10.1200/JCO.2010.32.2206]</w:t>
      </w:r>
    </w:p>
    <w:p w14:paraId="379F89B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59</w:t>
      </w:r>
      <w:r w:rsidR="00514591" w:rsidRPr="00514591">
        <w:rPr>
          <w:rFonts w:ascii="Book Antiqua" w:hAnsi="Book Antiqua"/>
        </w:rPr>
        <w:t xml:space="preserve"> </w:t>
      </w:r>
      <w:r w:rsidR="00514591" w:rsidRPr="00514591">
        <w:rPr>
          <w:rFonts w:ascii="Book Antiqua" w:hAnsi="Book Antiqua"/>
          <w:b/>
          <w:bCs/>
        </w:rPr>
        <w:t>Stroud CR</w:t>
      </w:r>
      <w:r w:rsidR="00514591" w:rsidRPr="00514591">
        <w:rPr>
          <w:rFonts w:ascii="Book Antiqua" w:hAnsi="Book Antiqua"/>
        </w:rPr>
        <w:t xml:space="preserve">, Hegde A, Cherry C, Naqash AR, Sharma N, Addepalli S, Cherukuri S, Parent T, Hardin J, Walker P. Tocilizumab for the management of immune mediated adverse events secondary to PD-1 blockade. </w:t>
      </w:r>
      <w:r w:rsidR="00514591" w:rsidRPr="00514591">
        <w:rPr>
          <w:rFonts w:ascii="Book Antiqua" w:hAnsi="Book Antiqua"/>
          <w:i/>
          <w:iCs/>
        </w:rPr>
        <w:t>J Oncol Pharm Pract</w:t>
      </w:r>
      <w:r w:rsidR="00514591" w:rsidRPr="00514591">
        <w:rPr>
          <w:rFonts w:ascii="Book Antiqua" w:hAnsi="Book Antiqua"/>
        </w:rPr>
        <w:t xml:space="preserve"> 2019; </w:t>
      </w:r>
      <w:r w:rsidR="00514591" w:rsidRPr="00514591">
        <w:rPr>
          <w:rFonts w:ascii="Book Antiqua" w:hAnsi="Book Antiqua"/>
          <w:b/>
          <w:bCs/>
        </w:rPr>
        <w:t>25</w:t>
      </w:r>
      <w:r w:rsidR="00514591" w:rsidRPr="00514591">
        <w:rPr>
          <w:rFonts w:ascii="Book Antiqua" w:hAnsi="Book Antiqua"/>
        </w:rPr>
        <w:t>: 551-557 [PMID: 29207939 DOI: 10.1177/1078155217745144]</w:t>
      </w:r>
    </w:p>
    <w:p w14:paraId="7E72556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60</w:t>
      </w:r>
      <w:r w:rsidR="00514591" w:rsidRPr="00514591">
        <w:rPr>
          <w:rFonts w:ascii="Book Antiqua" w:hAnsi="Book Antiqua"/>
        </w:rPr>
        <w:t xml:space="preserve"> </w:t>
      </w:r>
      <w:r w:rsidR="00514591" w:rsidRPr="00514591">
        <w:rPr>
          <w:rFonts w:ascii="Book Antiqua" w:hAnsi="Book Antiqua"/>
          <w:b/>
          <w:bCs/>
        </w:rPr>
        <w:t>Riveiro-Barciela M</w:t>
      </w:r>
      <w:r w:rsidR="00514591" w:rsidRPr="00514591">
        <w:rPr>
          <w:rFonts w:ascii="Book Antiqua" w:hAnsi="Book Antiqua"/>
        </w:rPr>
        <w:t xml:space="preserve">, Muñoz-Couselo E, Fernandez-Sojo J, Diaz-Mejia N, Parra-López R, Buti M. Acute liver failure due to immune-mediated hepatitis successfully managed with plasma exchange: New settings call for new treatment strategies? </w:t>
      </w:r>
      <w:r w:rsidR="00514591" w:rsidRPr="00514591">
        <w:rPr>
          <w:rFonts w:ascii="Book Antiqua" w:hAnsi="Book Antiqua"/>
          <w:i/>
          <w:iCs/>
        </w:rPr>
        <w:t>J Hepatol</w:t>
      </w:r>
      <w:r w:rsidR="00514591" w:rsidRPr="00514591">
        <w:rPr>
          <w:rFonts w:ascii="Book Antiqua" w:hAnsi="Book Antiqua"/>
        </w:rPr>
        <w:t xml:space="preserve"> 2019; </w:t>
      </w:r>
      <w:r w:rsidR="00514591" w:rsidRPr="00514591">
        <w:rPr>
          <w:rFonts w:ascii="Book Antiqua" w:hAnsi="Book Antiqua"/>
          <w:b/>
          <w:bCs/>
        </w:rPr>
        <w:t>70</w:t>
      </w:r>
      <w:r w:rsidR="00514591" w:rsidRPr="00514591">
        <w:rPr>
          <w:rFonts w:ascii="Book Antiqua" w:hAnsi="Book Antiqua"/>
        </w:rPr>
        <w:t>: 564-566 [PMID: 30503040 DOI: 10.1016/j.jhep.2018.10.020]</w:t>
      </w:r>
    </w:p>
    <w:p w14:paraId="0342D47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61</w:t>
      </w:r>
      <w:r w:rsidR="00514591" w:rsidRPr="00514591">
        <w:rPr>
          <w:rFonts w:ascii="Book Antiqua" w:hAnsi="Book Antiqua"/>
        </w:rPr>
        <w:t xml:space="preserve"> </w:t>
      </w:r>
      <w:r w:rsidR="00514591" w:rsidRPr="00514591">
        <w:rPr>
          <w:rFonts w:ascii="Book Antiqua" w:hAnsi="Book Antiqua"/>
          <w:b/>
          <w:bCs/>
        </w:rPr>
        <w:t>Corrigan M</w:t>
      </w:r>
      <w:r w:rsidR="00514591" w:rsidRPr="00514591">
        <w:rPr>
          <w:rFonts w:ascii="Book Antiqua" w:hAnsi="Book Antiqua"/>
        </w:rPr>
        <w:t xml:space="preserve">, Haydon G, Thompson F, Rajoriya N, Peplow CL, Hubscher SG, Steven N, Hirschfield GM, Armstrong MJ. Infliximab for the treatment of refractory immune-related hepatitis secondary to checkpoint inhibitors: A case report. </w:t>
      </w:r>
      <w:r w:rsidR="00514591" w:rsidRPr="00514591">
        <w:rPr>
          <w:rFonts w:ascii="Book Antiqua" w:hAnsi="Book Antiqua"/>
          <w:i/>
          <w:iCs/>
        </w:rPr>
        <w:t>JHEP Rep</w:t>
      </w:r>
      <w:r w:rsidR="00514591" w:rsidRPr="00514591">
        <w:rPr>
          <w:rFonts w:ascii="Book Antiqua" w:hAnsi="Book Antiqua"/>
        </w:rPr>
        <w:t xml:space="preserve"> 2019; </w:t>
      </w:r>
      <w:r w:rsidR="00514591" w:rsidRPr="00514591">
        <w:rPr>
          <w:rFonts w:ascii="Book Antiqua" w:hAnsi="Book Antiqua"/>
          <w:b/>
          <w:bCs/>
        </w:rPr>
        <w:t>1</w:t>
      </w:r>
      <w:r w:rsidR="00514591" w:rsidRPr="00514591">
        <w:rPr>
          <w:rFonts w:ascii="Book Antiqua" w:hAnsi="Book Antiqua"/>
        </w:rPr>
        <w:t>: 66-69 [PMID: 32039353 DOI: 10.1016/j.jhepr.2019.02.001]</w:t>
      </w:r>
    </w:p>
    <w:p w14:paraId="35DDABE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62</w:t>
      </w:r>
      <w:r w:rsidR="00514591" w:rsidRPr="00514591">
        <w:rPr>
          <w:rFonts w:ascii="Book Antiqua" w:hAnsi="Book Antiqua"/>
        </w:rPr>
        <w:t xml:space="preserve"> </w:t>
      </w:r>
      <w:r w:rsidR="00514591" w:rsidRPr="00514591">
        <w:rPr>
          <w:rFonts w:ascii="Book Antiqua" w:hAnsi="Book Antiqua"/>
          <w:b/>
          <w:bCs/>
        </w:rPr>
        <w:t>Ghabril M</w:t>
      </w:r>
      <w:r w:rsidR="00514591" w:rsidRPr="00514591">
        <w:rPr>
          <w:rFonts w:ascii="Book Antiqua" w:hAnsi="Book Antiqua"/>
        </w:rPr>
        <w:t xml:space="preserve">, Bonkovsky HL, Kum C, Davern T, Hayashi PH, Kleiner DE, Serrano J, Rochon J, Fontana RJ, Bonacini M; US Drug-Induced Liver Injury Network. Liver injury from tumor necrosis factor-α antagonists: analysis of thirty-four cases. </w:t>
      </w:r>
      <w:r w:rsidR="00514591" w:rsidRPr="00514591">
        <w:rPr>
          <w:rFonts w:ascii="Book Antiqua" w:hAnsi="Book Antiqua"/>
          <w:i/>
          <w:iCs/>
        </w:rPr>
        <w:t>Clin Gastroenterol Hepatol</w:t>
      </w:r>
      <w:r w:rsidR="00514591" w:rsidRPr="00514591">
        <w:rPr>
          <w:rFonts w:ascii="Book Antiqua" w:hAnsi="Book Antiqua"/>
        </w:rPr>
        <w:t xml:space="preserve"> 2013; </w:t>
      </w:r>
      <w:r w:rsidR="00514591" w:rsidRPr="00514591">
        <w:rPr>
          <w:rFonts w:ascii="Book Antiqua" w:hAnsi="Book Antiqua"/>
          <w:b/>
          <w:bCs/>
        </w:rPr>
        <w:t>11</w:t>
      </w:r>
      <w:r w:rsidR="00514591" w:rsidRPr="00514591">
        <w:rPr>
          <w:rFonts w:ascii="Book Antiqua" w:hAnsi="Book Antiqua"/>
        </w:rPr>
        <w:t>: 558-564.e3 [PMID: 23333219 DOI: 10.1016/j.cgh.2012.12.025]</w:t>
      </w:r>
    </w:p>
    <w:p w14:paraId="141797A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63</w:t>
      </w:r>
      <w:r w:rsidR="00514591" w:rsidRPr="00514591">
        <w:rPr>
          <w:rFonts w:ascii="Book Antiqua" w:hAnsi="Book Antiqua"/>
        </w:rPr>
        <w:t xml:space="preserve"> </w:t>
      </w:r>
      <w:r w:rsidR="00514591" w:rsidRPr="00514591">
        <w:rPr>
          <w:rFonts w:ascii="Book Antiqua" w:hAnsi="Book Antiqua"/>
          <w:b/>
          <w:bCs/>
        </w:rPr>
        <w:t>Kawakami H</w:t>
      </w:r>
      <w:r w:rsidR="00514591" w:rsidRPr="00514591">
        <w:rPr>
          <w:rFonts w:ascii="Book Antiqua" w:hAnsi="Book Antiqua"/>
        </w:rPr>
        <w:t xml:space="preserve">, Tanizaki J, Tanaka K, Haratani K, Hayashi H, Takeda M, Kamata K, Takenaka M, Kimura M, Chikugo T, Sato T, Kudo M, Ito A, Nakagawa K. Imaging and clinicopathological features of nivolumab-related cholangitis in patients with non-small </w:t>
      </w:r>
      <w:r w:rsidR="00514591" w:rsidRPr="00514591">
        <w:rPr>
          <w:rFonts w:ascii="Book Antiqua" w:hAnsi="Book Antiqua"/>
        </w:rPr>
        <w:lastRenderedPageBreak/>
        <w:t xml:space="preserve">cell lung cancer. </w:t>
      </w:r>
      <w:r w:rsidR="00514591" w:rsidRPr="00514591">
        <w:rPr>
          <w:rFonts w:ascii="Book Antiqua" w:hAnsi="Book Antiqua"/>
          <w:i/>
          <w:iCs/>
        </w:rPr>
        <w:t>Invest New Drugs</w:t>
      </w:r>
      <w:r w:rsidR="00514591" w:rsidRPr="00514591">
        <w:rPr>
          <w:rFonts w:ascii="Book Antiqua" w:hAnsi="Book Antiqua"/>
        </w:rPr>
        <w:t xml:space="preserve"> 2017; </w:t>
      </w:r>
      <w:r w:rsidR="00514591" w:rsidRPr="00514591">
        <w:rPr>
          <w:rFonts w:ascii="Book Antiqua" w:hAnsi="Book Antiqua"/>
          <w:b/>
          <w:bCs/>
        </w:rPr>
        <w:t>35</w:t>
      </w:r>
      <w:r w:rsidR="00514591" w:rsidRPr="00514591">
        <w:rPr>
          <w:rFonts w:ascii="Book Antiqua" w:hAnsi="Book Antiqua"/>
        </w:rPr>
        <w:t>: 529-536 [PMID: 28317087 DOI: 10.1007/s10637-017-0453-0]</w:t>
      </w:r>
    </w:p>
    <w:p w14:paraId="6820D18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64</w:t>
      </w:r>
      <w:r w:rsidR="00514591" w:rsidRPr="00514591">
        <w:rPr>
          <w:rFonts w:ascii="Book Antiqua" w:hAnsi="Book Antiqua"/>
        </w:rPr>
        <w:t xml:space="preserve"> </w:t>
      </w:r>
      <w:r w:rsidR="00514591" w:rsidRPr="00514591">
        <w:rPr>
          <w:rFonts w:ascii="Book Antiqua" w:hAnsi="Book Antiqua"/>
          <w:b/>
          <w:bCs/>
        </w:rPr>
        <w:t>Teply BA</w:t>
      </w:r>
      <w:r w:rsidR="00514591" w:rsidRPr="00514591">
        <w:rPr>
          <w:rFonts w:ascii="Book Antiqua" w:hAnsi="Book Antiqua"/>
        </w:rPr>
        <w:t xml:space="preserve">, Lipson EJ. Identification and management of toxicities from immune checkpoint-blocking drugs. </w:t>
      </w:r>
      <w:r w:rsidR="00514591" w:rsidRPr="00514591">
        <w:rPr>
          <w:rFonts w:ascii="Book Antiqua" w:hAnsi="Book Antiqua"/>
          <w:i/>
          <w:iCs/>
        </w:rPr>
        <w:t>Oncology (Williston Park)</w:t>
      </w:r>
      <w:r w:rsidR="00514591" w:rsidRPr="00514591">
        <w:rPr>
          <w:rFonts w:ascii="Book Antiqua" w:hAnsi="Book Antiqua"/>
        </w:rPr>
        <w:t xml:space="preserve"> 2014; </w:t>
      </w:r>
      <w:r w:rsidR="00514591" w:rsidRPr="00514591">
        <w:rPr>
          <w:rFonts w:ascii="Book Antiqua" w:hAnsi="Book Antiqua"/>
          <w:b/>
          <w:bCs/>
        </w:rPr>
        <w:t xml:space="preserve">28 </w:t>
      </w:r>
      <w:r w:rsidR="00514591" w:rsidRPr="006204F2">
        <w:rPr>
          <w:rFonts w:ascii="Book Antiqua" w:hAnsi="Book Antiqua"/>
        </w:rPr>
        <w:t>Suppl 3</w:t>
      </w:r>
      <w:r w:rsidR="00514591" w:rsidRPr="00514591">
        <w:rPr>
          <w:rFonts w:ascii="Book Antiqua" w:hAnsi="Book Antiqua"/>
        </w:rPr>
        <w:t>: 30-38 [PMID: 25384885]</w:t>
      </w:r>
    </w:p>
    <w:p w14:paraId="4E122FC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65</w:t>
      </w:r>
      <w:r w:rsidR="00514591" w:rsidRPr="00514591">
        <w:rPr>
          <w:rFonts w:ascii="Book Antiqua" w:hAnsi="Book Antiqua"/>
        </w:rPr>
        <w:t xml:space="preserve"> </w:t>
      </w:r>
      <w:r w:rsidR="00514591" w:rsidRPr="00514591">
        <w:rPr>
          <w:rFonts w:ascii="Book Antiqua" w:hAnsi="Book Antiqua"/>
          <w:b/>
          <w:bCs/>
        </w:rPr>
        <w:t>Riveiro-Barciela M</w:t>
      </w:r>
      <w:r w:rsidR="00514591" w:rsidRPr="00514591">
        <w:rPr>
          <w:rFonts w:ascii="Book Antiqua" w:hAnsi="Book Antiqua"/>
        </w:rPr>
        <w:t xml:space="preserve">, Barreira-Díaz A, Vidal-González J, Muñoz-Couselo E, Martínez-Valle F, Viladomiu L, Mínguez B, Ortiz-Velez C, Castells L, Esteban R, Buti M. Immune-related hepatitis related to checkpoint inhibitors: Clinical and prognostic factors. </w:t>
      </w:r>
      <w:r w:rsidR="00514591" w:rsidRPr="00514591">
        <w:rPr>
          <w:rFonts w:ascii="Book Antiqua" w:hAnsi="Book Antiqua"/>
          <w:i/>
          <w:iCs/>
        </w:rPr>
        <w:t>Liver Int</w:t>
      </w:r>
      <w:r w:rsidR="00514591" w:rsidRPr="00514591">
        <w:rPr>
          <w:rFonts w:ascii="Book Antiqua" w:hAnsi="Book Antiqua"/>
        </w:rPr>
        <w:t xml:space="preserve"> 2020; </w:t>
      </w:r>
      <w:r w:rsidR="00514591" w:rsidRPr="00514591">
        <w:rPr>
          <w:rFonts w:ascii="Book Antiqua" w:hAnsi="Book Antiqua"/>
          <w:b/>
          <w:bCs/>
        </w:rPr>
        <w:t>40</w:t>
      </w:r>
      <w:r w:rsidR="00514591" w:rsidRPr="00514591">
        <w:rPr>
          <w:rFonts w:ascii="Book Antiqua" w:hAnsi="Book Antiqua"/>
        </w:rPr>
        <w:t>: 1906-1916 [PMID: 32329119 DOI: 10.1111/liv.14489]</w:t>
      </w:r>
    </w:p>
    <w:p w14:paraId="2ABFF76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66</w:t>
      </w:r>
      <w:r w:rsidR="00514591" w:rsidRPr="00514591">
        <w:rPr>
          <w:rFonts w:ascii="Book Antiqua" w:hAnsi="Book Antiqua"/>
        </w:rPr>
        <w:t xml:space="preserve"> </w:t>
      </w:r>
      <w:r w:rsidR="00514591" w:rsidRPr="00514591">
        <w:rPr>
          <w:rFonts w:ascii="Book Antiqua" w:hAnsi="Book Antiqua"/>
          <w:b/>
          <w:bCs/>
        </w:rPr>
        <w:t>Downey SG</w:t>
      </w:r>
      <w:r w:rsidR="00514591" w:rsidRPr="00514591">
        <w:rPr>
          <w:rFonts w:ascii="Book Antiqua" w:hAnsi="Book Antiqua"/>
        </w:rPr>
        <w:t xml:space="preserve">, Klapper JA, Smith FO, Yang JC, Sherry RM, Royal RE, Kammula US, Hughes MS, Allen TE, Levy CL, Yellin M, Nichol G, White DE, Steinberg SM, Rosenberg SA. Prognostic factors related to clinical response in patients with metastatic melanoma treated by CTL-associated antigen-4 blockade. </w:t>
      </w:r>
      <w:r w:rsidR="00514591" w:rsidRPr="00514591">
        <w:rPr>
          <w:rFonts w:ascii="Book Antiqua" w:hAnsi="Book Antiqua"/>
          <w:i/>
          <w:iCs/>
        </w:rPr>
        <w:t>Clin Cancer Res</w:t>
      </w:r>
      <w:r w:rsidR="00514591" w:rsidRPr="00514591">
        <w:rPr>
          <w:rFonts w:ascii="Book Antiqua" w:hAnsi="Book Antiqua"/>
        </w:rPr>
        <w:t xml:space="preserve"> 2007; </w:t>
      </w:r>
      <w:r w:rsidR="00514591" w:rsidRPr="00514591">
        <w:rPr>
          <w:rFonts w:ascii="Book Antiqua" w:hAnsi="Book Antiqua"/>
          <w:b/>
          <w:bCs/>
        </w:rPr>
        <w:t>13</w:t>
      </w:r>
      <w:r w:rsidR="00514591" w:rsidRPr="00514591">
        <w:rPr>
          <w:rFonts w:ascii="Book Antiqua" w:hAnsi="Book Antiqua"/>
        </w:rPr>
        <w:t>: 6681-6688 [PMID: 17982122 DOI: 10.1158/1078-0432.CCR-07-0187]</w:t>
      </w:r>
    </w:p>
    <w:p w14:paraId="21830BE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67</w:t>
      </w:r>
      <w:r w:rsidR="00514591" w:rsidRPr="00514591">
        <w:rPr>
          <w:rFonts w:ascii="Book Antiqua" w:hAnsi="Book Antiqua"/>
        </w:rPr>
        <w:t xml:space="preserve"> </w:t>
      </w:r>
      <w:r w:rsidR="00514591" w:rsidRPr="00514591">
        <w:rPr>
          <w:rFonts w:ascii="Book Antiqua" w:hAnsi="Book Antiqua"/>
          <w:b/>
          <w:bCs/>
        </w:rPr>
        <w:t>Horvat TZ</w:t>
      </w:r>
      <w:r w:rsidR="00514591" w:rsidRPr="00514591">
        <w:rPr>
          <w:rFonts w:ascii="Book Antiqua" w:hAnsi="Book Antiqua"/>
        </w:rPr>
        <w:t xml:space="preserve">, Adel NG, Dang TO, Momtaz P, Postow MA, Callahan MK, Carvajal RD, Dickson MA, D'Angelo SP, Woo KM, Panageas KS, Wolchok JD, Chapman PB. Immune-Related Adverse Events, Need for Systemic Immunosuppression, and Effects on Survival and Time to Treatment Failure in Patients With Melanoma Treated With Ipilimumab at Memorial Sloan Kettering Cancer Center. </w:t>
      </w:r>
      <w:r w:rsidR="00514591" w:rsidRPr="00514591">
        <w:rPr>
          <w:rFonts w:ascii="Book Antiqua" w:hAnsi="Book Antiqua"/>
          <w:i/>
          <w:iCs/>
        </w:rPr>
        <w:t>J Clin Oncol</w:t>
      </w:r>
      <w:r w:rsidR="00514591" w:rsidRPr="00514591">
        <w:rPr>
          <w:rFonts w:ascii="Book Antiqua" w:hAnsi="Book Antiqua"/>
        </w:rPr>
        <w:t xml:space="preserve"> 2015; </w:t>
      </w:r>
      <w:r w:rsidR="00514591" w:rsidRPr="00514591">
        <w:rPr>
          <w:rFonts w:ascii="Book Antiqua" w:hAnsi="Book Antiqua"/>
          <w:b/>
          <w:bCs/>
        </w:rPr>
        <w:t>33</w:t>
      </w:r>
      <w:r w:rsidR="00514591" w:rsidRPr="00514591">
        <w:rPr>
          <w:rFonts w:ascii="Book Antiqua" w:hAnsi="Book Antiqua"/>
        </w:rPr>
        <w:t>: 3193-3198 [PMID: 26282644 DOI: 10.1200/JCO.2015.60.8448]</w:t>
      </w:r>
    </w:p>
    <w:p w14:paraId="3B6C5C75"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68</w:t>
      </w:r>
      <w:r w:rsidR="00514591" w:rsidRPr="00514591">
        <w:rPr>
          <w:rFonts w:ascii="Book Antiqua" w:hAnsi="Book Antiqua"/>
        </w:rPr>
        <w:t xml:space="preserve"> </w:t>
      </w:r>
      <w:r w:rsidR="00514591" w:rsidRPr="00514591">
        <w:rPr>
          <w:rFonts w:ascii="Book Antiqua" w:hAnsi="Book Antiqua"/>
          <w:b/>
          <w:bCs/>
        </w:rPr>
        <w:t>Laube R</w:t>
      </w:r>
      <w:r w:rsidR="00514591" w:rsidRPr="00514591">
        <w:rPr>
          <w:rFonts w:ascii="Book Antiqua" w:hAnsi="Book Antiqua"/>
        </w:rPr>
        <w:t xml:space="preserve">, Sabih AH, Strasser SI, Lim L, Cigolini M, Liu K. Palliative care in hepatocellular carcinoma. </w:t>
      </w:r>
      <w:r w:rsidR="00514591" w:rsidRPr="00514591">
        <w:rPr>
          <w:rFonts w:ascii="Book Antiqua" w:hAnsi="Book Antiqua"/>
          <w:i/>
          <w:iCs/>
        </w:rPr>
        <w:t>J Gastroenterol Hepatol</w:t>
      </w:r>
      <w:r w:rsidR="00514591" w:rsidRPr="00514591">
        <w:rPr>
          <w:rFonts w:ascii="Book Antiqua" w:hAnsi="Book Antiqua"/>
        </w:rPr>
        <w:t xml:space="preserve"> 2021; </w:t>
      </w:r>
      <w:r w:rsidR="00514591" w:rsidRPr="00514591">
        <w:rPr>
          <w:rFonts w:ascii="Book Antiqua" w:hAnsi="Book Antiqua"/>
          <w:b/>
          <w:bCs/>
        </w:rPr>
        <w:t>36</w:t>
      </w:r>
      <w:r w:rsidR="00514591" w:rsidRPr="00514591">
        <w:rPr>
          <w:rFonts w:ascii="Book Antiqua" w:hAnsi="Book Antiqua"/>
        </w:rPr>
        <w:t>: 618-628 [PMID: 32627853 DOI: 10.1111/jgh.15169]</w:t>
      </w:r>
    </w:p>
    <w:p w14:paraId="4723CF8B"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69</w:t>
      </w:r>
      <w:r w:rsidR="00514591" w:rsidRPr="00514591">
        <w:rPr>
          <w:rFonts w:ascii="Book Antiqua" w:hAnsi="Book Antiqua"/>
        </w:rPr>
        <w:t xml:space="preserve"> </w:t>
      </w:r>
      <w:r w:rsidR="00514591" w:rsidRPr="00514591">
        <w:rPr>
          <w:rFonts w:ascii="Book Antiqua" w:hAnsi="Book Antiqua"/>
          <w:b/>
          <w:bCs/>
        </w:rPr>
        <w:t>Ziemer M</w:t>
      </w:r>
      <w:r w:rsidR="00514591" w:rsidRPr="00514591">
        <w:rPr>
          <w:rFonts w:ascii="Book Antiqua" w:hAnsi="Book Antiqua"/>
        </w:rPr>
        <w:t xml:space="preserve">, Koukoulioti E, Beyer S, Simon JC, Berg T. Managing immune checkpoint-inhibitor-induced severe autoimmune-like hepatitis by liver-directed topical steroids. </w:t>
      </w:r>
      <w:r w:rsidR="00514591" w:rsidRPr="00514591">
        <w:rPr>
          <w:rFonts w:ascii="Book Antiqua" w:hAnsi="Book Antiqua"/>
          <w:i/>
          <w:iCs/>
        </w:rPr>
        <w:t>J Hepatol</w:t>
      </w:r>
      <w:r w:rsidR="00514591" w:rsidRPr="00514591">
        <w:rPr>
          <w:rFonts w:ascii="Book Antiqua" w:hAnsi="Book Antiqua"/>
        </w:rPr>
        <w:t xml:space="preserve"> 2017; </w:t>
      </w:r>
      <w:r w:rsidR="00514591" w:rsidRPr="00514591">
        <w:rPr>
          <w:rFonts w:ascii="Book Antiqua" w:hAnsi="Book Antiqua"/>
          <w:b/>
          <w:bCs/>
        </w:rPr>
        <w:t>66</w:t>
      </w:r>
      <w:r w:rsidR="00514591" w:rsidRPr="00514591">
        <w:rPr>
          <w:rFonts w:ascii="Book Antiqua" w:hAnsi="Book Antiqua"/>
        </w:rPr>
        <w:t>: 657-659 [PMID: 27908801 DOI: 10.1016/j.jhep.2016.11.015]</w:t>
      </w:r>
    </w:p>
    <w:p w14:paraId="43DDD592" w14:textId="77777777" w:rsidR="00BA6431" w:rsidRDefault="00BA6431" w:rsidP="00E41430">
      <w:pPr>
        <w:spacing w:line="360" w:lineRule="auto"/>
        <w:jc w:val="both"/>
        <w:rPr>
          <w:rFonts w:ascii="Book Antiqua" w:hAnsi="Book Antiqua"/>
          <w:lang w:eastAsia="zh-CN"/>
        </w:rPr>
      </w:pPr>
      <w:r>
        <w:rPr>
          <w:rFonts w:ascii="Book Antiqua" w:hAnsi="Book Antiqua" w:hint="eastAsia"/>
          <w:lang w:eastAsia="zh-CN"/>
        </w:rPr>
        <w:t>70</w:t>
      </w:r>
      <w:r w:rsidR="00514591" w:rsidRPr="00514591">
        <w:rPr>
          <w:rFonts w:ascii="Book Antiqua" w:hAnsi="Book Antiqua"/>
        </w:rPr>
        <w:t xml:space="preserve"> </w:t>
      </w:r>
      <w:r w:rsidR="00514591" w:rsidRPr="00514591">
        <w:rPr>
          <w:rFonts w:ascii="Book Antiqua" w:hAnsi="Book Antiqua"/>
          <w:b/>
          <w:bCs/>
        </w:rPr>
        <w:t>Pollack MH</w:t>
      </w:r>
      <w:r w:rsidR="00514591" w:rsidRPr="00514591">
        <w:rPr>
          <w:rFonts w:ascii="Book Antiqua" w:hAnsi="Book Antiqua"/>
        </w:rPr>
        <w:t xml:space="preserve">, Betof A, Dearden H, Rapazzo K, Valentine I, Brohl AS, Ancell KK, Long GV, Menzies AM, Eroglu Z, Johnson DB, Shoushtari AN. Safety of resuming anti-PD-1 in patients with immune-related adverse events (irAEs) during combined anti-CTLA-4 </w:t>
      </w:r>
      <w:r w:rsidR="00514591" w:rsidRPr="00514591">
        <w:rPr>
          <w:rFonts w:ascii="Book Antiqua" w:hAnsi="Book Antiqua"/>
        </w:rPr>
        <w:lastRenderedPageBreak/>
        <w:t xml:space="preserve">and anti-PD1 in metastatic melanoma. </w:t>
      </w:r>
      <w:r w:rsidR="00514591" w:rsidRPr="00514591">
        <w:rPr>
          <w:rFonts w:ascii="Book Antiqua" w:hAnsi="Book Antiqua"/>
          <w:i/>
          <w:iCs/>
        </w:rPr>
        <w:t>Ann Oncol</w:t>
      </w:r>
      <w:r w:rsidR="00514591" w:rsidRPr="00514591">
        <w:rPr>
          <w:rFonts w:ascii="Book Antiqua" w:hAnsi="Book Antiqua"/>
        </w:rPr>
        <w:t xml:space="preserve"> 2018; </w:t>
      </w:r>
      <w:r w:rsidR="00514591" w:rsidRPr="00514591">
        <w:rPr>
          <w:rFonts w:ascii="Book Antiqua" w:hAnsi="Book Antiqua"/>
          <w:b/>
          <w:bCs/>
        </w:rPr>
        <w:t>29</w:t>
      </w:r>
      <w:r w:rsidR="00514591" w:rsidRPr="00514591">
        <w:rPr>
          <w:rFonts w:ascii="Book Antiqua" w:hAnsi="Book Antiqua"/>
        </w:rPr>
        <w:t>: 250-255 [PMID: 29045547 DOI: 10.1093/annonc/mdx642]</w:t>
      </w:r>
      <w:r w:rsidR="00E41430" w:rsidRPr="00E41430">
        <w:rPr>
          <w:rFonts w:ascii="Book Antiqua" w:hAnsi="Book Antiqua"/>
        </w:rPr>
        <w:t xml:space="preserve"> </w:t>
      </w:r>
    </w:p>
    <w:p w14:paraId="3057263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71</w:t>
      </w:r>
      <w:r w:rsidR="00E41430" w:rsidRPr="00514591">
        <w:rPr>
          <w:rFonts w:ascii="Book Antiqua" w:hAnsi="Book Antiqua"/>
        </w:rPr>
        <w:t xml:space="preserve"> </w:t>
      </w:r>
      <w:r w:rsidR="00E41430" w:rsidRPr="00514591">
        <w:rPr>
          <w:rFonts w:ascii="Book Antiqua" w:hAnsi="Book Antiqua"/>
          <w:b/>
          <w:bCs/>
        </w:rPr>
        <w:t>Hodi FS</w:t>
      </w:r>
      <w:r w:rsidR="00E41430" w:rsidRPr="00514591">
        <w:rPr>
          <w:rFonts w:ascii="Book Antiqua" w:hAnsi="Book Antiqua"/>
        </w:rPr>
        <w:t xml:space="preserve">, Chiarion-Sileni V, Gonzalez R, Grob JJ, Rutkowski P, Cowey CL, Lao CD, Schadendorf D, Wagstaff J, Dummer R, Ferrucci PF, Smylie M, Hill A, Hogg D, Marquez-Rodas I, Jiang J, Rizzo J, Larkin J, Wolchok JD. Nivolumab plus ipilimumab or nivolumab alone versus ipilimumab alone in advanced melanoma (CheckMate 067): 4-year outcomes of a multicentre, randomised, phase 3 trial. </w:t>
      </w:r>
      <w:r w:rsidR="00E41430" w:rsidRPr="00514591">
        <w:rPr>
          <w:rFonts w:ascii="Book Antiqua" w:hAnsi="Book Antiqua"/>
          <w:i/>
          <w:iCs/>
        </w:rPr>
        <w:t>Lancet Oncol</w:t>
      </w:r>
      <w:r w:rsidR="00E41430" w:rsidRPr="00514591">
        <w:rPr>
          <w:rFonts w:ascii="Book Antiqua" w:hAnsi="Book Antiqua"/>
        </w:rPr>
        <w:t xml:space="preserve"> 2018; </w:t>
      </w:r>
      <w:r w:rsidR="00E41430" w:rsidRPr="00514591">
        <w:rPr>
          <w:rFonts w:ascii="Book Antiqua" w:hAnsi="Book Antiqua"/>
          <w:b/>
          <w:bCs/>
        </w:rPr>
        <w:t>19</w:t>
      </w:r>
      <w:r w:rsidR="00E41430" w:rsidRPr="00514591">
        <w:rPr>
          <w:rFonts w:ascii="Book Antiqua" w:hAnsi="Book Antiqua"/>
        </w:rPr>
        <w:t>: 1480-1492 [PMID: 30361170 DOI: 10.1016/S1470-2045(18)30700-9]</w:t>
      </w:r>
    </w:p>
    <w:p w14:paraId="1A620691"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72</w:t>
      </w:r>
      <w:r w:rsidR="00E41430" w:rsidRPr="00514591">
        <w:rPr>
          <w:rFonts w:ascii="Book Antiqua" w:hAnsi="Book Antiqua"/>
        </w:rPr>
        <w:t xml:space="preserve"> </w:t>
      </w:r>
      <w:r w:rsidR="00E41430" w:rsidRPr="00514591">
        <w:rPr>
          <w:rFonts w:ascii="Book Antiqua" w:hAnsi="Book Antiqua"/>
          <w:b/>
          <w:bCs/>
        </w:rPr>
        <w:t>Weber J</w:t>
      </w:r>
      <w:r w:rsidR="00E41430" w:rsidRPr="00514591">
        <w:rPr>
          <w:rFonts w:ascii="Book Antiqua" w:hAnsi="Book Antiqua"/>
        </w:rPr>
        <w:t xml:space="preserve">, Thompson JA, Hamid O, Minor D, Amin A, Ron I, Ridolfi R, Assi H, Maraveyas A, Berman D, Siegel J, O'Day SJ. A randomized, double-blind, placebo-controlled, phase II study comparing the tolerability and efficacy of ipilimumab administered with or without prophylactic budesonide in patients with unresectable stage III or IV melanoma. </w:t>
      </w:r>
      <w:r w:rsidR="00E41430" w:rsidRPr="00514591">
        <w:rPr>
          <w:rFonts w:ascii="Book Antiqua" w:hAnsi="Book Antiqua"/>
          <w:i/>
          <w:iCs/>
        </w:rPr>
        <w:t>Clin Cancer Res</w:t>
      </w:r>
      <w:r w:rsidR="00E41430" w:rsidRPr="00514591">
        <w:rPr>
          <w:rFonts w:ascii="Book Antiqua" w:hAnsi="Book Antiqua"/>
        </w:rPr>
        <w:t xml:space="preserve"> 2009; </w:t>
      </w:r>
      <w:r w:rsidR="00E41430" w:rsidRPr="00514591">
        <w:rPr>
          <w:rFonts w:ascii="Book Antiqua" w:hAnsi="Book Antiqua"/>
          <w:b/>
          <w:bCs/>
        </w:rPr>
        <w:t>15</w:t>
      </w:r>
      <w:r w:rsidR="00E41430" w:rsidRPr="00514591">
        <w:rPr>
          <w:rFonts w:ascii="Book Antiqua" w:hAnsi="Book Antiqua"/>
        </w:rPr>
        <w:t>: 5591-5598 [PMID: 19671877 DOI: 10.1158/1078-0432.CCR-09-1024]</w:t>
      </w:r>
    </w:p>
    <w:p w14:paraId="3DA2A272"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73</w:t>
      </w:r>
      <w:r w:rsidR="00E41430" w:rsidRPr="00514591">
        <w:rPr>
          <w:rFonts w:ascii="Book Antiqua" w:hAnsi="Book Antiqua"/>
        </w:rPr>
        <w:t xml:space="preserve"> </w:t>
      </w:r>
      <w:r w:rsidR="00E41430" w:rsidRPr="00514591">
        <w:rPr>
          <w:rFonts w:ascii="Book Antiqua" w:hAnsi="Book Antiqua"/>
          <w:b/>
          <w:bCs/>
        </w:rPr>
        <w:t>Wolchok JD</w:t>
      </w:r>
      <w:r w:rsidR="00E41430" w:rsidRPr="00514591">
        <w:rPr>
          <w:rFonts w:ascii="Book Antiqua" w:hAnsi="Book Antiqua"/>
        </w:rPr>
        <w:t xml:space="preserve">, Neyns B, Linette G, Negrier S, Lutzky J, Thomas L, Waterfield W, Schadendorf D, Smylie M, Guthrie T Jr, Grob JJ, Chesney J, Chin K, Chen K, Hoos A, O'Day SJ, Lebbé C. Ipilimumab monotherapy in patients with pretreated advanced melanoma: a randomised, double-blind, multicentre, phase 2, dose-ranging study. </w:t>
      </w:r>
      <w:r w:rsidR="00E41430" w:rsidRPr="00514591">
        <w:rPr>
          <w:rFonts w:ascii="Book Antiqua" w:hAnsi="Book Antiqua"/>
          <w:i/>
          <w:iCs/>
        </w:rPr>
        <w:t>Lancet Oncol</w:t>
      </w:r>
      <w:r w:rsidR="00E41430" w:rsidRPr="00514591">
        <w:rPr>
          <w:rFonts w:ascii="Book Antiqua" w:hAnsi="Book Antiqua"/>
        </w:rPr>
        <w:t xml:space="preserve"> 2010; </w:t>
      </w:r>
      <w:r w:rsidR="00E41430" w:rsidRPr="00514591">
        <w:rPr>
          <w:rFonts w:ascii="Book Antiqua" w:hAnsi="Book Antiqua"/>
          <w:b/>
          <w:bCs/>
        </w:rPr>
        <w:t>11</w:t>
      </w:r>
      <w:r w:rsidR="00E41430" w:rsidRPr="00514591">
        <w:rPr>
          <w:rFonts w:ascii="Book Antiqua" w:hAnsi="Book Antiqua"/>
        </w:rPr>
        <w:t>: 155-164 [PMID: 20004617 DOI: 10.1016/S1470-2045(09)70334-1]</w:t>
      </w:r>
    </w:p>
    <w:p w14:paraId="233ECAFB"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74</w:t>
      </w:r>
      <w:r w:rsidR="00E41430" w:rsidRPr="00514591">
        <w:rPr>
          <w:rFonts w:ascii="Book Antiqua" w:hAnsi="Book Antiqua"/>
        </w:rPr>
        <w:t xml:space="preserve"> </w:t>
      </w:r>
      <w:r w:rsidR="00E41430" w:rsidRPr="00514591">
        <w:rPr>
          <w:rFonts w:ascii="Book Antiqua" w:hAnsi="Book Antiqua"/>
          <w:b/>
          <w:bCs/>
        </w:rPr>
        <w:t>Robert C</w:t>
      </w:r>
      <w:r w:rsidR="00E41430" w:rsidRPr="00514591">
        <w:rPr>
          <w:rFonts w:ascii="Book Antiqua" w:hAnsi="Book Antiqua"/>
        </w:rPr>
        <w:t xml:space="preserve">, Thomas L, Bondarenko I, O'Day S, Weber J, Garbe C, Lebbe C, Baurain JF, Testori A, Grob JJ, Davidson N, Richards J, Maio M, Hauschild A, Miller WH Jr, Gascon P, Lotem M, Harmankaya K, Ibrahim R, Francis S, Chen TT, Humphrey R, Hoos A, Wolchok JD. Ipilimumab plus dacarbazine for previously untreated metastatic melanoma. </w:t>
      </w:r>
      <w:r w:rsidR="00E41430" w:rsidRPr="00514591">
        <w:rPr>
          <w:rFonts w:ascii="Book Antiqua" w:hAnsi="Book Antiqua"/>
          <w:i/>
          <w:iCs/>
        </w:rPr>
        <w:t>N Engl J Med</w:t>
      </w:r>
      <w:r w:rsidR="00E41430" w:rsidRPr="00514591">
        <w:rPr>
          <w:rFonts w:ascii="Book Antiqua" w:hAnsi="Book Antiqua"/>
        </w:rPr>
        <w:t xml:space="preserve"> 2011; </w:t>
      </w:r>
      <w:r w:rsidR="00E41430" w:rsidRPr="00514591">
        <w:rPr>
          <w:rFonts w:ascii="Book Antiqua" w:hAnsi="Book Antiqua"/>
          <w:b/>
          <w:bCs/>
        </w:rPr>
        <w:t>364</w:t>
      </w:r>
      <w:r w:rsidR="00E41430" w:rsidRPr="00514591">
        <w:rPr>
          <w:rFonts w:ascii="Book Antiqua" w:hAnsi="Book Antiqua"/>
        </w:rPr>
        <w:t>: 2517-2526 [PMID: 21639810 DOI: 10.1056/NEJMoa1104621]</w:t>
      </w:r>
    </w:p>
    <w:p w14:paraId="3AFDB15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75</w:t>
      </w:r>
      <w:r w:rsidR="00E41430" w:rsidRPr="00514591">
        <w:rPr>
          <w:rFonts w:ascii="Book Antiqua" w:hAnsi="Book Antiqua"/>
        </w:rPr>
        <w:t xml:space="preserve"> </w:t>
      </w:r>
      <w:r w:rsidR="00E41430" w:rsidRPr="00514591">
        <w:rPr>
          <w:rFonts w:ascii="Book Antiqua" w:hAnsi="Book Antiqua"/>
          <w:b/>
          <w:bCs/>
        </w:rPr>
        <w:t>Ribas A</w:t>
      </w:r>
      <w:r w:rsidR="00E41430" w:rsidRPr="00514591">
        <w:rPr>
          <w:rFonts w:ascii="Book Antiqua" w:hAnsi="Book Antiqua"/>
        </w:rPr>
        <w:t xml:space="preserve">, Kefford R, Marshall MA, Punt CJ, Haanen JB, Marmol M, Garbe C, Gogas H, Schachter J, Linette G, Lorigan P, Kendra KL, Maio M, Trefzer U, Smylie M, McArthur GA, Dreno B, Nathan PD, Mackiewicz J, Kirkwood JM, Gomez-Navarro J, Huang B, Pavlov D, Hauschild A. Phase III randomized clinical trial comparing tremelimumab </w:t>
      </w:r>
      <w:r w:rsidR="00E41430" w:rsidRPr="00514591">
        <w:rPr>
          <w:rFonts w:ascii="Book Antiqua" w:hAnsi="Book Antiqua"/>
        </w:rPr>
        <w:lastRenderedPageBreak/>
        <w:t xml:space="preserve">with standard-of-care chemotherapy in patients with advanced melanoma. </w:t>
      </w:r>
      <w:r w:rsidR="00E41430" w:rsidRPr="00514591">
        <w:rPr>
          <w:rFonts w:ascii="Book Antiqua" w:hAnsi="Book Antiqua"/>
          <w:i/>
          <w:iCs/>
        </w:rPr>
        <w:t>J Clin Oncol</w:t>
      </w:r>
      <w:r w:rsidR="00E41430" w:rsidRPr="00514591">
        <w:rPr>
          <w:rFonts w:ascii="Book Antiqua" w:hAnsi="Book Antiqua"/>
        </w:rPr>
        <w:t xml:space="preserve"> 2013; </w:t>
      </w:r>
      <w:r w:rsidR="00E41430" w:rsidRPr="00514591">
        <w:rPr>
          <w:rFonts w:ascii="Book Antiqua" w:hAnsi="Book Antiqua"/>
          <w:b/>
          <w:bCs/>
        </w:rPr>
        <w:t>31</w:t>
      </w:r>
      <w:r w:rsidR="00E41430" w:rsidRPr="00514591">
        <w:rPr>
          <w:rFonts w:ascii="Book Antiqua" w:hAnsi="Book Antiqua"/>
        </w:rPr>
        <w:t>: 616-622 [PMID: 23295794 DOI: 10.1200/JCO.2012.44.6112]</w:t>
      </w:r>
    </w:p>
    <w:p w14:paraId="31881165"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76</w:t>
      </w:r>
      <w:r w:rsidR="00E41430" w:rsidRPr="00514591">
        <w:rPr>
          <w:rFonts w:ascii="Book Antiqua" w:hAnsi="Book Antiqua"/>
        </w:rPr>
        <w:t xml:space="preserve"> </w:t>
      </w:r>
      <w:r w:rsidR="00E41430" w:rsidRPr="00514591">
        <w:rPr>
          <w:rFonts w:ascii="Book Antiqua" w:hAnsi="Book Antiqua"/>
          <w:b/>
          <w:bCs/>
        </w:rPr>
        <w:t>Weber J</w:t>
      </w:r>
      <w:r w:rsidR="00E41430" w:rsidRPr="00514591">
        <w:rPr>
          <w:rFonts w:ascii="Book Antiqua" w:hAnsi="Book Antiqua"/>
        </w:rPr>
        <w:t xml:space="preserve">, Mandala M, Del Vecchio M, Gogas HJ, Arance AM, Cowey CL, Dalle S, Schenker M, Chiarion-Sileni V, Marquez-Rodas I, Grob JJ, Butler MO, Middleton MR, Maio M, Atkinson V, Queirolo P, Gonzalez R, Kudchadkar RR, Smylie M, Meyer N, Mortier L, Atkins MB, Long GV, Bhatia S, Lebbé C, Rutkowski P, Yokota K, Yamazaki N, Kim TM, de Pril V, Sabater J, Qureshi A, Larkin J, Ascierto PA; CheckMate 238 Collaborators. Adjuvant Nivolumab versus Ipilimumab in Resected Stage III or IV Melanoma. </w:t>
      </w:r>
      <w:r w:rsidR="00E41430" w:rsidRPr="00514591">
        <w:rPr>
          <w:rFonts w:ascii="Book Antiqua" w:hAnsi="Book Antiqua"/>
          <w:i/>
          <w:iCs/>
        </w:rPr>
        <w:t>N Engl J Med</w:t>
      </w:r>
      <w:r w:rsidR="00E41430" w:rsidRPr="00514591">
        <w:rPr>
          <w:rFonts w:ascii="Book Antiqua" w:hAnsi="Book Antiqua"/>
        </w:rPr>
        <w:t xml:space="preserve"> 2017; </w:t>
      </w:r>
      <w:r w:rsidR="00E41430" w:rsidRPr="00514591">
        <w:rPr>
          <w:rFonts w:ascii="Book Antiqua" w:hAnsi="Book Antiqua"/>
          <w:b/>
          <w:bCs/>
        </w:rPr>
        <w:t>377</w:t>
      </w:r>
      <w:r w:rsidR="00E41430" w:rsidRPr="00514591">
        <w:rPr>
          <w:rFonts w:ascii="Book Antiqua" w:hAnsi="Book Antiqua"/>
        </w:rPr>
        <w:t>: 1824-1835 [PMID: 28891423 DOI: 10.1056/NEJMoa1709030]</w:t>
      </w:r>
    </w:p>
    <w:p w14:paraId="4C10268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77</w:t>
      </w:r>
      <w:r w:rsidR="00E41430" w:rsidRPr="00514591">
        <w:rPr>
          <w:rFonts w:ascii="Book Antiqua" w:hAnsi="Book Antiqua"/>
        </w:rPr>
        <w:t xml:space="preserve"> </w:t>
      </w:r>
      <w:r w:rsidR="00E41430" w:rsidRPr="00514591">
        <w:rPr>
          <w:rFonts w:ascii="Book Antiqua" w:hAnsi="Book Antiqua"/>
          <w:b/>
          <w:bCs/>
        </w:rPr>
        <w:t>Brahmer J</w:t>
      </w:r>
      <w:r w:rsidR="00E41430" w:rsidRPr="00370BCB">
        <w:rPr>
          <w:rFonts w:ascii="Book Antiqua" w:hAnsi="Book Antiqua"/>
          <w:bCs/>
        </w:rPr>
        <w:t>,</w:t>
      </w:r>
      <w:r w:rsidR="00E41430" w:rsidRPr="00370BCB">
        <w:rPr>
          <w:rFonts w:ascii="Book Antiqua" w:hAnsi="Book Antiqua"/>
        </w:rPr>
        <w:t xml:space="preserve"> </w:t>
      </w:r>
      <w:r w:rsidR="00E41430" w:rsidRPr="00514591">
        <w:rPr>
          <w:rFonts w:ascii="Book Antiqua" w:hAnsi="Book Antiqua"/>
        </w:rPr>
        <w:t xml:space="preserve">Reckamp KL, Baas P, Crinò L, Eberhardt WE, Poddubskaya E, Antonia S, Pluzanski A, Vokes EE, Holgado E, Waterhouse D, Ready N, Gainor J, Arén Frontera O, Havel L, Steins M, Garassino MC, Aerts JG, Domine M, Paz-Ares L, Reck M, Baudelet C, Harbison CT, Lestini B, Spigel DR. Nivolumab vs Docetaxel in Advanced Squamous-Cell Non-Small-Cell Lung Cancer. </w:t>
      </w:r>
      <w:r w:rsidR="00E41430" w:rsidRPr="0032265B">
        <w:rPr>
          <w:rFonts w:ascii="Book Antiqua" w:hAnsi="Book Antiqua"/>
          <w:i/>
        </w:rPr>
        <w:t>N Engl J Med</w:t>
      </w:r>
      <w:r w:rsidR="00E41430" w:rsidRPr="00514591">
        <w:rPr>
          <w:rFonts w:ascii="Book Antiqua" w:hAnsi="Book Antiqua"/>
        </w:rPr>
        <w:t xml:space="preserve"> 2015;</w:t>
      </w:r>
      <w:r w:rsidR="00E41430" w:rsidRPr="0032265B">
        <w:rPr>
          <w:rFonts w:ascii="Book Antiqua" w:hAnsi="Book Antiqua"/>
          <w:b/>
        </w:rPr>
        <w:t xml:space="preserve"> 373</w:t>
      </w:r>
      <w:r w:rsidR="00E41430" w:rsidRPr="006204F2">
        <w:rPr>
          <w:rFonts w:ascii="Book Antiqua" w:hAnsi="Book Antiqua"/>
          <w:bCs/>
        </w:rPr>
        <w:t>:</w:t>
      </w:r>
      <w:r w:rsidR="00E41430" w:rsidRPr="00514591">
        <w:rPr>
          <w:rFonts w:ascii="Book Antiqua" w:hAnsi="Book Antiqua"/>
        </w:rPr>
        <w:t xml:space="preserve"> 123-135 [DOI:</w:t>
      </w:r>
      <w:r w:rsidR="00E41430">
        <w:rPr>
          <w:rFonts w:ascii="Book Antiqua" w:hAnsi="Book Antiqua" w:hint="eastAsia"/>
          <w:lang w:eastAsia="zh-CN"/>
        </w:rPr>
        <w:t xml:space="preserve"> </w:t>
      </w:r>
      <w:r w:rsidR="00E41430" w:rsidRPr="00514591">
        <w:rPr>
          <w:rFonts w:ascii="Book Antiqua" w:hAnsi="Book Antiqua"/>
        </w:rPr>
        <w:t>10.1056/nejmoa1504627]</w:t>
      </w:r>
    </w:p>
    <w:p w14:paraId="22A31D41"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78</w:t>
      </w:r>
      <w:r w:rsidR="00E41430" w:rsidRPr="00514591">
        <w:rPr>
          <w:rFonts w:ascii="Book Antiqua" w:hAnsi="Book Antiqua"/>
        </w:rPr>
        <w:t xml:space="preserve"> </w:t>
      </w:r>
      <w:r w:rsidR="00E41430" w:rsidRPr="00514591">
        <w:rPr>
          <w:rFonts w:ascii="Book Antiqua" w:hAnsi="Book Antiqua"/>
          <w:b/>
          <w:bCs/>
        </w:rPr>
        <w:t>Borghaei H</w:t>
      </w:r>
      <w:r w:rsidR="00E41430" w:rsidRPr="00370BCB">
        <w:rPr>
          <w:rFonts w:ascii="Book Antiqua" w:hAnsi="Book Antiqua"/>
          <w:bCs/>
        </w:rPr>
        <w:t>,</w:t>
      </w:r>
      <w:r w:rsidR="00E41430" w:rsidRPr="00370BCB">
        <w:rPr>
          <w:rFonts w:ascii="Book Antiqua" w:hAnsi="Book Antiqua"/>
        </w:rPr>
        <w:t xml:space="preserve"> </w:t>
      </w:r>
      <w:r w:rsidR="00E41430" w:rsidRPr="00514591">
        <w:rPr>
          <w:rFonts w:ascii="Book Antiqua" w:hAnsi="Book Antiqua"/>
        </w:rPr>
        <w:t xml:space="preserve">Paz-Ares L, Horn L, Spigel DR, Steins M, Ready NE, Chow LQ, Vokes EE, Felip E, Holgado E, Barlesi F, Kohlhäufl M, Arrieta O, Burgio MA, Fayette J, Lena H, Poddubskaya E, Gerber DE, Gettinger SN, Rudin CM, Rizvi N, Crinò L, Blumenschein GR Jr, Antonia SJ, Dorange C, Harbison CT, Graf Finckenstein F, Brahmer JR. Nivolumab vs Docetaxel in Advanced Nonsquamous Non-Small-Cell Lung Cancer. </w:t>
      </w:r>
      <w:r w:rsidR="00E41430" w:rsidRPr="00F739AB">
        <w:rPr>
          <w:rFonts w:ascii="Book Antiqua" w:hAnsi="Book Antiqua"/>
          <w:i/>
        </w:rPr>
        <w:t>N Engl J Med</w:t>
      </w:r>
      <w:r w:rsidR="00E41430" w:rsidRPr="00514591">
        <w:rPr>
          <w:rFonts w:ascii="Book Antiqua" w:hAnsi="Book Antiqua"/>
        </w:rPr>
        <w:t xml:space="preserve"> 2015;</w:t>
      </w:r>
      <w:r w:rsidR="00E41430" w:rsidRPr="00F739AB">
        <w:rPr>
          <w:rFonts w:ascii="Book Antiqua" w:hAnsi="Book Antiqua"/>
          <w:b/>
        </w:rPr>
        <w:t xml:space="preserve"> 373</w:t>
      </w:r>
      <w:r w:rsidR="00E41430" w:rsidRPr="006204F2">
        <w:rPr>
          <w:rFonts w:ascii="Book Antiqua" w:hAnsi="Book Antiqua"/>
          <w:bCs/>
        </w:rPr>
        <w:t>:</w:t>
      </w:r>
      <w:r w:rsidR="00E41430" w:rsidRPr="00514591">
        <w:rPr>
          <w:rFonts w:ascii="Book Antiqua" w:hAnsi="Book Antiqua"/>
        </w:rPr>
        <w:t xml:space="preserve"> 1627-1639 [DOI:</w:t>
      </w:r>
      <w:r w:rsidR="00E41430">
        <w:rPr>
          <w:rFonts w:ascii="Book Antiqua" w:hAnsi="Book Antiqua" w:hint="eastAsia"/>
          <w:lang w:eastAsia="zh-CN"/>
        </w:rPr>
        <w:t xml:space="preserve"> </w:t>
      </w:r>
      <w:r w:rsidR="00E41430" w:rsidRPr="00514591">
        <w:rPr>
          <w:rFonts w:ascii="Book Antiqua" w:hAnsi="Book Antiqua"/>
        </w:rPr>
        <w:t>10.1056/nejmoa1507643]</w:t>
      </w:r>
    </w:p>
    <w:p w14:paraId="66A60507"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79</w:t>
      </w:r>
      <w:r w:rsidR="00E41430" w:rsidRPr="00514591">
        <w:rPr>
          <w:rFonts w:ascii="Book Antiqua" w:hAnsi="Book Antiqua"/>
        </w:rPr>
        <w:t xml:space="preserve"> </w:t>
      </w:r>
      <w:r w:rsidR="00E41430" w:rsidRPr="00514591">
        <w:rPr>
          <w:rFonts w:ascii="Book Antiqua" w:hAnsi="Book Antiqua"/>
          <w:b/>
          <w:bCs/>
        </w:rPr>
        <w:t>Robert C</w:t>
      </w:r>
      <w:r w:rsidR="00E41430" w:rsidRPr="00514591">
        <w:rPr>
          <w:rFonts w:ascii="Book Antiqua" w:hAnsi="Book Antiqua"/>
        </w:rPr>
        <w:t xml:space="preserve">, Ribas A, Wolchok JD, Hodi FS, Hamid O, Kefford R, Weber JS, Joshua AM, Hwu WJ, Gangadhar TC, Patnaik A, Dronca R, Zarour H, Joseph RW, Boasberg P, Chmielowski B, Mateus C, Postow MA, Gergich K, Elassaiss-Schaap J, Li XN, Iannone R, Ebbinghaus SW, Kang SP, Daud A. Anti-programmed-death-receptor-1 treatment with pembrolizumab in ipilimumab-refractory advanced melanoma: a randomised dose-comparison cohort of a phase 1 trial. </w:t>
      </w:r>
      <w:r w:rsidR="00E41430" w:rsidRPr="00514591">
        <w:rPr>
          <w:rFonts w:ascii="Book Antiqua" w:hAnsi="Book Antiqua"/>
          <w:i/>
          <w:iCs/>
        </w:rPr>
        <w:t>Lancet</w:t>
      </w:r>
      <w:r w:rsidR="00E41430" w:rsidRPr="00514591">
        <w:rPr>
          <w:rFonts w:ascii="Book Antiqua" w:hAnsi="Book Antiqua"/>
        </w:rPr>
        <w:t xml:space="preserve"> 2014; </w:t>
      </w:r>
      <w:r w:rsidR="00E41430" w:rsidRPr="00514591">
        <w:rPr>
          <w:rFonts w:ascii="Book Antiqua" w:hAnsi="Book Antiqua"/>
          <w:b/>
          <w:bCs/>
        </w:rPr>
        <w:t>384</w:t>
      </w:r>
      <w:r w:rsidR="00E41430" w:rsidRPr="00514591">
        <w:rPr>
          <w:rFonts w:ascii="Book Antiqua" w:hAnsi="Book Antiqua"/>
        </w:rPr>
        <w:t>: 1109-1117 [PMID: 25034862 DOI: 10.1016/S0140-6736(14)60958-2]</w:t>
      </w:r>
    </w:p>
    <w:p w14:paraId="0A1BC326"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lastRenderedPageBreak/>
        <w:t>80</w:t>
      </w:r>
      <w:r w:rsidR="00E41430" w:rsidRPr="00514591">
        <w:rPr>
          <w:rFonts w:ascii="Book Antiqua" w:hAnsi="Book Antiqua"/>
        </w:rPr>
        <w:t xml:space="preserve"> </w:t>
      </w:r>
      <w:r w:rsidR="00E41430" w:rsidRPr="00514591">
        <w:rPr>
          <w:rFonts w:ascii="Book Antiqua" w:hAnsi="Book Antiqua"/>
          <w:b/>
          <w:bCs/>
        </w:rPr>
        <w:t>Eggermont AMM</w:t>
      </w:r>
      <w:r w:rsidR="00E41430" w:rsidRPr="00514591">
        <w:rPr>
          <w:rFonts w:ascii="Book Antiqua" w:hAnsi="Book Antiqua"/>
        </w:rPr>
        <w:t xml:space="preserve">, Blank CU, Mandala M, Long GV, Atkinson V, Dalle S, Haydon A, Lichinitser M, Khattak A, Carlino MS, Sandhu S, Larkin J, Puig S, Ascierto PA, Rutkowski P, Schadendorf D, Koornstra R, Hernandez-Aya L, Maio M, van den Eertwegh AJM, Grob JJ, Gutzmer R, Jamal R, Lorigan P, Ibrahim N, Marreaud S, van Akkooi ACJ, Suciu S, Robert C. Adjuvant Pembrolizumab versus Placebo in Resected Stage III Melanoma. </w:t>
      </w:r>
      <w:r w:rsidR="00E41430" w:rsidRPr="00514591">
        <w:rPr>
          <w:rFonts w:ascii="Book Antiqua" w:hAnsi="Book Antiqua"/>
          <w:i/>
          <w:iCs/>
        </w:rPr>
        <w:t>N Engl J Med</w:t>
      </w:r>
      <w:r w:rsidR="00E41430" w:rsidRPr="00514591">
        <w:rPr>
          <w:rFonts w:ascii="Book Antiqua" w:hAnsi="Book Antiqua"/>
        </w:rPr>
        <w:t xml:space="preserve"> 2018; </w:t>
      </w:r>
      <w:r w:rsidR="00E41430" w:rsidRPr="00514591">
        <w:rPr>
          <w:rFonts w:ascii="Book Antiqua" w:hAnsi="Book Antiqua"/>
          <w:b/>
          <w:bCs/>
        </w:rPr>
        <w:t>378</w:t>
      </w:r>
      <w:r w:rsidR="00E41430" w:rsidRPr="00514591">
        <w:rPr>
          <w:rFonts w:ascii="Book Antiqua" w:hAnsi="Book Antiqua"/>
        </w:rPr>
        <w:t>: 1789-1801 [PMID: 29658430 DOI: 10.1056/NEJMoa1802357]</w:t>
      </w:r>
    </w:p>
    <w:p w14:paraId="661A47F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81</w:t>
      </w:r>
      <w:r w:rsidR="00E41430" w:rsidRPr="00514591">
        <w:rPr>
          <w:rFonts w:ascii="Book Antiqua" w:hAnsi="Book Antiqua"/>
        </w:rPr>
        <w:t xml:space="preserve"> </w:t>
      </w:r>
      <w:r w:rsidR="00E41430" w:rsidRPr="00514591">
        <w:rPr>
          <w:rFonts w:ascii="Book Antiqua" w:hAnsi="Book Antiqua"/>
          <w:b/>
          <w:bCs/>
        </w:rPr>
        <w:t>Migden MR</w:t>
      </w:r>
      <w:r w:rsidR="00E41430" w:rsidRPr="00514591">
        <w:rPr>
          <w:rFonts w:ascii="Book Antiqua" w:hAnsi="Book Antiqua"/>
        </w:rPr>
        <w:t xml:space="preserve">, Rischin D, Schmults CD, Guminski A, Hauschild A, Lewis KD, Chung CH, Hernandez-Aya L, Lim AM, Chang ALS, Rabinowits G, Thai AA, Dunn LA, Hughes BGM, Khushalani NI, Modi B, Schadendorf D, Gao B, Seebach F, Li S, Li J, Mathias M, Booth J, Mohan K, Stankevich E, Babiker HM, Brana I, Gil-Martin M, Homsi J, Johnson ML, Moreno V, Niu J, Owonikoko TK, Papadopoulos KP, Yancopoulos GD, Lowy I, Fury MG. PD-1 Blockade with Cemiplimab in Advanced Cutaneous Squamous-Cell Carcinoma. </w:t>
      </w:r>
      <w:r w:rsidR="00E41430" w:rsidRPr="00514591">
        <w:rPr>
          <w:rFonts w:ascii="Book Antiqua" w:hAnsi="Book Antiqua"/>
          <w:i/>
          <w:iCs/>
        </w:rPr>
        <w:t>N Engl J Med</w:t>
      </w:r>
      <w:r w:rsidR="00E41430" w:rsidRPr="00514591">
        <w:rPr>
          <w:rFonts w:ascii="Book Antiqua" w:hAnsi="Book Antiqua"/>
        </w:rPr>
        <w:t xml:space="preserve"> 2018; </w:t>
      </w:r>
      <w:r w:rsidR="00E41430" w:rsidRPr="00514591">
        <w:rPr>
          <w:rFonts w:ascii="Book Antiqua" w:hAnsi="Book Antiqua"/>
          <w:b/>
          <w:bCs/>
        </w:rPr>
        <w:t>379</w:t>
      </w:r>
      <w:r w:rsidR="00E41430" w:rsidRPr="00514591">
        <w:rPr>
          <w:rFonts w:ascii="Book Antiqua" w:hAnsi="Book Antiqua"/>
        </w:rPr>
        <w:t>: 341-351 [PMID: 29863979 DOI: 10.1056/NEJMoa1805131]</w:t>
      </w:r>
    </w:p>
    <w:p w14:paraId="1947D3A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82</w:t>
      </w:r>
      <w:r w:rsidR="00E41430" w:rsidRPr="00514591">
        <w:rPr>
          <w:rFonts w:ascii="Book Antiqua" w:hAnsi="Book Antiqua"/>
        </w:rPr>
        <w:t xml:space="preserve"> </w:t>
      </w:r>
      <w:r w:rsidR="00E41430" w:rsidRPr="00514591">
        <w:rPr>
          <w:rFonts w:ascii="Book Antiqua" w:hAnsi="Book Antiqua"/>
          <w:b/>
          <w:bCs/>
        </w:rPr>
        <w:t>Jotte R</w:t>
      </w:r>
      <w:r w:rsidR="00E41430" w:rsidRPr="00514591">
        <w:rPr>
          <w:rFonts w:ascii="Book Antiqua" w:hAnsi="Book Antiqua"/>
        </w:rPr>
        <w:t xml:space="preserve">, Cappuzzo F, Vynnychenko I, Stroyakovskiy D, Rodríguez-Abreu D, Hussein M, Soo R, Conter HJ, Kozuki T, Huang KC, Graupner V, Sun SW, Hoang T, Jessop H, McCleland M, Ballinger M, Sandler A, Socinski MA. Atezolizumab in Combination With Carboplatin and Nab-Paclitaxel in Advanced Squamous NSCLC (IMpower131): Results From a Randomized Phase III Trial. </w:t>
      </w:r>
      <w:r w:rsidR="00E41430" w:rsidRPr="00514591">
        <w:rPr>
          <w:rFonts w:ascii="Book Antiqua" w:hAnsi="Book Antiqua"/>
          <w:i/>
          <w:iCs/>
        </w:rPr>
        <w:t>J Thorac Oncol</w:t>
      </w:r>
      <w:r w:rsidR="00E41430" w:rsidRPr="00514591">
        <w:rPr>
          <w:rFonts w:ascii="Book Antiqua" w:hAnsi="Book Antiqua"/>
        </w:rPr>
        <w:t xml:space="preserve"> 2020; </w:t>
      </w:r>
      <w:r w:rsidR="00E41430" w:rsidRPr="00514591">
        <w:rPr>
          <w:rFonts w:ascii="Book Antiqua" w:hAnsi="Book Antiqua"/>
          <w:b/>
          <w:bCs/>
        </w:rPr>
        <w:t>15</w:t>
      </w:r>
      <w:r w:rsidR="00E41430" w:rsidRPr="00514591">
        <w:rPr>
          <w:rFonts w:ascii="Book Antiqua" w:hAnsi="Book Antiqua"/>
        </w:rPr>
        <w:t>: 1351-1360 [PMID: 32302702 DOI: 10.1016/j.jtho.2020.03.028]</w:t>
      </w:r>
    </w:p>
    <w:p w14:paraId="738F9059"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83</w:t>
      </w:r>
      <w:r w:rsidR="00E41430" w:rsidRPr="00514591">
        <w:rPr>
          <w:rFonts w:ascii="Book Antiqua" w:hAnsi="Book Antiqua"/>
        </w:rPr>
        <w:t xml:space="preserve"> </w:t>
      </w:r>
      <w:r w:rsidR="00E41430" w:rsidRPr="00514591">
        <w:rPr>
          <w:rFonts w:ascii="Book Antiqua" w:hAnsi="Book Antiqua"/>
          <w:b/>
          <w:bCs/>
        </w:rPr>
        <w:t>D'Angelo SP</w:t>
      </w:r>
      <w:r w:rsidR="00E41430" w:rsidRPr="00514591">
        <w:rPr>
          <w:rFonts w:ascii="Book Antiqua" w:hAnsi="Book Antiqua"/>
        </w:rPr>
        <w:t xml:space="preserve">, Bhatia S, Brohl AS, Hamid O, Mehnert JM, Terheyden P, Shih KC, Brownell I, Lebbé C, Lewis KD, Linette GP, Milella M, Georges S, Shah P, Ellers-Lenz B, Bajars M, Güzel G, Nghiem PT. Avelumab in patients with previously treated metastatic Merkel cell carcinoma: long-term data and biomarker analyses from the single-arm phase 2 JAVELIN Merkel 200 trial. </w:t>
      </w:r>
      <w:r w:rsidR="00E41430" w:rsidRPr="00514591">
        <w:rPr>
          <w:rFonts w:ascii="Book Antiqua" w:hAnsi="Book Antiqua"/>
          <w:i/>
          <w:iCs/>
        </w:rPr>
        <w:t>J Immunother Cancer</w:t>
      </w:r>
      <w:r w:rsidR="00E41430" w:rsidRPr="00514591">
        <w:rPr>
          <w:rFonts w:ascii="Book Antiqua" w:hAnsi="Book Antiqua"/>
        </w:rPr>
        <w:t xml:space="preserve"> 2020; </w:t>
      </w:r>
      <w:r w:rsidR="00E41430" w:rsidRPr="00514591">
        <w:rPr>
          <w:rFonts w:ascii="Book Antiqua" w:hAnsi="Book Antiqua"/>
          <w:b/>
          <w:bCs/>
        </w:rPr>
        <w:t>8</w:t>
      </w:r>
      <w:r w:rsidR="00E41430" w:rsidRPr="00514591">
        <w:rPr>
          <w:rFonts w:ascii="Book Antiqua" w:hAnsi="Book Antiqua"/>
        </w:rPr>
        <w:t xml:space="preserve"> [PMID: 32414862 DOI: 10.1136/jitc-2020-000674]</w:t>
      </w:r>
    </w:p>
    <w:p w14:paraId="65A188A3"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84</w:t>
      </w:r>
      <w:r w:rsidR="00E41430" w:rsidRPr="00514591">
        <w:rPr>
          <w:rFonts w:ascii="Book Antiqua" w:hAnsi="Book Antiqua"/>
        </w:rPr>
        <w:t xml:space="preserve"> </w:t>
      </w:r>
      <w:r w:rsidR="00E41430" w:rsidRPr="00514591">
        <w:rPr>
          <w:rFonts w:ascii="Book Antiqua" w:hAnsi="Book Antiqua"/>
          <w:b/>
          <w:bCs/>
        </w:rPr>
        <w:t>Garassino MC</w:t>
      </w:r>
      <w:r w:rsidR="00E41430" w:rsidRPr="00514591">
        <w:rPr>
          <w:rFonts w:ascii="Book Antiqua" w:hAnsi="Book Antiqua"/>
        </w:rPr>
        <w:t xml:space="preserve">, Cho BC, Kim JH, Mazières J, Vansteenkiste J, Lena H, Corral Jaime J, Gray JE, Powderly J, Chouaid C, Bidoli P, Wheatley-Price P, Park K, Soo RA, Huang Y, </w:t>
      </w:r>
      <w:r w:rsidR="00E41430" w:rsidRPr="00514591">
        <w:rPr>
          <w:rFonts w:ascii="Book Antiqua" w:hAnsi="Book Antiqua"/>
        </w:rPr>
        <w:lastRenderedPageBreak/>
        <w:t xml:space="preserve">Wadsworth C, Dennis PA, Rizvi NA; ATLANTIC Investigators. Durvalumab as third-line or later treatment for advanced non-small-cell lung cancer (ATLANTIC): an open-label, single-arm, phase 2 study. </w:t>
      </w:r>
      <w:r w:rsidR="00E41430" w:rsidRPr="00514591">
        <w:rPr>
          <w:rFonts w:ascii="Book Antiqua" w:hAnsi="Book Antiqua"/>
          <w:i/>
          <w:iCs/>
        </w:rPr>
        <w:t>Lancet Oncol</w:t>
      </w:r>
      <w:r w:rsidR="00E41430" w:rsidRPr="00514591">
        <w:rPr>
          <w:rFonts w:ascii="Book Antiqua" w:hAnsi="Book Antiqua"/>
        </w:rPr>
        <w:t xml:space="preserve"> 2018; </w:t>
      </w:r>
      <w:r w:rsidR="00E41430" w:rsidRPr="00514591">
        <w:rPr>
          <w:rFonts w:ascii="Book Antiqua" w:hAnsi="Book Antiqua"/>
          <w:b/>
          <w:bCs/>
        </w:rPr>
        <w:t>19</w:t>
      </w:r>
      <w:r w:rsidR="00E41430" w:rsidRPr="00514591">
        <w:rPr>
          <w:rFonts w:ascii="Book Antiqua" w:hAnsi="Book Antiqua"/>
        </w:rPr>
        <w:t>: 521-536 [PMID: 29545095 DOI: 10.1016/S1470-2045(18)30144-X]</w:t>
      </w:r>
    </w:p>
    <w:p w14:paraId="0103BB0C"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85</w:t>
      </w:r>
      <w:r w:rsidR="00E41430" w:rsidRPr="00514591">
        <w:rPr>
          <w:rFonts w:ascii="Book Antiqua" w:hAnsi="Book Antiqua"/>
        </w:rPr>
        <w:t xml:space="preserve"> </w:t>
      </w:r>
      <w:r w:rsidR="00E41430" w:rsidRPr="00514591">
        <w:rPr>
          <w:rFonts w:ascii="Book Antiqua" w:hAnsi="Book Antiqua"/>
          <w:b/>
          <w:bCs/>
        </w:rPr>
        <w:t>Postow MA</w:t>
      </w:r>
      <w:r w:rsidR="00E41430" w:rsidRPr="00370BCB">
        <w:rPr>
          <w:rFonts w:ascii="Book Antiqua" w:hAnsi="Book Antiqua"/>
          <w:bCs/>
        </w:rPr>
        <w:t>,</w:t>
      </w:r>
      <w:r w:rsidR="00E41430" w:rsidRPr="00370BCB">
        <w:rPr>
          <w:rFonts w:ascii="Book Antiqua" w:hAnsi="Book Antiqua"/>
        </w:rPr>
        <w:t xml:space="preserve"> </w:t>
      </w:r>
      <w:r w:rsidR="00E41430" w:rsidRPr="00514591">
        <w:rPr>
          <w:rFonts w:ascii="Book Antiqua" w:hAnsi="Book Antiqua"/>
        </w:rPr>
        <w:t xml:space="preserve">Chesney J, Pavlick AC, Robert C, Grossmann K, McDermott D, Linette GP, Meyer N, Giguere JK, Agarwala SS, Shaheen M, Ernstoff MS, Minor D, Salama AK, Taylor M, Ott PA, Rollin LM, Horak C, Gagnier P, Wolchok JD, Hodi FS. Nivolumab and ipilimumab vs ipilimumab in untreated melanoma. </w:t>
      </w:r>
      <w:r w:rsidR="00E41430" w:rsidRPr="00F739AB">
        <w:rPr>
          <w:rFonts w:ascii="Book Antiqua" w:hAnsi="Book Antiqua"/>
          <w:i/>
        </w:rPr>
        <w:t xml:space="preserve">N Engl J Med </w:t>
      </w:r>
      <w:r w:rsidR="00E41430" w:rsidRPr="00514591">
        <w:rPr>
          <w:rFonts w:ascii="Book Antiqua" w:hAnsi="Book Antiqua"/>
        </w:rPr>
        <w:t>2015;</w:t>
      </w:r>
      <w:r w:rsidR="00E41430" w:rsidRPr="00F739AB">
        <w:rPr>
          <w:rFonts w:ascii="Book Antiqua" w:hAnsi="Book Antiqua"/>
          <w:b/>
        </w:rPr>
        <w:t xml:space="preserve"> 372</w:t>
      </w:r>
      <w:r w:rsidR="00E41430" w:rsidRPr="006204F2">
        <w:rPr>
          <w:rFonts w:ascii="Book Antiqua" w:hAnsi="Book Antiqua"/>
          <w:bCs/>
        </w:rPr>
        <w:t>:</w:t>
      </w:r>
      <w:r w:rsidR="00E41430" w:rsidRPr="00F739AB">
        <w:rPr>
          <w:rFonts w:ascii="Book Antiqua" w:hAnsi="Book Antiqua"/>
          <w:b/>
        </w:rPr>
        <w:t xml:space="preserve"> </w:t>
      </w:r>
      <w:r w:rsidR="00E41430" w:rsidRPr="00514591">
        <w:rPr>
          <w:rFonts w:ascii="Book Antiqua" w:hAnsi="Book Antiqua"/>
        </w:rPr>
        <w:t>2006-2017 [DOI:</w:t>
      </w:r>
      <w:r w:rsidR="00E41430">
        <w:rPr>
          <w:rFonts w:ascii="Book Antiqua" w:hAnsi="Book Antiqua" w:hint="eastAsia"/>
          <w:lang w:eastAsia="zh-CN"/>
        </w:rPr>
        <w:t xml:space="preserve"> </w:t>
      </w:r>
      <w:r w:rsidR="00E41430" w:rsidRPr="00514591">
        <w:rPr>
          <w:rFonts w:ascii="Book Antiqua" w:hAnsi="Book Antiqua"/>
        </w:rPr>
        <w:t>10.1056/nejmoa1414428]</w:t>
      </w:r>
    </w:p>
    <w:p w14:paraId="072B6912"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86</w:t>
      </w:r>
      <w:r w:rsidR="00E41430" w:rsidRPr="00514591">
        <w:rPr>
          <w:rFonts w:ascii="Book Antiqua" w:hAnsi="Book Antiqua"/>
        </w:rPr>
        <w:t xml:space="preserve"> </w:t>
      </w:r>
      <w:r w:rsidR="00E41430" w:rsidRPr="00514591">
        <w:rPr>
          <w:rFonts w:ascii="Book Antiqua" w:hAnsi="Book Antiqua"/>
          <w:b/>
          <w:bCs/>
        </w:rPr>
        <w:t>Larkin J</w:t>
      </w:r>
      <w:r w:rsidR="00E41430" w:rsidRPr="00514591">
        <w:rPr>
          <w:rFonts w:ascii="Book Antiqua" w:hAnsi="Book Antiqua"/>
        </w:rPr>
        <w:t xml:space="preserve">, Chiarion-Sileni V, Gonzalez R, Grob JJ, Cowey CL, Lao CD, Schadendorf D, Dummer R, Smylie M, Rutkowski P, Ferrucci PF, Hill A, Wagstaff J, Carlino MS, Haanen JB, Maio M, Marquez-Rodas I, McArthur GA, Ascierto PA, Long GV, Callahan MK, Postow MA, Grossmann K, Sznol M, Dreno B, Bastholt L, Yang A, Rollin LM, Horak C, Hodi FS, Wolchok JD. Combined Nivolumab and Ipilimumab or Monotherapy in Untreated Melanoma. </w:t>
      </w:r>
      <w:r w:rsidR="00E41430" w:rsidRPr="00514591">
        <w:rPr>
          <w:rFonts w:ascii="Book Antiqua" w:hAnsi="Book Antiqua"/>
          <w:i/>
          <w:iCs/>
        </w:rPr>
        <w:t>N Engl J Med</w:t>
      </w:r>
      <w:r w:rsidR="00E41430" w:rsidRPr="00514591">
        <w:rPr>
          <w:rFonts w:ascii="Book Antiqua" w:hAnsi="Book Antiqua"/>
        </w:rPr>
        <w:t xml:space="preserve"> 2015; </w:t>
      </w:r>
      <w:r w:rsidR="00E41430" w:rsidRPr="00514591">
        <w:rPr>
          <w:rFonts w:ascii="Book Antiqua" w:hAnsi="Book Antiqua"/>
          <w:b/>
          <w:bCs/>
        </w:rPr>
        <w:t>373</w:t>
      </w:r>
      <w:r w:rsidR="00E41430" w:rsidRPr="00514591">
        <w:rPr>
          <w:rFonts w:ascii="Book Antiqua" w:hAnsi="Book Antiqua"/>
        </w:rPr>
        <w:t>: 23-34 [PMID: 26027431 DOI: 10.1056/NEJMoa1504030]</w:t>
      </w:r>
    </w:p>
    <w:p w14:paraId="276A836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87</w:t>
      </w:r>
      <w:r w:rsidR="00E41430" w:rsidRPr="00514591">
        <w:rPr>
          <w:rFonts w:ascii="Book Antiqua" w:hAnsi="Book Antiqua"/>
        </w:rPr>
        <w:t xml:space="preserve"> </w:t>
      </w:r>
      <w:r w:rsidR="00E41430" w:rsidRPr="00514591">
        <w:rPr>
          <w:rFonts w:ascii="Book Antiqua" w:hAnsi="Book Antiqua"/>
          <w:b/>
          <w:bCs/>
        </w:rPr>
        <w:t>Colevas A</w:t>
      </w:r>
      <w:r w:rsidR="00E41430" w:rsidRPr="00370BCB">
        <w:rPr>
          <w:rFonts w:ascii="Book Antiqua" w:hAnsi="Book Antiqua"/>
          <w:bCs/>
        </w:rPr>
        <w:t>,</w:t>
      </w:r>
      <w:r w:rsidR="00E41430" w:rsidRPr="00370BCB">
        <w:rPr>
          <w:rFonts w:ascii="Book Antiqua" w:hAnsi="Book Antiqua"/>
        </w:rPr>
        <w:t xml:space="preserve"> </w:t>
      </w:r>
      <w:r w:rsidR="00E41430" w:rsidRPr="00514591">
        <w:rPr>
          <w:rFonts w:ascii="Book Antiqua" w:hAnsi="Book Antiqua"/>
        </w:rPr>
        <w:t xml:space="preserve">Setser A. The NCI Common Terminology Criteria for Adverse Events (CTCAE) v 3.0 is the new standard for oncology clinical trials. </w:t>
      </w:r>
      <w:r w:rsidR="00E41430" w:rsidRPr="00F739AB">
        <w:rPr>
          <w:rFonts w:ascii="Book Antiqua" w:hAnsi="Book Antiqua"/>
          <w:i/>
        </w:rPr>
        <w:t>J Clin Oncol</w:t>
      </w:r>
      <w:r w:rsidR="00E41430" w:rsidRPr="00514591">
        <w:rPr>
          <w:rFonts w:ascii="Book Antiqua" w:hAnsi="Book Antiqua"/>
        </w:rPr>
        <w:t xml:space="preserve"> 2004;</w:t>
      </w:r>
      <w:r w:rsidR="00E41430" w:rsidRPr="00F739AB">
        <w:rPr>
          <w:rFonts w:ascii="Book Antiqua" w:hAnsi="Book Antiqua" w:hint="eastAsia"/>
          <w:b/>
          <w:lang w:eastAsia="zh-CN"/>
        </w:rPr>
        <w:t xml:space="preserve"> </w:t>
      </w:r>
      <w:r w:rsidR="00E41430" w:rsidRPr="00F739AB">
        <w:rPr>
          <w:rFonts w:ascii="Book Antiqua" w:hAnsi="Book Antiqua"/>
          <w:b/>
        </w:rPr>
        <w:t>22</w:t>
      </w:r>
      <w:r w:rsidR="00E41430" w:rsidRPr="006204F2">
        <w:rPr>
          <w:rFonts w:ascii="Book Antiqua" w:hAnsi="Book Antiqua"/>
          <w:bCs/>
        </w:rPr>
        <w:t>:</w:t>
      </w:r>
      <w:r w:rsidR="00E41430" w:rsidRPr="00F739AB">
        <w:rPr>
          <w:rFonts w:ascii="Book Antiqua" w:hAnsi="Book Antiqua" w:hint="eastAsia"/>
          <w:b/>
          <w:lang w:eastAsia="zh-CN"/>
        </w:rPr>
        <w:t xml:space="preserve"> </w:t>
      </w:r>
      <w:r w:rsidR="00E41430" w:rsidRPr="00514591">
        <w:rPr>
          <w:rFonts w:ascii="Book Antiqua" w:hAnsi="Book Antiqua"/>
        </w:rPr>
        <w:t>6098 [DOI:</w:t>
      </w:r>
      <w:r w:rsidR="00E41430">
        <w:rPr>
          <w:rFonts w:ascii="Book Antiqua" w:hAnsi="Book Antiqua" w:hint="eastAsia"/>
          <w:lang w:eastAsia="zh-CN"/>
        </w:rPr>
        <w:t xml:space="preserve"> </w:t>
      </w:r>
      <w:r w:rsidR="00E41430" w:rsidRPr="00514591">
        <w:rPr>
          <w:rFonts w:ascii="Book Antiqua" w:hAnsi="Book Antiqua"/>
        </w:rPr>
        <w:t>10.1200/jco.2004.22.90140.6098]</w:t>
      </w:r>
    </w:p>
    <w:p w14:paraId="3C3EC2D1" w14:textId="6C6890B8" w:rsidR="00E41430" w:rsidRPr="00514591" w:rsidRDefault="00BA6431" w:rsidP="00E41430">
      <w:pPr>
        <w:spacing w:line="360" w:lineRule="auto"/>
        <w:jc w:val="both"/>
        <w:rPr>
          <w:rFonts w:ascii="Book Antiqua" w:hAnsi="Book Antiqua"/>
          <w:lang w:eastAsia="zh-CN"/>
        </w:rPr>
      </w:pPr>
      <w:r w:rsidRPr="00370BCB">
        <w:rPr>
          <w:rFonts w:ascii="Book Antiqua" w:hAnsi="Book Antiqua" w:hint="eastAsia"/>
          <w:lang w:eastAsia="zh-CN"/>
        </w:rPr>
        <w:t>88</w:t>
      </w:r>
      <w:r w:rsidR="00E41430" w:rsidRPr="00370BCB">
        <w:rPr>
          <w:rFonts w:ascii="Book Antiqua" w:hAnsi="Book Antiqua"/>
        </w:rPr>
        <w:t xml:space="preserve"> </w:t>
      </w:r>
      <w:r w:rsidR="00E41430" w:rsidRPr="00370BCB">
        <w:rPr>
          <w:rFonts w:ascii="Book Antiqua" w:hAnsi="Book Antiqua"/>
          <w:b/>
        </w:rPr>
        <w:t>US Food &amp; Drug Administration</w:t>
      </w:r>
      <w:r w:rsidR="00E41430" w:rsidRPr="00370BCB">
        <w:rPr>
          <w:rFonts w:ascii="Book Antiqua" w:hAnsi="Book Antiqua"/>
        </w:rPr>
        <w:t xml:space="preserve">. Silver Spring (MD): FDA. </w:t>
      </w:r>
      <w:r w:rsidR="00E41430" w:rsidRPr="00370BCB">
        <w:rPr>
          <w:rFonts w:ascii="Book Antiqua" w:hAnsi="Book Antiqua" w:hint="eastAsia"/>
          <w:lang w:eastAsia="zh-CN"/>
        </w:rPr>
        <w:t>[c</w:t>
      </w:r>
      <w:r w:rsidR="00E41430" w:rsidRPr="00370BCB">
        <w:rPr>
          <w:rFonts w:ascii="Book Antiqua" w:hAnsi="Book Antiqua"/>
        </w:rPr>
        <w:t>ited 1 March 2021</w:t>
      </w:r>
      <w:r w:rsidR="00E41430" w:rsidRPr="00370BCB">
        <w:rPr>
          <w:rFonts w:ascii="Book Antiqua" w:hAnsi="Book Antiqua" w:hint="eastAsia"/>
          <w:lang w:eastAsia="zh-CN"/>
        </w:rPr>
        <w:t xml:space="preserve">]. </w:t>
      </w:r>
      <w:r w:rsidR="00E41430" w:rsidRPr="00370BCB">
        <w:rPr>
          <w:rFonts w:ascii="Book Antiqua" w:hAnsi="Book Antiqua"/>
        </w:rPr>
        <w:t>Available from: https://www.fda.gov/Drugs/default.htm</w:t>
      </w:r>
    </w:p>
    <w:p w14:paraId="4EC4B251" w14:textId="77777777" w:rsidR="00E41430" w:rsidRPr="00514591" w:rsidRDefault="00E41430" w:rsidP="00E41430">
      <w:pPr>
        <w:spacing w:line="360" w:lineRule="auto"/>
        <w:jc w:val="both"/>
        <w:rPr>
          <w:rFonts w:ascii="Book Antiqua" w:hAnsi="Book Antiqua"/>
        </w:rPr>
      </w:pPr>
      <w:r w:rsidRPr="00514591">
        <w:rPr>
          <w:rFonts w:ascii="Book Antiqua" w:hAnsi="Book Antiqua"/>
        </w:rPr>
        <w:t>8</w:t>
      </w:r>
      <w:r w:rsidR="00BA6431">
        <w:rPr>
          <w:rFonts w:ascii="Book Antiqua" w:hAnsi="Book Antiqua" w:hint="eastAsia"/>
          <w:lang w:eastAsia="zh-CN"/>
        </w:rPr>
        <w:t>9</w:t>
      </w:r>
      <w:r w:rsidRPr="00514591">
        <w:rPr>
          <w:rFonts w:ascii="Book Antiqua" w:hAnsi="Book Antiqua"/>
        </w:rPr>
        <w:t xml:space="preserve"> </w:t>
      </w:r>
      <w:r w:rsidRPr="00514591">
        <w:rPr>
          <w:rFonts w:ascii="Book Antiqua" w:hAnsi="Book Antiqua"/>
          <w:b/>
          <w:bCs/>
        </w:rPr>
        <w:t>Puzanov I</w:t>
      </w:r>
      <w:r w:rsidRPr="00514591">
        <w:rPr>
          <w:rFonts w:ascii="Book Antiqua" w:hAnsi="Book Antiqua"/>
        </w:rPr>
        <w:t xml:space="preserve">, Diab A, Abdallah K, Bingham CO 3rd, Brogdon C, Dadu R, Hamad L, Kim S, Lacouture ME, LeBoeuf NR, Lenihan D, Onofrei C, Shannon V, Sharma R, Silk AW, Skondra D, Suarez-Almazor ME, Wang Y, Wiley K, Kaufman HL, Ernstoff MS; Society for Immunotherapy of Cancer Toxicity Management Working Group. Managing toxicities associated with immune checkpoint inhibitors: consensus recommendations from the Society for Immunotherapy of Cancer (SITC) Toxicity Management Working Group. </w:t>
      </w:r>
      <w:r w:rsidRPr="00514591">
        <w:rPr>
          <w:rFonts w:ascii="Book Antiqua" w:hAnsi="Book Antiqua"/>
          <w:i/>
          <w:iCs/>
        </w:rPr>
        <w:t>J Immunother Cancer</w:t>
      </w:r>
      <w:r w:rsidRPr="00514591">
        <w:rPr>
          <w:rFonts w:ascii="Book Antiqua" w:hAnsi="Book Antiqua"/>
        </w:rPr>
        <w:t xml:space="preserve"> 2017; </w:t>
      </w:r>
      <w:r w:rsidRPr="00514591">
        <w:rPr>
          <w:rFonts w:ascii="Book Antiqua" w:hAnsi="Book Antiqua"/>
          <w:b/>
          <w:bCs/>
        </w:rPr>
        <w:t>5</w:t>
      </w:r>
      <w:r w:rsidRPr="00514591">
        <w:rPr>
          <w:rFonts w:ascii="Book Antiqua" w:hAnsi="Book Antiqua"/>
        </w:rPr>
        <w:t>: 95 [PMID: 29162153 DOI: 10.1186/s40425-017-0300-z]</w:t>
      </w:r>
    </w:p>
    <w:p w14:paraId="6AF99C4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lastRenderedPageBreak/>
        <w:t>90</w:t>
      </w:r>
      <w:r w:rsidR="00E41430" w:rsidRPr="00514591">
        <w:rPr>
          <w:rFonts w:ascii="Book Antiqua" w:hAnsi="Book Antiqua"/>
        </w:rPr>
        <w:t xml:space="preserve"> </w:t>
      </w:r>
      <w:r w:rsidR="00E41430" w:rsidRPr="00514591">
        <w:rPr>
          <w:rFonts w:ascii="Book Antiqua" w:hAnsi="Book Antiqua"/>
          <w:b/>
          <w:bCs/>
        </w:rPr>
        <w:t>Brahmer JR</w:t>
      </w:r>
      <w:r w:rsidR="00E41430" w:rsidRPr="00514591">
        <w:rPr>
          <w:rFonts w:ascii="Book Antiqua" w:hAnsi="Book Antiqua"/>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00E41430" w:rsidRPr="00514591">
        <w:rPr>
          <w:rFonts w:ascii="Book Antiqua" w:hAnsi="Book Antiqua"/>
          <w:i/>
          <w:iCs/>
        </w:rPr>
        <w:t>J Clin Oncol</w:t>
      </w:r>
      <w:r w:rsidR="00E41430" w:rsidRPr="00514591">
        <w:rPr>
          <w:rFonts w:ascii="Book Antiqua" w:hAnsi="Book Antiqua"/>
        </w:rPr>
        <w:t xml:space="preserve"> 2018; </w:t>
      </w:r>
      <w:r w:rsidR="00E41430" w:rsidRPr="00514591">
        <w:rPr>
          <w:rFonts w:ascii="Book Antiqua" w:hAnsi="Book Antiqua"/>
          <w:b/>
          <w:bCs/>
        </w:rPr>
        <w:t>36</w:t>
      </w:r>
      <w:r w:rsidR="00E41430" w:rsidRPr="00514591">
        <w:rPr>
          <w:rFonts w:ascii="Book Antiqua" w:hAnsi="Book Antiqua"/>
        </w:rPr>
        <w:t>: 1714-1768 [PMID: 29442540 DOI: 10.1200/JCO.2017.77.6385]</w:t>
      </w:r>
    </w:p>
    <w:p w14:paraId="04EC2064" w14:textId="77777777" w:rsidR="00E41430" w:rsidRPr="00514591" w:rsidRDefault="00BA6431" w:rsidP="00E41430">
      <w:pPr>
        <w:spacing w:line="360" w:lineRule="auto"/>
        <w:jc w:val="both"/>
        <w:rPr>
          <w:rFonts w:ascii="Book Antiqua" w:hAnsi="Book Antiqua"/>
          <w:lang w:eastAsia="zh-CN"/>
        </w:rPr>
      </w:pPr>
      <w:r>
        <w:rPr>
          <w:rFonts w:ascii="Book Antiqua" w:hAnsi="Book Antiqua" w:hint="eastAsia"/>
          <w:lang w:eastAsia="zh-CN"/>
        </w:rPr>
        <w:t>91</w:t>
      </w:r>
      <w:r w:rsidR="00E41430" w:rsidRPr="00514591">
        <w:rPr>
          <w:rFonts w:ascii="Book Antiqua" w:hAnsi="Book Antiqua"/>
        </w:rPr>
        <w:t xml:space="preserve"> </w:t>
      </w:r>
      <w:r w:rsidR="00E41430" w:rsidRPr="00514591">
        <w:rPr>
          <w:rFonts w:ascii="Book Antiqua" w:hAnsi="Book Antiqua"/>
          <w:b/>
          <w:bCs/>
        </w:rPr>
        <w:t>Haanen JBAG</w:t>
      </w:r>
      <w:r w:rsidR="00E41430" w:rsidRPr="00514591">
        <w:rPr>
          <w:rFonts w:ascii="Book Antiqua" w:hAnsi="Book Antiqua"/>
        </w:rPr>
        <w:t xml:space="preserve">, Carbonnel F, Robert C, Kerr KM, Peters S, Larkin J, Jordan K; ESMO Guidelines Committee. Management of toxicities from immunotherapy: ESMO Clinical Practice Guidelines for diagnosis, treatment and follow-up. </w:t>
      </w:r>
      <w:r w:rsidR="00E41430" w:rsidRPr="00514591">
        <w:rPr>
          <w:rFonts w:ascii="Book Antiqua" w:hAnsi="Book Antiqua"/>
          <w:i/>
          <w:iCs/>
        </w:rPr>
        <w:t>Ann Oncol</w:t>
      </w:r>
      <w:r w:rsidR="00E41430" w:rsidRPr="00514591">
        <w:rPr>
          <w:rFonts w:ascii="Book Antiqua" w:hAnsi="Book Antiqua"/>
        </w:rPr>
        <w:t xml:space="preserve"> 2017; </w:t>
      </w:r>
      <w:r w:rsidR="00E41430" w:rsidRPr="00514591">
        <w:rPr>
          <w:rFonts w:ascii="Book Antiqua" w:hAnsi="Book Antiqua"/>
          <w:b/>
          <w:bCs/>
        </w:rPr>
        <w:t>28</w:t>
      </w:r>
      <w:r w:rsidR="00E41430" w:rsidRPr="00514591">
        <w:rPr>
          <w:rFonts w:ascii="Book Antiqua" w:hAnsi="Book Antiqua"/>
        </w:rPr>
        <w:t>: iv119-iv142 [PMID: 28881921 DOI: 10.1093/annonc/mdx225]</w:t>
      </w:r>
    </w:p>
    <w:bookmarkEnd w:id="3"/>
    <w:p w14:paraId="71A34769" w14:textId="77777777" w:rsidR="00514591" w:rsidRPr="00514591" w:rsidRDefault="00514591" w:rsidP="00514591">
      <w:pPr>
        <w:spacing w:line="360" w:lineRule="auto"/>
        <w:jc w:val="both"/>
        <w:rPr>
          <w:rFonts w:ascii="Book Antiqua" w:hAnsi="Book Antiqua"/>
        </w:rPr>
      </w:pPr>
    </w:p>
    <w:p w14:paraId="1FF771FF" w14:textId="77777777" w:rsidR="00A77B3E" w:rsidRPr="00514591" w:rsidRDefault="00A77B3E" w:rsidP="00514591">
      <w:pPr>
        <w:spacing w:line="360" w:lineRule="auto"/>
        <w:jc w:val="both"/>
        <w:rPr>
          <w:rFonts w:ascii="Book Antiqua" w:hAnsi="Book Antiqua"/>
        </w:rPr>
        <w:sectPr w:rsidR="00A77B3E" w:rsidRPr="00514591">
          <w:pgSz w:w="12240" w:h="15840"/>
          <w:pgMar w:top="1440" w:right="1440" w:bottom="1440" w:left="1440" w:header="720" w:footer="720" w:gutter="0"/>
          <w:cols w:space="720"/>
          <w:docGrid w:linePitch="360"/>
        </w:sectPr>
      </w:pPr>
    </w:p>
    <w:p w14:paraId="72DCF802"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Footnotes</w:t>
      </w:r>
    </w:p>
    <w:p w14:paraId="222363A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Conflict-of-interest statement: </w:t>
      </w:r>
      <w:r w:rsidRPr="00514591">
        <w:rPr>
          <w:rFonts w:ascii="Book Antiqua" w:eastAsia="Book Antiqua" w:hAnsi="Book Antiqua" w:cs="Book Antiqua"/>
          <w:color w:val="000000"/>
        </w:rPr>
        <w:t>Authors declare no conflict of interests for this article.</w:t>
      </w:r>
    </w:p>
    <w:p w14:paraId="42B2F27B" w14:textId="77777777" w:rsidR="00A77B3E" w:rsidRPr="00514591" w:rsidRDefault="00A77B3E" w:rsidP="00514591">
      <w:pPr>
        <w:spacing w:line="360" w:lineRule="auto"/>
        <w:jc w:val="both"/>
        <w:rPr>
          <w:rFonts w:ascii="Book Antiqua" w:hAnsi="Book Antiqua"/>
        </w:rPr>
      </w:pPr>
    </w:p>
    <w:p w14:paraId="660D395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Open-Access: </w:t>
      </w:r>
      <w:r w:rsidRPr="0051459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5DA496" w14:textId="77777777" w:rsidR="00A77B3E" w:rsidRPr="00514591" w:rsidRDefault="00A77B3E" w:rsidP="00514591">
      <w:pPr>
        <w:spacing w:line="360" w:lineRule="auto"/>
        <w:jc w:val="both"/>
        <w:rPr>
          <w:rFonts w:ascii="Book Antiqua" w:hAnsi="Book Antiqua"/>
        </w:rPr>
      </w:pPr>
    </w:p>
    <w:p w14:paraId="377FCA23"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source: </w:t>
      </w:r>
      <w:r w:rsidRPr="00514591">
        <w:rPr>
          <w:rFonts w:ascii="Book Antiqua" w:eastAsia="Book Antiqua" w:hAnsi="Book Antiqua" w:cs="Book Antiqua"/>
          <w:color w:val="000000"/>
        </w:rPr>
        <w:t xml:space="preserve">Invited </w:t>
      </w:r>
      <w:r w:rsidR="00B1637D">
        <w:rPr>
          <w:rFonts w:ascii="Book Antiqua" w:hAnsi="Book Antiqua" w:cs="Book Antiqua" w:hint="eastAsia"/>
          <w:color w:val="000000"/>
          <w:lang w:eastAsia="zh-CN"/>
        </w:rPr>
        <w:t>m</w:t>
      </w:r>
      <w:r w:rsidRPr="00514591">
        <w:rPr>
          <w:rFonts w:ascii="Book Antiqua" w:eastAsia="Book Antiqua" w:hAnsi="Book Antiqua" w:cs="Book Antiqua"/>
          <w:color w:val="000000"/>
        </w:rPr>
        <w:t>anuscript</w:t>
      </w:r>
    </w:p>
    <w:p w14:paraId="3C7A6AAB" w14:textId="77777777" w:rsidR="00A77B3E" w:rsidRPr="00514591" w:rsidRDefault="00A77B3E" w:rsidP="00514591">
      <w:pPr>
        <w:spacing w:line="360" w:lineRule="auto"/>
        <w:jc w:val="both"/>
        <w:rPr>
          <w:rFonts w:ascii="Book Antiqua" w:hAnsi="Book Antiqua"/>
        </w:rPr>
      </w:pPr>
    </w:p>
    <w:p w14:paraId="3F5B06A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Peer-review started: </w:t>
      </w:r>
      <w:r w:rsidRPr="00514591">
        <w:rPr>
          <w:rFonts w:ascii="Book Antiqua" w:eastAsia="Book Antiqua" w:hAnsi="Book Antiqua" w:cs="Book Antiqua"/>
          <w:color w:val="000000"/>
        </w:rPr>
        <w:t>March 31, 2021</w:t>
      </w:r>
    </w:p>
    <w:p w14:paraId="221BEB8C"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First decision: </w:t>
      </w:r>
      <w:r w:rsidRPr="00514591">
        <w:rPr>
          <w:rFonts w:ascii="Book Antiqua" w:eastAsia="Book Antiqua" w:hAnsi="Book Antiqua" w:cs="Book Antiqua"/>
          <w:color w:val="000000"/>
        </w:rPr>
        <w:t>June 23, 2021</w:t>
      </w:r>
    </w:p>
    <w:p w14:paraId="24282564" w14:textId="1D963BF9"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Article in press: </w:t>
      </w:r>
      <w:r w:rsidR="00245ED7" w:rsidRPr="00245ED7">
        <w:rPr>
          <w:rFonts w:ascii="Book Antiqua" w:eastAsia="Book Antiqua" w:hAnsi="Book Antiqua" w:cs="Book Antiqua"/>
          <w:color w:val="000000"/>
        </w:rPr>
        <w:t>August 3, 2021</w:t>
      </w:r>
    </w:p>
    <w:p w14:paraId="332F2467" w14:textId="77777777" w:rsidR="00A77B3E" w:rsidRPr="00514591" w:rsidRDefault="00A77B3E" w:rsidP="00514591">
      <w:pPr>
        <w:spacing w:line="360" w:lineRule="auto"/>
        <w:jc w:val="both"/>
        <w:rPr>
          <w:rFonts w:ascii="Book Antiqua" w:hAnsi="Book Antiqua"/>
        </w:rPr>
      </w:pPr>
    </w:p>
    <w:p w14:paraId="32944A4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Specialty type: </w:t>
      </w:r>
      <w:r w:rsidRPr="00514591">
        <w:rPr>
          <w:rFonts w:ascii="Book Antiqua" w:eastAsia="Book Antiqua" w:hAnsi="Book Antiqua" w:cs="Book Antiqua"/>
          <w:color w:val="000000"/>
        </w:rPr>
        <w:t xml:space="preserve">Gastroenterology and </w:t>
      </w:r>
      <w:r w:rsidR="00B1637D">
        <w:rPr>
          <w:rFonts w:ascii="Book Antiqua" w:hAnsi="Book Antiqua" w:cs="Book Antiqua" w:hint="eastAsia"/>
          <w:color w:val="000000"/>
          <w:lang w:eastAsia="zh-CN"/>
        </w:rPr>
        <w:t>h</w:t>
      </w:r>
      <w:r w:rsidRPr="00514591">
        <w:rPr>
          <w:rFonts w:ascii="Book Antiqua" w:eastAsia="Book Antiqua" w:hAnsi="Book Antiqua" w:cs="Book Antiqua"/>
          <w:color w:val="000000"/>
        </w:rPr>
        <w:t>epatology</w:t>
      </w:r>
    </w:p>
    <w:p w14:paraId="7DF33F5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Country/Territory of origin: </w:t>
      </w:r>
      <w:r w:rsidRPr="00514591">
        <w:rPr>
          <w:rFonts w:ascii="Book Antiqua" w:eastAsia="Book Antiqua" w:hAnsi="Book Antiqua" w:cs="Book Antiqua"/>
          <w:color w:val="000000"/>
        </w:rPr>
        <w:t>Australia</w:t>
      </w:r>
    </w:p>
    <w:p w14:paraId="77D2D95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Peer-review report’s scientific quality classification</w:t>
      </w:r>
    </w:p>
    <w:p w14:paraId="6EE95A9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A (Excellent): 0</w:t>
      </w:r>
    </w:p>
    <w:p w14:paraId="0945274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B (Very good): B, B</w:t>
      </w:r>
    </w:p>
    <w:p w14:paraId="3D0183B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C (Good): 0</w:t>
      </w:r>
    </w:p>
    <w:p w14:paraId="7E27265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D (Fair): 0</w:t>
      </w:r>
    </w:p>
    <w:p w14:paraId="3EF8065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E (Poor): 0</w:t>
      </w:r>
    </w:p>
    <w:p w14:paraId="4C1927BA" w14:textId="77777777" w:rsidR="00A77B3E" w:rsidRPr="00514591" w:rsidRDefault="00A77B3E" w:rsidP="00514591">
      <w:pPr>
        <w:spacing w:line="360" w:lineRule="auto"/>
        <w:jc w:val="both"/>
        <w:rPr>
          <w:rFonts w:ascii="Book Antiqua" w:hAnsi="Book Antiqua"/>
        </w:rPr>
      </w:pPr>
    </w:p>
    <w:p w14:paraId="7C15F3C4" w14:textId="0FF80893" w:rsidR="005E6C1E" w:rsidRPr="00245ED7" w:rsidRDefault="001666BE" w:rsidP="00514591">
      <w:pPr>
        <w:spacing w:line="360" w:lineRule="auto"/>
        <w:jc w:val="both"/>
        <w:rPr>
          <w:rFonts w:ascii="Book Antiqua" w:hAnsi="Book Antiqua" w:cs="Book Antiqua"/>
          <w:b/>
          <w:color w:val="000000"/>
          <w:lang w:eastAsia="zh-CN"/>
        </w:rPr>
      </w:pPr>
      <w:r w:rsidRPr="00514591">
        <w:rPr>
          <w:rFonts w:ascii="Book Antiqua" w:eastAsia="Book Antiqua" w:hAnsi="Book Antiqua" w:cs="Book Antiqua"/>
          <w:b/>
          <w:color w:val="000000"/>
        </w:rPr>
        <w:t xml:space="preserve">P-Reviewer: </w:t>
      </w:r>
      <w:r w:rsidRPr="00514591">
        <w:rPr>
          <w:rFonts w:ascii="Book Antiqua" w:eastAsia="Book Antiqua" w:hAnsi="Book Antiqua" w:cs="Book Antiqua"/>
          <w:color w:val="000000"/>
        </w:rPr>
        <w:t>Sachu A, Zou Z</w:t>
      </w:r>
      <w:r w:rsidRPr="00514591">
        <w:rPr>
          <w:rFonts w:ascii="Book Antiqua" w:eastAsia="Book Antiqua" w:hAnsi="Book Antiqua" w:cs="Book Antiqua"/>
          <w:b/>
          <w:color w:val="000000"/>
        </w:rPr>
        <w:t xml:space="preserve"> S-Editor: </w:t>
      </w:r>
      <w:r w:rsidR="00FE27DE">
        <w:rPr>
          <w:rFonts w:ascii="Book Antiqua" w:hAnsi="Book Antiqua" w:cs="Book Antiqua" w:hint="eastAsia"/>
          <w:color w:val="000000"/>
          <w:lang w:eastAsia="zh-CN"/>
        </w:rPr>
        <w:t>Fan JR</w:t>
      </w:r>
      <w:r w:rsidRPr="00514591">
        <w:rPr>
          <w:rFonts w:ascii="Book Antiqua" w:eastAsia="Book Antiqua" w:hAnsi="Book Antiqua" w:cs="Book Antiqua"/>
          <w:b/>
          <w:color w:val="000000"/>
        </w:rPr>
        <w:t xml:space="preserve"> L-Editor: </w:t>
      </w:r>
      <w:r w:rsidR="00245ED7" w:rsidRPr="00245ED7">
        <w:rPr>
          <w:rFonts w:ascii="Book Antiqua" w:hAnsi="Book Antiqua" w:cs="Book Antiqua" w:hint="eastAsia"/>
          <w:color w:val="000000"/>
          <w:lang w:eastAsia="zh-CN"/>
        </w:rPr>
        <w:t>A</w:t>
      </w:r>
      <w:r w:rsidRPr="00514591">
        <w:rPr>
          <w:rFonts w:ascii="Book Antiqua" w:eastAsia="Book Antiqua" w:hAnsi="Book Antiqua" w:cs="Book Antiqua"/>
          <w:b/>
          <w:color w:val="000000"/>
        </w:rPr>
        <w:t xml:space="preserve"> P-Editor:</w:t>
      </w:r>
      <w:r w:rsidR="00245ED7">
        <w:rPr>
          <w:rFonts w:ascii="Book Antiqua" w:hAnsi="Book Antiqua" w:cs="Book Antiqua" w:hint="eastAsia"/>
          <w:b/>
          <w:color w:val="000000"/>
          <w:lang w:eastAsia="zh-CN"/>
        </w:rPr>
        <w:t xml:space="preserve"> </w:t>
      </w:r>
      <w:r w:rsidR="00245ED7" w:rsidRPr="00245ED7">
        <w:rPr>
          <w:rFonts w:ascii="Book Antiqua" w:hAnsi="Book Antiqua" w:cs="Book Antiqua" w:hint="eastAsia"/>
          <w:color w:val="000000"/>
          <w:lang w:eastAsia="zh-CN"/>
        </w:rPr>
        <w:t>Yuan YY</w:t>
      </w:r>
    </w:p>
    <w:p w14:paraId="7135A74D" w14:textId="77777777" w:rsidR="00A77B3E" w:rsidRPr="00514591" w:rsidRDefault="001666BE" w:rsidP="00514591">
      <w:pPr>
        <w:spacing w:line="360" w:lineRule="auto"/>
        <w:jc w:val="both"/>
        <w:rPr>
          <w:rFonts w:ascii="Book Antiqua" w:hAnsi="Book Antiqua"/>
        </w:rPr>
        <w:sectPr w:rsidR="00A77B3E" w:rsidRPr="00514591">
          <w:pgSz w:w="12240" w:h="15840"/>
          <w:pgMar w:top="1440" w:right="1440" w:bottom="1440" w:left="1440" w:header="720" w:footer="720" w:gutter="0"/>
          <w:cols w:space="720"/>
          <w:docGrid w:linePitch="360"/>
        </w:sectPr>
      </w:pPr>
      <w:r w:rsidRPr="00514591">
        <w:rPr>
          <w:rFonts w:ascii="Book Antiqua" w:eastAsia="Book Antiqua" w:hAnsi="Book Antiqua" w:cs="Book Antiqua"/>
          <w:b/>
          <w:color w:val="000000"/>
        </w:rPr>
        <w:t xml:space="preserve"> </w:t>
      </w:r>
    </w:p>
    <w:p w14:paraId="326033F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Figure Legends</w:t>
      </w:r>
    </w:p>
    <w:p w14:paraId="2FB6D32A" w14:textId="77777777" w:rsidR="007E0CC0" w:rsidRPr="00514591" w:rsidRDefault="007E0CC0" w:rsidP="00514591">
      <w:pPr>
        <w:spacing w:line="360" w:lineRule="auto"/>
        <w:jc w:val="both"/>
        <w:rPr>
          <w:rFonts w:ascii="Book Antiqua" w:hAnsi="Book Antiqua" w:cs="Book Antiqua"/>
          <w:b/>
          <w:bCs/>
          <w:color w:val="000000"/>
          <w:lang w:eastAsia="zh-CN"/>
        </w:rPr>
      </w:pPr>
      <w:r w:rsidRPr="00514591">
        <w:rPr>
          <w:rFonts w:ascii="Book Antiqua" w:hAnsi="Book Antiqua"/>
          <w:noProof/>
          <w:lang w:eastAsia="zh-CN"/>
        </w:rPr>
        <w:drawing>
          <wp:inline distT="0" distB="0" distL="0" distR="0" wp14:anchorId="2F722793" wp14:editId="49650785">
            <wp:extent cx="3053443" cy="190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54352" cy="1905567"/>
                    </a:xfrm>
                    <a:prstGeom prst="rect">
                      <a:avLst/>
                    </a:prstGeom>
                  </pic:spPr>
                </pic:pic>
              </a:graphicData>
            </a:graphic>
          </wp:inline>
        </w:drawing>
      </w:r>
      <w:r w:rsidRPr="00514591">
        <w:rPr>
          <w:rFonts w:ascii="Book Antiqua" w:hAnsi="Book Antiqua"/>
          <w:noProof/>
          <w:lang w:eastAsia="zh-CN"/>
        </w:rPr>
        <w:t xml:space="preserve"> </w:t>
      </w:r>
      <w:r w:rsidRPr="00514591">
        <w:rPr>
          <w:rFonts w:ascii="Book Antiqua" w:hAnsi="Book Antiqua"/>
          <w:noProof/>
          <w:lang w:eastAsia="zh-CN"/>
        </w:rPr>
        <w:drawing>
          <wp:inline distT="0" distB="0" distL="0" distR="0" wp14:anchorId="43DE6058" wp14:editId="4522E071">
            <wp:extent cx="2759528" cy="19576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174" cy="1959481"/>
                    </a:xfrm>
                    <a:prstGeom prst="rect">
                      <a:avLst/>
                    </a:prstGeom>
                  </pic:spPr>
                </pic:pic>
              </a:graphicData>
            </a:graphic>
          </wp:inline>
        </w:drawing>
      </w:r>
    </w:p>
    <w:p w14:paraId="13CFC7D4" w14:textId="112BD126" w:rsidR="00A77B3E" w:rsidRPr="00514591" w:rsidRDefault="001666BE" w:rsidP="00514591">
      <w:pPr>
        <w:spacing w:line="360" w:lineRule="auto"/>
        <w:jc w:val="both"/>
        <w:rPr>
          <w:rFonts w:ascii="Book Antiqua" w:hAnsi="Book Antiqua" w:cs="Book Antiqua"/>
          <w:color w:val="000000"/>
          <w:lang w:eastAsia="zh-CN"/>
        </w:rPr>
      </w:pPr>
      <w:r w:rsidRPr="008779D3">
        <w:rPr>
          <w:rFonts w:ascii="Book Antiqua" w:eastAsia="Book Antiqua" w:hAnsi="Book Antiqua" w:cs="Book Antiqua"/>
          <w:b/>
          <w:bCs/>
          <w:color w:val="000000"/>
        </w:rPr>
        <w:t>Figure 1</w:t>
      </w:r>
      <w:r w:rsidRPr="00514591">
        <w:rPr>
          <w:rFonts w:ascii="Book Antiqua" w:eastAsia="Book Antiqua" w:hAnsi="Book Antiqua" w:cs="Book Antiqua"/>
          <w:b/>
          <w:bCs/>
          <w:color w:val="000000"/>
        </w:rPr>
        <w:t xml:space="preserve"> Histopathological changes of </w:t>
      </w:r>
      <w:r w:rsidR="00A07436" w:rsidRPr="00514591">
        <w:rPr>
          <w:rFonts w:ascii="Book Antiqua" w:eastAsia="Book Antiqua" w:hAnsi="Book Antiqua" w:cs="Book Antiqua"/>
          <w:b/>
          <w:color w:val="000000"/>
        </w:rPr>
        <w:t>inhibitor-related hepatotoxicity</w:t>
      </w:r>
      <w:r w:rsidR="004B548C" w:rsidRPr="00514591">
        <w:rPr>
          <w:rFonts w:ascii="Book Antiqua" w:hAnsi="Book Antiqua"/>
          <w:b/>
          <w:lang w:eastAsia="zh-CN"/>
        </w:rPr>
        <w:t>.</w:t>
      </w:r>
      <w:r w:rsidR="004B548C" w:rsidRPr="00514591">
        <w:rPr>
          <w:rFonts w:ascii="Book Antiqua" w:hAnsi="Book Antiqua"/>
          <w:lang w:eastAsia="zh-CN"/>
        </w:rPr>
        <w:t xml:space="preserve"> </w:t>
      </w:r>
      <w:r w:rsidRPr="00514591">
        <w:rPr>
          <w:rFonts w:ascii="Book Antiqua" w:eastAsia="Book Antiqua" w:hAnsi="Book Antiqua" w:cs="Book Antiqua"/>
          <w:color w:val="000000"/>
        </w:rPr>
        <w:t xml:space="preserve">A: </w:t>
      </w:r>
      <w:r w:rsidRPr="00514591">
        <w:rPr>
          <w:rFonts w:ascii="Book Antiqua" w:eastAsia="Book Antiqua" w:hAnsi="Book Antiqua" w:cs="Book Antiqua"/>
          <w:color w:val="000000"/>
          <w:shd w:val="clear" w:color="auto" w:fill="FFFFFF"/>
        </w:rPr>
        <w:t>Prominent perivenulitis (black arrow) with endothelialitis (</w:t>
      </w:r>
      <w:r w:rsidR="00781FF9">
        <w:rPr>
          <w:rFonts w:ascii="Book Antiqua" w:hAnsi="Book Antiqua" w:cs="Book Antiqua" w:hint="eastAsia"/>
          <w:color w:val="000000"/>
          <w:shd w:val="clear" w:color="auto" w:fill="FFFFFF"/>
          <w:lang w:eastAsia="zh-CN"/>
        </w:rPr>
        <w:t>orange</w:t>
      </w:r>
      <w:r w:rsidRPr="00514591">
        <w:rPr>
          <w:rFonts w:ascii="Book Antiqua" w:eastAsia="Book Antiqua" w:hAnsi="Book Antiqua" w:cs="Book Antiqua"/>
          <w:color w:val="000000"/>
          <w:shd w:val="clear" w:color="auto" w:fill="FFFFFF"/>
        </w:rPr>
        <w:t xml:space="preserve"> arrow) in a case of ipilimumab related hepatotoxicity (hematoxylin and eosin, 400</w:t>
      </w:r>
      <w:r w:rsidR="004B548C" w:rsidRPr="00514591">
        <w:rPr>
          <w:rFonts w:ascii="Book Antiqua" w:hAnsi="Book Antiqua" w:cs="Book Antiqua"/>
          <w:color w:val="000000"/>
          <w:shd w:val="clear" w:color="auto" w:fill="FFFFFF"/>
          <w:lang w:eastAsia="zh-CN"/>
        </w:rPr>
        <w:t xml:space="preserve"> </w:t>
      </w:r>
      <w:r w:rsidR="004B548C" w:rsidRPr="00514591">
        <w:rPr>
          <w:rFonts w:ascii="Book Antiqua" w:eastAsia="Book Antiqua" w:hAnsi="Book Antiqua" w:cs="Book Antiqua"/>
          <w:color w:val="000000"/>
        </w:rPr>
        <w:t>×</w:t>
      </w:r>
      <w:r w:rsidRPr="00514591">
        <w:rPr>
          <w:rFonts w:ascii="Book Antiqua" w:eastAsia="Book Antiqua" w:hAnsi="Book Antiqua" w:cs="Book Antiqua"/>
          <w:color w:val="000000"/>
          <w:shd w:val="clear" w:color="auto" w:fill="FFFFFF"/>
        </w:rPr>
        <w:t>)</w:t>
      </w:r>
      <w:r w:rsidR="004B548C" w:rsidRPr="00514591">
        <w:rPr>
          <w:rFonts w:ascii="Book Antiqua" w:hAnsi="Book Antiqua" w:cs="Book Antiqua"/>
          <w:color w:val="000000"/>
          <w:shd w:val="clear" w:color="auto" w:fill="FFFFFF"/>
          <w:lang w:eastAsia="zh-CN"/>
        </w:rPr>
        <w:t xml:space="preserve">; </w:t>
      </w:r>
      <w:r w:rsidRPr="00514591">
        <w:rPr>
          <w:rFonts w:ascii="Book Antiqua" w:eastAsia="Book Antiqua" w:hAnsi="Book Antiqua" w:cs="Book Antiqua"/>
          <w:color w:val="000000"/>
        </w:rPr>
        <w:t>B: Lymphocytic cholangitis with prominent duct damage secondary to nivolumab (black arrows; hematoxylin and eosin, 400</w:t>
      </w:r>
      <w:r w:rsidR="004B548C" w:rsidRPr="00514591">
        <w:rPr>
          <w:rFonts w:ascii="Book Antiqua" w:hAnsi="Book Antiqua" w:cs="Book Antiqua"/>
          <w:color w:val="000000"/>
          <w:lang w:eastAsia="zh-CN"/>
        </w:rPr>
        <w:t xml:space="preserve"> </w:t>
      </w:r>
      <w:r w:rsidR="004B548C" w:rsidRPr="00514591">
        <w:rPr>
          <w:rFonts w:ascii="Book Antiqua" w:eastAsia="Book Antiqua" w:hAnsi="Book Antiqua" w:cs="Book Antiqua"/>
          <w:color w:val="000000"/>
        </w:rPr>
        <w:t>×</w:t>
      </w:r>
      <w:r w:rsidRPr="00514591">
        <w:rPr>
          <w:rFonts w:ascii="Book Antiqua" w:eastAsia="Book Antiqua" w:hAnsi="Book Antiqua" w:cs="Book Antiqua"/>
          <w:color w:val="000000"/>
        </w:rPr>
        <w:t>)</w:t>
      </w:r>
      <w:r w:rsidR="004B548C" w:rsidRPr="00514591">
        <w:rPr>
          <w:rFonts w:ascii="Book Antiqua" w:hAnsi="Book Antiqua" w:cs="Book Antiqua"/>
          <w:color w:val="000000"/>
          <w:lang w:eastAsia="zh-CN"/>
        </w:rPr>
        <w:t>.</w:t>
      </w:r>
    </w:p>
    <w:p w14:paraId="2531D421" w14:textId="77777777" w:rsidR="005E45EC" w:rsidRPr="00514591" w:rsidRDefault="005E45EC" w:rsidP="00514591">
      <w:pPr>
        <w:spacing w:line="360" w:lineRule="auto"/>
        <w:jc w:val="both"/>
        <w:rPr>
          <w:rFonts w:ascii="Book Antiqua" w:hAnsi="Book Antiqua"/>
          <w:b/>
          <w:lang w:eastAsia="zh-CN"/>
        </w:rPr>
      </w:pPr>
      <w:r w:rsidRPr="00514591">
        <w:rPr>
          <w:rFonts w:ascii="Book Antiqua" w:hAnsi="Book Antiqua"/>
          <w:lang w:eastAsia="zh-CN"/>
        </w:rPr>
        <w:br w:type="page"/>
      </w:r>
      <w:r w:rsidR="005E6C1E" w:rsidRPr="00514591">
        <w:rPr>
          <w:rFonts w:ascii="Book Antiqua" w:hAnsi="Book Antiqua"/>
          <w:b/>
        </w:rPr>
        <w:lastRenderedPageBreak/>
        <w:t>Table 1 Incidence of severe hepatotoxicity by immunotherapy agent used as reported in key phase II and III clinical trials</w:t>
      </w:r>
    </w:p>
    <w:tbl>
      <w:tblPr>
        <w:tblStyle w:val="ListTable3-Accent11"/>
        <w:tblW w:w="5773" w:type="pct"/>
        <w:tblInd w:w="-74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134"/>
        <w:gridCol w:w="1559"/>
        <w:gridCol w:w="2554"/>
        <w:gridCol w:w="1700"/>
        <w:gridCol w:w="2132"/>
        <w:gridCol w:w="1977"/>
      </w:tblGrid>
      <w:tr w:rsidR="00864204" w:rsidRPr="00514591" w14:paraId="46F10DBF" w14:textId="77777777" w:rsidTr="00781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3" w:type="pct"/>
            <w:tcBorders>
              <w:top w:val="single" w:sz="4" w:space="0" w:color="auto"/>
              <w:bottom w:val="single" w:sz="4" w:space="0" w:color="auto"/>
              <w:right w:val="none" w:sz="0" w:space="0" w:color="auto"/>
            </w:tcBorders>
            <w:shd w:val="clear" w:color="auto" w:fill="auto"/>
          </w:tcPr>
          <w:p w14:paraId="03A3ADBD" w14:textId="77777777" w:rsidR="005E6C1E" w:rsidRPr="00514591" w:rsidRDefault="005E6C1E" w:rsidP="00514591">
            <w:pPr>
              <w:spacing w:line="360" w:lineRule="auto"/>
              <w:jc w:val="both"/>
              <w:rPr>
                <w:rFonts w:ascii="Book Antiqua" w:hAnsi="Book Antiqua"/>
                <w:bCs w:val="0"/>
                <w:color w:val="000000" w:themeColor="text1"/>
              </w:rPr>
            </w:pPr>
            <w:r w:rsidRPr="00514591">
              <w:rPr>
                <w:rFonts w:ascii="Book Antiqua" w:hAnsi="Book Antiqua"/>
                <w:bCs w:val="0"/>
                <w:color w:val="000000" w:themeColor="text1"/>
              </w:rPr>
              <w:t>Class</w:t>
            </w:r>
          </w:p>
        </w:tc>
        <w:tc>
          <w:tcPr>
            <w:tcW w:w="705" w:type="pct"/>
            <w:tcBorders>
              <w:top w:val="single" w:sz="4" w:space="0" w:color="auto"/>
              <w:bottom w:val="single" w:sz="4" w:space="0" w:color="auto"/>
            </w:tcBorders>
            <w:shd w:val="clear" w:color="auto" w:fill="auto"/>
          </w:tcPr>
          <w:p w14:paraId="394CE488"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Agent</w:t>
            </w:r>
          </w:p>
        </w:tc>
        <w:tc>
          <w:tcPr>
            <w:tcW w:w="1155" w:type="pct"/>
            <w:tcBorders>
              <w:top w:val="single" w:sz="4" w:space="0" w:color="auto"/>
              <w:bottom w:val="single" w:sz="4" w:space="0" w:color="auto"/>
            </w:tcBorders>
            <w:shd w:val="clear" w:color="auto" w:fill="auto"/>
          </w:tcPr>
          <w:p w14:paraId="55E80A13" w14:textId="77777777" w:rsidR="005E6C1E" w:rsidRPr="00514591" w:rsidRDefault="00B07B09"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b w:val="0"/>
                <w:bCs w:val="0"/>
                <w:color w:val="000000" w:themeColor="text1"/>
                <w:lang w:eastAsia="zh-CN"/>
              </w:rPr>
            </w:pPr>
            <w:r w:rsidRPr="00514591">
              <w:rPr>
                <w:rFonts w:ascii="Book Antiqua" w:eastAsiaTheme="minorEastAsia" w:hAnsi="Book Antiqua"/>
                <w:color w:val="000000" w:themeColor="text1"/>
                <w:lang w:eastAsia="zh-CN"/>
              </w:rPr>
              <w:t>Ref.</w:t>
            </w:r>
          </w:p>
        </w:tc>
        <w:tc>
          <w:tcPr>
            <w:tcW w:w="769" w:type="pct"/>
            <w:tcBorders>
              <w:top w:val="single" w:sz="4" w:space="0" w:color="auto"/>
              <w:bottom w:val="single" w:sz="4" w:space="0" w:color="auto"/>
            </w:tcBorders>
            <w:shd w:val="clear" w:color="auto" w:fill="auto"/>
          </w:tcPr>
          <w:p w14:paraId="41D75E7B"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Indication</w:t>
            </w:r>
          </w:p>
        </w:tc>
        <w:tc>
          <w:tcPr>
            <w:tcW w:w="964" w:type="pct"/>
            <w:tcBorders>
              <w:top w:val="single" w:sz="4" w:space="0" w:color="auto"/>
              <w:bottom w:val="single" w:sz="4" w:space="0" w:color="auto"/>
            </w:tcBorders>
            <w:shd w:val="clear" w:color="auto" w:fill="auto"/>
          </w:tcPr>
          <w:p w14:paraId="7E507DE1"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Incidence of </w:t>
            </w:r>
            <w:r w:rsidR="00B07B09" w:rsidRPr="00514591">
              <w:rPr>
                <w:rFonts w:ascii="Book Antiqua" w:eastAsiaTheme="minorEastAsia" w:hAnsi="Book Antiqua"/>
                <w:color w:val="000000" w:themeColor="text1"/>
                <w:lang w:eastAsia="zh-CN"/>
              </w:rPr>
              <w:t>h</w:t>
            </w:r>
            <w:r w:rsidRPr="00514591">
              <w:rPr>
                <w:rFonts w:ascii="Book Antiqua" w:hAnsi="Book Antiqua"/>
                <w:color w:val="000000" w:themeColor="text1"/>
              </w:rPr>
              <w:t>epatoxicity (all grades) % (no. of patients)</w:t>
            </w:r>
          </w:p>
        </w:tc>
        <w:tc>
          <w:tcPr>
            <w:tcW w:w="894" w:type="pct"/>
            <w:tcBorders>
              <w:top w:val="single" w:sz="4" w:space="0" w:color="auto"/>
              <w:bottom w:val="single" w:sz="4" w:space="0" w:color="auto"/>
            </w:tcBorders>
            <w:shd w:val="clear" w:color="auto" w:fill="auto"/>
          </w:tcPr>
          <w:p w14:paraId="70FA21D6"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Incidence of ≥ </w:t>
            </w:r>
            <w:r w:rsidR="00B07B09" w:rsidRPr="00514591">
              <w:rPr>
                <w:rFonts w:ascii="Book Antiqua" w:eastAsiaTheme="minorEastAsia" w:hAnsi="Book Antiqua"/>
                <w:color w:val="000000" w:themeColor="text1"/>
                <w:lang w:eastAsia="zh-CN"/>
              </w:rPr>
              <w:t>g</w:t>
            </w:r>
            <w:r w:rsidRPr="00514591">
              <w:rPr>
                <w:rFonts w:ascii="Book Antiqua" w:hAnsi="Book Antiqua"/>
                <w:color w:val="000000" w:themeColor="text1"/>
              </w:rPr>
              <w:t xml:space="preserve">rade 3 </w:t>
            </w:r>
            <w:r w:rsidR="00B07B09" w:rsidRPr="00514591">
              <w:rPr>
                <w:rFonts w:ascii="Book Antiqua" w:eastAsiaTheme="minorEastAsia" w:hAnsi="Book Antiqua"/>
                <w:color w:val="000000" w:themeColor="text1"/>
                <w:lang w:eastAsia="zh-CN"/>
              </w:rPr>
              <w:t>h</w:t>
            </w:r>
            <w:r w:rsidRPr="00514591">
              <w:rPr>
                <w:rFonts w:ascii="Book Antiqua" w:hAnsi="Book Antiqua"/>
                <w:color w:val="000000" w:themeColor="text1"/>
              </w:rPr>
              <w:t>epatoxicity % (no. of patients)</w:t>
            </w:r>
          </w:p>
        </w:tc>
      </w:tr>
      <w:tr w:rsidR="00ED3FC9" w:rsidRPr="00514591" w14:paraId="05FFC0BD" w14:textId="77777777" w:rsidTr="00781FF9">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single" w:sz="4" w:space="0" w:color="auto"/>
              <w:bottom w:val="none" w:sz="0" w:space="0" w:color="auto"/>
              <w:right w:val="none" w:sz="0" w:space="0" w:color="auto"/>
            </w:tcBorders>
            <w:shd w:val="clear" w:color="auto" w:fill="auto"/>
          </w:tcPr>
          <w:p w14:paraId="28A92DBB" w14:textId="77777777" w:rsidR="005E6C1E" w:rsidRPr="00514591" w:rsidRDefault="005E6C1E" w:rsidP="00ED3FC9">
            <w:pPr>
              <w:spacing w:line="360" w:lineRule="auto"/>
              <w:jc w:val="center"/>
              <w:rPr>
                <w:rFonts w:ascii="Book Antiqua" w:hAnsi="Book Antiqua"/>
                <w:b w:val="0"/>
                <w:bCs w:val="0"/>
                <w:color w:val="000000" w:themeColor="text1"/>
              </w:rPr>
            </w:pPr>
            <w:r w:rsidRPr="00514591">
              <w:rPr>
                <w:rFonts w:ascii="Book Antiqua" w:hAnsi="Book Antiqua"/>
                <w:b w:val="0"/>
                <w:bCs w:val="0"/>
                <w:color w:val="000000" w:themeColor="text1"/>
              </w:rPr>
              <w:t>CTLA-4</w:t>
            </w:r>
          </w:p>
        </w:tc>
        <w:tc>
          <w:tcPr>
            <w:tcW w:w="705" w:type="pct"/>
            <w:vMerge w:val="restart"/>
            <w:tcBorders>
              <w:top w:val="single" w:sz="4" w:space="0" w:color="auto"/>
              <w:bottom w:val="none" w:sz="0" w:space="0" w:color="auto"/>
            </w:tcBorders>
            <w:shd w:val="clear" w:color="auto" w:fill="auto"/>
          </w:tcPr>
          <w:p w14:paraId="7D4C348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Ipilimumab (standard dose) 3</w:t>
            </w:r>
            <w:r w:rsidR="00864204">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mg/kg</w:t>
            </w:r>
          </w:p>
        </w:tc>
        <w:tc>
          <w:tcPr>
            <w:tcW w:w="1155" w:type="pct"/>
            <w:tcBorders>
              <w:top w:val="single" w:sz="4" w:space="0" w:color="auto"/>
              <w:bottom w:val="none" w:sz="0" w:space="0" w:color="auto"/>
            </w:tcBorders>
            <w:shd w:val="clear" w:color="auto" w:fill="auto"/>
          </w:tcPr>
          <w:p w14:paraId="6F86FCF8"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00B07B09" w:rsidRPr="00514591">
              <w:rPr>
                <w:rFonts w:ascii="Book Antiqua" w:hAnsi="Book Antiqua"/>
                <w:color w:val="000000" w:themeColor="text1"/>
                <w:vertAlign w:val="superscript"/>
              </w:rPr>
              <w:fldChar w:fldCharType="begin"/>
            </w:r>
            <w:r w:rsidR="00B07B09"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00B07B09" w:rsidRPr="00514591">
              <w:rPr>
                <w:rFonts w:ascii="Book Antiqua" w:hAnsi="Book Antiqua"/>
                <w:color w:val="000000" w:themeColor="text1"/>
                <w:vertAlign w:val="superscript"/>
              </w:rPr>
              <w:fldChar w:fldCharType="separate"/>
            </w:r>
            <w:r w:rsidR="00B07B09"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00B07B09" w:rsidRPr="00514591">
              <w:rPr>
                <w:rFonts w:ascii="Book Antiqua" w:hAnsi="Book Antiqua"/>
                <w:noProof/>
                <w:color w:val="000000" w:themeColor="text1"/>
                <w:vertAlign w:val="superscript"/>
              </w:rPr>
              <w:t>]</w:t>
            </w:r>
            <w:r w:rsidR="00B07B09"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single" w:sz="4" w:space="0" w:color="auto"/>
              <w:bottom w:val="none" w:sz="0" w:space="0" w:color="auto"/>
            </w:tcBorders>
            <w:shd w:val="clear" w:color="auto" w:fill="auto"/>
          </w:tcPr>
          <w:p w14:paraId="28A3BAA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single" w:sz="4" w:space="0" w:color="auto"/>
              <w:bottom w:val="none" w:sz="0" w:space="0" w:color="auto"/>
            </w:tcBorders>
            <w:shd w:val="clear" w:color="auto" w:fill="auto"/>
          </w:tcPr>
          <w:p w14:paraId="2C3C0BD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(1/311)</w:t>
            </w:r>
          </w:p>
        </w:tc>
        <w:tc>
          <w:tcPr>
            <w:tcW w:w="894" w:type="pct"/>
            <w:tcBorders>
              <w:top w:val="single" w:sz="4" w:space="0" w:color="auto"/>
              <w:bottom w:val="none" w:sz="0" w:space="0" w:color="auto"/>
            </w:tcBorders>
            <w:shd w:val="clear" w:color="auto" w:fill="auto"/>
          </w:tcPr>
          <w:p w14:paraId="169FA81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(0/311)</w:t>
            </w:r>
          </w:p>
        </w:tc>
      </w:tr>
      <w:tr w:rsidR="00ED3FC9" w:rsidRPr="00514591" w14:paraId="047141D6" w14:textId="77777777" w:rsidTr="00A72FAF">
        <w:trPr>
          <w:trHeight w:val="24"/>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3F91D259"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583F894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18836189" w14:textId="1CE57AC5" w:rsidR="005E6C1E" w:rsidRPr="00245ED7"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Weber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&lt;EndNote&gt;&lt;Cite&gt;&lt;Author&gt;Weber&lt;/Author&gt;&lt;Year&gt;2009&lt;/Year&gt;&lt;RecNum&gt;33&lt;/RecNum&gt;&lt;DisplayText&gt;(30)&lt;/DisplayText&gt;&lt;record&gt;&lt;rec-number&gt;33&lt;/rec-number&gt;&lt;foreign-keys&gt;&lt;key app="EN" db-id="dwepv2psq9dt9ne9epe55pvjraafffxx2rtr" timestamp="1611667111"&gt;33&lt;/key&gt;&lt;/foreign-keys&gt;&lt;ref-type name="Journal Article"&gt;17&lt;/ref-type&gt;&lt;contributors&gt;&lt;authors&gt;&lt;author&gt;Weber, Jeffrey&lt;/author&gt;&lt;author&gt;Thompson, John A&lt;/author&gt;&lt;author&gt;Hamid, Omid&lt;/author&gt;&lt;author&gt;Minor, David&lt;/author&gt;&lt;author&gt;Amin, Asim&lt;/author&gt;&lt;author&gt;Ron, Ilan&lt;/author&gt;&lt;author&gt;Ridolfi, Ruggero&lt;/author&gt;&lt;author&gt;Assi, Hazem&lt;/author&gt;&lt;author&gt;Maraveyas, Anthony&lt;/author&gt;&lt;author&gt;Berman, David&lt;/author&gt;&lt;/authors&gt;&lt;/contributors&gt;&lt;titles&gt;&lt;title&gt;A randomized, double-blind, placebo-controlled, phase II study comparing the tolerability and efficacy of ipilimumab administered with or without prophylactic budesonide in patients with unresectable stage III or IV melanoma&lt;/title&gt;&lt;secondary-title&gt;Clinical cancer research&lt;/secondary-title&gt;&lt;/titles&gt;&lt;periodical&gt;&lt;full-title&gt;Clinical cancer research&lt;/full-title&gt;&lt;/periodical&gt;&lt;pages&gt;5591-5598&lt;/pages&gt;&lt;volume&gt;15&lt;/volume&gt;&lt;number&gt;17&lt;/number&gt;&lt;dates&gt;&lt;year&gt;2009&lt;/year&gt;&lt;/dates&gt;&lt;isbn&gt;1078-0432&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72</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2009</w:t>
            </w:r>
          </w:p>
        </w:tc>
        <w:tc>
          <w:tcPr>
            <w:tcW w:w="769" w:type="pct"/>
            <w:shd w:val="clear" w:color="auto" w:fill="auto"/>
          </w:tcPr>
          <w:p w14:paraId="0341835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0358476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15.5 (9/58)</w:t>
            </w:r>
          </w:p>
        </w:tc>
        <w:tc>
          <w:tcPr>
            <w:tcW w:w="894" w:type="pct"/>
            <w:shd w:val="clear" w:color="auto" w:fill="auto"/>
          </w:tcPr>
          <w:p w14:paraId="6CB8B12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10.3 (6/58)</w:t>
            </w:r>
          </w:p>
        </w:tc>
      </w:tr>
      <w:tr w:rsidR="00864204" w:rsidRPr="00514591" w14:paraId="07104077" w14:textId="77777777" w:rsidTr="00A72FA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07F7721B" w14:textId="77777777" w:rsidR="00B07B09" w:rsidRPr="00514591" w:rsidRDefault="00B07B09"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3AE13499"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vMerge w:val="restart"/>
            <w:tcBorders>
              <w:top w:val="none" w:sz="0" w:space="0" w:color="auto"/>
              <w:bottom w:val="none" w:sz="0" w:space="0" w:color="auto"/>
            </w:tcBorders>
            <w:shd w:val="clear" w:color="auto" w:fill="auto"/>
          </w:tcPr>
          <w:p w14:paraId="6CABB3A9"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[2]</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w:t>
            </w:r>
            <w:r w:rsidRPr="00514591">
              <w:rPr>
                <w:rFonts w:ascii="Book Antiqua" w:eastAsiaTheme="minorEastAsia" w:hAnsi="Book Antiqua"/>
                <w:color w:val="000000" w:themeColor="text1"/>
                <w:lang w:eastAsia="zh-CN"/>
              </w:rPr>
              <w:t>0</w:t>
            </w:r>
          </w:p>
        </w:tc>
        <w:tc>
          <w:tcPr>
            <w:tcW w:w="769" w:type="pct"/>
            <w:tcBorders>
              <w:top w:val="none" w:sz="0" w:space="0" w:color="auto"/>
              <w:bottom w:val="none" w:sz="0" w:space="0" w:color="auto"/>
            </w:tcBorders>
            <w:shd w:val="clear" w:color="auto" w:fill="auto"/>
          </w:tcPr>
          <w:p w14:paraId="121851AF"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4A0260A5"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3.8 (5/131)</w:t>
            </w:r>
          </w:p>
        </w:tc>
        <w:tc>
          <w:tcPr>
            <w:tcW w:w="894" w:type="pct"/>
            <w:tcBorders>
              <w:top w:val="none" w:sz="0" w:space="0" w:color="auto"/>
              <w:bottom w:val="none" w:sz="0" w:space="0" w:color="auto"/>
            </w:tcBorders>
            <w:shd w:val="clear" w:color="auto" w:fill="auto"/>
          </w:tcPr>
          <w:p w14:paraId="58426B03"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(0/131)</w:t>
            </w:r>
          </w:p>
        </w:tc>
      </w:tr>
      <w:tr w:rsidR="00864204" w:rsidRPr="00514591" w14:paraId="59511B12" w14:textId="77777777" w:rsidTr="00A72FAF">
        <w:trPr>
          <w:trHeight w:val="24"/>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1585B7B3" w14:textId="77777777" w:rsidR="00B07B09" w:rsidRPr="00514591" w:rsidRDefault="00B07B09"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45E516C8"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vMerge/>
            <w:shd w:val="clear" w:color="auto" w:fill="auto"/>
          </w:tcPr>
          <w:p w14:paraId="00A7DED0"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69" w:type="pct"/>
            <w:shd w:val="clear" w:color="auto" w:fill="auto"/>
          </w:tcPr>
          <w:p w14:paraId="431B711C"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0ECF04B6"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2.1 (8/380)</w:t>
            </w:r>
            <w:r w:rsidR="00514591" w:rsidRPr="00514591">
              <w:rPr>
                <w:rFonts w:ascii="Book Antiqua" w:eastAsiaTheme="minorEastAsia" w:hAnsi="Book Antiqua"/>
                <w:color w:val="000000" w:themeColor="text1"/>
                <w:lang w:eastAsia="zh-CN"/>
              </w:rPr>
              <w:t xml:space="preserve"> </w:t>
            </w:r>
            <w:r w:rsidRPr="00514591">
              <w:rPr>
                <w:rFonts w:ascii="Book Antiqua" w:hAnsi="Book Antiqua"/>
                <w:color w:val="000000" w:themeColor="text1"/>
              </w:rPr>
              <w:t>Ipilimumab with gp100</w:t>
            </w:r>
          </w:p>
        </w:tc>
        <w:tc>
          <w:tcPr>
            <w:tcW w:w="894" w:type="pct"/>
            <w:shd w:val="clear" w:color="auto" w:fill="auto"/>
          </w:tcPr>
          <w:p w14:paraId="36F46846"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(4/380)</w:t>
            </w:r>
            <w:r w:rsidR="00514591" w:rsidRPr="00514591">
              <w:rPr>
                <w:rFonts w:ascii="Book Antiqua" w:eastAsiaTheme="minorEastAsia" w:hAnsi="Book Antiqua"/>
                <w:color w:val="000000" w:themeColor="text1"/>
                <w:lang w:eastAsia="zh-CN"/>
              </w:rPr>
              <w:t xml:space="preserve"> </w:t>
            </w:r>
            <w:r w:rsidRPr="00514591">
              <w:rPr>
                <w:rFonts w:ascii="Book Antiqua" w:hAnsi="Book Antiqua"/>
                <w:color w:val="000000" w:themeColor="text1"/>
              </w:rPr>
              <w:t>pilimumab with gp100</w:t>
            </w:r>
          </w:p>
        </w:tc>
      </w:tr>
      <w:tr w:rsidR="00ED3FC9" w:rsidRPr="00514591" w14:paraId="7A50355E" w14:textId="77777777" w:rsidTr="00A72FA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178872FC"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68AFE12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E5E3498" w14:textId="2AA38B32" w:rsidR="005E6C1E" w:rsidRPr="00245ED7" w:rsidRDefault="00514591"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eastAsia="Book Antiqua" w:hAnsi="Book Antiqua" w:cs="Book Antiqua"/>
                <w:bCs/>
                <w:color w:val="000000"/>
              </w:rPr>
              <w:t>Wolchok</w:t>
            </w:r>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514591">
              <w:rPr>
                <w:rFonts w:ascii="Book Antiqua" w:hAnsi="Book Antiqua"/>
                <w:color w:val="000000" w:themeColor="text1"/>
              </w:rPr>
              <w:t>, 2010</w:t>
            </w:r>
          </w:p>
        </w:tc>
        <w:tc>
          <w:tcPr>
            <w:tcW w:w="769" w:type="pct"/>
            <w:tcBorders>
              <w:top w:val="none" w:sz="0" w:space="0" w:color="auto"/>
              <w:bottom w:val="none" w:sz="0" w:space="0" w:color="auto"/>
            </w:tcBorders>
            <w:shd w:val="clear" w:color="auto" w:fill="auto"/>
          </w:tcPr>
          <w:p w14:paraId="3F147C5E"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0FF3F12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26.4% (19/72)</w:t>
            </w:r>
          </w:p>
        </w:tc>
        <w:tc>
          <w:tcPr>
            <w:tcW w:w="894" w:type="pct"/>
            <w:tcBorders>
              <w:top w:val="none" w:sz="0" w:space="0" w:color="auto"/>
              <w:bottom w:val="none" w:sz="0" w:space="0" w:color="auto"/>
            </w:tcBorders>
            <w:shd w:val="clear" w:color="auto" w:fill="auto"/>
          </w:tcPr>
          <w:p w14:paraId="1C761D56"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0 (0/72)</w:t>
            </w:r>
          </w:p>
        </w:tc>
      </w:tr>
      <w:tr w:rsidR="00ED3FC9" w:rsidRPr="00514591" w14:paraId="7C05E08C" w14:textId="77777777" w:rsidTr="00A72FAF">
        <w:trPr>
          <w:trHeight w:val="1033"/>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721C6223"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45EDD6D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505704BD" w14:textId="5F1FB668" w:rsidR="005E6C1E" w:rsidRPr="00245ED7"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&lt;EndNote&gt;&lt;Cite&gt;&lt;Author&gt;Robert&lt;/Author&gt;&lt;Year&gt;2011&lt;/Year&gt;&lt;RecNum&gt;62&lt;/RecNum&gt;&lt;DisplayText&gt;(32)&lt;/DisplayText&gt;&lt;record&gt;&lt;rec-number&gt;62&lt;/rec-number&gt;&lt;foreign-keys&gt;&lt;key app="EN" db-id="dwepv2psq9dt9ne9epe55pvjraafffxx2rtr" timestamp="1613310376"&gt;62&lt;/key&gt;&lt;/foreign-keys&gt;&lt;ref-type name="Journal Article"&gt;17&lt;/ref-type&gt;&lt;contributors&gt;&lt;authors&gt;&lt;author&gt;Robert, Caroline&lt;/author&gt;&lt;author&gt;Thomas, Luc&lt;/author&gt;&lt;author&gt;Bondarenko, Igor&lt;/author&gt;&lt;author&gt;O&amp;apos;Day, Steven&lt;/author&gt;&lt;author&gt;Weber, Jeffrey&lt;/author&gt;&lt;author&gt;Garbe, Claus&lt;/author&gt;&lt;author&gt;Lebbe, Celeste&lt;/author&gt;&lt;author&gt;Baurain, Jean-François&lt;/author&gt;&lt;author&gt;Testori, Alessandro&lt;/author&gt;&lt;author&gt;Grob, Jean-Jacques&lt;/author&gt;&lt;/authors&gt;&lt;/contributors&gt;&lt;titles&gt;&lt;title&gt;Ipilimumab plus dacarbazine for previously untreated metastatic melanoma&lt;/title&gt;&lt;secondary-title&gt;New England Journal of Medicine&lt;/secondary-title&gt;&lt;/titles&gt;&lt;periodical&gt;&lt;full-title&gt;New England Journal of Medicine&lt;/full-title&gt;&lt;/periodical&gt;&lt;pages&gt;2517-2526&lt;/pages&gt;&lt;volume&gt;364&lt;/volume&gt;&lt;number&gt;26&lt;/number&gt;&lt;dates&gt;&lt;year&gt;2011&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74</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2011</w:t>
            </w:r>
          </w:p>
        </w:tc>
        <w:tc>
          <w:tcPr>
            <w:tcW w:w="769" w:type="pct"/>
            <w:shd w:val="clear" w:color="auto" w:fill="auto"/>
          </w:tcPr>
          <w:p w14:paraId="355DA75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64E8B46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29.1 (72/247)</w:t>
            </w:r>
          </w:p>
        </w:tc>
        <w:tc>
          <w:tcPr>
            <w:tcW w:w="894" w:type="pct"/>
            <w:shd w:val="clear" w:color="auto" w:fill="auto"/>
          </w:tcPr>
          <w:p w14:paraId="4E5DB56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20.6 (51/247)</w:t>
            </w:r>
          </w:p>
        </w:tc>
      </w:tr>
      <w:tr w:rsidR="00ED3FC9" w:rsidRPr="00514591" w14:paraId="60D38DE6" w14:textId="77777777" w:rsidTr="00A72FAF">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088465C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tcBorders>
              <w:top w:val="none" w:sz="0" w:space="0" w:color="auto"/>
              <w:bottom w:val="none" w:sz="0" w:space="0" w:color="auto"/>
            </w:tcBorders>
            <w:shd w:val="clear" w:color="auto" w:fill="auto"/>
          </w:tcPr>
          <w:p w14:paraId="5A41542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Ipilimumab (</w:t>
            </w:r>
            <w:r w:rsidR="00514591" w:rsidRPr="00514591">
              <w:rPr>
                <w:rFonts w:ascii="Book Antiqua" w:eastAsiaTheme="minorEastAsia" w:hAnsi="Book Antiqua"/>
                <w:color w:val="000000" w:themeColor="text1"/>
                <w:lang w:eastAsia="zh-CN"/>
              </w:rPr>
              <w:t>h</w:t>
            </w:r>
            <w:r w:rsidRPr="00514591">
              <w:rPr>
                <w:rFonts w:ascii="Book Antiqua" w:hAnsi="Book Antiqua"/>
                <w:color w:val="000000" w:themeColor="text1"/>
              </w:rPr>
              <w:t>igh dose) 10</w:t>
            </w:r>
            <w:r w:rsidR="00514591" w:rsidRPr="00514591">
              <w:rPr>
                <w:rFonts w:ascii="Book Antiqua" w:eastAsiaTheme="minorEastAsia" w:hAnsi="Book Antiqua"/>
                <w:color w:val="000000" w:themeColor="text1"/>
                <w:lang w:eastAsia="zh-CN"/>
              </w:rPr>
              <w:t xml:space="preserve"> </w:t>
            </w:r>
            <w:r w:rsidRPr="00514591">
              <w:rPr>
                <w:rFonts w:ascii="Book Antiqua" w:hAnsi="Book Antiqua"/>
                <w:color w:val="000000" w:themeColor="text1"/>
              </w:rPr>
              <w:t>mg/kg</w:t>
            </w:r>
          </w:p>
        </w:tc>
        <w:tc>
          <w:tcPr>
            <w:tcW w:w="1155" w:type="pct"/>
            <w:tcBorders>
              <w:top w:val="none" w:sz="0" w:space="0" w:color="auto"/>
              <w:bottom w:val="none" w:sz="0" w:space="0" w:color="auto"/>
            </w:tcBorders>
            <w:shd w:val="clear" w:color="auto" w:fill="auto"/>
          </w:tcPr>
          <w:p w14:paraId="1745C28C" w14:textId="5EA5AB4A" w:rsidR="005E6C1E" w:rsidRPr="00245ED7" w:rsidRDefault="00514591"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eastAsia="Book Antiqua" w:hAnsi="Book Antiqua" w:cs="Book Antiqua"/>
                <w:bCs/>
                <w:color w:val="000000"/>
              </w:rPr>
              <w:t>Wolchok</w:t>
            </w:r>
            <w:r w:rsidRPr="00514591">
              <w:rPr>
                <w:rFonts w:ascii="Book Antiqua" w:hAnsi="Book Antiqua"/>
                <w:color w:val="000000" w:themeColor="text1"/>
              </w:rPr>
              <w:t xml:space="preserve">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2010</w:t>
            </w:r>
          </w:p>
        </w:tc>
        <w:tc>
          <w:tcPr>
            <w:tcW w:w="769" w:type="pct"/>
            <w:tcBorders>
              <w:top w:val="none" w:sz="0" w:space="0" w:color="auto"/>
              <w:bottom w:val="none" w:sz="0" w:space="0" w:color="auto"/>
            </w:tcBorders>
            <w:shd w:val="clear" w:color="auto" w:fill="auto"/>
          </w:tcPr>
          <w:p w14:paraId="797704EE" w14:textId="4DBB136F" w:rsidR="005E6C1E" w:rsidRPr="00245ED7"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6605112D"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70.4 (50/71)</w:t>
            </w:r>
          </w:p>
        </w:tc>
        <w:tc>
          <w:tcPr>
            <w:tcW w:w="894" w:type="pct"/>
            <w:tcBorders>
              <w:top w:val="none" w:sz="0" w:space="0" w:color="auto"/>
              <w:bottom w:val="none" w:sz="0" w:space="0" w:color="auto"/>
            </w:tcBorders>
            <w:shd w:val="clear" w:color="auto" w:fill="auto"/>
          </w:tcPr>
          <w:p w14:paraId="6B70C8C8"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15.5 (11/71)</w:t>
            </w:r>
          </w:p>
        </w:tc>
      </w:tr>
      <w:tr w:rsidR="00ED3FC9" w:rsidRPr="00514591" w14:paraId="0EE82E6C" w14:textId="77777777" w:rsidTr="00A72FAF">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2EF7AA77"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6E535F02" w14:textId="0C846248" w:rsidR="005E6C1E" w:rsidRPr="00245ED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Tremelimumab</w:t>
            </w:r>
          </w:p>
        </w:tc>
        <w:tc>
          <w:tcPr>
            <w:tcW w:w="1155" w:type="pct"/>
            <w:shd w:val="clear" w:color="auto" w:fill="auto"/>
          </w:tcPr>
          <w:p w14:paraId="0F70D062"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Ribas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&lt;EndNote&gt;&lt;Cite&gt;&lt;Author&gt;Ribas&lt;/Author&gt;&lt;Year&gt;2013&lt;/Year&gt;&lt;RecNum&gt;66&lt;/RecNum&gt;&lt;DisplayText&gt;(33)&lt;/DisplayText&gt;&lt;record&gt;&lt;rec-number&gt;66&lt;/rec-number&gt;&lt;foreign-keys&gt;&lt;key app="EN" db-id="dwepv2psq9dt9ne9epe55pvjraafffxx2rtr" timestamp="1613311705"&gt;66&lt;/key&gt;&lt;/foreign-keys&gt;&lt;ref-type name="Journal Article"&gt;17&lt;/ref-type&gt;&lt;contributors&gt;&lt;authors&gt;&lt;author&gt;Ribas, Antoni&lt;/author&gt;&lt;author&gt;Kefford, Richard&lt;/author&gt;&lt;author&gt;Marshall, Margaret A&lt;/author&gt;&lt;author&gt;Punt, Cornelis JA&lt;/author&gt;&lt;author&gt;Haanen, John B&lt;/author&gt;&lt;author&gt;Marmol, Maribel&lt;/author&gt;&lt;author&gt;Garbe, Claus&lt;/author&gt;&lt;author&gt;Gogas, Helen&lt;/author&gt;&lt;author&gt;Schachter, Jacob&lt;/author&gt;&lt;author&gt;Linette, Gerald&lt;/author&gt;&lt;/authors&gt;&lt;/contributors&gt;&lt;titles&gt;&lt;title&gt;Phase III randomized clinical trial comparing tremelimumab with standard-of-care chemotherapy in patients with advanced melanoma&lt;/title&gt;&lt;secondary-title&gt;Journal of clinical oncology&lt;/secondary-title&gt;&lt;/titles&gt;&lt;periodical&gt;&lt;full-title&gt;Journal of Clinical Oncology&lt;/full-title&gt;&lt;/periodical&gt;&lt;pages&gt;616&lt;/pages&gt;&lt;volume&gt;31&lt;/volume&gt;&lt;number&gt;5&lt;/number&gt;&lt;dates&gt;&lt;year&gt;2013&lt;/year&gt;&lt;/dates&gt;&lt;urls&gt;&lt;/urls&gt;&lt;/record&gt;&lt;/Cite&gt;&lt;/EndNote&gt;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75</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2013</w:t>
            </w:r>
          </w:p>
        </w:tc>
        <w:tc>
          <w:tcPr>
            <w:tcW w:w="769" w:type="pct"/>
            <w:shd w:val="clear" w:color="auto" w:fill="auto"/>
          </w:tcPr>
          <w:p w14:paraId="75F6EE6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1D25DFF5"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0.6 (2/325)</w:t>
            </w:r>
          </w:p>
        </w:tc>
        <w:tc>
          <w:tcPr>
            <w:tcW w:w="894" w:type="pct"/>
            <w:shd w:val="clear" w:color="auto" w:fill="auto"/>
          </w:tcPr>
          <w:p w14:paraId="510D865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0.6 (2/325)</w:t>
            </w:r>
          </w:p>
        </w:tc>
      </w:tr>
      <w:tr w:rsidR="00ED3FC9" w:rsidRPr="00514591" w14:paraId="49196BA9"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one" w:sz="0" w:space="0" w:color="auto"/>
              <w:bottom w:val="none" w:sz="0" w:space="0" w:color="auto"/>
              <w:right w:val="none" w:sz="0" w:space="0" w:color="auto"/>
            </w:tcBorders>
            <w:shd w:val="clear" w:color="auto" w:fill="auto"/>
          </w:tcPr>
          <w:p w14:paraId="7C49A525"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Anti-PD-1</w:t>
            </w:r>
          </w:p>
        </w:tc>
        <w:tc>
          <w:tcPr>
            <w:tcW w:w="705" w:type="pct"/>
            <w:vMerge w:val="restart"/>
            <w:tcBorders>
              <w:top w:val="none" w:sz="0" w:space="0" w:color="auto"/>
              <w:bottom w:val="none" w:sz="0" w:space="0" w:color="auto"/>
            </w:tcBorders>
            <w:shd w:val="clear" w:color="auto" w:fill="auto"/>
          </w:tcPr>
          <w:p w14:paraId="30517A5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Nivolumab</w:t>
            </w:r>
          </w:p>
        </w:tc>
        <w:tc>
          <w:tcPr>
            <w:tcW w:w="1155" w:type="pct"/>
            <w:tcBorders>
              <w:top w:val="none" w:sz="0" w:space="0" w:color="auto"/>
              <w:bottom w:val="none" w:sz="0" w:space="0" w:color="auto"/>
            </w:tcBorders>
            <w:shd w:val="clear" w:color="auto" w:fill="auto"/>
          </w:tcPr>
          <w:p w14:paraId="40CE7B9F" w14:textId="77777777" w:rsidR="005E6C1E" w:rsidRPr="00514591" w:rsidRDefault="00B07B09"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none" w:sz="0" w:space="0" w:color="auto"/>
              <w:bottom w:val="none" w:sz="0" w:space="0" w:color="auto"/>
            </w:tcBorders>
            <w:shd w:val="clear" w:color="auto" w:fill="auto"/>
          </w:tcPr>
          <w:p w14:paraId="4C6968D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02E6DC8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(1/313)</w:t>
            </w:r>
          </w:p>
        </w:tc>
        <w:tc>
          <w:tcPr>
            <w:tcW w:w="894" w:type="pct"/>
            <w:tcBorders>
              <w:top w:val="none" w:sz="0" w:space="0" w:color="auto"/>
              <w:bottom w:val="none" w:sz="0" w:space="0" w:color="auto"/>
            </w:tcBorders>
            <w:shd w:val="clear" w:color="auto" w:fill="auto"/>
          </w:tcPr>
          <w:p w14:paraId="6DA75FF7"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(1/313)</w:t>
            </w:r>
          </w:p>
        </w:tc>
      </w:tr>
      <w:tr w:rsidR="00ED3FC9" w:rsidRPr="00514591" w14:paraId="57C48F6B"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6F441692"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2222D9A0"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2E0388E5" w14:textId="77777777" w:rsidR="005E6C1E" w:rsidRPr="00514591"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Weber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&lt;EndNote&gt;&lt;Cite&gt;&lt;Author&gt;Weber&lt;/Author&gt;&lt;Year&gt;2009&lt;/Year&gt;&lt;RecNum&gt;33&lt;/RecNum&gt;&lt;DisplayText&gt;(30)&lt;/DisplayText&gt;&lt;record&gt;&lt;rec-number&gt;33&lt;/rec-number&gt;&lt;foreign-keys&gt;&lt;key app="EN" db-id="dwepv2psq9dt9ne9epe55pvjraafffxx2rtr" timestamp="1611667111"&gt;33&lt;/key&gt;&lt;/foreign-keys&gt;&lt;ref-type name="Journal Article"&gt;17&lt;/ref-type&gt;&lt;contributors&gt;&lt;authors&gt;&lt;author&gt;Weber, Jeffrey&lt;/author&gt;&lt;author&gt;Thompson, John A&lt;/author&gt;&lt;author&gt;Hamid, Omid&lt;/author&gt;&lt;author&gt;Minor, David&lt;/author&gt;&lt;author&gt;Amin, Asim&lt;/author&gt;&lt;author&gt;Ron, Ilan&lt;/author&gt;&lt;author&gt;Ridolfi, Ruggero&lt;/author&gt;&lt;author&gt;Assi, Hazem&lt;/author&gt;&lt;author&gt;Maraveyas, Anthony&lt;/author&gt;&lt;author&gt;Berman, David&lt;/author&gt;&lt;/authors&gt;&lt;/contributors&gt;&lt;titles&gt;&lt;title&gt;A randomized, double-blind, placebo-controlled, phase II study comparing the tolerability and efficacy of ipilimumab administered with or without prophylactic budesonide in patients with unresectable stage III or IV melanoma&lt;/title&gt;&lt;secondary-title&gt;Clinical cancer research&lt;/secondary-title&gt;&lt;/titles&gt;&lt;periodical&gt;&lt;full-title&gt;Clinical cancer research&lt;/full-title&gt;&lt;/periodical&gt;&lt;pages&gt;5591-5598&lt;/pages&gt;&lt;volume&gt;15&lt;/volume&gt;&lt;number&gt;17&lt;/number&gt;&lt;dates&gt;&lt;year&gt;2009&lt;/year&gt;&lt;/dates&gt;&lt;isbn&gt;1078-0432&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76</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w:t>
            </w:r>
            <w:r w:rsidRPr="00514591">
              <w:rPr>
                <w:rFonts w:ascii="Book Antiqua" w:eastAsiaTheme="minorEastAsia" w:hAnsi="Book Antiqua"/>
                <w:color w:val="000000" w:themeColor="text1"/>
                <w:lang w:eastAsia="zh-CN"/>
              </w:rPr>
              <w:t>17</w:t>
            </w:r>
          </w:p>
        </w:tc>
        <w:tc>
          <w:tcPr>
            <w:tcW w:w="769" w:type="pct"/>
            <w:shd w:val="clear" w:color="auto" w:fill="auto"/>
          </w:tcPr>
          <w:p w14:paraId="58A794C1"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3002889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1.9 (11/576)</w:t>
            </w:r>
          </w:p>
        </w:tc>
        <w:tc>
          <w:tcPr>
            <w:tcW w:w="894" w:type="pct"/>
            <w:shd w:val="clear" w:color="auto" w:fill="auto"/>
          </w:tcPr>
          <w:p w14:paraId="6C3F69A3" w14:textId="2DA50CA1" w:rsidR="005E6C1E" w:rsidRPr="00245ED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0.7 (4/576)</w:t>
            </w:r>
          </w:p>
        </w:tc>
      </w:tr>
      <w:tr w:rsidR="00ED3FC9" w:rsidRPr="00514591" w14:paraId="52AD409E"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2ABEE9CB"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791BD62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BF29178" w14:textId="14A92B39" w:rsidR="005E6C1E" w:rsidRPr="00245ED7" w:rsidRDefault="005E6C1E" w:rsidP="00245ED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Brahmer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&lt;EndNote&gt;&lt;Cite&gt;&lt;Author&gt;Brahmer&lt;/Author&gt;&lt;Year&gt;2015&lt;/Year&gt;&lt;RecNum&gt;68&lt;/RecNum&gt;&lt;DisplayText&gt;(35)&lt;/DisplayText&gt;&lt;record&gt;&lt;rec-number&gt;68&lt;/rec-number&gt;&lt;foreign-keys&gt;&lt;key app="EN" db-id="dwepv2psq9dt9ne9epe55pvjraafffxx2rtr" timestamp="1613311871"&gt;68&lt;/key&gt;&lt;/foreign-keys&gt;&lt;ref-type name="Journal Article"&gt;17&lt;/ref-type&gt;&lt;contributors&gt;&lt;authors&gt;&lt;author&gt;Brahmer, Julie&lt;/author&gt;&lt;author&gt;Reckamp, Karen L&lt;/author&gt;&lt;author&gt;Baas, Paul&lt;/author&gt;&lt;author&gt;Crinò, Lucio&lt;/author&gt;&lt;author&gt;Eberhardt, Wilfried EE&lt;/author&gt;&lt;author&gt;Poddubskaya, Elena&lt;/author&gt;&lt;author&gt;Antonia, Scott&lt;/author&gt;&lt;author&gt;Pluzanski, Adam&lt;/author&gt;&lt;author&gt;Vokes, Everett E&lt;/author&gt;&lt;author&gt;Holgado, Esther&lt;/author&gt;&lt;/authors&gt;&lt;/contributors&gt;&lt;titles&gt;&lt;title&gt;Nivolumab versus docetaxel in advanced squamous-cell non–small-cell lung cancer&lt;/title&gt;&lt;secondary-title&gt;New England Journal of Medicine&lt;/secondary-title&gt;&lt;/titles&gt;&lt;periodical&gt;&lt;full-title&gt;New England Journal of Medicine&lt;/full-title&gt;&lt;/periodical&gt;&lt;pages&gt;123-135&lt;/pages&gt;&lt;volume&gt;373&lt;/volume&gt;&lt;number&gt;2&lt;/number&gt;&lt;dates&gt;&lt;year&gt;2015&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77</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2015</w:t>
            </w:r>
          </w:p>
        </w:tc>
        <w:tc>
          <w:tcPr>
            <w:tcW w:w="769" w:type="pct"/>
            <w:tcBorders>
              <w:top w:val="none" w:sz="0" w:space="0" w:color="auto"/>
              <w:bottom w:val="none" w:sz="0" w:space="0" w:color="auto"/>
            </w:tcBorders>
            <w:shd w:val="clear" w:color="auto" w:fill="auto"/>
          </w:tcPr>
          <w:p w14:paraId="63C38E9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Squamous cell NSCLC</w:t>
            </w:r>
          </w:p>
        </w:tc>
        <w:tc>
          <w:tcPr>
            <w:tcW w:w="964" w:type="pct"/>
            <w:tcBorders>
              <w:top w:val="none" w:sz="0" w:space="0" w:color="auto"/>
              <w:bottom w:val="none" w:sz="0" w:space="0" w:color="auto"/>
            </w:tcBorders>
            <w:shd w:val="clear" w:color="auto" w:fill="auto"/>
          </w:tcPr>
          <w:p w14:paraId="6041590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 (2/131)</w:t>
            </w:r>
          </w:p>
        </w:tc>
        <w:tc>
          <w:tcPr>
            <w:tcW w:w="894" w:type="pct"/>
            <w:tcBorders>
              <w:top w:val="none" w:sz="0" w:space="0" w:color="auto"/>
              <w:bottom w:val="none" w:sz="0" w:space="0" w:color="auto"/>
            </w:tcBorders>
            <w:shd w:val="clear" w:color="auto" w:fill="auto"/>
          </w:tcPr>
          <w:p w14:paraId="4601EB5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(0/131)</w:t>
            </w:r>
          </w:p>
        </w:tc>
      </w:tr>
      <w:tr w:rsidR="00ED3FC9" w:rsidRPr="00514591" w14:paraId="7955CA8F"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5B94BE1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744D909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5EB18E1B" w14:textId="77777777" w:rsidR="005E6C1E" w:rsidRPr="00514591"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eastAsia="Book Antiqua" w:hAnsi="Book Antiqua" w:cs="Book Antiqua"/>
                <w:bCs/>
                <w:color w:val="000000"/>
              </w:rPr>
              <w:t>Borghaei</w:t>
            </w:r>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&lt;EndNote&gt;&lt;Cite&gt;&lt;Author&gt;Borghaei&lt;/Author&gt;&lt;Year&gt;2015&lt;/Year&gt;&lt;RecNum&gt;69&lt;/RecNum&gt;&lt;DisplayText&gt;(36)&lt;/DisplayText&gt;&lt;record&gt;&lt;rec-number&gt;69&lt;/rec-number&gt;&lt;foreign-keys&gt;&lt;key app="EN" db-id="dwepv2psq9dt9ne9epe55pvjraafffxx2rtr" timestamp="1613312009"&gt;69&lt;/key&gt;&lt;/foreign-keys&gt;&lt;ref-type name="Journal Article"&gt;17&lt;/ref-type&gt;&lt;contributors&gt;&lt;authors&gt;&lt;author&gt;Borghaei, Hossein&lt;/author&gt;&lt;author&gt;Paz-Ares, Luis&lt;/author&gt;&lt;author&gt;Horn, Leora&lt;/author&gt;&lt;author&gt;Spigel, David R&lt;/author&gt;&lt;author&gt;Steins, Martin&lt;/author&gt;&lt;author&gt;Ready, Neal E&lt;/author&gt;&lt;author&gt;Chow, Laura Q&lt;/author&gt;&lt;author&gt;Vokes, Everett E&lt;/author&gt;&lt;author&gt;Felip, Enriqueta&lt;/author&gt;&lt;author&gt;Holgado, Esther&lt;/author&gt;&lt;/authors&gt;&lt;/contributors&gt;&lt;titles&gt;&lt;title&gt;Nivolumab versus docetaxel in advanced nonsquamous non–small-cell lung cancer&lt;/title&gt;&lt;secondary-title&gt;New England Journal of Medicine&lt;/secondary-title&gt;&lt;/titles&gt;&lt;periodical&gt;&lt;full-title&gt;New England Journal of Medicine&lt;/full-title&gt;&lt;/periodical&gt;&lt;pages&gt;1627-1639&lt;/pages&gt;&lt;volume&gt;373&lt;/volume&gt;&lt;number&gt;17&lt;/number&gt;&lt;dates&gt;&lt;year&gt;2015&lt;/year&gt;&lt;/dates&gt;&lt;isbn&gt;0028-4793&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78</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245ED7">
              <w:rPr>
                <w:rFonts w:ascii="Book Antiqua" w:hAnsi="Book Antiqua"/>
                <w:color w:val="000000" w:themeColor="text1"/>
              </w:rPr>
              <w:t xml:space="preserve">, </w:t>
            </w:r>
            <w:r w:rsidR="005E6C1E" w:rsidRPr="00514591">
              <w:rPr>
                <w:rFonts w:ascii="Book Antiqua" w:hAnsi="Book Antiqua"/>
                <w:color w:val="000000" w:themeColor="text1"/>
              </w:rPr>
              <w:t>2015</w:t>
            </w:r>
          </w:p>
        </w:tc>
        <w:tc>
          <w:tcPr>
            <w:tcW w:w="769" w:type="pct"/>
            <w:shd w:val="clear" w:color="auto" w:fill="auto"/>
          </w:tcPr>
          <w:p w14:paraId="5CA58F21"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Non-squamous NSCLC</w:t>
            </w:r>
          </w:p>
        </w:tc>
        <w:tc>
          <w:tcPr>
            <w:tcW w:w="964" w:type="pct"/>
            <w:shd w:val="clear" w:color="auto" w:fill="auto"/>
          </w:tcPr>
          <w:p w14:paraId="5670BF5A"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3.1 (9/287)</w:t>
            </w:r>
          </w:p>
        </w:tc>
        <w:tc>
          <w:tcPr>
            <w:tcW w:w="894" w:type="pct"/>
            <w:shd w:val="clear" w:color="auto" w:fill="auto"/>
          </w:tcPr>
          <w:p w14:paraId="3E69BBC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(0/287)</w:t>
            </w:r>
          </w:p>
        </w:tc>
      </w:tr>
      <w:tr w:rsidR="00ED3FC9" w:rsidRPr="00514591" w14:paraId="479E4A4A"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6B48C72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620D496F"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2C70390" w14:textId="4E264800" w:rsidR="005E6C1E" w:rsidRPr="00245ED7"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&lt;EndNote&gt;&lt;Cite&gt;&lt;Author&gt;Robert&lt;/Author&gt;&lt;Year&gt;2014&lt;/Year&gt;&lt;RecNum&gt;70&lt;/RecNum&gt;&lt;DisplayText&gt;(37)&lt;/DisplayText&gt;&lt;record&gt;&lt;rec-number&gt;70&lt;/rec-number&gt;&lt;foreign-keys&gt;&lt;key app="EN" db-id="dwepv2psq9dt9ne9epe55pvjraafffxx2rtr" timestamp="1613312100"&gt;70&lt;/key&gt;&lt;/foreign-keys&gt;&lt;ref-type name="Journal Article"&gt;17&lt;/ref-type&gt;&lt;contributors&gt;&lt;authors&gt;&lt;author&gt;Robert, Caroline&lt;/author&gt;&lt;author&gt;Ribas, Antoni&lt;/author&gt;&lt;author&gt;Wolchok, Jedd D&lt;/author&gt;&lt;author&gt;Hodi, F Stephen&lt;/author&gt;&lt;author&gt;Hamid, Omid&lt;/author&gt;&lt;author&gt;Kefford, Richard&lt;/author&gt;&lt;author&gt;Weber, Jeffrey S&lt;/author&gt;&lt;author&gt;Joshua, Anthony M&lt;/author&gt;&lt;author&gt;Hwu, Wen-Jen&lt;/author&gt;&lt;author&gt;Gangadhar, Tara C&lt;/author&gt;&lt;/authors&gt;&lt;/contributors&gt;&lt;titles&gt;&lt;title&gt;Anti-programmed-death-receptor-1 treatment with pembrolizumab in ipilimumab-refractory advanced melanoma: a randomised dose-comparison cohort of a phase 1 trial&lt;/title&gt;&lt;secondary-title&gt;The Lancet&lt;/secondary-title&gt;&lt;/titles&gt;&lt;periodical&gt;&lt;full-title&gt;The Lancet&lt;/full-title&gt;&lt;/periodical&gt;&lt;pages&gt;1109-1117&lt;/pages&gt;&lt;volume&gt;384&lt;/volume&gt;&lt;number&gt;9948&lt;/number&gt;&lt;dates&gt;&lt;year&gt;2014&lt;/year&gt;&lt;/dates&gt;&lt;isbn&gt;0140-6736&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79</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w:t>
            </w:r>
            <w:r w:rsidR="00245ED7">
              <w:rPr>
                <w:rFonts w:ascii="Book Antiqua" w:hAnsi="Book Antiqua"/>
                <w:color w:val="000000" w:themeColor="text1"/>
              </w:rPr>
              <w:t>4</w:t>
            </w:r>
          </w:p>
          <w:p w14:paraId="17E075C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769" w:type="pct"/>
            <w:tcBorders>
              <w:top w:val="none" w:sz="0" w:space="0" w:color="auto"/>
              <w:bottom w:val="none" w:sz="0" w:space="0" w:color="auto"/>
            </w:tcBorders>
            <w:shd w:val="clear" w:color="auto" w:fill="auto"/>
          </w:tcPr>
          <w:p w14:paraId="1913B55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lastRenderedPageBreak/>
              <w:t>Melanoma</w:t>
            </w:r>
          </w:p>
          <w:p w14:paraId="242117E9"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964" w:type="pct"/>
            <w:tcBorders>
              <w:top w:val="none" w:sz="0" w:space="0" w:color="auto"/>
              <w:bottom w:val="none" w:sz="0" w:space="0" w:color="auto"/>
            </w:tcBorders>
            <w:shd w:val="clear" w:color="auto" w:fill="auto"/>
          </w:tcPr>
          <w:p w14:paraId="249F13C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lastRenderedPageBreak/>
              <w:t>1.1 (1/89)</w:t>
            </w:r>
          </w:p>
        </w:tc>
        <w:tc>
          <w:tcPr>
            <w:tcW w:w="894" w:type="pct"/>
            <w:tcBorders>
              <w:top w:val="none" w:sz="0" w:space="0" w:color="auto"/>
              <w:bottom w:val="none" w:sz="0" w:space="0" w:color="auto"/>
            </w:tcBorders>
            <w:shd w:val="clear" w:color="auto" w:fill="auto"/>
          </w:tcPr>
          <w:p w14:paraId="05C73DE6"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(1/89)</w:t>
            </w:r>
          </w:p>
        </w:tc>
      </w:tr>
      <w:tr w:rsidR="00ED3FC9" w:rsidRPr="00514591" w14:paraId="5F1FABBC"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1E94D965"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val="restart"/>
            <w:shd w:val="clear" w:color="auto" w:fill="auto"/>
          </w:tcPr>
          <w:p w14:paraId="4F64A95E" w14:textId="4A4D24AA" w:rsidR="005E6C1E" w:rsidRPr="00245ED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Pembrolizumab</w:t>
            </w:r>
          </w:p>
        </w:tc>
        <w:tc>
          <w:tcPr>
            <w:tcW w:w="1155" w:type="pct"/>
            <w:shd w:val="clear" w:color="auto" w:fill="auto"/>
          </w:tcPr>
          <w:p w14:paraId="63C26565" w14:textId="2A1C6146" w:rsidR="005E6C1E" w:rsidRPr="00245ED7"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&lt;EndNote&gt;&lt;Cite&gt;&lt;Author&gt;Robert&lt;/Author&gt;&lt;Year&gt;2014&lt;/Year&gt;&lt;RecNum&gt;70&lt;/RecNum&gt;&lt;DisplayText&gt;(37)&lt;/DisplayText&gt;&lt;record&gt;&lt;rec-number&gt;70&lt;/rec-number&gt;&lt;foreign-keys&gt;&lt;key app="EN" db-id="dwepv2psq9dt9ne9epe55pvjraafffxx2rtr" timestamp="1613312100"&gt;70&lt;/key&gt;&lt;/foreign-keys&gt;&lt;ref-type name="Journal Article"&gt;17&lt;/ref-type&gt;&lt;contributors&gt;&lt;authors&gt;&lt;author&gt;Robert, Caroline&lt;/author&gt;&lt;author&gt;Ribas, Antoni&lt;/author&gt;&lt;author&gt;Wolchok, Jedd D&lt;/author&gt;&lt;author&gt;Hodi, F Stephen&lt;/author&gt;&lt;author&gt;Hamid, Omid&lt;/author&gt;&lt;author&gt;Kefford, Richard&lt;/author&gt;&lt;author&gt;Weber, Jeffrey S&lt;/author&gt;&lt;author&gt;Joshua, Anthony M&lt;/author&gt;&lt;author&gt;Hwu, Wen-Jen&lt;/author&gt;&lt;author&gt;Gangadhar, Tara C&lt;/author&gt;&lt;/authors&gt;&lt;/contributors&gt;&lt;titles&gt;&lt;title&gt;Anti-programmed-death-receptor-1 treatment with pembrolizumab in ipilimumab-refractory advanced melanoma: a randomised dose-comparison cohort of a phase 1 trial&lt;/title&gt;&lt;secondary-title&gt;The Lancet&lt;/secondary-title&gt;&lt;/titles&gt;&lt;periodical&gt;&lt;full-title&gt;The Lancet&lt;/full-title&gt;&lt;/periodical&gt;&lt;pages&gt;1109-1117&lt;/pages&gt;&lt;volume&gt;384&lt;/volume&gt;&lt;number&gt;9948&lt;/number&gt;&lt;dates&gt;&lt;year&gt;2014&lt;/year&gt;&lt;/dates&gt;&lt;isbn&gt;0140-6736&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79</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2014</w:t>
            </w:r>
          </w:p>
        </w:tc>
        <w:tc>
          <w:tcPr>
            <w:tcW w:w="769" w:type="pct"/>
            <w:shd w:val="clear" w:color="auto" w:fill="auto"/>
          </w:tcPr>
          <w:p w14:paraId="5227A693" w14:textId="2FE25428" w:rsidR="005E6C1E" w:rsidRPr="00245ED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Melanoma</w:t>
            </w:r>
          </w:p>
        </w:tc>
        <w:tc>
          <w:tcPr>
            <w:tcW w:w="964" w:type="pct"/>
            <w:shd w:val="clear" w:color="auto" w:fill="auto"/>
          </w:tcPr>
          <w:p w14:paraId="562E28F2" w14:textId="16F85A00"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(0/84)</w:t>
            </w:r>
          </w:p>
        </w:tc>
        <w:tc>
          <w:tcPr>
            <w:tcW w:w="894" w:type="pct"/>
            <w:shd w:val="clear" w:color="auto" w:fill="auto"/>
          </w:tcPr>
          <w:p w14:paraId="43E5BA0F"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(0/84)</w:t>
            </w:r>
          </w:p>
        </w:tc>
      </w:tr>
      <w:tr w:rsidR="00ED3FC9" w:rsidRPr="00514591" w14:paraId="2EC31E04"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5D0C46C7"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3B04275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29654544" w14:textId="1DCC8669" w:rsidR="005E6C1E" w:rsidRPr="00245ED7"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Eggermont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&lt;EndNote&gt;&lt;Cite&gt;&lt;Author&gt;Eggermont&lt;/Author&gt;&lt;Year&gt;2018&lt;/Year&gt;&lt;RecNum&gt;76&lt;/RecNum&gt;&lt;DisplayText&gt;(38)&lt;/DisplayText&gt;&lt;record&gt;&lt;rec-number&gt;76&lt;/rec-number&gt;&lt;foreign-keys&gt;&lt;key app="EN" db-id="dwepv2psq9dt9ne9epe55pvjraafffxx2rtr" timestamp="1613365123"&gt;76&lt;/key&gt;&lt;/foreign-keys&gt;&lt;ref-type name="Journal Article"&gt;17&lt;/ref-type&gt;&lt;contributors&gt;&lt;authors&gt;&lt;author&gt;Eggermont, Alexander MM&lt;/author&gt;&lt;author&gt;Blank, Christian U&lt;/author&gt;&lt;author&gt;Mandala, Mario&lt;/author&gt;&lt;author&gt;Long, Georgina V&lt;/author&gt;&lt;author&gt;Atkinson, Victoria&lt;/author&gt;&lt;author&gt;Dalle, Stéphane&lt;/author&gt;&lt;author&gt;Haydon, Andrew&lt;/author&gt;&lt;author&gt;Lichinitser, Mikhail&lt;/author&gt;&lt;author&gt;Khattak, Adnan&lt;/author&gt;&lt;author&gt;Carlino, Matteo S&lt;/author&gt;&lt;/authors&gt;&lt;/contributors&gt;&lt;titles&gt;&lt;title&gt;Adjuvant pembrolizumab versus placebo in resected stage III melanoma&lt;/title&gt;&lt;secondary-title&gt;New England Journal of Medicine&lt;/secondary-title&gt;&lt;/titles&gt;&lt;periodical&gt;&lt;full-title&gt;New England Journal of Medicine&lt;/full-title&gt;&lt;/periodical&gt;&lt;pages&gt;1789-1801&lt;/pages&gt;&lt;volume&gt;378&lt;/volume&gt;&lt;number&gt;19&lt;/number&gt;&lt;dates&gt;&lt;year&gt;2018&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80</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2018</w:t>
            </w:r>
          </w:p>
        </w:tc>
        <w:tc>
          <w:tcPr>
            <w:tcW w:w="769" w:type="pct"/>
            <w:tcBorders>
              <w:top w:val="none" w:sz="0" w:space="0" w:color="auto"/>
              <w:bottom w:val="none" w:sz="0" w:space="0" w:color="auto"/>
            </w:tcBorders>
            <w:shd w:val="clear" w:color="auto" w:fill="auto"/>
          </w:tcPr>
          <w:p w14:paraId="2D1EF85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182971F4" w14:textId="18C349F1"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1.8 (9/509)</w:t>
            </w:r>
          </w:p>
        </w:tc>
        <w:tc>
          <w:tcPr>
            <w:tcW w:w="894" w:type="pct"/>
            <w:tcBorders>
              <w:top w:val="none" w:sz="0" w:space="0" w:color="auto"/>
              <w:bottom w:val="none" w:sz="0" w:space="0" w:color="auto"/>
            </w:tcBorders>
            <w:shd w:val="clear" w:color="auto" w:fill="auto"/>
          </w:tcPr>
          <w:p w14:paraId="09056367"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1.4 (7/509)</w:t>
            </w:r>
          </w:p>
        </w:tc>
      </w:tr>
      <w:tr w:rsidR="00ED3FC9" w:rsidRPr="00514591" w14:paraId="0159F2BF"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0E6350C1"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131DB2AA"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Cemiplimab</w:t>
            </w:r>
          </w:p>
        </w:tc>
        <w:tc>
          <w:tcPr>
            <w:tcW w:w="1155" w:type="pct"/>
            <w:shd w:val="clear" w:color="auto" w:fill="auto"/>
          </w:tcPr>
          <w:p w14:paraId="755BE039"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Migden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&lt;EndNote&gt;&lt;Cite&gt;&lt;Author&gt;Migden&lt;/Author&gt;&lt;Year&gt;2018&lt;/Year&gt;&lt;RecNum&gt;94&lt;/RecNum&gt;&lt;DisplayText&gt;(39)&lt;/DisplayText&gt;&lt;record&gt;&lt;rec-number&gt;94&lt;/rec-number&gt;&lt;foreign-keys&gt;&lt;key app="EN" db-id="dwepv2psq9dt9ne9epe55pvjraafffxx2rtr" timestamp="1615982432"&gt;94&lt;/key&gt;&lt;/foreign-keys&gt;&lt;ref-type name="Journal Article"&gt;17&lt;/ref-type&gt;&lt;contributors&gt;&lt;authors&gt;&lt;author&gt;Migden, Michael R&lt;/author&gt;&lt;author&gt;Rischin, Danny&lt;/author&gt;&lt;author&gt;Schmults, Chrysalyne D&lt;/author&gt;&lt;author&gt;Guminski, Alexander&lt;/author&gt;&lt;author&gt;Hauschild, Axel&lt;/author&gt;&lt;author&gt;Lewis, Karl D&lt;/author&gt;&lt;author&gt;Chung, Christine H&lt;/author&gt;&lt;author&gt;Hernandez-Aya, Leonel&lt;/author&gt;&lt;author&gt;Lim, Annette M&lt;/author&gt;&lt;author&gt;Chang, Anne Lynn S&lt;/author&gt;&lt;/authors&gt;&lt;/contributors&gt;&lt;titles&gt;&lt;title&gt;PD-1 blockade with cemiplimab in advanced cutaneous squamous-cell carcinoma&lt;/title&gt;&lt;secondary-title&gt;New England Journal of Medicine&lt;/secondary-title&gt;&lt;/titles&gt;&lt;periodical&gt;&lt;full-title&gt;New England Journal of Medicine&lt;/full-title&gt;&lt;/periodical&gt;&lt;pages&gt;341-351&lt;/pages&gt;&lt;volume&gt;379&lt;/volume&gt;&lt;number&gt;4&lt;/number&gt;&lt;dates&gt;&lt;year&gt;2018&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81</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2018</w:t>
            </w:r>
          </w:p>
        </w:tc>
        <w:tc>
          <w:tcPr>
            <w:tcW w:w="769" w:type="pct"/>
            <w:shd w:val="clear" w:color="auto" w:fill="auto"/>
          </w:tcPr>
          <w:p w14:paraId="60B5DAF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Cutaneous Squamous-Cell Carcinoma</w:t>
            </w:r>
          </w:p>
        </w:tc>
        <w:tc>
          <w:tcPr>
            <w:tcW w:w="964" w:type="pct"/>
            <w:shd w:val="clear" w:color="auto" w:fill="auto"/>
          </w:tcPr>
          <w:p w14:paraId="3B9D7A0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8.5 (5/59)</w:t>
            </w:r>
          </w:p>
        </w:tc>
        <w:tc>
          <w:tcPr>
            <w:tcW w:w="894" w:type="pct"/>
            <w:shd w:val="clear" w:color="auto" w:fill="auto"/>
          </w:tcPr>
          <w:p w14:paraId="235EA7D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(0/59)</w:t>
            </w:r>
          </w:p>
        </w:tc>
      </w:tr>
      <w:tr w:rsidR="00ED3FC9" w:rsidRPr="00514591" w14:paraId="6BF4C03D" w14:textId="77777777" w:rsidTr="00A72FA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one" w:sz="0" w:space="0" w:color="auto"/>
              <w:bottom w:val="none" w:sz="0" w:space="0" w:color="auto"/>
              <w:right w:val="none" w:sz="0" w:space="0" w:color="auto"/>
            </w:tcBorders>
            <w:shd w:val="clear" w:color="auto" w:fill="auto"/>
          </w:tcPr>
          <w:p w14:paraId="72C244BA"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Anti-PD-L1</w:t>
            </w:r>
          </w:p>
        </w:tc>
        <w:tc>
          <w:tcPr>
            <w:tcW w:w="705" w:type="pct"/>
            <w:tcBorders>
              <w:top w:val="none" w:sz="0" w:space="0" w:color="auto"/>
              <w:bottom w:val="none" w:sz="0" w:space="0" w:color="auto"/>
            </w:tcBorders>
            <w:shd w:val="clear" w:color="auto" w:fill="auto"/>
          </w:tcPr>
          <w:p w14:paraId="21D38E6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Atezolizumab</w:t>
            </w:r>
          </w:p>
        </w:tc>
        <w:tc>
          <w:tcPr>
            <w:tcW w:w="1155" w:type="pct"/>
            <w:tcBorders>
              <w:top w:val="none" w:sz="0" w:space="0" w:color="auto"/>
              <w:bottom w:val="none" w:sz="0" w:space="0" w:color="auto"/>
            </w:tcBorders>
            <w:shd w:val="clear" w:color="auto" w:fill="auto"/>
          </w:tcPr>
          <w:p w14:paraId="4C09F987" w14:textId="66E2E948" w:rsidR="005E6C1E" w:rsidRPr="00245ED7"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Jotte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&lt;EndNote&gt;&lt;Cite&gt;&lt;Author&gt;Jotte&lt;/Author&gt;&lt;Year&gt;2018&lt;/Year&gt;&lt;RecNum&gt;77&lt;/RecNum&gt;&lt;DisplayText&gt;(40)&lt;/DisplayText&gt;&lt;record&gt;&lt;rec-number&gt;77&lt;/rec-number&gt;&lt;foreign-keys&gt;&lt;key app="EN" db-id="dwepv2psq9dt9ne9epe55pvjraafffxx2rtr" timestamp="1613365817"&gt;77&lt;/key&gt;&lt;/foreign-keys&gt;&lt;ref-type name="Journal Article"&gt;17&lt;/ref-type&gt;&lt;contributors&gt;&lt;authors&gt;&lt;author&gt;Jotte, Robert M&lt;/author&gt;&lt;author&gt;Cappuzzo, Federico&lt;/author&gt;&lt;author&gt;Vynnychenko, Ihor&lt;/author&gt;&lt;author&gt;Stroyakovskiy, Daniil&lt;/author&gt;&lt;author&gt;Abreu, D Rodriguez&lt;/author&gt;&lt;author&gt;Hussein, Maen A&lt;/author&gt;&lt;author&gt;Soo, Ross A&lt;/author&gt;&lt;author&gt;Conter, Henry Jacob&lt;/author&gt;&lt;author&gt;Kozuki, Toshiyuki&lt;/author&gt;&lt;author&gt;Silva, Carlos&lt;/author&gt;&lt;/authors&gt;&lt;/contributors&gt;&lt;titles&gt;&lt;title&gt;IMpower131: Primary PFS and safety analysis of a randomized phase III study of atezolizumab+ carboplatin+ paclitaxel or nab-paclitaxel vs carboplatin+ nab-paclitaxel as 1L therapy in advanced squamous NSCLC&lt;/title&gt;&lt;secondary-title&gt;J Clin Oncol&lt;/secondary-title&gt;&lt;/titles&gt;&lt;periodical&gt;&lt;full-title&gt;J Clin Oncol&lt;/full-title&gt;&lt;/periodical&gt;&lt;pages&gt;LBA9000&lt;/pages&gt;&lt;volume&gt;36&lt;/volume&gt;&lt;number&gt;18_suppl&lt;/number&gt;&lt;dates&gt;&lt;year&gt;2018&lt;/year&gt;&lt;/dates&gt;&lt;urls&gt;&lt;/urls&gt;&lt;/record&gt;&lt;/Cite&gt;&lt;/EndNote&gt;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82</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w:t>
            </w:r>
            <w:r w:rsidR="00514591" w:rsidRPr="00514591">
              <w:rPr>
                <w:rFonts w:ascii="Book Antiqua" w:eastAsiaTheme="minorEastAsia" w:hAnsi="Book Antiqua"/>
                <w:color w:val="000000" w:themeColor="text1"/>
                <w:lang w:eastAsia="zh-CN"/>
              </w:rPr>
              <w:t>20</w:t>
            </w:r>
          </w:p>
        </w:tc>
        <w:tc>
          <w:tcPr>
            <w:tcW w:w="769" w:type="pct"/>
            <w:tcBorders>
              <w:top w:val="none" w:sz="0" w:space="0" w:color="auto"/>
              <w:bottom w:val="none" w:sz="0" w:space="0" w:color="auto"/>
            </w:tcBorders>
            <w:shd w:val="clear" w:color="auto" w:fill="auto"/>
          </w:tcPr>
          <w:p w14:paraId="35B6852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Squamous NSCLC</w:t>
            </w:r>
          </w:p>
        </w:tc>
        <w:tc>
          <w:tcPr>
            <w:tcW w:w="964" w:type="pct"/>
            <w:tcBorders>
              <w:top w:val="none" w:sz="0" w:space="0" w:color="auto"/>
              <w:bottom w:val="none" w:sz="0" w:space="0" w:color="auto"/>
            </w:tcBorders>
            <w:shd w:val="clear" w:color="auto" w:fill="auto"/>
          </w:tcPr>
          <w:p w14:paraId="361F5CE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17.4 (58/334)</w:t>
            </w:r>
          </w:p>
        </w:tc>
        <w:tc>
          <w:tcPr>
            <w:tcW w:w="894" w:type="pct"/>
            <w:tcBorders>
              <w:top w:val="none" w:sz="0" w:space="0" w:color="auto"/>
              <w:bottom w:val="none" w:sz="0" w:space="0" w:color="auto"/>
            </w:tcBorders>
            <w:shd w:val="clear" w:color="auto" w:fill="auto"/>
          </w:tcPr>
          <w:p w14:paraId="6C3C9A3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5.4 (18/334)</w:t>
            </w:r>
          </w:p>
        </w:tc>
      </w:tr>
      <w:tr w:rsidR="00ED3FC9" w:rsidRPr="00514591" w14:paraId="336B7A35" w14:textId="77777777" w:rsidTr="00A72FAF">
        <w:trPr>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277FCE09"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6D0FFC1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Atezolizumab + Bevacizumab (anti-VEGF antibody)</w:t>
            </w:r>
          </w:p>
        </w:tc>
        <w:tc>
          <w:tcPr>
            <w:tcW w:w="1155" w:type="pct"/>
            <w:shd w:val="clear" w:color="auto" w:fill="auto"/>
          </w:tcPr>
          <w:p w14:paraId="19461F5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Finn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&lt;EndNote&gt;&lt;Cite&gt;&lt;Author&gt;Finn&lt;/Author&gt;&lt;Year&gt;2020&lt;/Year&gt;&lt;RecNum&gt;45&lt;/RecNum&gt;&lt;DisplayText&gt;(3)&lt;/DisplayText&gt;&lt;record&gt;&lt;rec-number&gt;45&lt;/rec-number&gt;&lt;foreign-keys&gt;&lt;key app="EN" db-id="dwepv2psq9dt9ne9epe55pvjraafffxx2rtr" timestamp="1613299932"&gt;45&lt;/key&gt;&lt;/foreign-keys&gt;&lt;ref-type name="Journal Article"&gt;17&lt;/ref-type&gt;&lt;contributors&gt;&lt;authors&gt;&lt;author&gt;Finn, Richard S&lt;/author&gt;&lt;author&gt;Qin, Shukui&lt;/author&gt;&lt;author&gt;Ikeda, Masafumi&lt;/author&gt;&lt;author&gt;Galle, Peter R&lt;/author&gt;&lt;author&gt;Ducreux, Michel&lt;/author&gt;&lt;author&gt;Kim, Tae-You&lt;/author&gt;&lt;author&gt;Kudo, Masatoshi&lt;/author&gt;&lt;author&gt;Breder, Valeriy&lt;/author&gt;&lt;author&gt;Merle, Philippe&lt;/author&gt;&lt;author&gt;Kaseb, Ahmed O&lt;/author&gt;&lt;/authors&gt;&lt;/contributors&gt;&lt;titles&gt;&lt;title&gt;Atezolizumab plus bevacizumab in unresectable hepatocellular carcinoma&lt;/title&gt;&lt;secondary-title&gt;New England Journal of Medicine&lt;/secondary-title&gt;&lt;/titles&gt;&lt;periodical&gt;&lt;full-title&gt;New England Journal of Medicine&lt;/full-title&gt;&lt;/periodical&gt;&lt;pages&gt;1894-1905&lt;/pages&gt;&lt;volume&gt;382&lt;/volume&gt;&lt;number&gt;20&lt;/number&gt;&lt;dates&gt;&lt;year&gt;2020&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[3]</w:t>
            </w:r>
            <w:r w:rsidR="00514591"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2020</w:t>
            </w:r>
          </w:p>
        </w:tc>
        <w:tc>
          <w:tcPr>
            <w:tcW w:w="769" w:type="pct"/>
            <w:shd w:val="clear" w:color="auto" w:fill="auto"/>
          </w:tcPr>
          <w:p w14:paraId="322D66E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HCC</w:t>
            </w:r>
          </w:p>
        </w:tc>
        <w:tc>
          <w:tcPr>
            <w:tcW w:w="964" w:type="pct"/>
            <w:shd w:val="clear" w:color="auto" w:fill="auto"/>
          </w:tcPr>
          <w:p w14:paraId="12D0C5D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33.4 (110/329)</w:t>
            </w:r>
          </w:p>
        </w:tc>
        <w:tc>
          <w:tcPr>
            <w:tcW w:w="894" w:type="pct"/>
            <w:shd w:val="clear" w:color="auto" w:fill="auto"/>
          </w:tcPr>
          <w:p w14:paraId="6E43A05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10.6 (35/329)</w:t>
            </w:r>
          </w:p>
        </w:tc>
      </w:tr>
      <w:tr w:rsidR="00ED3FC9" w:rsidRPr="00514591" w14:paraId="4ED546E0" w14:textId="77777777" w:rsidTr="00A72FA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3D3C111B"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tcBorders>
              <w:top w:val="none" w:sz="0" w:space="0" w:color="auto"/>
              <w:bottom w:val="none" w:sz="0" w:space="0" w:color="auto"/>
            </w:tcBorders>
            <w:shd w:val="clear" w:color="auto" w:fill="auto"/>
          </w:tcPr>
          <w:p w14:paraId="4469081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Avelumab</w:t>
            </w:r>
          </w:p>
        </w:tc>
        <w:tc>
          <w:tcPr>
            <w:tcW w:w="1155" w:type="pct"/>
            <w:tcBorders>
              <w:top w:val="none" w:sz="0" w:space="0" w:color="auto"/>
              <w:bottom w:val="none" w:sz="0" w:space="0" w:color="auto"/>
            </w:tcBorders>
            <w:shd w:val="clear" w:color="auto" w:fill="auto"/>
          </w:tcPr>
          <w:p w14:paraId="0C67EE37" w14:textId="77E51122" w:rsidR="005E6C1E" w:rsidRPr="00245ED7"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D’Angelo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&lt;EndNote&gt;&lt;Cite&gt;&lt;Author&gt;D&amp;apos;Angelo&lt;/Author&gt;&lt;Year&gt;2020&lt;/Year&gt;&lt;RecNum&gt;95&lt;/RecNum&gt;&lt;DisplayText&gt;(41)&lt;/DisplayText&gt;&lt;record&gt;&lt;rec-number&gt;95&lt;/rec-number&gt;&lt;foreign-keys&gt;&lt;key app="EN" db-id="dwepv2psq9dt9ne9epe55pvjraafffxx2rtr" timestamp="1615983917"&gt;95&lt;/key&gt;&lt;/foreign-keys&gt;&lt;ref-type name="Journal Article"&gt;17&lt;/ref-type&gt;&lt;contributors&gt;&lt;authors&gt;&lt;author&gt;D&amp;apos;Angelo, Sandra P&lt;/author&gt;&lt;author&gt;Bhatia, Shailender&lt;/author&gt;&lt;author&gt;Brohl, Andrew S&lt;/author&gt;&lt;author&gt;Hamid, Omid&lt;/author&gt;&lt;author&gt;Mehnert, Janice M&lt;/author&gt;&lt;author&gt;Terheyden, Patrick&lt;/author&gt;&lt;author&gt;Shih, Kent C&lt;/author&gt;&lt;author&gt;Brownell, Isaac&lt;/author&gt;&lt;author&gt;Lebbé, Celeste&lt;/author&gt;&lt;author&gt;Lewis, Karl D&lt;/author&gt;&lt;/authors&gt;&lt;/contributors&gt;&lt;titles&gt;&lt;title&gt;Avelumab in patients with previously treated metastatic Merkel cell carcinoma: long-term data and biomarker analyses from the single-arm phase 2 JAVELIN Merkel 200 trial&lt;/title&gt;&lt;secondary-title&gt;Journal for immunotherapy of cancer&lt;/secondary-title&gt;&lt;/titles&gt;&lt;periodical&gt;&lt;full-title&gt;Journal for immunotherapy of cancer&lt;/full-title&gt;&lt;/periodical&gt;&lt;volume&gt;8&lt;/volume&gt;&lt;number&gt;1&lt;/number&gt;&lt;dates&gt;&lt;year&gt;2020&lt;/year&gt;&lt;/dates&gt;&lt;urls&gt;&lt;/urls&gt;&lt;/record&gt;&lt;/Cite&gt;&lt;/EndNote&gt;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83</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2020</w:t>
            </w:r>
          </w:p>
        </w:tc>
        <w:tc>
          <w:tcPr>
            <w:tcW w:w="769" w:type="pct"/>
            <w:tcBorders>
              <w:top w:val="none" w:sz="0" w:space="0" w:color="auto"/>
              <w:bottom w:val="none" w:sz="0" w:space="0" w:color="auto"/>
            </w:tcBorders>
            <w:shd w:val="clear" w:color="auto" w:fill="auto"/>
          </w:tcPr>
          <w:p w14:paraId="0A2A6CA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Metastatic Merkel cell carcinoma</w:t>
            </w:r>
          </w:p>
        </w:tc>
        <w:tc>
          <w:tcPr>
            <w:tcW w:w="964" w:type="pct"/>
            <w:tcBorders>
              <w:top w:val="none" w:sz="0" w:space="0" w:color="auto"/>
              <w:bottom w:val="none" w:sz="0" w:space="0" w:color="auto"/>
            </w:tcBorders>
            <w:shd w:val="clear" w:color="auto" w:fill="auto"/>
          </w:tcPr>
          <w:p w14:paraId="18961C4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(1/88)</w:t>
            </w:r>
          </w:p>
        </w:tc>
        <w:tc>
          <w:tcPr>
            <w:tcW w:w="894" w:type="pct"/>
            <w:tcBorders>
              <w:top w:val="none" w:sz="0" w:space="0" w:color="auto"/>
              <w:bottom w:val="none" w:sz="0" w:space="0" w:color="auto"/>
            </w:tcBorders>
            <w:shd w:val="clear" w:color="auto" w:fill="auto"/>
          </w:tcPr>
          <w:p w14:paraId="51C6B33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(1/88)</w:t>
            </w:r>
          </w:p>
        </w:tc>
      </w:tr>
      <w:tr w:rsidR="00ED3FC9" w:rsidRPr="00514591" w14:paraId="70292665" w14:textId="77777777" w:rsidTr="00781FF9">
        <w:trPr>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bottom w:val="nil"/>
              <w:right w:val="none" w:sz="0" w:space="0" w:color="auto"/>
            </w:tcBorders>
            <w:shd w:val="clear" w:color="auto" w:fill="auto"/>
          </w:tcPr>
          <w:p w14:paraId="670CE4AD"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tcBorders>
              <w:bottom w:val="nil"/>
            </w:tcBorders>
            <w:shd w:val="clear" w:color="auto" w:fill="auto"/>
          </w:tcPr>
          <w:p w14:paraId="74ADB0D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Durvalumab</w:t>
            </w:r>
          </w:p>
        </w:tc>
        <w:tc>
          <w:tcPr>
            <w:tcW w:w="1155" w:type="pct"/>
            <w:tcBorders>
              <w:bottom w:val="nil"/>
            </w:tcBorders>
            <w:shd w:val="clear" w:color="auto" w:fill="auto"/>
          </w:tcPr>
          <w:p w14:paraId="4666FD54"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Garassino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&lt;EndNote&gt;&lt;Cite&gt;&lt;Author&gt;Garassino&lt;/Author&gt;&lt;Year&gt;2018&lt;/Year&gt;&lt;RecNum&gt;96&lt;/RecNum&gt;&lt;DisplayText&gt;(42)&lt;/DisplayText&gt;&lt;record&gt;&lt;rec-number&gt;96&lt;/rec-number&gt;&lt;foreign-keys&gt;&lt;key app="EN" db-id="dwepv2psq9dt9ne9epe55pvjraafffxx2rtr" timestamp="1615985685"&gt;96&lt;/key&gt;&lt;/foreign-keys&gt;&lt;ref-type name="Journal Article"&gt;17&lt;/ref-type&gt;&lt;contributors&gt;&lt;authors&gt;&lt;author&gt;Garassino, Marina Chiara&lt;/author&gt;&lt;author&gt;Cho, Byoung-Chul&lt;/author&gt;&lt;author&gt;Kim, Joo-Hang&lt;/author&gt;&lt;author&gt;Mazières, Julien&lt;/author&gt;&lt;author&gt;Vansteenkiste, Johan&lt;/author&gt;&lt;author&gt;Lena, Hervé&lt;/author&gt;&lt;author&gt;Jaime, Jesus Corral&lt;/author&gt;&lt;author&gt;Gray, Jhanelle E&lt;/author&gt;&lt;author&gt;Powderly, John&lt;/author&gt;&lt;author&gt;Chouaid, Christos&lt;/author&gt;&lt;/authors&gt;&lt;/contributors&gt;&lt;titles&gt;&lt;title&gt;Durvalumab as third-line or later treatment for advanced non-small-cell lung cancer (ATLANTIC): an open-label, single-arm, phase 2 study&lt;/title&gt;&lt;secondary-title&gt;The Lancet Oncology&lt;/secondary-title&gt;&lt;/titles&gt;&lt;periodical&gt;&lt;full-title&gt;The Lancet Oncology&lt;/full-title&gt;&lt;/periodical&gt;&lt;pages&gt;521-536&lt;/pages&gt;&lt;volume&gt;19&lt;/volume&gt;&lt;number&gt;4&lt;/number&gt;&lt;dates&gt;&lt;year&gt;2018&lt;/year&gt;&lt;/dates&gt;&lt;isbn&gt;1470-2045&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84</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2018</w:t>
            </w:r>
          </w:p>
        </w:tc>
        <w:tc>
          <w:tcPr>
            <w:tcW w:w="769" w:type="pct"/>
            <w:tcBorders>
              <w:bottom w:val="nil"/>
            </w:tcBorders>
            <w:shd w:val="clear" w:color="auto" w:fill="auto"/>
          </w:tcPr>
          <w:p w14:paraId="781160D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Advanced NSCLC</w:t>
            </w:r>
          </w:p>
        </w:tc>
        <w:tc>
          <w:tcPr>
            <w:tcW w:w="964" w:type="pct"/>
            <w:tcBorders>
              <w:bottom w:val="nil"/>
            </w:tcBorders>
            <w:shd w:val="clear" w:color="auto" w:fill="auto"/>
          </w:tcPr>
          <w:p w14:paraId="4DBD3CC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0.2 (1/444)</w:t>
            </w:r>
          </w:p>
        </w:tc>
        <w:tc>
          <w:tcPr>
            <w:tcW w:w="894" w:type="pct"/>
            <w:tcBorders>
              <w:bottom w:val="nil"/>
            </w:tcBorders>
            <w:shd w:val="clear" w:color="auto" w:fill="auto"/>
          </w:tcPr>
          <w:p w14:paraId="6FD2418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0.2 (1/444)</w:t>
            </w:r>
          </w:p>
        </w:tc>
      </w:tr>
      <w:tr w:rsidR="00ED3FC9" w:rsidRPr="00514591" w14:paraId="512050BC" w14:textId="77777777" w:rsidTr="00781FF9">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il"/>
              <w:bottom w:val="nil"/>
              <w:right w:val="none" w:sz="0" w:space="0" w:color="auto"/>
            </w:tcBorders>
            <w:shd w:val="clear" w:color="auto" w:fill="auto"/>
          </w:tcPr>
          <w:p w14:paraId="75B2D3D2" w14:textId="50A1755C" w:rsidR="005E6C1E" w:rsidRPr="00245ED7" w:rsidRDefault="005E6C1E" w:rsidP="00514591">
            <w:pPr>
              <w:spacing w:line="360" w:lineRule="auto"/>
              <w:jc w:val="both"/>
              <w:rPr>
                <w:rFonts w:ascii="Book Antiqua" w:eastAsiaTheme="minorEastAsia" w:hAnsi="Book Antiqua"/>
                <w:b w:val="0"/>
                <w:bCs w:val="0"/>
                <w:color w:val="000000" w:themeColor="text1"/>
                <w:lang w:eastAsia="zh-CN"/>
              </w:rPr>
            </w:pPr>
            <w:r w:rsidRPr="00514591">
              <w:rPr>
                <w:rFonts w:ascii="Book Antiqua" w:hAnsi="Book Antiqua"/>
                <w:b w:val="0"/>
                <w:bCs w:val="0"/>
                <w:color w:val="000000" w:themeColor="text1"/>
              </w:rPr>
              <w:t>Combination Therapy</w:t>
            </w:r>
          </w:p>
        </w:tc>
        <w:tc>
          <w:tcPr>
            <w:tcW w:w="705" w:type="pct"/>
            <w:vMerge w:val="restart"/>
            <w:tcBorders>
              <w:top w:val="nil"/>
              <w:bottom w:val="nil"/>
            </w:tcBorders>
            <w:shd w:val="clear" w:color="auto" w:fill="auto"/>
          </w:tcPr>
          <w:p w14:paraId="6875051D" w14:textId="0E72D85C" w:rsidR="005E6C1E" w:rsidRPr="00245ED7"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Ipilimumab + Nivolumab</w:t>
            </w:r>
          </w:p>
        </w:tc>
        <w:tc>
          <w:tcPr>
            <w:tcW w:w="1155" w:type="pct"/>
            <w:tcBorders>
              <w:top w:val="nil"/>
              <w:bottom w:val="nil"/>
            </w:tcBorders>
            <w:shd w:val="clear" w:color="auto" w:fill="auto"/>
          </w:tcPr>
          <w:p w14:paraId="6C52240A" w14:textId="77777777" w:rsidR="005E6C1E" w:rsidRPr="00514591" w:rsidRDefault="00B07B09"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nil"/>
              <w:bottom w:val="nil"/>
            </w:tcBorders>
            <w:shd w:val="clear" w:color="auto" w:fill="auto"/>
          </w:tcPr>
          <w:p w14:paraId="263D932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il"/>
              <w:bottom w:val="nil"/>
            </w:tcBorders>
            <w:shd w:val="clear" w:color="auto" w:fill="auto"/>
          </w:tcPr>
          <w:p w14:paraId="23436BB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3.2 (10/313)</w:t>
            </w:r>
          </w:p>
        </w:tc>
        <w:tc>
          <w:tcPr>
            <w:tcW w:w="894" w:type="pct"/>
            <w:tcBorders>
              <w:top w:val="nil"/>
              <w:bottom w:val="nil"/>
            </w:tcBorders>
            <w:shd w:val="clear" w:color="auto" w:fill="auto"/>
          </w:tcPr>
          <w:p w14:paraId="6C88A49F"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2.6 (8/313)</w:t>
            </w:r>
          </w:p>
        </w:tc>
      </w:tr>
      <w:tr w:rsidR="00ED3FC9" w:rsidRPr="00514591" w14:paraId="7ED41B70" w14:textId="77777777" w:rsidTr="00781FF9">
        <w:trPr>
          <w:trHeight w:val="498"/>
        </w:trPr>
        <w:tc>
          <w:tcPr>
            <w:cnfStyle w:val="001000000000" w:firstRow="0" w:lastRow="0" w:firstColumn="1" w:lastColumn="0" w:oddVBand="0" w:evenVBand="0" w:oddHBand="0" w:evenHBand="0" w:firstRowFirstColumn="0" w:firstRowLastColumn="0" w:lastRowFirstColumn="0" w:lastRowLastColumn="0"/>
            <w:tcW w:w="513" w:type="pct"/>
            <w:vMerge/>
            <w:tcBorders>
              <w:top w:val="nil"/>
              <w:bottom w:val="nil"/>
              <w:right w:val="none" w:sz="0" w:space="0" w:color="auto"/>
            </w:tcBorders>
            <w:shd w:val="clear" w:color="auto" w:fill="auto"/>
          </w:tcPr>
          <w:p w14:paraId="5FC62891"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il"/>
              <w:bottom w:val="nil"/>
            </w:tcBorders>
            <w:shd w:val="clear" w:color="auto" w:fill="auto"/>
          </w:tcPr>
          <w:p w14:paraId="500F2E9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tcBorders>
              <w:top w:val="nil"/>
              <w:bottom w:val="nil"/>
            </w:tcBorders>
            <w:shd w:val="clear" w:color="auto" w:fill="auto"/>
          </w:tcPr>
          <w:p w14:paraId="717A8674" w14:textId="396DB2EA" w:rsidR="005E6C1E" w:rsidRPr="00245ED7"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Postow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&lt;EndNote&gt;&lt;Cite&gt;&lt;Author&gt;Postow&lt;/Author&gt;&lt;Year&gt;2015&lt;/Year&gt;&lt;RecNum&gt;16&lt;/RecNum&gt;&lt;DisplayText&gt;(43)&lt;/DisplayText&gt;&lt;record&gt;&lt;rec-number&gt;16&lt;/rec-number&gt;&lt;foreign-keys&gt;&lt;key app="EN" db-id="dwepv2psq9dt9ne9epe55pvjraafffxx2rtr" timestamp="1611663830"&gt;16&lt;/key&gt;&lt;/foreign-keys&gt;&lt;ref-type name="Journal Article"&gt;17&lt;/ref-type&gt;&lt;contributors&gt;&lt;authors&gt;&lt;author&gt;Postow, Michael A&lt;/author&gt;&lt;author&gt;Chesney, Jason&lt;/author&gt;&lt;author&gt;Pavlick, Anna C&lt;/author&gt;&lt;author&gt;Robert, Caroline&lt;/author&gt;&lt;author&gt;Grossmann, Kenneth&lt;/author&gt;&lt;author&gt;McDermott, David&lt;/author&gt;&lt;author&gt;Linette, Gerald P&lt;/author&gt;&lt;author&gt;Meyer, Nicolas&lt;/author&gt;&lt;author&gt;Giguere, Jeffrey K&lt;/author&gt;&lt;author&gt;Agarwala, Sanjiv S&lt;/author&gt;&lt;/authors&gt;&lt;/contributors&gt;&lt;titles&gt;&lt;title&gt;Nivolumab and ipilimumab versus ipilimumab in untreated melanoma&lt;/title&gt;&lt;secondary-title&gt;New England Journal of Medicine&lt;/secondary-title&gt;&lt;/titles&gt;&lt;periodical&gt;&lt;full-title&gt;New England Journal of Medicine&lt;/full-title&gt;&lt;/periodical&gt;&lt;pages&gt;2006-2017&lt;/pages&gt;&lt;volume&gt;372&lt;/volume&gt;&lt;number&gt;21&lt;/number&gt;&lt;dates&gt;&lt;year&gt;2015&lt;/year&gt;&lt;/dates&gt;&lt;isbn&gt;0028-4793&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85</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2015</w:t>
            </w:r>
          </w:p>
        </w:tc>
        <w:tc>
          <w:tcPr>
            <w:tcW w:w="769" w:type="pct"/>
            <w:tcBorders>
              <w:top w:val="nil"/>
              <w:bottom w:val="nil"/>
            </w:tcBorders>
            <w:shd w:val="clear" w:color="auto" w:fill="auto"/>
          </w:tcPr>
          <w:p w14:paraId="0485142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il"/>
              <w:bottom w:val="nil"/>
            </w:tcBorders>
            <w:shd w:val="clear" w:color="auto" w:fill="auto"/>
          </w:tcPr>
          <w:p w14:paraId="00636B3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22.3 (21/94)</w:t>
            </w:r>
          </w:p>
        </w:tc>
        <w:tc>
          <w:tcPr>
            <w:tcW w:w="894" w:type="pct"/>
            <w:tcBorders>
              <w:top w:val="nil"/>
              <w:bottom w:val="nil"/>
            </w:tcBorders>
            <w:shd w:val="clear" w:color="auto" w:fill="auto"/>
          </w:tcPr>
          <w:p w14:paraId="0114322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10.6 (10/94)</w:t>
            </w:r>
          </w:p>
        </w:tc>
      </w:tr>
      <w:tr w:rsidR="00ED3FC9" w:rsidRPr="00514591" w14:paraId="37005498" w14:textId="77777777" w:rsidTr="00781FF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13" w:type="pct"/>
            <w:vMerge/>
            <w:tcBorders>
              <w:top w:val="nil"/>
              <w:bottom w:val="nil"/>
              <w:right w:val="none" w:sz="0" w:space="0" w:color="auto"/>
            </w:tcBorders>
            <w:shd w:val="clear" w:color="auto" w:fill="auto"/>
          </w:tcPr>
          <w:p w14:paraId="2A2DA524"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il"/>
              <w:bottom w:val="nil"/>
            </w:tcBorders>
            <w:shd w:val="clear" w:color="auto" w:fill="auto"/>
          </w:tcPr>
          <w:p w14:paraId="34252248"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il"/>
              <w:bottom w:val="nil"/>
            </w:tcBorders>
            <w:shd w:val="clear" w:color="auto" w:fill="auto"/>
          </w:tcPr>
          <w:p w14:paraId="0FA0F395" w14:textId="407587BC" w:rsidR="005E6C1E" w:rsidRPr="00245ED7"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Larkin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&lt;EndNote&gt;&lt;Cite&gt;&lt;Author&gt;Larkin&lt;/Author&gt;&lt;Year&gt;2015&lt;/Year&gt;&lt;RecNum&gt;17&lt;/RecNum&gt;&lt;DisplayText&gt;(44)&lt;/DisplayText&gt;&lt;record&gt;&lt;rec-number&gt;17&lt;/rec-number&gt;&lt;foreign-keys&gt;&lt;key app="EN" db-id="dwepv2psq9dt9ne9epe55pvjraafffxx2rtr" timestamp="1611663935"&gt;17&lt;/key&gt;&lt;/foreign-keys&gt;&lt;ref-type name="Journal Article"&gt;17&lt;/ref-type&gt;&lt;contributors&gt;&lt;authors&gt;&lt;author&gt;Larkin, James&lt;/author&gt;&lt;author&gt;Chiarion-Sileni, Vanna&lt;/author&gt;&lt;author&gt;Gonzalez, Rene&lt;/author&gt;&lt;author&gt;Grob, Jean Jacques&lt;/author&gt;&lt;author&gt;Cowey, C Lance&lt;/author&gt;&lt;author&gt;Lao, Christopher D&lt;/author&gt;&lt;author&gt;Schadendorf, Dirk&lt;/author&gt;&lt;author&gt;Dummer, Reinhard&lt;/author&gt;&lt;author&gt;Smylie, Michael&lt;/author&gt;&lt;author&gt;Rutkowski, Piotr&lt;/author&gt;&lt;/authors&gt;&lt;/contributors&gt;&lt;titles&gt;&lt;title&gt;Combined nivolumab and ipilimumab or monotherapy in untreated melanoma&lt;/title&gt;&lt;secondary-title&gt;New England journal of medicine&lt;/secondary-title&gt;&lt;/titles&gt;&lt;periodical&gt;&lt;full-title&gt;New England Journal of Medicine&lt;/full-title&gt;&lt;/periodical&gt;&lt;pages&gt;23-34&lt;/pages&gt;&lt;volume&gt;373&lt;/volume&gt;&lt;number&gt;1&lt;/number&gt;&lt;dates&gt;&lt;year&gt;2015&lt;/year&gt;&lt;/dates&gt;&lt;isbn&gt;0028-4793&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86</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245ED7">
              <w:rPr>
                <w:rFonts w:ascii="Book Antiqua" w:hAnsi="Book Antiqua"/>
                <w:color w:val="000000" w:themeColor="text1"/>
              </w:rPr>
              <w:t xml:space="preserve">, </w:t>
            </w:r>
            <w:r w:rsidRPr="00514591">
              <w:rPr>
                <w:rFonts w:ascii="Book Antiqua" w:hAnsi="Book Antiqua"/>
                <w:color w:val="000000" w:themeColor="text1"/>
              </w:rPr>
              <w:t>2015</w:t>
            </w:r>
          </w:p>
        </w:tc>
        <w:tc>
          <w:tcPr>
            <w:tcW w:w="769" w:type="pct"/>
            <w:tcBorders>
              <w:top w:val="nil"/>
              <w:bottom w:val="nil"/>
            </w:tcBorders>
            <w:shd w:val="clear" w:color="auto" w:fill="auto"/>
          </w:tcPr>
          <w:p w14:paraId="2CAD6349"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il"/>
              <w:bottom w:val="nil"/>
            </w:tcBorders>
            <w:shd w:val="clear" w:color="auto" w:fill="auto"/>
          </w:tcPr>
          <w:p w14:paraId="12C6BE4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17.6 (55/313)</w:t>
            </w:r>
          </w:p>
        </w:tc>
        <w:tc>
          <w:tcPr>
            <w:tcW w:w="894" w:type="pct"/>
            <w:tcBorders>
              <w:top w:val="nil"/>
              <w:bottom w:val="nil"/>
            </w:tcBorders>
            <w:shd w:val="clear" w:color="auto" w:fill="auto"/>
          </w:tcPr>
          <w:p w14:paraId="6D7EDD6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8.3 (26/313)</w:t>
            </w:r>
          </w:p>
        </w:tc>
      </w:tr>
      <w:tr w:rsidR="00ED3FC9" w:rsidRPr="00514591" w14:paraId="6DB99F1A" w14:textId="77777777" w:rsidTr="00781FF9">
        <w:trPr>
          <w:trHeight w:val="498"/>
        </w:trPr>
        <w:tc>
          <w:tcPr>
            <w:cnfStyle w:val="001000000000" w:firstRow="0" w:lastRow="0" w:firstColumn="1" w:lastColumn="0" w:oddVBand="0" w:evenVBand="0" w:oddHBand="0" w:evenHBand="0" w:firstRowFirstColumn="0" w:firstRowLastColumn="0" w:lastRowFirstColumn="0" w:lastRowLastColumn="0"/>
            <w:tcW w:w="513" w:type="pct"/>
            <w:vMerge/>
            <w:tcBorders>
              <w:top w:val="nil"/>
              <w:bottom w:val="single" w:sz="4" w:space="0" w:color="auto"/>
              <w:right w:val="none" w:sz="0" w:space="0" w:color="auto"/>
            </w:tcBorders>
            <w:shd w:val="clear" w:color="auto" w:fill="auto"/>
          </w:tcPr>
          <w:p w14:paraId="22BA0A16"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il"/>
              <w:bottom w:val="single" w:sz="4" w:space="0" w:color="auto"/>
            </w:tcBorders>
            <w:shd w:val="clear" w:color="auto" w:fill="auto"/>
          </w:tcPr>
          <w:p w14:paraId="5621B0A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tcBorders>
              <w:top w:val="nil"/>
              <w:bottom w:val="single" w:sz="4" w:space="0" w:color="auto"/>
            </w:tcBorders>
            <w:shd w:val="clear" w:color="auto" w:fill="auto"/>
          </w:tcPr>
          <w:p w14:paraId="6583D003" w14:textId="77777777" w:rsidR="005E6C1E" w:rsidRPr="00831680" w:rsidRDefault="00831680"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831680">
              <w:rPr>
                <w:rFonts w:ascii="Book Antiqua" w:hAnsi="Book Antiqua"/>
                <w:bCs/>
              </w:rPr>
              <w:t>Wolchok</w:t>
            </w:r>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245ED7">
              <w:rPr>
                <w:rFonts w:ascii="Book Antiqua" w:hAnsi="Book Antiqua"/>
                <w:color w:val="000000" w:themeColor="text1"/>
              </w:rPr>
              <w:t xml:space="preserve">, </w:t>
            </w:r>
            <w:r w:rsidR="005E6C1E" w:rsidRPr="00514591">
              <w:rPr>
                <w:rFonts w:ascii="Book Antiqua" w:hAnsi="Book Antiqua"/>
                <w:color w:val="000000" w:themeColor="text1"/>
              </w:rPr>
              <w:t>201</w:t>
            </w:r>
            <w:r>
              <w:rPr>
                <w:rFonts w:ascii="Book Antiqua" w:eastAsiaTheme="minorEastAsia" w:hAnsi="Book Antiqua" w:hint="eastAsia"/>
                <w:color w:val="000000" w:themeColor="text1"/>
                <w:lang w:eastAsia="zh-CN"/>
              </w:rPr>
              <w:t>0</w:t>
            </w:r>
          </w:p>
        </w:tc>
        <w:tc>
          <w:tcPr>
            <w:tcW w:w="769" w:type="pct"/>
            <w:tcBorders>
              <w:top w:val="nil"/>
              <w:bottom w:val="single" w:sz="4" w:space="0" w:color="auto"/>
            </w:tcBorders>
            <w:shd w:val="clear" w:color="auto" w:fill="auto"/>
          </w:tcPr>
          <w:p w14:paraId="0CCFE3E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il"/>
              <w:bottom w:val="single" w:sz="4" w:space="0" w:color="auto"/>
            </w:tcBorders>
            <w:shd w:val="clear" w:color="auto" w:fill="auto"/>
          </w:tcPr>
          <w:p w14:paraId="1E66BC1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20.8 (11/53)</w:t>
            </w:r>
          </w:p>
        </w:tc>
        <w:tc>
          <w:tcPr>
            <w:tcW w:w="894" w:type="pct"/>
            <w:tcBorders>
              <w:top w:val="nil"/>
              <w:bottom w:val="single" w:sz="4" w:space="0" w:color="auto"/>
            </w:tcBorders>
            <w:shd w:val="clear" w:color="auto" w:fill="auto"/>
          </w:tcPr>
          <w:p w14:paraId="664B319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11.3 (6/53)</w:t>
            </w:r>
          </w:p>
        </w:tc>
      </w:tr>
    </w:tbl>
    <w:p w14:paraId="0519AC53" w14:textId="77777777" w:rsidR="005E6C1E" w:rsidRPr="00514591" w:rsidRDefault="005E6C1E" w:rsidP="00514591">
      <w:pPr>
        <w:spacing w:line="360" w:lineRule="auto"/>
        <w:jc w:val="both"/>
        <w:rPr>
          <w:rFonts w:ascii="Book Antiqua" w:hAnsi="Book Antiqua"/>
          <w:color w:val="000000" w:themeColor="text1"/>
          <w:lang w:eastAsia="zh-CN"/>
        </w:rPr>
      </w:pPr>
      <w:r w:rsidRPr="00514591">
        <w:rPr>
          <w:rFonts w:ascii="Book Antiqua" w:hAnsi="Book Antiqua"/>
          <w:color w:val="000000" w:themeColor="text1"/>
        </w:rPr>
        <w:t xml:space="preserve">Grading of severity is according to </w:t>
      </w:r>
      <w:r w:rsidR="00DB34D6" w:rsidRPr="00514591">
        <w:rPr>
          <w:rFonts w:ascii="Book Antiqua" w:eastAsia="Book Antiqua" w:hAnsi="Book Antiqua" w:cs="Book Antiqua"/>
          <w:color w:val="000000"/>
        </w:rPr>
        <w:t>common terminology criteria for adverse events</w:t>
      </w:r>
      <w:r w:rsidR="00DB34D6">
        <w:rPr>
          <w:rFonts w:ascii="Book Antiqua" w:hAnsi="Book Antiqua" w:cs="Book Antiqua" w:hint="eastAsia"/>
          <w:color w:val="000000"/>
          <w:lang w:eastAsia="zh-CN"/>
        </w:rPr>
        <w:t>.</w:t>
      </w:r>
      <w:r w:rsidR="00DB34D6">
        <w:rPr>
          <w:rFonts w:ascii="Book Antiqua" w:hAnsi="Book Antiqua" w:hint="eastAsia"/>
          <w:color w:val="000000" w:themeColor="text1"/>
          <w:lang w:eastAsia="zh-CN"/>
        </w:rPr>
        <w:t xml:space="preserve"> </w:t>
      </w:r>
      <w:r w:rsidRPr="00514591">
        <w:rPr>
          <w:rFonts w:ascii="Book Antiqua" w:hAnsi="Book Antiqua"/>
          <w:color w:val="000000" w:themeColor="text1"/>
        </w:rPr>
        <w:t>CTLA-4</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C</w:t>
      </w:r>
      <w:r w:rsidRPr="00514591">
        <w:rPr>
          <w:rFonts w:ascii="Book Antiqua" w:hAnsi="Book Antiqua"/>
          <w:color w:val="000000" w:themeColor="text1"/>
        </w:rPr>
        <w:t>ytotoxic T-lymphocyte-associated protein 4; HCC</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H</w:t>
      </w:r>
      <w:r w:rsidRPr="00514591">
        <w:rPr>
          <w:rFonts w:ascii="Book Antiqua" w:hAnsi="Book Antiqua"/>
          <w:color w:val="000000" w:themeColor="text1"/>
        </w:rPr>
        <w:t>epatocellular carcinoma; no. of</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N</w:t>
      </w:r>
      <w:r w:rsidRPr="00514591">
        <w:rPr>
          <w:rFonts w:ascii="Book Antiqua" w:hAnsi="Book Antiqua"/>
          <w:color w:val="000000" w:themeColor="text1"/>
        </w:rPr>
        <w:t>umber of; NSCLC</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N</w:t>
      </w:r>
      <w:r w:rsidRPr="00514591">
        <w:rPr>
          <w:rFonts w:ascii="Book Antiqua" w:hAnsi="Book Antiqua"/>
          <w:color w:val="000000" w:themeColor="text1"/>
        </w:rPr>
        <w:t>on-small cell lung cancer; PD-1</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P</w:t>
      </w:r>
      <w:r w:rsidRPr="00514591">
        <w:rPr>
          <w:rFonts w:ascii="Book Antiqua" w:hAnsi="Book Antiqua"/>
          <w:color w:val="000000" w:themeColor="text1"/>
        </w:rPr>
        <w:t xml:space="preserve">rogrammed cell death </w:t>
      </w:r>
      <w:r w:rsidRPr="00514591">
        <w:rPr>
          <w:rFonts w:ascii="Book Antiqua" w:hAnsi="Book Antiqua"/>
          <w:color w:val="000000" w:themeColor="text1"/>
        </w:rPr>
        <w:lastRenderedPageBreak/>
        <w:t>protein 1; PD-L1</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P</w:t>
      </w:r>
      <w:r w:rsidRPr="00514591">
        <w:rPr>
          <w:rFonts w:ascii="Book Antiqua" w:hAnsi="Book Antiqua"/>
          <w:color w:val="000000" w:themeColor="text1"/>
        </w:rPr>
        <w:t>rogrammed death-ligand 1; VEGF</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V</w:t>
      </w:r>
      <w:r w:rsidRPr="00514591">
        <w:rPr>
          <w:rFonts w:ascii="Book Antiqua" w:hAnsi="Book Antiqua"/>
          <w:color w:val="000000" w:themeColor="text1"/>
        </w:rPr>
        <w:t>ascular endothelial growth factor</w:t>
      </w:r>
      <w:r w:rsidR="00DB34D6">
        <w:rPr>
          <w:rFonts w:ascii="Book Antiqua" w:hAnsi="Book Antiqua" w:hint="eastAsia"/>
          <w:color w:val="000000" w:themeColor="text1"/>
          <w:lang w:eastAsia="zh-CN"/>
        </w:rPr>
        <w:t>.</w:t>
      </w:r>
    </w:p>
    <w:p w14:paraId="44F493A4" w14:textId="77777777" w:rsidR="005E6C1E" w:rsidRPr="00514591" w:rsidRDefault="005E6C1E" w:rsidP="00514591">
      <w:pPr>
        <w:spacing w:line="360" w:lineRule="auto"/>
        <w:jc w:val="both"/>
        <w:rPr>
          <w:rFonts w:ascii="Book Antiqua" w:hAnsi="Book Antiqua"/>
          <w:b/>
          <w:lang w:eastAsia="zh-CN"/>
        </w:rPr>
      </w:pPr>
      <w:r w:rsidRPr="00514591">
        <w:rPr>
          <w:rFonts w:ascii="Book Antiqua" w:hAnsi="Book Antiqua"/>
          <w:lang w:eastAsia="zh-CN"/>
        </w:rPr>
        <w:br w:type="page"/>
      </w:r>
      <w:r w:rsidRPr="00514591">
        <w:rPr>
          <w:rFonts w:ascii="Book Antiqua" w:hAnsi="Book Antiqua"/>
          <w:b/>
        </w:rPr>
        <w:lastRenderedPageBreak/>
        <w:t>Table 2 Differential diagnosis and suggested investigations</w:t>
      </w:r>
    </w:p>
    <w:tbl>
      <w:tblPr>
        <w:tblStyle w:val="ListTable3-Accent11"/>
        <w:tblW w:w="5477" w:type="pct"/>
        <w:tblInd w:w="-176"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277"/>
        <w:gridCol w:w="4769"/>
        <w:gridCol w:w="4444"/>
      </w:tblGrid>
      <w:tr w:rsidR="000E0290" w:rsidRPr="00514591" w14:paraId="1060ACF9" w14:textId="77777777" w:rsidTr="00781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 w:type="pct"/>
            <w:tcBorders>
              <w:top w:val="single" w:sz="4" w:space="0" w:color="auto"/>
              <w:bottom w:val="single" w:sz="4" w:space="0" w:color="auto"/>
              <w:right w:val="none" w:sz="0" w:space="0" w:color="auto"/>
            </w:tcBorders>
            <w:shd w:val="clear" w:color="auto" w:fill="auto"/>
          </w:tcPr>
          <w:p w14:paraId="75D0C9D9" w14:textId="5903622A" w:rsidR="005E6C1E" w:rsidRPr="00781FF9" w:rsidRDefault="005E6C1E" w:rsidP="00514591">
            <w:pPr>
              <w:spacing w:line="360" w:lineRule="auto"/>
              <w:jc w:val="both"/>
              <w:rPr>
                <w:rFonts w:ascii="Book Antiqua" w:eastAsiaTheme="minorEastAsia" w:hAnsi="Book Antiqua"/>
                <w:color w:val="000000" w:themeColor="text1"/>
                <w:lang w:eastAsia="zh-CN"/>
              </w:rPr>
            </w:pPr>
            <w:r w:rsidRPr="00514591">
              <w:rPr>
                <w:rFonts w:ascii="Book Antiqua" w:hAnsi="Book Antiqua"/>
                <w:bCs w:val="0"/>
                <w:color w:val="000000" w:themeColor="text1"/>
              </w:rPr>
              <w:t>System</w:t>
            </w:r>
          </w:p>
        </w:tc>
        <w:tc>
          <w:tcPr>
            <w:tcW w:w="2273" w:type="pct"/>
            <w:tcBorders>
              <w:top w:val="single" w:sz="4" w:space="0" w:color="auto"/>
              <w:bottom w:val="single" w:sz="4" w:space="0" w:color="auto"/>
            </w:tcBorders>
            <w:shd w:val="clear" w:color="auto" w:fill="auto"/>
          </w:tcPr>
          <w:p w14:paraId="65DC90C7" w14:textId="55D16825"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Differential </w:t>
            </w:r>
            <w:r w:rsidR="006204F2">
              <w:rPr>
                <w:rFonts w:ascii="Book Antiqua" w:hAnsi="Book Antiqua"/>
                <w:color w:val="000000" w:themeColor="text1"/>
              </w:rPr>
              <w:t>d</w:t>
            </w:r>
            <w:r w:rsidRPr="00514591">
              <w:rPr>
                <w:rFonts w:ascii="Book Antiqua" w:hAnsi="Book Antiqua"/>
                <w:color w:val="000000" w:themeColor="text1"/>
              </w:rPr>
              <w:t>iagnosis</w:t>
            </w:r>
          </w:p>
        </w:tc>
        <w:tc>
          <w:tcPr>
            <w:tcW w:w="2119" w:type="pct"/>
            <w:tcBorders>
              <w:top w:val="single" w:sz="4" w:space="0" w:color="auto"/>
              <w:bottom w:val="single" w:sz="4" w:space="0" w:color="auto"/>
            </w:tcBorders>
            <w:shd w:val="clear" w:color="auto" w:fill="auto"/>
          </w:tcPr>
          <w:p w14:paraId="59AB0160"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Investigations</w:t>
            </w:r>
          </w:p>
        </w:tc>
      </w:tr>
      <w:tr w:rsidR="000E0290" w:rsidRPr="00514591" w14:paraId="3EE2A402" w14:textId="77777777" w:rsidTr="0078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auto"/>
              <w:bottom w:val="none" w:sz="0" w:space="0" w:color="auto"/>
              <w:right w:val="none" w:sz="0" w:space="0" w:color="auto"/>
            </w:tcBorders>
            <w:shd w:val="clear" w:color="auto" w:fill="auto"/>
          </w:tcPr>
          <w:p w14:paraId="67D891EA"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Drug-induced liver injury</w:t>
            </w:r>
          </w:p>
        </w:tc>
        <w:tc>
          <w:tcPr>
            <w:tcW w:w="2273" w:type="pct"/>
            <w:tcBorders>
              <w:top w:val="single" w:sz="4" w:space="0" w:color="auto"/>
              <w:bottom w:val="none" w:sz="0" w:space="0" w:color="auto"/>
            </w:tcBorders>
            <w:shd w:val="clear" w:color="auto" w:fill="auto"/>
          </w:tcPr>
          <w:p w14:paraId="7A62A674" w14:textId="77777777" w:rsidR="005E6C1E" w:rsidRPr="00864204" w:rsidRDefault="00864204"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Other co-administered anti-cancer drugs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Alcohol related liver disease</w:t>
            </w:r>
            <w:r>
              <w:rPr>
                <w:rFonts w:ascii="Book Antiqua" w:eastAsiaTheme="minorEastAsia" w:hAnsi="Book Antiqua" w:hint="eastAsia"/>
                <w:color w:val="000000" w:themeColor="text1"/>
                <w:lang w:eastAsia="zh-CN"/>
              </w:rPr>
              <w:t xml:space="preserve">; and (3) </w:t>
            </w:r>
            <w:r w:rsidR="005E6C1E" w:rsidRPr="00514591">
              <w:rPr>
                <w:rFonts w:ascii="Book Antiqua" w:hAnsi="Book Antiqua"/>
                <w:color w:val="000000" w:themeColor="text1"/>
              </w:rPr>
              <w:t>Acetaminophen toxicity</w:t>
            </w:r>
          </w:p>
        </w:tc>
        <w:tc>
          <w:tcPr>
            <w:tcW w:w="2119" w:type="pct"/>
            <w:tcBorders>
              <w:top w:val="single" w:sz="4" w:space="0" w:color="auto"/>
              <w:bottom w:val="none" w:sz="0" w:space="0" w:color="auto"/>
            </w:tcBorders>
            <w:shd w:val="clear" w:color="auto" w:fill="auto"/>
          </w:tcPr>
          <w:p w14:paraId="3598B849" w14:textId="77777777" w:rsidR="005E6C1E" w:rsidRPr="00864204"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Medication history</w:t>
            </w:r>
          </w:p>
        </w:tc>
      </w:tr>
      <w:tr w:rsidR="000E0290" w:rsidRPr="00514591" w14:paraId="52006213"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17BAB240" w14:textId="5D202F93" w:rsidR="005E6C1E" w:rsidRPr="00245ED7" w:rsidRDefault="005E6C1E" w:rsidP="00514591">
            <w:pPr>
              <w:spacing w:line="360" w:lineRule="auto"/>
              <w:jc w:val="both"/>
              <w:rPr>
                <w:rFonts w:ascii="Book Antiqua" w:eastAsiaTheme="minorEastAsia" w:hAnsi="Book Antiqua"/>
                <w:b w:val="0"/>
                <w:bCs w:val="0"/>
                <w:color w:val="000000" w:themeColor="text1"/>
                <w:lang w:eastAsia="zh-CN"/>
              </w:rPr>
            </w:pPr>
            <w:r w:rsidRPr="00514591">
              <w:rPr>
                <w:rFonts w:ascii="Book Antiqua" w:hAnsi="Book Antiqua"/>
                <w:b w:val="0"/>
                <w:bCs w:val="0"/>
                <w:color w:val="000000" w:themeColor="text1"/>
              </w:rPr>
              <w:t>Tumor-related</w:t>
            </w:r>
          </w:p>
        </w:tc>
        <w:tc>
          <w:tcPr>
            <w:tcW w:w="2273" w:type="pct"/>
            <w:shd w:val="clear" w:color="auto" w:fill="auto"/>
          </w:tcPr>
          <w:p w14:paraId="70550CB3" w14:textId="77777777" w:rsidR="005E6C1E" w:rsidRPr="00A668B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Metastatic disease</w:t>
            </w:r>
          </w:p>
        </w:tc>
        <w:tc>
          <w:tcPr>
            <w:tcW w:w="2119" w:type="pct"/>
            <w:shd w:val="clear" w:color="auto" w:fill="auto"/>
          </w:tcPr>
          <w:p w14:paraId="09D52BD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Abdominal imaging with ultrasound, CT or MRCP</w:t>
            </w:r>
          </w:p>
        </w:tc>
      </w:tr>
      <w:tr w:rsidR="000E0290" w:rsidRPr="00514591" w14:paraId="6ECCCE71"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one" w:sz="0" w:space="0" w:color="auto"/>
              <w:right w:val="none" w:sz="0" w:space="0" w:color="auto"/>
            </w:tcBorders>
            <w:shd w:val="clear" w:color="auto" w:fill="auto"/>
          </w:tcPr>
          <w:p w14:paraId="73BF53DB"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Infectious</w:t>
            </w:r>
          </w:p>
        </w:tc>
        <w:tc>
          <w:tcPr>
            <w:tcW w:w="2273" w:type="pct"/>
            <w:tcBorders>
              <w:top w:val="none" w:sz="0" w:space="0" w:color="auto"/>
              <w:bottom w:val="none" w:sz="0" w:space="0" w:color="auto"/>
            </w:tcBorders>
            <w:shd w:val="clear" w:color="auto" w:fill="auto"/>
          </w:tcPr>
          <w:p w14:paraId="0E00FA6A" w14:textId="77777777" w:rsidR="005E6C1E" w:rsidRPr="00484B99" w:rsidRDefault="00484B9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Sepsis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Acute HAV infection</w:t>
            </w:r>
            <w:r>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Acute HBV or flare of chronic HBV</w:t>
            </w:r>
            <w:r>
              <w:rPr>
                <w:rFonts w:ascii="Book Antiqua" w:eastAsiaTheme="minorEastAsia" w:hAnsi="Book Antiqua" w:hint="eastAsia"/>
                <w:color w:val="000000" w:themeColor="text1"/>
                <w:lang w:eastAsia="zh-CN"/>
              </w:rPr>
              <w:t xml:space="preserve">; (4) </w:t>
            </w:r>
            <w:r w:rsidR="005E6C1E" w:rsidRPr="00514591">
              <w:rPr>
                <w:rFonts w:ascii="Book Antiqua" w:hAnsi="Book Antiqua"/>
                <w:color w:val="000000" w:themeColor="text1"/>
              </w:rPr>
              <w:t>Chronic HCV</w:t>
            </w:r>
            <w:r>
              <w:rPr>
                <w:rFonts w:ascii="Book Antiqua" w:eastAsiaTheme="minorEastAsia" w:hAnsi="Book Antiqua" w:hint="eastAsia"/>
                <w:color w:val="000000" w:themeColor="text1"/>
                <w:lang w:eastAsia="zh-CN"/>
              </w:rPr>
              <w:t xml:space="preserve">; (5) </w:t>
            </w:r>
            <w:r w:rsidR="005E6C1E" w:rsidRPr="00514591">
              <w:rPr>
                <w:rFonts w:ascii="Book Antiqua" w:hAnsi="Book Antiqua"/>
                <w:color w:val="000000" w:themeColor="text1"/>
              </w:rPr>
              <w:t>Acute HEV</w:t>
            </w:r>
            <w:r>
              <w:rPr>
                <w:rFonts w:ascii="Book Antiqua" w:eastAsiaTheme="minorEastAsia" w:hAnsi="Book Antiqua" w:hint="eastAsia"/>
                <w:color w:val="000000" w:themeColor="text1"/>
                <w:lang w:eastAsia="zh-CN"/>
              </w:rPr>
              <w:t xml:space="preserve">; (6) </w:t>
            </w:r>
            <w:r w:rsidR="005E6C1E" w:rsidRPr="00514591">
              <w:rPr>
                <w:rFonts w:ascii="Book Antiqua" w:hAnsi="Book Antiqua"/>
                <w:color w:val="000000" w:themeColor="text1"/>
              </w:rPr>
              <w:t>Acute CMV or reactivation</w:t>
            </w:r>
            <w:r>
              <w:rPr>
                <w:rFonts w:ascii="Book Antiqua" w:eastAsiaTheme="minorEastAsia" w:hAnsi="Book Antiqua" w:hint="eastAsia"/>
                <w:color w:val="000000" w:themeColor="text1"/>
                <w:lang w:eastAsia="zh-CN"/>
              </w:rPr>
              <w:t xml:space="preserve">; and (7) </w:t>
            </w:r>
            <w:r w:rsidR="005E6C1E" w:rsidRPr="00514591">
              <w:rPr>
                <w:rFonts w:ascii="Book Antiqua" w:hAnsi="Book Antiqua"/>
                <w:color w:val="000000" w:themeColor="text1"/>
              </w:rPr>
              <w:t>Acute EBV</w:t>
            </w:r>
          </w:p>
        </w:tc>
        <w:tc>
          <w:tcPr>
            <w:tcW w:w="2119" w:type="pct"/>
            <w:tcBorders>
              <w:top w:val="none" w:sz="0" w:space="0" w:color="auto"/>
              <w:bottom w:val="none" w:sz="0" w:space="0" w:color="auto"/>
            </w:tcBorders>
            <w:shd w:val="clear" w:color="auto" w:fill="auto"/>
          </w:tcPr>
          <w:p w14:paraId="56935FBE" w14:textId="77777777" w:rsidR="005E6C1E" w:rsidRPr="00514591" w:rsidRDefault="008219EF" w:rsidP="00252D0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Septic screen as appropriate</w:t>
            </w:r>
            <w:r w:rsidR="00556444">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Anti-HAV (IgM)</w:t>
            </w:r>
            <w:r w:rsidR="00556444">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 xml:space="preserve">HBsAg, Anti-HBc IgG, IgM, </w:t>
            </w:r>
            <w:r w:rsidR="00252D08">
              <w:rPr>
                <w:rFonts w:ascii="Book Antiqua" w:hAnsi="Book Antiqua"/>
                <w:color w:val="000000" w:themeColor="text1"/>
              </w:rPr>
              <w:t>±</w:t>
            </w:r>
            <w:r w:rsidR="005E6C1E" w:rsidRPr="00514591">
              <w:rPr>
                <w:rFonts w:ascii="Book Antiqua" w:hAnsi="Book Antiqua"/>
                <w:color w:val="000000" w:themeColor="text1"/>
              </w:rPr>
              <w:t xml:space="preserve"> HBV DNA</w:t>
            </w:r>
            <w:r w:rsidR="00556444">
              <w:rPr>
                <w:rFonts w:ascii="Book Antiqua" w:eastAsiaTheme="minorEastAsia" w:hAnsi="Book Antiqua" w:hint="eastAsia"/>
                <w:color w:val="000000" w:themeColor="text1"/>
                <w:lang w:eastAsia="zh-CN"/>
              </w:rPr>
              <w:t xml:space="preserve">; (4) </w:t>
            </w:r>
            <w:r w:rsidR="005E6C1E" w:rsidRPr="00514591">
              <w:rPr>
                <w:rFonts w:ascii="Book Antiqua" w:hAnsi="Book Antiqua"/>
                <w:color w:val="000000" w:themeColor="text1"/>
              </w:rPr>
              <w:t xml:space="preserve">Anti-HCV </w:t>
            </w:r>
            <w:r w:rsidR="00252D08">
              <w:rPr>
                <w:rFonts w:ascii="Book Antiqua" w:hAnsi="Book Antiqua"/>
                <w:color w:val="000000" w:themeColor="text1"/>
              </w:rPr>
              <w:t>±</w:t>
            </w:r>
            <w:r w:rsidR="005E6C1E" w:rsidRPr="00514591">
              <w:rPr>
                <w:rFonts w:ascii="Book Antiqua" w:hAnsi="Book Antiqua"/>
                <w:color w:val="000000" w:themeColor="text1"/>
              </w:rPr>
              <w:t xml:space="preserve"> HCV RNA</w:t>
            </w:r>
            <w:r w:rsidR="00556444">
              <w:rPr>
                <w:rFonts w:ascii="Book Antiqua" w:eastAsiaTheme="minorEastAsia" w:hAnsi="Book Antiqua" w:hint="eastAsia"/>
                <w:color w:val="000000" w:themeColor="text1"/>
                <w:lang w:eastAsia="zh-CN"/>
              </w:rPr>
              <w:t xml:space="preserve">; (5) </w:t>
            </w:r>
            <w:r w:rsidR="005E6C1E" w:rsidRPr="00514591">
              <w:rPr>
                <w:rFonts w:ascii="Book Antiqua" w:hAnsi="Book Antiqua"/>
                <w:color w:val="000000" w:themeColor="text1"/>
              </w:rPr>
              <w:t>Anti-HEV (IgM)</w:t>
            </w:r>
            <w:r w:rsidR="00556444">
              <w:rPr>
                <w:rFonts w:ascii="Book Antiqua" w:eastAsiaTheme="minorEastAsia" w:hAnsi="Book Antiqua" w:hint="eastAsia"/>
                <w:color w:val="000000" w:themeColor="text1"/>
                <w:lang w:eastAsia="zh-CN"/>
              </w:rPr>
              <w:t xml:space="preserve">; (6) </w:t>
            </w:r>
            <w:r w:rsidR="005E6C1E" w:rsidRPr="00514591">
              <w:rPr>
                <w:rFonts w:ascii="Book Antiqua" w:hAnsi="Book Antiqua"/>
                <w:color w:val="000000" w:themeColor="text1"/>
              </w:rPr>
              <w:t xml:space="preserve">CMV IgM and IgG </w:t>
            </w:r>
            <w:r w:rsidR="00252D08">
              <w:rPr>
                <w:rFonts w:ascii="Book Antiqua" w:hAnsi="Book Antiqua"/>
                <w:color w:val="000000" w:themeColor="text1"/>
              </w:rPr>
              <w:t>±</w:t>
            </w:r>
            <w:r w:rsidR="005E6C1E" w:rsidRPr="00514591">
              <w:rPr>
                <w:rFonts w:ascii="Book Antiqua" w:hAnsi="Book Antiqua"/>
                <w:color w:val="000000" w:themeColor="text1"/>
              </w:rPr>
              <w:t xml:space="preserve"> CMV DNA</w:t>
            </w:r>
            <w:r w:rsidR="00556444">
              <w:rPr>
                <w:rFonts w:ascii="Book Antiqua" w:eastAsiaTheme="minorEastAsia" w:hAnsi="Book Antiqua" w:hint="eastAsia"/>
                <w:color w:val="000000" w:themeColor="text1"/>
                <w:lang w:eastAsia="zh-CN"/>
              </w:rPr>
              <w:t>; and (7)</w:t>
            </w:r>
            <w:r w:rsidR="0094096D">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EBV IgM and IgG</w:t>
            </w:r>
          </w:p>
        </w:tc>
      </w:tr>
      <w:tr w:rsidR="000E0290" w:rsidRPr="00514591" w14:paraId="3FCDF37C"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4218BDC3"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Biliary disease</w:t>
            </w:r>
          </w:p>
        </w:tc>
        <w:tc>
          <w:tcPr>
            <w:tcW w:w="2273" w:type="pct"/>
            <w:shd w:val="clear" w:color="auto" w:fill="auto"/>
          </w:tcPr>
          <w:p w14:paraId="4A34AD4B" w14:textId="77777777" w:rsidR="005E6C1E" w:rsidRPr="00514591" w:rsidRDefault="00664DAD" w:rsidP="00664DA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Cholecystitis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Cholangitis</w:t>
            </w:r>
            <w:r>
              <w:rPr>
                <w:rFonts w:ascii="Book Antiqua" w:eastAsiaTheme="minorEastAsia" w:hAnsi="Book Antiqua" w:hint="eastAsia"/>
                <w:color w:val="000000" w:themeColor="text1"/>
                <w:lang w:eastAsia="zh-CN"/>
              </w:rPr>
              <w:t xml:space="preserve">; and (3) </w:t>
            </w:r>
            <w:r w:rsidR="005E6C1E" w:rsidRPr="00514591">
              <w:rPr>
                <w:rFonts w:ascii="Book Antiqua" w:hAnsi="Book Antiqua"/>
                <w:color w:val="000000" w:themeColor="text1"/>
              </w:rPr>
              <w:t xml:space="preserve">Pancreatitis </w:t>
            </w:r>
          </w:p>
        </w:tc>
        <w:tc>
          <w:tcPr>
            <w:tcW w:w="2119" w:type="pct"/>
            <w:shd w:val="clear" w:color="auto" w:fill="auto"/>
          </w:tcPr>
          <w:p w14:paraId="61E8ECB6" w14:textId="77777777" w:rsidR="005E6C1E" w:rsidRPr="00514591" w:rsidRDefault="00664DAD" w:rsidP="00664DA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Abdominal imaging</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Serum lipase</w:t>
            </w:r>
          </w:p>
        </w:tc>
      </w:tr>
      <w:tr w:rsidR="000E0290" w:rsidRPr="00514591" w14:paraId="1D4C9E96"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one" w:sz="0" w:space="0" w:color="auto"/>
              <w:right w:val="none" w:sz="0" w:space="0" w:color="auto"/>
            </w:tcBorders>
            <w:shd w:val="clear" w:color="auto" w:fill="auto"/>
          </w:tcPr>
          <w:p w14:paraId="5B02AF11"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Autoimmune</w:t>
            </w:r>
          </w:p>
        </w:tc>
        <w:tc>
          <w:tcPr>
            <w:tcW w:w="2273" w:type="pct"/>
            <w:tcBorders>
              <w:top w:val="none" w:sz="0" w:space="0" w:color="auto"/>
              <w:bottom w:val="none" w:sz="0" w:space="0" w:color="auto"/>
            </w:tcBorders>
            <w:shd w:val="clear" w:color="auto" w:fill="auto"/>
          </w:tcPr>
          <w:p w14:paraId="110302E9" w14:textId="77777777" w:rsidR="005E6C1E" w:rsidRPr="000E0290" w:rsidRDefault="005E6C1E" w:rsidP="000E029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Autoimmune hepatitis</w:t>
            </w:r>
            <w:r w:rsidR="000E0290" w:rsidRPr="000E0290">
              <w:rPr>
                <w:rFonts w:ascii="Book Antiqua" w:eastAsiaTheme="minorEastAsia" w:hAnsi="Book Antiqua" w:hint="eastAsia"/>
                <w:color w:val="000000" w:themeColor="text1"/>
                <w:vertAlign w:val="superscript"/>
                <w:lang w:eastAsia="zh-CN"/>
              </w:rPr>
              <w:t>1</w:t>
            </w:r>
          </w:p>
        </w:tc>
        <w:tc>
          <w:tcPr>
            <w:tcW w:w="2119" w:type="pct"/>
            <w:tcBorders>
              <w:top w:val="none" w:sz="0" w:space="0" w:color="auto"/>
              <w:bottom w:val="none" w:sz="0" w:space="0" w:color="auto"/>
            </w:tcBorders>
            <w:shd w:val="clear" w:color="auto" w:fill="auto"/>
          </w:tcPr>
          <w:p w14:paraId="3B934F0E"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ANA, Anti-SMA, Anti-LKM1, serum IgG levels</w:t>
            </w:r>
          </w:p>
        </w:tc>
      </w:tr>
      <w:tr w:rsidR="000E0290" w:rsidRPr="00514591" w14:paraId="4537AE06"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1F6C9372"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Musculoskeletal</w:t>
            </w:r>
          </w:p>
        </w:tc>
        <w:tc>
          <w:tcPr>
            <w:tcW w:w="2273" w:type="pct"/>
            <w:shd w:val="clear" w:color="auto" w:fill="auto"/>
          </w:tcPr>
          <w:p w14:paraId="236143AC" w14:textId="77777777" w:rsidR="005E6C1E" w:rsidRPr="000E0290" w:rsidRDefault="000E0290" w:rsidP="000E02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Myositis (potentially an irAEs)</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Rhabdomyolysis</w:t>
            </w:r>
          </w:p>
        </w:tc>
        <w:tc>
          <w:tcPr>
            <w:tcW w:w="2119" w:type="pct"/>
            <w:shd w:val="clear" w:color="auto" w:fill="auto"/>
          </w:tcPr>
          <w:p w14:paraId="656DED5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Serum CK</w:t>
            </w:r>
          </w:p>
        </w:tc>
      </w:tr>
      <w:tr w:rsidR="000E0290" w:rsidRPr="00514591" w14:paraId="16141E4A" w14:textId="77777777" w:rsidTr="0078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il"/>
              <w:right w:val="none" w:sz="0" w:space="0" w:color="auto"/>
            </w:tcBorders>
            <w:shd w:val="clear" w:color="auto" w:fill="auto"/>
          </w:tcPr>
          <w:p w14:paraId="041C0096"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Metabolic</w:t>
            </w:r>
          </w:p>
        </w:tc>
        <w:tc>
          <w:tcPr>
            <w:tcW w:w="2273" w:type="pct"/>
            <w:tcBorders>
              <w:top w:val="none" w:sz="0" w:space="0" w:color="auto"/>
              <w:bottom w:val="nil"/>
            </w:tcBorders>
            <w:shd w:val="clear" w:color="auto" w:fill="auto"/>
          </w:tcPr>
          <w:p w14:paraId="414F3D4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Underlying NASH</w:t>
            </w:r>
          </w:p>
        </w:tc>
        <w:tc>
          <w:tcPr>
            <w:tcW w:w="2119" w:type="pct"/>
            <w:tcBorders>
              <w:top w:val="none" w:sz="0" w:space="0" w:color="auto"/>
              <w:bottom w:val="nil"/>
            </w:tcBorders>
            <w:shd w:val="clear" w:color="auto" w:fill="auto"/>
          </w:tcPr>
          <w:p w14:paraId="17EDBA63" w14:textId="77777777" w:rsidR="005E6C1E" w:rsidRPr="00514591" w:rsidRDefault="000E0290" w:rsidP="000E029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Metabolic risk factors</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Abdominal imaging for hepatic steatosis</w:t>
            </w:r>
          </w:p>
        </w:tc>
      </w:tr>
      <w:tr w:rsidR="000E0290" w:rsidRPr="00514591" w14:paraId="784924F8" w14:textId="77777777" w:rsidTr="00781FF9">
        <w:tc>
          <w:tcPr>
            <w:cnfStyle w:val="001000000000" w:firstRow="0" w:lastRow="0" w:firstColumn="1" w:lastColumn="0" w:oddVBand="0" w:evenVBand="0" w:oddHBand="0" w:evenHBand="0" w:firstRowFirstColumn="0" w:firstRowLastColumn="0" w:lastRowFirstColumn="0" w:lastRowLastColumn="0"/>
            <w:tcW w:w="609" w:type="pct"/>
            <w:tcBorders>
              <w:top w:val="nil"/>
              <w:bottom w:val="single" w:sz="4" w:space="0" w:color="auto"/>
              <w:right w:val="none" w:sz="0" w:space="0" w:color="auto"/>
            </w:tcBorders>
            <w:shd w:val="clear" w:color="auto" w:fill="auto"/>
          </w:tcPr>
          <w:p w14:paraId="1CDACAD0"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Vascular</w:t>
            </w:r>
          </w:p>
        </w:tc>
        <w:tc>
          <w:tcPr>
            <w:tcW w:w="2273" w:type="pct"/>
            <w:tcBorders>
              <w:top w:val="nil"/>
              <w:bottom w:val="single" w:sz="4" w:space="0" w:color="auto"/>
            </w:tcBorders>
            <w:shd w:val="clear" w:color="auto" w:fill="auto"/>
          </w:tcPr>
          <w:p w14:paraId="10A33D72" w14:textId="77777777" w:rsidR="005E6C1E" w:rsidRPr="00514591" w:rsidRDefault="000E0290" w:rsidP="000E02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Portal-vein/hepatic vein thrombosis</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Ischemic hepatitis</w:t>
            </w:r>
          </w:p>
        </w:tc>
        <w:tc>
          <w:tcPr>
            <w:tcW w:w="2119" w:type="pct"/>
            <w:tcBorders>
              <w:top w:val="nil"/>
              <w:bottom w:val="single" w:sz="4" w:space="0" w:color="auto"/>
            </w:tcBorders>
            <w:shd w:val="clear" w:color="auto" w:fill="auto"/>
          </w:tcPr>
          <w:p w14:paraId="6178F483" w14:textId="36CDFC7C" w:rsidR="005E6C1E" w:rsidRPr="00245ED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Abdominal imaging and clinical history</w:t>
            </w:r>
          </w:p>
        </w:tc>
      </w:tr>
    </w:tbl>
    <w:p w14:paraId="71D9CA69" w14:textId="77777777" w:rsidR="00781FF9" w:rsidRDefault="000E0290" w:rsidP="00514591">
      <w:pPr>
        <w:spacing w:line="360" w:lineRule="auto"/>
        <w:jc w:val="both"/>
        <w:rPr>
          <w:rFonts w:ascii="Book Antiqua" w:hAnsi="Book Antiqua"/>
          <w:color w:val="000000" w:themeColor="text1"/>
          <w:lang w:eastAsia="zh-CN"/>
        </w:rPr>
      </w:pPr>
      <w:r w:rsidRPr="000E0290">
        <w:rPr>
          <w:rFonts w:ascii="Book Antiqua" w:hAnsi="Book Antiqua" w:hint="eastAsia"/>
          <w:color w:val="000000" w:themeColor="text1"/>
          <w:vertAlign w:val="superscript"/>
          <w:lang w:eastAsia="zh-CN"/>
        </w:rPr>
        <w:t>1</w:t>
      </w:r>
      <w:r w:rsidR="005E6C1E" w:rsidRPr="00514591">
        <w:rPr>
          <w:rFonts w:ascii="Book Antiqua" w:hAnsi="Book Antiqua"/>
          <w:color w:val="000000" w:themeColor="text1"/>
        </w:rPr>
        <w:t xml:space="preserve">Although </w:t>
      </w:r>
      <w:r w:rsidR="002B5E26">
        <w:rPr>
          <w:rFonts w:ascii="Book Antiqua" w:hAnsi="Book Antiqua" w:hint="eastAsia"/>
          <w:color w:val="000000" w:themeColor="text1"/>
          <w:lang w:eastAsia="zh-CN"/>
        </w:rPr>
        <w:t>a</w:t>
      </w:r>
      <w:r w:rsidR="002B5E26" w:rsidRPr="00514591">
        <w:rPr>
          <w:rFonts w:ascii="Book Antiqua" w:hAnsi="Book Antiqua"/>
          <w:color w:val="000000" w:themeColor="text1"/>
        </w:rPr>
        <w:t>nti-nuclear antibodies</w:t>
      </w:r>
      <w:r w:rsidR="005E6C1E" w:rsidRPr="00514591">
        <w:rPr>
          <w:rFonts w:ascii="Book Antiqua" w:hAnsi="Book Antiqua"/>
          <w:color w:val="000000" w:themeColor="text1"/>
        </w:rPr>
        <w:t xml:space="preserve"> is frequently positive at low-titres in IC (&lt;</w:t>
      </w:r>
      <w:r>
        <w:rPr>
          <w:rFonts w:ascii="Book Antiqua" w:hAnsi="Book Antiqua" w:hint="eastAsia"/>
          <w:color w:val="000000" w:themeColor="text1"/>
          <w:lang w:eastAsia="zh-CN"/>
        </w:rPr>
        <w:t xml:space="preserve"> </w:t>
      </w:r>
      <w:r w:rsidR="005E6C1E" w:rsidRPr="00514591">
        <w:rPr>
          <w:rFonts w:ascii="Book Antiqua" w:hAnsi="Book Antiqua"/>
          <w:color w:val="000000" w:themeColor="text1"/>
        </w:rPr>
        <w:t>1:80), specific auto-antibodies seen in autoimmune hepatitis are usually negative.</w:t>
      </w:r>
      <w:r>
        <w:rPr>
          <w:rFonts w:ascii="Book Antiqua" w:hAnsi="Book Antiqua" w:hint="eastAsia"/>
          <w:color w:val="000000" w:themeColor="text1"/>
          <w:lang w:eastAsia="zh-CN"/>
        </w:rPr>
        <w:t xml:space="preserve"> </w:t>
      </w:r>
    </w:p>
    <w:p w14:paraId="291C4710" w14:textId="4B37003A" w:rsidR="005E6C1E" w:rsidRPr="00514591" w:rsidRDefault="005E6C1E" w:rsidP="00514591">
      <w:pPr>
        <w:spacing w:line="360" w:lineRule="auto"/>
        <w:jc w:val="both"/>
        <w:rPr>
          <w:rFonts w:ascii="Book Antiqua" w:hAnsi="Book Antiqua"/>
          <w:color w:val="000000" w:themeColor="text1"/>
          <w:lang w:eastAsia="zh-CN"/>
        </w:rPr>
      </w:pPr>
      <w:r w:rsidRPr="00514591">
        <w:rPr>
          <w:rFonts w:ascii="Book Antiqua" w:hAnsi="Book Antiqua"/>
          <w:color w:val="000000" w:themeColor="text1"/>
        </w:rPr>
        <w:t>ANA</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A</w:t>
      </w:r>
      <w:r w:rsidRPr="00514591">
        <w:rPr>
          <w:rFonts w:ascii="Book Antiqua" w:hAnsi="Book Antiqua"/>
          <w:color w:val="000000" w:themeColor="text1"/>
        </w:rPr>
        <w:t>nti-nuclear antibodies; Anti-HBc</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A</w:t>
      </w:r>
      <w:r w:rsidRPr="00514591">
        <w:rPr>
          <w:rFonts w:ascii="Book Antiqua" w:hAnsi="Book Antiqua"/>
          <w:color w:val="000000" w:themeColor="text1"/>
        </w:rPr>
        <w:t>nti-Hepatitis B core antibody; anti-LKM1</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A</w:t>
      </w:r>
      <w:r w:rsidRPr="00514591">
        <w:rPr>
          <w:rFonts w:ascii="Book Antiqua" w:hAnsi="Book Antiqua"/>
          <w:color w:val="000000" w:themeColor="text1"/>
        </w:rPr>
        <w:t>nti-liver-kidney microsomal 1 antibody; Anti-SMA</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A</w:t>
      </w:r>
      <w:r w:rsidRPr="00514591">
        <w:rPr>
          <w:rFonts w:ascii="Book Antiqua" w:hAnsi="Book Antiqua"/>
          <w:color w:val="000000" w:themeColor="text1"/>
        </w:rPr>
        <w:t>nti-smooth muscle antibody; CK</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lastRenderedPageBreak/>
        <w:t>C</w:t>
      </w:r>
      <w:r w:rsidRPr="00514591">
        <w:rPr>
          <w:rFonts w:ascii="Book Antiqua" w:hAnsi="Book Antiqua"/>
          <w:color w:val="000000" w:themeColor="text1"/>
        </w:rPr>
        <w:t>reatine kinase; CMV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C</w:t>
      </w:r>
      <w:r w:rsidRPr="00514591">
        <w:rPr>
          <w:rFonts w:ascii="Book Antiqua" w:hAnsi="Book Antiqua"/>
          <w:color w:val="000000" w:themeColor="text1"/>
        </w:rPr>
        <w:t>ytomegalovirus; CT</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C</w:t>
      </w:r>
      <w:r w:rsidRPr="00514591">
        <w:rPr>
          <w:rFonts w:ascii="Book Antiqua" w:hAnsi="Book Antiqua"/>
          <w:color w:val="000000" w:themeColor="text1"/>
        </w:rPr>
        <w:t>omputed tomography; EBV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Epstein-Barr virus; HAV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H</w:t>
      </w:r>
      <w:r w:rsidRPr="00514591">
        <w:rPr>
          <w:rFonts w:ascii="Book Antiqua" w:hAnsi="Book Antiqua"/>
          <w:color w:val="000000" w:themeColor="text1"/>
        </w:rPr>
        <w:t>epatitis A virus; HBsAg</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Hepatitis B surface antigen; HBV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H</w:t>
      </w:r>
      <w:r w:rsidRPr="00514591">
        <w:rPr>
          <w:rFonts w:ascii="Book Antiqua" w:hAnsi="Book Antiqua"/>
          <w:color w:val="000000" w:themeColor="text1"/>
        </w:rPr>
        <w:t>epatitis B virus; HCV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H</w:t>
      </w:r>
      <w:r w:rsidRPr="00514591">
        <w:rPr>
          <w:rFonts w:ascii="Book Antiqua" w:hAnsi="Book Antiqua"/>
          <w:color w:val="000000" w:themeColor="text1"/>
        </w:rPr>
        <w:t>epatitis C virus; HEV</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H</w:t>
      </w:r>
      <w:r w:rsidRPr="00514591">
        <w:rPr>
          <w:rFonts w:ascii="Book Antiqua" w:hAnsi="Book Antiqua"/>
          <w:color w:val="000000" w:themeColor="text1"/>
        </w:rPr>
        <w:t>epatitis E virus; irAEs</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I</w:t>
      </w:r>
      <w:r w:rsidRPr="00514591">
        <w:rPr>
          <w:rFonts w:ascii="Book Antiqua" w:hAnsi="Book Antiqua"/>
          <w:color w:val="000000" w:themeColor="text1"/>
        </w:rPr>
        <w:t>mmune-related adverse events; MRCP</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0E0290">
        <w:rPr>
          <w:rFonts w:ascii="Book Antiqua" w:hAnsi="Book Antiqua" w:hint="eastAsia"/>
          <w:color w:val="000000" w:themeColor="text1"/>
          <w:lang w:eastAsia="zh-CN"/>
        </w:rPr>
        <w:t>M</w:t>
      </w:r>
      <w:r w:rsidRPr="00514591">
        <w:rPr>
          <w:rFonts w:ascii="Book Antiqua" w:hAnsi="Book Antiqua"/>
          <w:color w:val="000000" w:themeColor="text1"/>
        </w:rPr>
        <w:t>agnetic resonance cholangiopancreatography; NASH</w:t>
      </w:r>
      <w:r w:rsidR="000E0290">
        <w:rPr>
          <w:rFonts w:ascii="Book Antiqua" w:hAnsi="Book Antiqua" w:hint="eastAsia"/>
          <w:color w:val="000000" w:themeColor="text1"/>
          <w:lang w:eastAsia="zh-CN"/>
        </w:rPr>
        <w:t>:</w:t>
      </w:r>
      <w:r w:rsidRPr="00514591">
        <w:rPr>
          <w:rFonts w:ascii="Book Antiqua" w:hAnsi="Book Antiqua"/>
          <w:color w:val="000000" w:themeColor="text1"/>
        </w:rPr>
        <w:t xml:space="preserve"> Non-alcoholic steatohepatitis</w:t>
      </w:r>
      <w:r w:rsidR="000E0290">
        <w:rPr>
          <w:rFonts w:ascii="Book Antiqua" w:hAnsi="Book Antiqua" w:hint="eastAsia"/>
          <w:color w:val="000000" w:themeColor="text1"/>
          <w:lang w:eastAsia="zh-CN"/>
        </w:rPr>
        <w:t>.</w:t>
      </w:r>
    </w:p>
    <w:p w14:paraId="3CDF0C27" w14:textId="77777777" w:rsidR="00547ECF" w:rsidRPr="00514591" w:rsidRDefault="00547ECF" w:rsidP="00547ECF">
      <w:pPr>
        <w:spacing w:line="360" w:lineRule="auto"/>
        <w:jc w:val="both"/>
        <w:rPr>
          <w:rFonts w:ascii="Book Antiqua" w:hAnsi="Book Antiqua"/>
          <w:color w:val="000000" w:themeColor="text1"/>
          <w:lang w:eastAsia="zh-CN"/>
        </w:rPr>
      </w:pPr>
    </w:p>
    <w:p w14:paraId="53E1F7C1" w14:textId="77777777" w:rsidR="00547ECF" w:rsidRPr="00514591" w:rsidRDefault="00547ECF" w:rsidP="00547ECF">
      <w:pPr>
        <w:spacing w:line="360" w:lineRule="auto"/>
        <w:jc w:val="both"/>
        <w:rPr>
          <w:rFonts w:ascii="Book Antiqua" w:hAnsi="Book Antiqua"/>
        </w:rPr>
        <w:sectPr w:rsidR="00547ECF" w:rsidRPr="00514591">
          <w:pgSz w:w="12240" w:h="15840"/>
          <w:pgMar w:top="1440" w:right="1440" w:bottom="1440" w:left="1440" w:header="720" w:footer="720" w:gutter="0"/>
          <w:cols w:space="720"/>
          <w:docGrid w:linePitch="360"/>
        </w:sectPr>
      </w:pPr>
    </w:p>
    <w:p w14:paraId="1EEA7ACF" w14:textId="77777777" w:rsidR="005E6C1E" w:rsidRPr="00514591" w:rsidRDefault="005E6C1E" w:rsidP="00514591">
      <w:pPr>
        <w:spacing w:line="360" w:lineRule="auto"/>
        <w:jc w:val="both"/>
        <w:rPr>
          <w:rFonts w:ascii="Book Antiqua" w:hAnsi="Book Antiqua"/>
          <w:lang w:eastAsia="zh-CN"/>
        </w:rPr>
      </w:pPr>
      <w:r w:rsidRPr="00514591">
        <w:rPr>
          <w:rFonts w:ascii="Book Antiqua" w:hAnsi="Book Antiqua"/>
          <w:b/>
        </w:rPr>
        <w:lastRenderedPageBreak/>
        <w:t xml:space="preserve">Table 3 Comparison of common grading systems for </w:t>
      </w:r>
      <w:r w:rsidR="00BB1F9C" w:rsidRPr="00514591">
        <w:rPr>
          <w:rFonts w:ascii="Book Antiqua" w:eastAsia="Book Antiqua" w:hAnsi="Book Antiqua" w:cs="Book Antiqua"/>
          <w:b/>
          <w:color w:val="000000"/>
        </w:rPr>
        <w:t>inhibitor-related hepatotoxicity</w:t>
      </w:r>
    </w:p>
    <w:tbl>
      <w:tblPr>
        <w:tblStyle w:val="ListTable3-Accent11"/>
        <w:tblW w:w="5541" w:type="pct"/>
        <w:tblInd w:w="-74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850"/>
        <w:gridCol w:w="3262"/>
        <w:gridCol w:w="1980"/>
        <w:gridCol w:w="3405"/>
        <w:gridCol w:w="3402"/>
        <w:gridCol w:w="1703"/>
      </w:tblGrid>
      <w:tr w:rsidR="00781FF9" w:rsidRPr="00514591" w14:paraId="502AAFBD" w14:textId="77777777" w:rsidTr="00781FF9">
        <w:trPr>
          <w:cnfStyle w:val="100000000000" w:firstRow="1" w:lastRow="0" w:firstColumn="0" w:lastColumn="0" w:oddVBand="0" w:evenVBand="0" w:oddHBand="0" w:evenHBand="0" w:firstRowFirstColumn="0" w:firstRowLastColumn="0" w:lastRowFirstColumn="0" w:lastRowLastColumn="0"/>
          <w:trHeight w:val="183"/>
        </w:trPr>
        <w:tc>
          <w:tcPr>
            <w:cnfStyle w:val="001000000100" w:firstRow="0" w:lastRow="0" w:firstColumn="1" w:lastColumn="0" w:oddVBand="0" w:evenVBand="0" w:oddHBand="0" w:evenHBand="0" w:firstRowFirstColumn="1" w:firstRowLastColumn="0" w:lastRowFirstColumn="0" w:lastRowLastColumn="0"/>
            <w:tcW w:w="291" w:type="pct"/>
            <w:vMerge w:val="restart"/>
            <w:tcBorders>
              <w:top w:val="single" w:sz="4" w:space="0" w:color="auto"/>
              <w:bottom w:val="single" w:sz="4" w:space="0" w:color="auto"/>
            </w:tcBorders>
            <w:shd w:val="clear" w:color="auto" w:fill="auto"/>
          </w:tcPr>
          <w:p w14:paraId="24762CEB" w14:textId="77777777" w:rsidR="00781FF9" w:rsidRPr="00514591" w:rsidRDefault="00781FF9" w:rsidP="00514591">
            <w:pPr>
              <w:spacing w:line="360" w:lineRule="auto"/>
              <w:jc w:val="both"/>
              <w:rPr>
                <w:rFonts w:ascii="Book Antiqua" w:hAnsi="Book Antiqua"/>
                <w:color w:val="000000" w:themeColor="text1"/>
              </w:rPr>
            </w:pPr>
          </w:p>
        </w:tc>
        <w:tc>
          <w:tcPr>
            <w:tcW w:w="4709" w:type="pct"/>
            <w:gridSpan w:val="5"/>
            <w:tcBorders>
              <w:top w:val="single" w:sz="4" w:space="0" w:color="auto"/>
              <w:bottom w:val="single" w:sz="4" w:space="0" w:color="auto"/>
            </w:tcBorders>
            <w:shd w:val="clear" w:color="auto" w:fill="auto"/>
          </w:tcPr>
          <w:p w14:paraId="64A6056A" w14:textId="77777777" w:rsidR="00781FF9" w:rsidRPr="00514591" w:rsidRDefault="00781FF9"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Grade</w:t>
            </w:r>
          </w:p>
        </w:tc>
      </w:tr>
      <w:tr w:rsidR="00781FF9" w:rsidRPr="00514591" w14:paraId="11A7486A" w14:textId="77777777" w:rsidTr="00781FF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91" w:type="pct"/>
            <w:vMerge/>
            <w:tcBorders>
              <w:top w:val="single" w:sz="4" w:space="0" w:color="auto"/>
              <w:bottom w:val="single" w:sz="4" w:space="0" w:color="auto"/>
            </w:tcBorders>
            <w:shd w:val="clear" w:color="auto" w:fill="auto"/>
          </w:tcPr>
          <w:p w14:paraId="10A4C5A6" w14:textId="77777777" w:rsidR="00781FF9" w:rsidRPr="00514591" w:rsidRDefault="00781FF9" w:rsidP="00514591">
            <w:pPr>
              <w:spacing w:line="360" w:lineRule="auto"/>
              <w:jc w:val="both"/>
              <w:rPr>
                <w:rFonts w:ascii="Book Antiqua" w:hAnsi="Book Antiqua"/>
                <w:color w:val="000000" w:themeColor="text1"/>
              </w:rPr>
            </w:pPr>
          </w:p>
        </w:tc>
        <w:tc>
          <w:tcPr>
            <w:tcW w:w="1117" w:type="pct"/>
            <w:tcBorders>
              <w:top w:val="single" w:sz="4" w:space="0" w:color="auto"/>
              <w:bottom w:val="single" w:sz="4" w:space="0" w:color="auto"/>
            </w:tcBorders>
            <w:shd w:val="clear" w:color="auto" w:fill="auto"/>
          </w:tcPr>
          <w:p w14:paraId="1C3F1892" w14:textId="77777777" w:rsidR="00781FF9" w:rsidRPr="00514591" w:rsidRDefault="00781FF9"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1</w:t>
            </w:r>
          </w:p>
        </w:tc>
        <w:tc>
          <w:tcPr>
            <w:tcW w:w="678" w:type="pct"/>
            <w:tcBorders>
              <w:top w:val="single" w:sz="4" w:space="0" w:color="auto"/>
              <w:bottom w:val="single" w:sz="4" w:space="0" w:color="auto"/>
            </w:tcBorders>
            <w:shd w:val="clear" w:color="auto" w:fill="auto"/>
          </w:tcPr>
          <w:p w14:paraId="3B9E5369" w14:textId="77777777" w:rsidR="00781FF9" w:rsidRPr="00514591" w:rsidRDefault="00781FF9"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2</w:t>
            </w:r>
          </w:p>
        </w:tc>
        <w:tc>
          <w:tcPr>
            <w:tcW w:w="1166" w:type="pct"/>
            <w:tcBorders>
              <w:top w:val="single" w:sz="4" w:space="0" w:color="auto"/>
              <w:bottom w:val="single" w:sz="4" w:space="0" w:color="auto"/>
            </w:tcBorders>
            <w:shd w:val="clear" w:color="auto" w:fill="auto"/>
          </w:tcPr>
          <w:p w14:paraId="43F2A9BA" w14:textId="77777777" w:rsidR="00781FF9" w:rsidRPr="00514591" w:rsidRDefault="00781FF9"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 xml:space="preserve">Grade 3 </w:t>
            </w:r>
          </w:p>
        </w:tc>
        <w:tc>
          <w:tcPr>
            <w:tcW w:w="1165" w:type="pct"/>
            <w:tcBorders>
              <w:top w:val="single" w:sz="4" w:space="0" w:color="auto"/>
              <w:bottom w:val="single" w:sz="4" w:space="0" w:color="auto"/>
            </w:tcBorders>
            <w:shd w:val="clear" w:color="auto" w:fill="auto"/>
          </w:tcPr>
          <w:p w14:paraId="4F662274" w14:textId="77777777" w:rsidR="00781FF9" w:rsidRPr="00514591" w:rsidRDefault="00781FF9"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4</w:t>
            </w:r>
          </w:p>
        </w:tc>
        <w:tc>
          <w:tcPr>
            <w:tcW w:w="583" w:type="pct"/>
            <w:tcBorders>
              <w:top w:val="single" w:sz="4" w:space="0" w:color="auto"/>
              <w:bottom w:val="single" w:sz="4" w:space="0" w:color="auto"/>
            </w:tcBorders>
            <w:shd w:val="clear" w:color="auto" w:fill="auto"/>
          </w:tcPr>
          <w:p w14:paraId="1C44ACD6" w14:textId="77777777" w:rsidR="00781FF9" w:rsidRPr="00514591" w:rsidRDefault="00781FF9"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5</w:t>
            </w:r>
          </w:p>
        </w:tc>
      </w:tr>
      <w:tr w:rsidR="000850A4" w:rsidRPr="00514591" w14:paraId="11F01183" w14:textId="77777777" w:rsidTr="00781FF9">
        <w:trPr>
          <w:trHeight w:val="3579"/>
        </w:trPr>
        <w:tc>
          <w:tcPr>
            <w:cnfStyle w:val="001000000000" w:firstRow="0" w:lastRow="0" w:firstColumn="1" w:lastColumn="0" w:oddVBand="0" w:evenVBand="0" w:oddHBand="0" w:evenHBand="0" w:firstRowFirstColumn="0" w:firstRowLastColumn="0" w:lastRowFirstColumn="0" w:lastRowLastColumn="0"/>
            <w:tcW w:w="291" w:type="pct"/>
            <w:tcBorders>
              <w:top w:val="single" w:sz="4" w:space="0" w:color="auto"/>
              <w:bottom w:val="nil"/>
            </w:tcBorders>
            <w:shd w:val="clear" w:color="auto" w:fill="auto"/>
          </w:tcPr>
          <w:p w14:paraId="5991C699" w14:textId="77777777" w:rsidR="000850A4" w:rsidRPr="00514591" w:rsidRDefault="000850A4" w:rsidP="00A17B9D">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CTCAE</w:t>
            </w:r>
            <w:r w:rsidRPr="00514591">
              <w:rPr>
                <w:rFonts w:ascii="Book Antiqua" w:hAnsi="Book Antiqua"/>
                <w:color w:val="000000" w:themeColor="text1"/>
                <w:vertAlign w:val="superscript"/>
              </w:rPr>
              <w:fldChar w:fldCharType="begin"/>
            </w:r>
            <w:r w:rsidRPr="00514591">
              <w:rPr>
                <w:rFonts w:ascii="Book Antiqua" w:hAnsi="Book Antiqua"/>
                <w:b w:val="0"/>
                <w:bCs w:val="0"/>
                <w:color w:val="000000" w:themeColor="text1"/>
                <w:vertAlign w:val="superscript"/>
              </w:rPr>
              <w:instrText xml:space="preserve"> ADDIN EN.CITE &lt;EndNote&gt;&lt;Cite&gt;&lt;Author&gt;Colevas&lt;/Author&gt;&lt;Year&gt;2004&lt;/Year&gt;&lt;RecNum&gt;104&lt;/RecNum&gt;&lt;DisplayText&gt;(66)&lt;/DisplayText&gt;&lt;record&gt;&lt;rec-number&gt;104&lt;/rec-number&gt;&lt;foreign-keys&gt;&lt;key app="EN" db-id="dwepv2psq9dt9ne9epe55pvjraafffxx2rtr" timestamp="1616035122"&gt;104&lt;/key&gt;&lt;/foreign-keys&gt;&lt;ref-type name="Journal Article"&gt;17&lt;/ref-type&gt;&lt;contributors&gt;&lt;authors&gt;&lt;author&gt;Colevas, AD&lt;/author&gt;&lt;author&gt;Setser, A&lt;/author&gt;&lt;/authors&gt;&lt;/contributors&gt;&lt;titles&gt;&lt;title&gt;The NCI Common Terminology Criteria for Adverse Events (CTCAE) v 3.0 is the new standard for oncology clinical trials&lt;/title&gt;&lt;secondary-title&gt;Journal of Clinical Oncology&lt;/secondary-title&gt;&lt;/titles&gt;&lt;periodical&gt;&lt;full-title&gt;Journal of Clinical Oncology&lt;/full-title&gt;&lt;/periodical&gt;&lt;pages&gt;6098-6098&lt;/pages&gt;&lt;volume&gt;22&lt;/volume&gt;&lt;number&gt;14_suppl&lt;/number&gt;&lt;dates&gt;&lt;year&gt;2004&lt;/year&gt;&lt;/dates&gt;&lt;isbn&gt;0732-183X&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b w:val="0"/>
                <w:bCs w:val="0"/>
                <w:noProof/>
                <w:color w:val="000000" w:themeColor="text1"/>
                <w:vertAlign w:val="superscript"/>
              </w:rPr>
              <w:t>[</w:t>
            </w:r>
            <w:r w:rsidR="00A17B9D">
              <w:rPr>
                <w:rFonts w:ascii="Book Antiqua" w:eastAsiaTheme="minorEastAsia" w:hAnsi="Book Antiqua" w:hint="eastAsia"/>
                <w:b w:val="0"/>
                <w:bCs w:val="0"/>
                <w:noProof/>
                <w:color w:val="000000" w:themeColor="text1"/>
                <w:vertAlign w:val="superscript"/>
                <w:lang w:eastAsia="zh-CN"/>
              </w:rPr>
              <w:t>87</w:t>
            </w:r>
            <w:r w:rsidRPr="00514591">
              <w:rPr>
                <w:rFonts w:ascii="Book Antiqua" w:hAnsi="Book Antiqua"/>
                <w:b w:val="0"/>
                <w:bCs w:val="0"/>
                <w:noProof/>
                <w:color w:val="000000" w:themeColor="text1"/>
                <w:vertAlign w:val="superscript"/>
              </w:rPr>
              <w:t>]</w:t>
            </w:r>
            <w:r w:rsidRPr="00514591">
              <w:rPr>
                <w:rFonts w:ascii="Book Antiqua" w:hAnsi="Book Antiqua"/>
                <w:color w:val="000000" w:themeColor="text1"/>
                <w:vertAlign w:val="superscript"/>
              </w:rPr>
              <w:fldChar w:fldCharType="end"/>
            </w:r>
          </w:p>
        </w:tc>
        <w:tc>
          <w:tcPr>
            <w:tcW w:w="1117" w:type="pct"/>
            <w:tcBorders>
              <w:top w:val="single" w:sz="4" w:space="0" w:color="auto"/>
              <w:bottom w:val="nil"/>
            </w:tcBorders>
            <w:shd w:val="clear" w:color="auto" w:fill="auto"/>
          </w:tcPr>
          <w:p w14:paraId="487CCF59" w14:textId="175BF1F9" w:rsidR="000850A4" w:rsidRPr="00245ED7"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bCs/>
                <w:color w:val="000000" w:themeColor="text1"/>
                <w:lang w:eastAsia="zh-CN"/>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Asymptomatic</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w:t>
            </w:r>
            <w:r>
              <w:rPr>
                <w:rFonts w:ascii="Book Antiqua" w:eastAsiaTheme="minorEastAsia" w:hAnsi="Book Antiqua" w:hint="eastAsia"/>
                <w:color w:val="000000" w:themeColor="text1"/>
                <w:lang w:eastAsia="zh-CN"/>
              </w:rPr>
              <w:t>-</w:t>
            </w:r>
            <w:r w:rsidRPr="00514591">
              <w:rPr>
                <w:rFonts w:ascii="Book Antiqua" w:hAnsi="Book Antiqua"/>
                <w:color w:val="000000" w:themeColor="text1"/>
              </w:rPr>
              <w:t>3</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T. Bil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1-1.5</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678" w:type="pct"/>
            <w:tcBorders>
              <w:top w:val="single" w:sz="4" w:space="0" w:color="auto"/>
              <w:bottom w:val="nil"/>
            </w:tcBorders>
            <w:shd w:val="clear" w:color="auto" w:fill="auto"/>
          </w:tcPr>
          <w:p w14:paraId="772B5528" w14:textId="77777777" w:rsidR="000850A4" w:rsidRPr="00514591" w:rsidRDefault="000850A4"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Asymptomatic</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3-5</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T. Bil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1.5</w:t>
            </w:r>
            <w:r>
              <w:rPr>
                <w:rFonts w:ascii="Book Antiqua" w:eastAsiaTheme="minorEastAsia" w:hAnsi="Book Antiqua" w:hint="eastAsia"/>
                <w:color w:val="000000" w:themeColor="text1"/>
                <w:lang w:eastAsia="zh-CN"/>
              </w:rPr>
              <w:t>-</w:t>
            </w:r>
            <w:r w:rsidRPr="00514591">
              <w:rPr>
                <w:rFonts w:ascii="Book Antiqua" w:hAnsi="Book Antiqua"/>
                <w:color w:val="000000" w:themeColor="text1"/>
              </w:rPr>
              <w:t>3</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1166" w:type="pct"/>
            <w:tcBorders>
              <w:top w:val="single" w:sz="4" w:space="0" w:color="auto"/>
              <w:bottom w:val="nil"/>
            </w:tcBorders>
            <w:shd w:val="clear" w:color="auto" w:fill="auto"/>
          </w:tcPr>
          <w:p w14:paraId="546ED8D7" w14:textId="77777777" w:rsidR="000850A4" w:rsidRPr="00514591"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Symptomatic liver dysfunction</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Fibrosis on biopsy</w:t>
            </w:r>
            <w:r>
              <w:rPr>
                <w:rFonts w:ascii="Book Antiqua" w:eastAsiaTheme="minorEastAsia" w:hAnsi="Book Antiqua" w:hint="eastAsia"/>
                <w:color w:val="000000" w:themeColor="text1"/>
                <w:lang w:eastAsia="zh-CN"/>
              </w:rPr>
              <w:t xml:space="preserve">; (3) </w:t>
            </w:r>
            <w:r w:rsidRPr="00514591">
              <w:rPr>
                <w:rFonts w:ascii="Book Antiqua" w:hAnsi="Book Antiqua"/>
                <w:color w:val="000000" w:themeColor="text1"/>
              </w:rPr>
              <w:t>Compensated cirrhosis</w:t>
            </w:r>
            <w:r>
              <w:rPr>
                <w:rFonts w:ascii="Book Antiqua" w:eastAsiaTheme="minorEastAsia" w:hAnsi="Book Antiqua" w:hint="eastAsia"/>
                <w:color w:val="000000" w:themeColor="text1"/>
                <w:lang w:eastAsia="zh-CN"/>
              </w:rPr>
              <w:t xml:space="preserve">; (4) </w:t>
            </w:r>
            <w:r w:rsidRPr="00514591">
              <w:rPr>
                <w:rFonts w:ascii="Book Antiqua" w:hAnsi="Book Antiqua"/>
                <w:color w:val="000000" w:themeColor="text1"/>
              </w:rPr>
              <w:t>Reactivation of chronic hepatitis</w:t>
            </w:r>
            <w:r>
              <w:rPr>
                <w:rFonts w:ascii="Book Antiqua" w:eastAsiaTheme="minorEastAsia" w:hAnsi="Book Antiqua" w:hint="eastAsia"/>
                <w:color w:val="000000" w:themeColor="text1"/>
                <w:lang w:eastAsia="zh-CN"/>
              </w:rPr>
              <w:t xml:space="preserve">; (5)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Pr>
                <w:rFonts w:ascii="Book Antiqua" w:hAnsi="Book Antiqua"/>
                <w:color w:val="000000" w:themeColor="text1"/>
              </w:rPr>
              <w:t>5-</w:t>
            </w:r>
            <w:r w:rsidRPr="00514591">
              <w:rPr>
                <w:rFonts w:ascii="Book Antiqua" w:hAnsi="Book Antiqua"/>
                <w:color w:val="000000" w:themeColor="text1"/>
              </w:rPr>
              <w:t>20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(6) </w:t>
            </w:r>
            <w:r w:rsidRPr="00514591">
              <w:rPr>
                <w:rFonts w:ascii="Book Antiqua" w:hAnsi="Book Antiqua"/>
                <w:color w:val="000000" w:themeColor="text1"/>
              </w:rPr>
              <w:t>T. Bil &gt;</w:t>
            </w:r>
            <w:r>
              <w:rPr>
                <w:rFonts w:ascii="Book Antiqua" w:eastAsiaTheme="minorEastAsia" w:hAnsi="Book Antiqua" w:hint="eastAsia"/>
                <w:color w:val="000000" w:themeColor="text1"/>
                <w:lang w:eastAsia="zh-CN"/>
              </w:rPr>
              <w:t xml:space="preserve"> </w:t>
            </w:r>
            <w:r>
              <w:rPr>
                <w:rFonts w:ascii="Book Antiqua" w:hAnsi="Book Antiqua"/>
                <w:color w:val="000000" w:themeColor="text1"/>
              </w:rPr>
              <w:t>3-</w:t>
            </w:r>
            <w:r w:rsidRPr="00514591">
              <w:rPr>
                <w:rFonts w:ascii="Book Antiqua" w:hAnsi="Book Antiqua"/>
                <w:color w:val="000000" w:themeColor="text1"/>
              </w:rPr>
              <w:t>10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1165" w:type="pct"/>
            <w:tcBorders>
              <w:top w:val="single" w:sz="4" w:space="0" w:color="auto"/>
              <w:bottom w:val="nil"/>
            </w:tcBorders>
            <w:shd w:val="clear" w:color="auto" w:fill="auto"/>
          </w:tcPr>
          <w:p w14:paraId="3B818CF1" w14:textId="77777777" w:rsidR="000850A4" w:rsidRPr="00514591"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Decompensated liver function (</w:t>
            </w:r>
            <w:r w:rsidRPr="00547ECF">
              <w:rPr>
                <w:rFonts w:ascii="Book Antiqua" w:hAnsi="Book Antiqua"/>
                <w:i/>
                <w:color w:val="000000" w:themeColor="text1"/>
              </w:rPr>
              <w:t>e.g.</w:t>
            </w:r>
            <w:r w:rsidRPr="00514591">
              <w:rPr>
                <w:rFonts w:ascii="Book Antiqua" w:hAnsi="Book Antiqua"/>
                <w:color w:val="000000" w:themeColor="text1"/>
              </w:rPr>
              <w:t>, ascites, coagulopathy, encephalopathy, coma)</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20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T. Bil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583" w:type="pct"/>
            <w:tcBorders>
              <w:top w:val="single" w:sz="4" w:space="0" w:color="auto"/>
              <w:bottom w:val="nil"/>
            </w:tcBorders>
            <w:shd w:val="clear" w:color="auto" w:fill="auto"/>
          </w:tcPr>
          <w:p w14:paraId="7408D569" w14:textId="3D5E9787" w:rsidR="000850A4" w:rsidRPr="00245ED7" w:rsidRDefault="000850A4"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
                <w:bCs/>
                <w:color w:val="000000" w:themeColor="text1"/>
                <w:lang w:eastAsia="zh-CN"/>
              </w:rPr>
            </w:pPr>
            <w:r w:rsidRPr="00514591">
              <w:rPr>
                <w:rFonts w:ascii="Book Antiqua" w:hAnsi="Book Antiqua"/>
                <w:color w:val="000000" w:themeColor="text1"/>
              </w:rPr>
              <w:t>Death due to hepatotoxicity</w:t>
            </w:r>
          </w:p>
        </w:tc>
      </w:tr>
      <w:tr w:rsidR="00B947A4" w:rsidRPr="00514591" w14:paraId="009BF2E3" w14:textId="77777777" w:rsidTr="00781FF9">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91" w:type="pct"/>
            <w:tcBorders>
              <w:top w:val="nil"/>
              <w:bottom w:val="single" w:sz="4" w:space="0" w:color="auto"/>
              <w:right w:val="none" w:sz="0" w:space="0" w:color="auto"/>
            </w:tcBorders>
            <w:shd w:val="clear" w:color="auto" w:fill="auto"/>
          </w:tcPr>
          <w:p w14:paraId="41DC8583" w14:textId="77777777" w:rsidR="005E6C1E" w:rsidRPr="00514591" w:rsidRDefault="005E6C1E" w:rsidP="00A17B9D">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DILIN</w:t>
            </w:r>
            <w:r w:rsidRPr="00514591">
              <w:rPr>
                <w:rFonts w:ascii="Book Antiqua" w:hAnsi="Book Antiqua"/>
                <w:b w:val="0"/>
                <w:bCs w:val="0"/>
                <w:color w:val="000000" w:themeColor="text1"/>
                <w:vertAlign w:val="superscript"/>
              </w:rPr>
              <w:t>[</w:t>
            </w:r>
            <w:r w:rsidR="00A17B9D">
              <w:rPr>
                <w:rFonts w:ascii="Book Antiqua" w:eastAsiaTheme="minorEastAsia" w:hAnsi="Book Antiqua" w:hint="eastAsia"/>
                <w:b w:val="0"/>
                <w:bCs w:val="0"/>
                <w:color w:val="000000" w:themeColor="text1"/>
                <w:vertAlign w:val="superscript"/>
                <w:lang w:eastAsia="zh-CN"/>
              </w:rPr>
              <w:t>73</w:t>
            </w:r>
            <w:r w:rsidRPr="00514591">
              <w:rPr>
                <w:rFonts w:ascii="Book Antiqua" w:hAnsi="Book Antiqua"/>
                <w:b w:val="0"/>
                <w:bCs w:val="0"/>
                <w:color w:val="000000" w:themeColor="text1"/>
                <w:vertAlign w:val="superscript"/>
              </w:rPr>
              <w:t>]</w:t>
            </w:r>
          </w:p>
        </w:tc>
        <w:tc>
          <w:tcPr>
            <w:tcW w:w="1117" w:type="pct"/>
            <w:tcBorders>
              <w:top w:val="nil"/>
              <w:bottom w:val="single" w:sz="4" w:space="0" w:color="auto"/>
            </w:tcBorders>
            <w:shd w:val="clear" w:color="auto" w:fill="auto"/>
          </w:tcPr>
          <w:p w14:paraId="43FAD1E6" w14:textId="77777777" w:rsidR="005E6C1E" w:rsidRPr="00446E94" w:rsidRDefault="00446E94" w:rsidP="00446E9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Elevations in serum ALT and/or ALP levels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T. Bil &lt;</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2.5 ULN</w:t>
            </w:r>
            <w:r>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INR &lt;</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Pr>
                <w:rFonts w:ascii="Book Antiqua" w:eastAsiaTheme="minorEastAsia" w:hAnsi="Book Antiqua" w:hint="eastAsia"/>
                <w:color w:val="000000" w:themeColor="text1"/>
                <w:lang w:eastAsia="zh-CN"/>
              </w:rPr>
              <w:t xml:space="preserve">; and (4) </w:t>
            </w:r>
            <w:r w:rsidR="005E6C1E" w:rsidRPr="00514591">
              <w:rPr>
                <w:rFonts w:ascii="Book Antiqua" w:hAnsi="Book Antiqua"/>
                <w:color w:val="000000" w:themeColor="text1"/>
              </w:rPr>
              <w:t>Present with or without symptoms (fatigue, asthenia, nausea, anorexia, RUQ pain, jaundice, pruritus, rashes, or weight loss)</w:t>
            </w:r>
          </w:p>
        </w:tc>
        <w:tc>
          <w:tcPr>
            <w:tcW w:w="678" w:type="pct"/>
            <w:tcBorders>
              <w:top w:val="nil"/>
              <w:bottom w:val="single" w:sz="4" w:space="0" w:color="auto"/>
            </w:tcBorders>
            <w:shd w:val="clear" w:color="auto" w:fill="auto"/>
          </w:tcPr>
          <w:p w14:paraId="08534032" w14:textId="77777777" w:rsidR="005E6C1E" w:rsidRPr="00B947A4" w:rsidRDefault="00446E94" w:rsidP="006E0E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Elevated serum ALT and/or ALP</w:t>
            </w:r>
            <w:r w:rsidR="006E0EDC">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E0EDC">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T. Bil ≥</w:t>
            </w:r>
            <w:r w:rsidR="006E0EDC">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2.5 ULN or INR ≥</w:t>
            </w:r>
            <w:r w:rsidR="006E0EDC">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6E0EDC">
              <w:rPr>
                <w:rFonts w:ascii="Book Antiqua" w:eastAsiaTheme="minorEastAsia" w:hAnsi="Book Antiqua" w:hint="eastAsia"/>
                <w:color w:val="000000" w:themeColor="text1"/>
                <w:lang w:eastAsia="zh-CN"/>
              </w:rPr>
              <w:t xml:space="preserve">; </w:t>
            </w:r>
            <w:r w:rsidR="006E0EDC">
              <w:rPr>
                <w:rFonts w:ascii="Book Antiqua" w:eastAsiaTheme="minorEastAsia" w:hAnsi="Book Antiqua"/>
                <w:color w:val="000000" w:themeColor="text1"/>
                <w:lang w:eastAsia="zh-CN"/>
              </w:rPr>
              <w:t>and</w:t>
            </w:r>
            <w:r w:rsidR="006E0EDC">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E0EDC">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Symptoms may become aggravated</w:t>
            </w:r>
          </w:p>
        </w:tc>
        <w:tc>
          <w:tcPr>
            <w:tcW w:w="1166" w:type="pct"/>
            <w:tcBorders>
              <w:top w:val="nil"/>
              <w:bottom w:val="single" w:sz="4" w:space="0" w:color="auto"/>
            </w:tcBorders>
            <w:shd w:val="clear" w:color="auto" w:fill="auto"/>
          </w:tcPr>
          <w:p w14:paraId="7CD27742" w14:textId="77777777" w:rsidR="005E6C1E" w:rsidRPr="00B947A4" w:rsidRDefault="00446E94" w:rsidP="00B947A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Elevated serum ALT and/or ALP</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T. Bil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 xml:space="preserve">5 ULN </w:t>
            </w:r>
            <w:r w:rsidR="00B947A4">
              <w:rPr>
                <w:rFonts w:ascii="Book Antiqua" w:hAnsi="Book Antiqua"/>
                <w:color w:val="000000" w:themeColor="text1"/>
              </w:rPr>
              <w:t>±</w:t>
            </w:r>
            <w:r w:rsidR="005E6C1E" w:rsidRPr="00514591">
              <w:rPr>
                <w:rFonts w:ascii="Book Antiqua" w:hAnsi="Book Antiqua"/>
                <w:color w:val="000000" w:themeColor="text1"/>
              </w:rPr>
              <w:t xml:space="preserve"> INR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Symptoms are further aggravated</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Indication for hospitalization</w:t>
            </w:r>
            <w:r w:rsidR="00B947A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No evidence of hepatic encephalopathy</w:t>
            </w:r>
          </w:p>
        </w:tc>
        <w:tc>
          <w:tcPr>
            <w:tcW w:w="1165" w:type="pct"/>
            <w:tcBorders>
              <w:top w:val="nil"/>
              <w:bottom w:val="single" w:sz="4" w:space="0" w:color="auto"/>
            </w:tcBorders>
            <w:shd w:val="clear" w:color="auto" w:fill="auto"/>
          </w:tcPr>
          <w:p w14:paraId="3136088D" w14:textId="77777777" w:rsidR="005E6C1E" w:rsidRPr="00514591" w:rsidRDefault="00446E94" w:rsidP="00B947A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Coagulation abnormality indicated by INR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B947A4">
              <w:rPr>
                <w:rFonts w:ascii="Book Antiqua" w:eastAsiaTheme="minorEastAsi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Signs of hepatic encephalopathy</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T. Bil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10 ULN or daily elevation ≥</w:t>
            </w:r>
            <w:r>
              <w:rPr>
                <w:rFonts w:ascii="Book Antiqua" w:eastAsiaTheme="minorEastAsia" w:hAnsi="Book Antiqua" w:hint="eastAsia"/>
                <w:color w:val="000000" w:themeColor="text1"/>
                <w:lang w:eastAsia="zh-CN"/>
              </w:rPr>
              <w:t xml:space="preserve"> </w:t>
            </w:r>
            <w:r w:rsidR="001D4697">
              <w:rPr>
                <w:rFonts w:ascii="Book Antiqua" w:hAnsi="Book Antiqua"/>
                <w:color w:val="000000" w:themeColor="text1"/>
              </w:rPr>
              <w:t>1.0 mg/dL in 26 wk</w:t>
            </w:r>
            <w:r w:rsidR="005E6C1E" w:rsidRPr="00514591">
              <w:rPr>
                <w:rFonts w:ascii="Book Antiqua" w:hAnsi="Book Antiqua"/>
                <w:color w:val="000000" w:themeColor="text1"/>
              </w:rPr>
              <w:t xml:space="preserve"> after the DILI onset</w:t>
            </w:r>
            <w:r w:rsidR="00B947A4">
              <w:rPr>
                <w:rFonts w:ascii="Book Antiqua" w:eastAsiaTheme="minorEastAsia" w:hAnsi="Book Antiqua" w:hint="eastAsia"/>
                <w:color w:val="000000" w:themeColor="text1"/>
                <w:lang w:eastAsia="zh-CN"/>
              </w:rPr>
              <w:t xml:space="preserve">; </w:t>
            </w:r>
            <w:r w:rsidR="000F4BC9">
              <w:rPr>
                <w:rFonts w:ascii="Book Antiqua" w:eastAsiaTheme="minorEastAsia" w:hAnsi="Book Antiqua" w:hint="eastAsia"/>
                <w:color w:val="000000" w:themeColor="text1"/>
                <w:lang w:eastAsia="zh-CN"/>
              </w:rPr>
              <w:t xml:space="preserve">and </w:t>
            </w:r>
            <w:r w:rsidR="00B947A4">
              <w:rPr>
                <w:rFonts w:ascii="Book Antiqua" w:eastAsiaTheme="minorEastAsia" w:hAnsi="Book Antiqua" w:hint="eastAsia"/>
                <w:color w:val="000000" w:themeColor="text1"/>
                <w:lang w:eastAsia="zh-CN"/>
              </w:rPr>
              <w:t xml:space="preserve">(4) </w:t>
            </w:r>
            <w:r w:rsidR="005E6C1E" w:rsidRPr="00514591">
              <w:rPr>
                <w:rFonts w:ascii="Book Antiqua" w:hAnsi="Book Antiqua"/>
                <w:color w:val="000000" w:themeColor="text1"/>
              </w:rPr>
              <w:t>Ascites and DILI-related dysfunction of another organ</w:t>
            </w:r>
          </w:p>
        </w:tc>
        <w:tc>
          <w:tcPr>
            <w:tcW w:w="583" w:type="pct"/>
            <w:tcBorders>
              <w:top w:val="nil"/>
              <w:bottom w:val="single" w:sz="4" w:space="0" w:color="auto"/>
            </w:tcBorders>
            <w:shd w:val="clear" w:color="auto" w:fill="auto"/>
          </w:tcPr>
          <w:p w14:paraId="00F2E085" w14:textId="77777777" w:rsidR="005E6C1E" w:rsidRPr="00446E94" w:rsidRDefault="00446E94" w:rsidP="00446E9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Death due to DILI</w:t>
            </w:r>
            <w:r>
              <w:rPr>
                <w:rFonts w:ascii="Book Antiqua" w:eastAsiaTheme="minorEastAsia" w:hAnsi="Book Antiqua" w:hint="eastAsia"/>
                <w:color w:val="000000" w:themeColor="text1"/>
                <w:lang w:eastAsia="zh-CN"/>
              </w:rPr>
              <w:t xml:space="preserve">; </w:t>
            </w:r>
            <w:r>
              <w:rPr>
                <w:rFonts w:ascii="Book Antiqua" w:eastAsiaTheme="minorEastAsia" w:hAnsi="Book Antiqua"/>
                <w:color w:val="000000" w:themeColor="text1"/>
                <w:lang w:eastAsia="zh-CN"/>
              </w:rPr>
              <w:t>and</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Or need to receive liver transplantation for survival</w:t>
            </w:r>
          </w:p>
        </w:tc>
      </w:tr>
    </w:tbl>
    <w:p w14:paraId="79C19427" w14:textId="77777777" w:rsidR="005E6C1E" w:rsidRDefault="005E6C1E" w:rsidP="00514591">
      <w:pPr>
        <w:spacing w:line="360" w:lineRule="auto"/>
        <w:jc w:val="both"/>
        <w:rPr>
          <w:rFonts w:ascii="Book Antiqua" w:hAnsi="Book Antiqua"/>
          <w:color w:val="000000" w:themeColor="text1"/>
          <w:lang w:eastAsia="zh-CN"/>
        </w:rPr>
      </w:pPr>
      <w:r w:rsidRPr="00514591">
        <w:rPr>
          <w:rFonts w:ascii="Book Antiqua" w:hAnsi="Book Antiqua"/>
          <w:color w:val="000000" w:themeColor="text1"/>
        </w:rPr>
        <w:lastRenderedPageBreak/>
        <w:t>ALT</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Alanine Aminotransferase; AST</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A</w:t>
      </w:r>
      <w:r w:rsidRPr="00514591">
        <w:rPr>
          <w:rFonts w:ascii="Book Antiqua" w:hAnsi="Book Antiqua"/>
          <w:color w:val="000000" w:themeColor="text1"/>
        </w:rPr>
        <w:t>spartate aminotransferase; CTCAE</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C</w:t>
      </w:r>
      <w:r w:rsidRPr="00514591">
        <w:rPr>
          <w:rFonts w:ascii="Book Antiqua" w:hAnsi="Book Antiqua"/>
          <w:color w:val="000000" w:themeColor="text1"/>
        </w:rPr>
        <w:t>ommon terminology criteria for adverse events; DILI</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D</w:t>
      </w:r>
      <w:r w:rsidRPr="00514591">
        <w:rPr>
          <w:rFonts w:ascii="Book Antiqua" w:hAnsi="Book Antiqua"/>
          <w:color w:val="000000" w:themeColor="text1"/>
        </w:rPr>
        <w:t>rug induced liver injury; DILIN</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Drug-induced Liver Injury Network; ICH</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I</w:t>
      </w:r>
      <w:r w:rsidRPr="00514591">
        <w:rPr>
          <w:rFonts w:ascii="Book Antiqua" w:hAnsi="Book Antiqua"/>
          <w:color w:val="000000" w:themeColor="text1"/>
        </w:rPr>
        <w:t>mmune checkpoint inhibitor-induced hepatoxicity; INR</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I</w:t>
      </w:r>
      <w:r w:rsidRPr="00514591">
        <w:rPr>
          <w:rFonts w:ascii="Book Antiqua" w:hAnsi="Book Antiqua"/>
          <w:color w:val="000000" w:themeColor="text1"/>
        </w:rPr>
        <w:t>nternational normalized ratio; RUQ</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R</w:t>
      </w:r>
      <w:r w:rsidRPr="00514591">
        <w:rPr>
          <w:rFonts w:ascii="Book Antiqua" w:hAnsi="Book Antiqua"/>
          <w:color w:val="000000" w:themeColor="text1"/>
        </w:rPr>
        <w:t>ight upper quadrant; T. Bil</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T</w:t>
      </w:r>
      <w:r w:rsidRPr="00514591">
        <w:rPr>
          <w:rFonts w:ascii="Book Antiqua" w:hAnsi="Book Antiqua"/>
          <w:color w:val="000000" w:themeColor="text1"/>
        </w:rPr>
        <w:t>otal bilirubin; ULN</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U</w:t>
      </w:r>
      <w:r w:rsidRPr="00514591">
        <w:rPr>
          <w:rFonts w:ascii="Book Antiqua" w:hAnsi="Book Antiqua"/>
          <w:color w:val="000000" w:themeColor="text1"/>
        </w:rPr>
        <w:t>pper limit of normal</w:t>
      </w:r>
      <w:r w:rsidR="00DD0671">
        <w:rPr>
          <w:rFonts w:ascii="Book Antiqua" w:hAnsi="Book Antiqua" w:hint="eastAsia"/>
          <w:color w:val="000000" w:themeColor="text1"/>
          <w:lang w:eastAsia="zh-CN"/>
        </w:rPr>
        <w:t>.</w:t>
      </w:r>
    </w:p>
    <w:p w14:paraId="125D8F85" w14:textId="77777777" w:rsidR="00547ECF" w:rsidRPr="00514591" w:rsidRDefault="00547ECF" w:rsidP="00514591">
      <w:pPr>
        <w:spacing w:line="360" w:lineRule="auto"/>
        <w:jc w:val="both"/>
        <w:rPr>
          <w:rFonts w:ascii="Book Antiqua" w:hAnsi="Book Antiqua"/>
          <w:color w:val="000000" w:themeColor="text1"/>
          <w:lang w:eastAsia="zh-CN"/>
        </w:rPr>
      </w:pPr>
    </w:p>
    <w:p w14:paraId="2A57A979" w14:textId="77777777" w:rsidR="005E6C1E" w:rsidRPr="00514591" w:rsidRDefault="005E6C1E" w:rsidP="00514591">
      <w:pPr>
        <w:spacing w:line="360" w:lineRule="auto"/>
        <w:jc w:val="both"/>
        <w:rPr>
          <w:rFonts w:ascii="Book Antiqua" w:hAnsi="Book Antiqua"/>
        </w:rPr>
        <w:sectPr w:rsidR="005E6C1E" w:rsidRPr="00514591" w:rsidSect="00547ECF">
          <w:pgSz w:w="15840" w:h="12240" w:orient="landscape"/>
          <w:pgMar w:top="1440" w:right="1440" w:bottom="1440" w:left="1440" w:header="720" w:footer="720" w:gutter="0"/>
          <w:cols w:space="720"/>
          <w:docGrid w:linePitch="360"/>
        </w:sectPr>
      </w:pPr>
    </w:p>
    <w:p w14:paraId="000D5DBA" w14:textId="77777777" w:rsidR="005E6C1E" w:rsidRPr="00514591" w:rsidRDefault="005E6C1E" w:rsidP="00514591">
      <w:pPr>
        <w:spacing w:line="360" w:lineRule="auto"/>
        <w:jc w:val="both"/>
        <w:rPr>
          <w:rFonts w:ascii="Book Antiqua" w:hAnsi="Book Antiqua"/>
          <w:b/>
          <w:lang w:eastAsia="zh-CN"/>
        </w:rPr>
      </w:pPr>
      <w:r w:rsidRPr="00514591">
        <w:rPr>
          <w:rFonts w:ascii="Book Antiqua" w:hAnsi="Book Antiqua"/>
          <w:b/>
        </w:rPr>
        <w:lastRenderedPageBreak/>
        <w:t>Table 4 Comparison of management recommendations for</w:t>
      </w:r>
      <w:r w:rsidR="0095172A" w:rsidRPr="00514591">
        <w:rPr>
          <w:rFonts w:ascii="Book Antiqua" w:hAnsi="Book Antiqua"/>
          <w:b/>
        </w:rPr>
        <w:t xml:space="preserve"> </w:t>
      </w:r>
      <w:r w:rsidR="004F71CF" w:rsidRPr="00514591">
        <w:rPr>
          <w:rFonts w:ascii="Book Antiqua" w:eastAsia="Book Antiqua" w:hAnsi="Book Antiqua" w:cs="Book Antiqua"/>
          <w:b/>
          <w:color w:val="000000"/>
        </w:rPr>
        <w:t>inhibitor-related hepatotoxicity</w:t>
      </w:r>
      <w:r w:rsidR="0095172A" w:rsidRPr="00514591">
        <w:rPr>
          <w:rFonts w:ascii="Book Antiqua" w:hAnsi="Book Antiqua"/>
          <w:b/>
        </w:rPr>
        <w:t xml:space="preserve"> by major expert societies</w:t>
      </w:r>
    </w:p>
    <w:tbl>
      <w:tblPr>
        <w:tblStyle w:val="ListTable3-Accent11"/>
        <w:tblW w:w="15027" w:type="dxa"/>
        <w:tblInd w:w="-885"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277"/>
        <w:gridCol w:w="1559"/>
        <w:gridCol w:w="1843"/>
        <w:gridCol w:w="2410"/>
        <w:gridCol w:w="2899"/>
        <w:gridCol w:w="2912"/>
        <w:gridCol w:w="2127"/>
      </w:tblGrid>
      <w:tr w:rsidR="00346FFA" w:rsidRPr="00B91BDF" w14:paraId="2CDF87FC" w14:textId="77777777" w:rsidTr="00781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7" w:type="dxa"/>
            <w:tcBorders>
              <w:top w:val="single" w:sz="4" w:space="0" w:color="auto"/>
              <w:bottom w:val="single" w:sz="4" w:space="0" w:color="auto"/>
              <w:right w:val="none" w:sz="0" w:space="0" w:color="auto"/>
            </w:tcBorders>
            <w:shd w:val="clear" w:color="auto" w:fill="auto"/>
          </w:tcPr>
          <w:p w14:paraId="1BD16916" w14:textId="77777777" w:rsidR="00221E8F" w:rsidRPr="00B91BDF" w:rsidRDefault="00B91BDF" w:rsidP="00514591">
            <w:pPr>
              <w:spacing w:line="360" w:lineRule="auto"/>
              <w:jc w:val="both"/>
              <w:rPr>
                <w:rFonts w:ascii="Book Antiqua" w:eastAsiaTheme="minorEastAsia" w:hAnsi="Book Antiqua"/>
                <w:color w:val="000000" w:themeColor="text1"/>
                <w:lang w:eastAsia="zh-CN"/>
              </w:rPr>
            </w:pPr>
            <w:r w:rsidRPr="00B91BDF">
              <w:rPr>
                <w:rFonts w:ascii="Book Antiqua" w:eastAsiaTheme="minorEastAsia" w:hAnsi="Book Antiqua" w:hint="eastAsia"/>
                <w:color w:val="000000" w:themeColor="text1"/>
                <w:lang w:eastAsia="zh-CN"/>
              </w:rPr>
              <w:t>Grade</w:t>
            </w:r>
          </w:p>
        </w:tc>
        <w:tc>
          <w:tcPr>
            <w:tcW w:w="1559" w:type="dxa"/>
            <w:tcBorders>
              <w:top w:val="single" w:sz="4" w:space="0" w:color="auto"/>
              <w:bottom w:val="single" w:sz="4" w:space="0" w:color="auto"/>
            </w:tcBorders>
            <w:shd w:val="clear" w:color="auto" w:fill="auto"/>
          </w:tcPr>
          <w:p w14:paraId="4BB93388"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FDA</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&lt;EndNote&gt;&lt;Cite&gt;&lt;Author&gt;Administration&lt;/Author&gt;&lt;Year&gt;2018&lt;/Year&gt;&lt;RecNum&gt;74&lt;/RecNum&gt;&lt;DisplayText&gt;(82)&lt;/DisplayText&gt;&lt;record&gt;&lt;rec-number&gt;74&lt;/rec-number&gt;&lt;foreign-keys&gt;&lt;key app="EN" db-id="dwepv2psq9dt9ne9epe55pvjraafffxx2rtr" timestamp="1613363970"&gt;74&lt;/key&gt;&lt;/foreign-keys&gt;&lt;ref-type name="Web Page"&gt;12&lt;/ref-type&gt;&lt;contributors&gt;&lt;authors&gt;&lt;author&gt;US Food &amp;amp; Drug Administration&lt;/author&gt;&lt;/authors&gt;&lt;/contributors&gt;&lt;titles&gt;&lt;title&gt;Drugs&lt;/title&gt;&lt;/titles&gt;&lt;dates&gt;&lt;year&gt;2018&lt;/year&gt;&lt;/dates&gt;&lt;urls&gt;&lt;related-urls&gt;&lt;url&gt; https://www.fda.gov/Drugs/default.htm&lt;/url&gt;&lt;/related-urls&gt;&lt;/urls&gt;&lt;/record&gt;&lt;/Cite&gt;&lt;/EndNote&gt;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88</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1843" w:type="dxa"/>
            <w:tcBorders>
              <w:top w:val="single" w:sz="4" w:space="0" w:color="auto"/>
              <w:bottom w:val="single" w:sz="4" w:space="0" w:color="auto"/>
            </w:tcBorders>
            <w:shd w:val="clear" w:color="auto" w:fill="auto"/>
          </w:tcPr>
          <w:p w14:paraId="1AFAB4E9"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Society of Immunotherapy of Cancer</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&lt;EndNote&gt;&lt;Cite&gt;&lt;Author&gt;Puzanov&lt;/Author&gt;&lt;Year&gt;2017&lt;/Year&gt;&lt;RecNum&gt;116&lt;/RecNum&gt;&lt;DisplayText&gt;(83)&lt;/DisplayText&gt;&lt;record&gt;&lt;rec-number&gt;116&lt;/rec-number&gt;&lt;foreign-keys&gt;&lt;key app="EN" db-id="dwepv2psq9dt9ne9epe55pvjraafffxx2rtr" timestamp="1616322206"&gt;116&lt;/key&gt;&lt;/foreign-keys&gt;&lt;ref-type name="Journal Article"&gt;17&lt;/ref-type&gt;&lt;contributors&gt;&lt;authors&gt;&lt;author&gt;Puzanov, I&lt;/author&gt;&lt;author&gt;Diab, A&lt;/author&gt;&lt;author&gt;Abdallah, K&lt;/author&gt;&lt;author&gt;Bingham, CO 3rd&lt;/author&gt;&lt;author&gt;Brogdon, C&lt;/author&gt;&lt;author&gt;Dadu, R&lt;/author&gt;&lt;author&gt;Hamad, L&lt;/author&gt;&lt;author&gt;Kim, S&lt;/author&gt;&lt;author&gt;Lacouture, ME&lt;/author&gt;&lt;author&gt;LeBoeuf, NR&lt;/author&gt;&lt;/authors&gt;&lt;/contributors&gt;&lt;titles&gt;&lt;title&gt;Managing toxicities associated with immune checkpoint inhibitors: consensus recommendations from the Society for Immunotherapy of Cancer (SITC) Toxicity Management Working Group&lt;/title&gt;&lt;secondary-title&gt;Journal for immunotherapy of cancer&lt;/secondary-title&gt;&lt;/titles&gt;&lt;periodical&gt;&lt;full-title&gt;Journal for immunotherapy of cancer&lt;/full-title&gt;&lt;/periodical&gt;&lt;pages&gt;1-28&lt;/pages&gt;&lt;volume&gt;5&lt;/volume&gt;&lt;number&gt;1&lt;/number&gt;&lt;dates&gt;&lt;year&gt;2017&lt;/year&gt;&lt;/dates&gt;&lt;isbn&gt;2051-1426&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89</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410" w:type="dxa"/>
            <w:tcBorders>
              <w:top w:val="single" w:sz="4" w:space="0" w:color="auto"/>
              <w:bottom w:val="single" w:sz="4" w:space="0" w:color="auto"/>
            </w:tcBorders>
            <w:shd w:val="clear" w:color="auto" w:fill="auto"/>
          </w:tcPr>
          <w:p w14:paraId="1EFB1395"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American Society of Clinical Oncology</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&lt;EndNote&gt;&lt;Cite&gt;&lt;Author&gt;Brahmer&lt;/Author&gt;&lt;Year&gt;2018&lt;/Year&gt;&lt;RecNum&gt;117&lt;/RecNum&gt;&lt;DisplayText&gt;(84)&lt;/DisplayText&gt;&lt;record&gt;&lt;rec-number&gt;117&lt;/rec-number&gt;&lt;foreign-keys&gt;&lt;key app="EN" db-id="dwepv2psq9dt9ne9epe55pvjraafffxx2rtr" timestamp="1616322260"&gt;117&lt;/key&gt;&lt;/foreign-keys&gt;&lt;ref-type name="Journal Article"&gt;17&lt;/ref-type&gt;&lt;contributors&gt;&lt;authors&gt;&lt;author&gt;Brahmer, Julie R&lt;/author&gt;&lt;author&gt;Lacchetti, Christina&lt;/author&gt;&lt;author&gt;Schneider, Bryan J&lt;/author&gt;&lt;author&gt;Atkins, Michael B&lt;/author&gt;&lt;author&gt;Brassil, Kelly J&lt;/author&gt;&lt;author&gt;Caterino, Jeffrey M&lt;/author&gt;&lt;author&gt;Chau, Ian&lt;/author&gt;&lt;author&gt;Ernstoff, Marc S&lt;/author&gt;&lt;author&gt;Gardner, Jennifer M&lt;/author&gt;&lt;author&gt;Ginex, Pamela&lt;/author&gt;&lt;/authors&gt;&lt;/contributors&gt;&lt;titles&gt;&lt;title&gt;Management of immune-related adverse events in patients treated with immune checkpoint inhibitor therapy: American Society of Clinical Oncology Clinical Practice Guideline&lt;/title&gt;&lt;secondary-title&gt;Journal of clinical oncology: official journal of the American Society of Clinical Oncology&lt;/secondary-title&gt;&lt;/titles&gt;&lt;periodical&gt;&lt;full-title&gt;Journal of clinical oncology: official journal of the American Society of Clinical Oncology&lt;/full-title&gt;&lt;/periodical&gt;&lt;pages&gt;1714&lt;/pages&gt;&lt;volume&gt;36&lt;/volume&gt;&lt;number&gt;17&lt;/number&gt;&lt;dates&gt;&lt;year&gt;2018&lt;/year&gt;&lt;/dates&gt;&lt;urls&gt;&lt;/urls&gt;&lt;/record&gt;&lt;/Cite&gt;&lt;/EndNote&gt;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90</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899" w:type="dxa"/>
            <w:tcBorders>
              <w:top w:val="single" w:sz="4" w:space="0" w:color="auto"/>
              <w:bottom w:val="single" w:sz="4" w:space="0" w:color="auto"/>
            </w:tcBorders>
            <w:shd w:val="clear" w:color="auto" w:fill="auto"/>
          </w:tcPr>
          <w:p w14:paraId="212AF2CE"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European Society for Medical Oncology</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&lt;EndNote&gt;&lt;Cite&gt;&lt;Author&gt;Haanen&lt;/Author&gt;&lt;Year&gt;2017&lt;/Year&gt;&lt;RecNum&gt;118&lt;/RecNum&gt;&lt;DisplayText&gt;(85)&lt;/DisplayText&gt;&lt;record&gt;&lt;rec-number&gt;118&lt;/rec-number&gt;&lt;foreign-keys&gt;&lt;key app="EN" db-id="dwepv2psq9dt9ne9epe55pvjraafffxx2rtr" timestamp="1616322717"&gt;118&lt;/key&gt;&lt;/foreign-keys&gt;&lt;ref-type name="Journal Article"&gt;17&lt;/ref-type&gt;&lt;contributors&gt;&lt;authors&gt;&lt;author&gt;Haanen, JBAG&lt;/author&gt;&lt;author&gt;Carbonnel, F&lt;/author&gt;&lt;author&gt;Robert, C&lt;/author&gt;&lt;author&gt;Kerr, KM&lt;/author&gt;&lt;author&gt;Peters, S&lt;/author&gt;&lt;author&gt;Larkin, J&lt;/author&gt;&lt;author&gt;Jordan, K&lt;/author&gt;&lt;/authors&gt;&lt;/contributors&gt;&lt;titles&gt;&lt;title&gt;Management of toxicities from immunotherapy: ESMO Clinical Practice Guidelines for diagnosis, treatment and follow-up&lt;/title&gt;&lt;secondary-title&gt;Annals of Oncology&lt;/secondary-title&gt;&lt;/titles&gt;&lt;periodical&gt;&lt;full-title&gt;Annals of Oncology&lt;/full-title&gt;&lt;/periodical&gt;&lt;pages&gt;iv119-iv142&lt;/pages&gt;&lt;volume&gt;28&lt;/volume&gt;&lt;dates&gt;&lt;year&gt;2017&lt;/year&gt;&lt;/dates&gt;&lt;isbn&gt;0923-7534&lt;/isbn&gt;&lt;urls&gt;&lt;/urls&gt;&lt;/record&gt;&lt;/Cite&gt;&lt;/EndNote&gt;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91</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912" w:type="dxa"/>
            <w:tcBorders>
              <w:top w:val="single" w:sz="4" w:space="0" w:color="auto"/>
              <w:bottom w:val="single" w:sz="4" w:space="0" w:color="auto"/>
            </w:tcBorders>
            <w:shd w:val="clear" w:color="auto" w:fill="auto"/>
          </w:tcPr>
          <w:p w14:paraId="07B17ABE" w14:textId="77777777" w:rsidR="00221E8F" w:rsidRPr="00B91BDF" w:rsidRDefault="00A904BA"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 xml:space="preserve">Australian </w:t>
            </w:r>
            <w:r w:rsidR="00221E8F" w:rsidRPr="00B91BDF">
              <w:rPr>
                <w:rFonts w:ascii="Book Antiqua" w:hAnsi="Book Antiqua"/>
                <w:color w:val="000000" w:themeColor="text1"/>
              </w:rPr>
              <w:t>(eVIQ Guidelines)</w:t>
            </w:r>
            <w:r w:rsidR="00221E8F" w:rsidRPr="00B91BDF">
              <w:rPr>
                <w:rFonts w:ascii="Book Antiqua" w:hAnsi="Book Antiqua"/>
                <w:color w:val="000000" w:themeColor="text1"/>
                <w:vertAlign w:val="superscript"/>
              </w:rPr>
              <w:fldChar w:fldCharType="begin"/>
            </w:r>
            <w:r w:rsidR="00221E8F" w:rsidRPr="00B91BDF">
              <w:rPr>
                <w:rFonts w:ascii="Book Antiqua" w:hAnsi="Book Antiqua"/>
                <w:color w:val="000000" w:themeColor="text1"/>
                <w:vertAlign w:val="superscript"/>
              </w:rPr>
              <w:instrText xml:space="preserve"> ADDIN EN.CITE &lt;EndNote&gt;&lt;Cite&gt;&lt;Author&gt;eviQ&lt;/Author&gt;&lt;Year&gt;2020&lt;/Year&gt;&lt;RecNum&gt;75&lt;/RecNum&gt;&lt;DisplayText&gt;(70)&lt;/DisplayText&gt;&lt;record&gt;&lt;rec-number&gt;75&lt;/rec-number&gt;&lt;foreign-keys&gt;&lt;key app="EN" db-id="dwepv2psq9dt9ne9epe55pvjraafffxx2rtr" timestamp="1613364168"&gt;75&lt;/key&gt;&lt;/foreign-keys&gt;&lt;ref-type name="Web Page"&gt;12&lt;/ref-type&gt;&lt;contributors&gt;&lt;authors&gt;&lt;author&gt;eviQ&lt;/author&gt;&lt;/authors&gt;&lt;/contributors&gt;&lt;titles&gt;&lt;title&gt;Management of immune-related adverse events&lt;/title&gt;&lt;/titles&gt;&lt;dates&gt;&lt;year&gt;2020&lt;/year&gt;&lt;/dates&gt;&lt;urls&gt;&lt;related-urls&gt;&lt;url&gt;https://www.eviq.org.au/clinical-resources/side-effect-and-toxicity-management/immunological/1993-management-of-immune-related-adverse-events#hepatotoxicity&lt;/url&gt;&lt;/related-urls&gt;&lt;/urls&gt;&lt;/record&gt;&lt;/Cite&gt;&lt;/EndNote&gt;</w:instrText>
            </w:r>
            <w:r w:rsidR="00221E8F" w:rsidRPr="00B91BDF">
              <w:rPr>
                <w:rFonts w:ascii="Book Antiqua" w:hAnsi="Book Antiqua"/>
                <w:color w:val="000000" w:themeColor="text1"/>
                <w:vertAlign w:val="superscript"/>
              </w:rPr>
              <w:fldChar w:fldCharType="separate"/>
            </w:r>
            <w:r w:rsidR="00221E8F"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53</w:t>
            </w:r>
            <w:r w:rsidR="00221E8F" w:rsidRPr="00B91BDF">
              <w:rPr>
                <w:rFonts w:ascii="Book Antiqua" w:hAnsi="Book Antiqua"/>
                <w:noProof/>
                <w:color w:val="000000" w:themeColor="text1"/>
                <w:vertAlign w:val="superscript"/>
              </w:rPr>
              <w:t>]</w:t>
            </w:r>
            <w:r w:rsidR="00221E8F" w:rsidRPr="00B91BDF">
              <w:rPr>
                <w:rFonts w:ascii="Book Antiqua" w:hAnsi="Book Antiqua"/>
                <w:color w:val="000000" w:themeColor="text1"/>
                <w:vertAlign w:val="superscript"/>
              </w:rPr>
              <w:fldChar w:fldCharType="end"/>
            </w:r>
          </w:p>
        </w:tc>
        <w:tc>
          <w:tcPr>
            <w:tcW w:w="2127" w:type="dxa"/>
            <w:tcBorders>
              <w:top w:val="single" w:sz="4" w:space="0" w:color="auto"/>
              <w:bottom w:val="single" w:sz="4" w:space="0" w:color="auto"/>
            </w:tcBorders>
            <w:shd w:val="clear" w:color="auto" w:fill="auto"/>
          </w:tcPr>
          <w:p w14:paraId="3EBE7D73"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European Association for the Study of Liver</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&lt;EndNote&gt;&lt;Cite&gt;&lt;Author&gt;Andrade&lt;/Author&gt;&lt;Year&gt;2019&lt;/Year&gt;&lt;RecNum&gt;60&lt;/RecNum&gt;&lt;DisplayText&gt;(69)&lt;/DisplayText&gt;&lt;record&gt;&lt;rec-number&gt;60&lt;/rec-number&gt;&lt;foreign-keys&gt;&lt;key app="EN" db-id="dwepv2psq9dt9ne9epe55pvjraafffxx2rtr" timestamp="1613307902"&gt;60&lt;/key&gt;&lt;/foreign-keys&gt;&lt;ref-type name="Journal Article"&gt;17&lt;/ref-type&gt;&lt;contributors&gt;&lt;authors&gt;&lt;author&gt;Andrade, Raúl J&lt;/author&gt;&lt;author&gt;Aithal, Guruprasad P&lt;/author&gt;&lt;author&gt;Björnsson, Einar S&lt;/author&gt;&lt;author&gt;Kaplowitz, Neil&lt;/author&gt;&lt;author&gt;Kullak-Ublick, Gerd A&lt;/author&gt;&lt;author&gt;Larrey, Dominique&lt;/author&gt;&lt;author&gt;Karlsen, Tom H&lt;/author&gt;&lt;author&gt;European Association for the Study of the Liver&lt;/author&gt;&lt;/authors&gt;&lt;/contributors&gt;&lt;titles&gt;&lt;title&gt;EASL clinical practice guidelines: drug-induced liver injury&lt;/title&gt;&lt;secondary-title&gt;Journal of hepatology&lt;/secondary-title&gt;&lt;/titles&gt;&lt;periodical&gt;&lt;full-title&gt;Journal of hepatology&lt;/full-title&gt;&lt;/periodical&gt;&lt;pages&gt;1222-1261&lt;/pages&gt;&lt;volume&gt;70&lt;/volume&gt;&lt;number&gt;6&lt;/number&gt;&lt;dates&gt;&lt;year&gt;2019&lt;/year&gt;&lt;/dates&gt;&lt;isbn&gt;0168-8278&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52</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r>
      <w:tr w:rsidR="00346FFA" w:rsidRPr="00514591" w14:paraId="4C59C1E3" w14:textId="77777777" w:rsidTr="00781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bottom w:val="none" w:sz="0" w:space="0" w:color="auto"/>
              <w:right w:val="none" w:sz="0" w:space="0" w:color="auto"/>
            </w:tcBorders>
            <w:shd w:val="clear" w:color="auto" w:fill="auto"/>
          </w:tcPr>
          <w:p w14:paraId="167094E8"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t>Grade 1</w:t>
            </w:r>
          </w:p>
        </w:tc>
        <w:tc>
          <w:tcPr>
            <w:tcW w:w="1559" w:type="dxa"/>
            <w:tcBorders>
              <w:top w:val="single" w:sz="4" w:space="0" w:color="auto"/>
              <w:bottom w:val="none" w:sz="0" w:space="0" w:color="auto"/>
            </w:tcBorders>
            <w:shd w:val="clear" w:color="auto" w:fill="auto"/>
          </w:tcPr>
          <w:p w14:paraId="780D5142" w14:textId="77777777" w:rsidR="00221E8F" w:rsidRPr="000C079F"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 xml:space="preserve">; (2)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 xml:space="preserve">; and (3) </w:t>
            </w:r>
            <w:r w:rsidR="00221E8F" w:rsidRPr="00514591">
              <w:rPr>
                <w:rFonts w:ascii="Book Antiqua" w:hAnsi="Book Antiqua"/>
                <w:color w:val="000000" w:themeColor="text1"/>
              </w:rPr>
              <w:t>Investigate for other causes of hepatitis</w:t>
            </w:r>
          </w:p>
        </w:tc>
        <w:tc>
          <w:tcPr>
            <w:tcW w:w="1843" w:type="dxa"/>
            <w:tcBorders>
              <w:top w:val="single" w:sz="4" w:space="0" w:color="auto"/>
              <w:bottom w:val="none" w:sz="0" w:space="0" w:color="auto"/>
            </w:tcBorders>
            <w:shd w:val="clear" w:color="auto" w:fill="auto"/>
          </w:tcPr>
          <w:p w14:paraId="31F34E08" w14:textId="77777777" w:rsidR="00221E8F" w:rsidRPr="00514591"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and (3) </w:t>
            </w:r>
            <w:r w:rsidR="00221E8F" w:rsidRPr="00514591">
              <w:rPr>
                <w:rFonts w:ascii="Book Antiqua" w:hAnsi="Book Antiqua"/>
                <w:color w:val="000000" w:themeColor="text1"/>
              </w:rPr>
              <w:t>Investigate for other causes of hepatitis</w:t>
            </w:r>
          </w:p>
        </w:tc>
        <w:tc>
          <w:tcPr>
            <w:tcW w:w="2410" w:type="dxa"/>
            <w:tcBorders>
              <w:top w:val="single" w:sz="4" w:space="0" w:color="auto"/>
              <w:bottom w:val="none" w:sz="0" w:space="0" w:color="auto"/>
            </w:tcBorders>
            <w:shd w:val="clear" w:color="auto" w:fill="auto"/>
          </w:tcPr>
          <w:p w14:paraId="5E0568E3" w14:textId="77777777" w:rsidR="00221E8F" w:rsidRPr="00514591"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(3) </w:t>
            </w:r>
            <w:r w:rsidR="00221E8F" w:rsidRPr="00514591">
              <w:rPr>
                <w:rFonts w:ascii="Book Antiqua" w:hAnsi="Book Antiqua"/>
                <w:color w:val="000000" w:themeColor="text1"/>
              </w:rPr>
              <w:t>Check LFTs twice a week</w:t>
            </w:r>
            <w:r>
              <w:rPr>
                <w:rFonts w:ascii="Book Antiqua" w:eastAsiaTheme="minorEastAsia" w:hAnsi="Book Antiqua" w:hint="eastAsia"/>
                <w:color w:val="000000" w:themeColor="text1"/>
                <w:lang w:eastAsia="zh-CN"/>
              </w:rPr>
              <w:t xml:space="preserve">; and (4) </w:t>
            </w:r>
            <w:r w:rsidR="00221E8F" w:rsidRPr="00514591">
              <w:rPr>
                <w:rFonts w:ascii="Book Antiqua" w:hAnsi="Book Antiqua"/>
                <w:color w:val="000000" w:themeColor="text1"/>
              </w:rPr>
              <w:t>Investigate for other causes of hepatitis</w:t>
            </w:r>
          </w:p>
        </w:tc>
        <w:tc>
          <w:tcPr>
            <w:tcW w:w="2899" w:type="dxa"/>
            <w:tcBorders>
              <w:top w:val="single" w:sz="4" w:space="0" w:color="auto"/>
              <w:bottom w:val="none" w:sz="0" w:space="0" w:color="auto"/>
            </w:tcBorders>
            <w:shd w:val="clear" w:color="auto" w:fill="auto"/>
          </w:tcPr>
          <w:p w14:paraId="1095C075" w14:textId="77777777" w:rsidR="00221E8F" w:rsidRPr="00514591" w:rsidRDefault="000C079F" w:rsidP="007C25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Continue ICI</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Check LFTs weekly</w:t>
            </w:r>
            <w:r w:rsidR="007C257B">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Investigate for other causes of hepatitis</w:t>
            </w:r>
          </w:p>
        </w:tc>
        <w:tc>
          <w:tcPr>
            <w:tcW w:w="2912" w:type="dxa"/>
            <w:tcBorders>
              <w:top w:val="single" w:sz="4" w:space="0" w:color="auto"/>
              <w:bottom w:val="none" w:sz="0" w:space="0" w:color="auto"/>
            </w:tcBorders>
            <w:shd w:val="clear" w:color="auto" w:fill="auto"/>
          </w:tcPr>
          <w:p w14:paraId="5C0502DF" w14:textId="77777777" w:rsidR="00221E8F" w:rsidRPr="007C257B" w:rsidRDefault="000C079F" w:rsidP="007C25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Continue ICI</w:t>
            </w:r>
            <w:r w:rsidR="007C257B">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Monitor LFTs more closely</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sidR="007C257B">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Investigate for other causes of hepatitis</w:t>
            </w:r>
          </w:p>
        </w:tc>
        <w:tc>
          <w:tcPr>
            <w:tcW w:w="2127" w:type="dxa"/>
            <w:tcBorders>
              <w:top w:val="single" w:sz="4" w:space="0" w:color="auto"/>
              <w:bottom w:val="none" w:sz="0" w:space="0" w:color="auto"/>
            </w:tcBorders>
            <w:shd w:val="clear" w:color="auto" w:fill="auto"/>
          </w:tcPr>
          <w:p w14:paraId="474C11F5" w14:textId="77777777" w:rsidR="00221E8F" w:rsidRPr="00514591" w:rsidRDefault="00221E8F"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If irAEs are excluded (unlikely or unrelated) continue therapy</w:t>
            </w:r>
            <w:r w:rsidR="000C079F">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with close follow-up. Start symptomatic treatment</w:t>
            </w:r>
          </w:p>
        </w:tc>
      </w:tr>
      <w:tr w:rsidR="00346FFA" w:rsidRPr="00514591" w14:paraId="7659E259" w14:textId="77777777" w:rsidTr="00B91BDF">
        <w:tc>
          <w:tcPr>
            <w:cnfStyle w:val="001000000000" w:firstRow="0" w:lastRow="0" w:firstColumn="1" w:lastColumn="0" w:oddVBand="0" w:evenVBand="0" w:oddHBand="0" w:evenHBand="0" w:firstRowFirstColumn="0" w:firstRowLastColumn="0" w:lastRowFirstColumn="0" w:lastRowLastColumn="0"/>
            <w:tcW w:w="1277" w:type="dxa"/>
            <w:tcBorders>
              <w:right w:val="none" w:sz="0" w:space="0" w:color="auto"/>
            </w:tcBorders>
            <w:shd w:val="clear" w:color="auto" w:fill="auto"/>
          </w:tcPr>
          <w:p w14:paraId="2A701229"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t>Grade 2</w:t>
            </w:r>
          </w:p>
        </w:tc>
        <w:tc>
          <w:tcPr>
            <w:tcW w:w="1559" w:type="dxa"/>
            <w:shd w:val="clear" w:color="auto" w:fill="auto"/>
          </w:tcPr>
          <w:p w14:paraId="28756991" w14:textId="77777777" w:rsidR="00221E8F" w:rsidRPr="007B6DB0" w:rsidRDefault="007B6DB0" w:rsidP="007B6DB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Withhold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Investigate for other causes of hepatitis</w:t>
            </w:r>
            <w:r>
              <w:rPr>
                <w:rFonts w:ascii="Book Antiqua" w:eastAsiaTheme="minorEastAsia" w:hAnsi="Book Antiqua" w:hint="eastAsia"/>
                <w:color w:val="000000" w:themeColor="text1"/>
                <w:lang w:eastAsia="zh-CN"/>
              </w:rPr>
              <w:t>; (3)</w:t>
            </w:r>
            <w:r>
              <w:rPr>
                <w:rFonts w:ascii="Book Antiqua" w:hAnsi="Book Antiqua"/>
                <w:color w:val="000000" w:themeColor="text1"/>
              </w:rPr>
              <w:t xml:space="preserve"> </w:t>
            </w:r>
            <w:r>
              <w:rPr>
                <w:rFonts w:ascii="Book Antiqua" w:hAnsi="Book Antiqua"/>
                <w:color w:val="000000" w:themeColor="text1"/>
              </w:rPr>
              <w:lastRenderedPageBreak/>
              <w:t>Start 0.5–1.0 mg/kg/d</w:t>
            </w:r>
            <w:r w:rsidR="00221E8F" w:rsidRPr="00514591">
              <w:rPr>
                <w:rFonts w:ascii="Book Antiqua" w:hAnsi="Book Antiqua"/>
                <w:color w:val="000000" w:themeColor="text1"/>
              </w:rPr>
              <w:t xml:space="preserve"> of prednisone Po until LFTs improve to &lt; Grade 1 then wean steroids</w:t>
            </w:r>
            <w:r>
              <w:rPr>
                <w:rFonts w:ascii="Book Antiqua" w:eastAsiaTheme="minorEastAsia" w:hAnsi="Book Antiqua" w:hint="eastAsia"/>
                <w:color w:val="000000" w:themeColor="text1"/>
                <w:lang w:eastAsia="zh-CN"/>
              </w:rPr>
              <w:t>; and (4)</w:t>
            </w:r>
            <w:r w:rsidR="00221E8F" w:rsidRPr="00514591">
              <w:rPr>
                <w:rFonts w:ascii="Book Antiqua" w:hAnsi="Book Antiqua"/>
                <w:color w:val="000000" w:themeColor="text1"/>
              </w:rPr>
              <w:t xml:space="preserve"> Consider restarting when on less than equivalent of prednisone 7.5 mg/d</w:t>
            </w:r>
          </w:p>
        </w:tc>
        <w:tc>
          <w:tcPr>
            <w:tcW w:w="1843" w:type="dxa"/>
            <w:shd w:val="clear" w:color="auto" w:fill="auto"/>
          </w:tcPr>
          <w:p w14:paraId="3B5F9BC5" w14:textId="77777777" w:rsidR="00221E8F" w:rsidRPr="00E02A88" w:rsidRDefault="007B6DB0" w:rsidP="00E02A8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Sta</w:t>
            </w:r>
            <w:r w:rsidR="00E02A88">
              <w:rPr>
                <w:rFonts w:ascii="Book Antiqua" w:hAnsi="Book Antiqua"/>
                <w:color w:val="000000" w:themeColor="text1"/>
              </w:rPr>
              <w:t xml:space="preserve">rt prednisone </w:t>
            </w:r>
            <w:r w:rsidR="00E02A88">
              <w:rPr>
                <w:rFonts w:ascii="Book Antiqua" w:hAnsi="Book Antiqua"/>
                <w:color w:val="000000" w:themeColor="text1"/>
              </w:rPr>
              <w:lastRenderedPageBreak/>
              <w:t>0.5–1 mg/kg/d Po (or equivalent) with a 4-w</w:t>
            </w:r>
            <w:r w:rsidR="00221E8F" w:rsidRPr="00514591">
              <w:rPr>
                <w:rFonts w:ascii="Book Antiqua" w:hAnsi="Book Antiqua"/>
                <w:color w:val="000000" w:themeColor="text1"/>
              </w:rPr>
              <w:t>k taper</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Monitor LFTs twice a week</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Liver biopsy optional</w:t>
            </w:r>
            <w:r w:rsidR="00E02A88">
              <w:rPr>
                <w:rFonts w:ascii="Book Antiqua" w:eastAsiaTheme="minorEastAsia" w:hAnsi="Book Antiqua" w:hint="eastAsia"/>
                <w:color w:val="000000" w:themeColor="text1"/>
                <w:lang w:eastAsia="zh-CN"/>
              </w:rPr>
              <w:t xml:space="preserve">; </w:t>
            </w:r>
            <w:r w:rsidR="009B4D6C">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w:t>
            </w:r>
            <w:r w:rsidR="00E02A88">
              <w:rPr>
                <w:rFonts w:ascii="Book Antiqua" w:hAnsi="Book Antiqua"/>
                <w:color w:val="000000" w:themeColor="text1"/>
              </w:rPr>
              <w:t>en steroids tapered to 10 mg/d</w:t>
            </w:r>
            <w:r w:rsidR="00221E8F" w:rsidRPr="00514591">
              <w:rPr>
                <w:rFonts w:ascii="Book Antiqua" w:hAnsi="Book Antiqua"/>
                <w:color w:val="000000" w:themeColor="text1"/>
              </w:rPr>
              <w:t xml:space="preserve"> and liver enzymes are grade 1 level or better</w:t>
            </w:r>
          </w:p>
        </w:tc>
        <w:tc>
          <w:tcPr>
            <w:tcW w:w="2410" w:type="dxa"/>
            <w:shd w:val="clear" w:color="auto" w:fill="auto"/>
          </w:tcPr>
          <w:p w14:paraId="5DE7A1F7" w14:textId="77777777" w:rsidR="00221E8F" w:rsidRPr="00A468C3" w:rsidRDefault="007B6DB0" w:rsidP="00A468C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A468C3">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A468C3">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A468C3">
              <w:rPr>
                <w:rFonts w:ascii="Book Antiqua" w:hAnsi="Book Antiqua"/>
                <w:color w:val="000000" w:themeColor="text1"/>
              </w:rPr>
              <w:t xml:space="preserve"> Monitor LFTs every 3 d</w:t>
            </w:r>
            <w:r w:rsidR="00221E8F" w:rsidRPr="00514591">
              <w:rPr>
                <w:rFonts w:ascii="Book Antiqua" w:hAnsi="Book Antiqua"/>
                <w:color w:val="000000" w:themeColor="text1"/>
              </w:rPr>
              <w:t xml:space="preserve"> and if no improvement </w:t>
            </w:r>
            <w:r w:rsidR="00A468C3">
              <w:rPr>
                <w:rFonts w:ascii="Book Antiqua" w:hAnsi="Book Antiqua"/>
                <w:color w:val="000000" w:themeColor="text1"/>
              </w:rPr>
              <w:t xml:space="preserve">start prednisone 0.5–1 </w:t>
            </w:r>
            <w:r w:rsidR="00A468C3">
              <w:rPr>
                <w:rFonts w:ascii="Book Antiqua" w:hAnsi="Book Antiqua"/>
                <w:color w:val="000000" w:themeColor="text1"/>
              </w:rPr>
              <w:lastRenderedPageBreak/>
              <w:t>mg/kg/d</w:t>
            </w:r>
            <w:r w:rsidR="00221E8F" w:rsidRPr="00514591">
              <w:rPr>
                <w:rFonts w:ascii="Book Antiqua" w:hAnsi="Book Antiqua"/>
                <w:color w:val="000000" w:themeColor="text1"/>
              </w:rPr>
              <w:t xml:space="preserve"> Po (or equivalent)</w:t>
            </w:r>
            <w:r w:rsidR="00A468C3">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A468C3">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when LFTs </w:t>
            </w:r>
            <w:r w:rsidR="00221E8F" w:rsidRPr="00514591">
              <w:rPr>
                <w:rFonts w:ascii="Book Antiqua" w:hAnsi="Book Antiqua"/>
                <w:color w:val="000000" w:themeColor="text1"/>
              </w:rPr>
              <w:sym w:font="Symbol" w:char="F0A3"/>
            </w:r>
            <w:r w:rsidR="00221E8F" w:rsidRPr="00514591">
              <w:rPr>
                <w:rFonts w:ascii="Book Antiqua" w:hAnsi="Book Antiqua"/>
                <w:color w:val="000000" w:themeColor="text1"/>
              </w:rPr>
              <w:t xml:space="preserve"> grade 1 level while on</w:t>
            </w:r>
            <w:r w:rsidR="00290132">
              <w:rPr>
                <w:rFonts w:ascii="Book Antiqua" w:hAnsi="Book Antiqua"/>
                <w:color w:val="000000" w:themeColor="text1"/>
              </w:rPr>
              <w:t xml:space="preserve"> less than prednisolone 10</w:t>
            </w:r>
            <w:r w:rsidR="00290132">
              <w:rPr>
                <w:rFonts w:ascii="Book Antiqua" w:eastAsiaTheme="minorEastAsia" w:hAnsi="Book Antiqua" w:hint="eastAsia"/>
                <w:color w:val="000000" w:themeColor="text1"/>
                <w:lang w:eastAsia="zh-CN"/>
              </w:rPr>
              <w:t xml:space="preserve"> </w:t>
            </w:r>
            <w:r w:rsidR="00290132">
              <w:rPr>
                <w:rFonts w:ascii="Book Antiqua" w:hAnsi="Book Antiqua"/>
                <w:color w:val="000000" w:themeColor="text1"/>
              </w:rPr>
              <w:t>mg/d</w:t>
            </w:r>
            <w:r w:rsidR="00221E8F" w:rsidRPr="00514591">
              <w:rPr>
                <w:rFonts w:ascii="Book Antiqua" w:hAnsi="Book Antiqua"/>
                <w:color w:val="000000" w:themeColor="text1"/>
              </w:rPr>
              <w:t xml:space="preserve"> (taper over a month)</w:t>
            </w:r>
          </w:p>
        </w:tc>
        <w:tc>
          <w:tcPr>
            <w:tcW w:w="2899" w:type="dxa"/>
            <w:shd w:val="clear" w:color="auto" w:fill="auto"/>
          </w:tcPr>
          <w:p w14:paraId="1A3D72EC" w14:textId="77777777" w:rsidR="00221E8F" w:rsidRPr="00934551" w:rsidRDefault="007B6DB0" w:rsidP="0093455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Recheck LFTs/INR every 3 d</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If LFTs increase on subsequent check</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after stopping </w:t>
            </w:r>
            <w:r w:rsidR="00221E8F" w:rsidRPr="00514591">
              <w:rPr>
                <w:rFonts w:ascii="Book Antiqua" w:hAnsi="Book Antiqua"/>
                <w:color w:val="000000" w:themeColor="text1"/>
              </w:rPr>
              <w:lastRenderedPageBreak/>
              <w:t>checkpoint inhibitor,</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sta</w:t>
            </w:r>
            <w:r w:rsidR="00934551">
              <w:rPr>
                <w:rFonts w:ascii="Book Antiqua" w:hAnsi="Book Antiqua"/>
                <w:color w:val="000000" w:themeColor="text1"/>
              </w:rPr>
              <w:t>rt oral prednisolone 1 mg/kg/d</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34551">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return to grade 1, start</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weaning steroids</w:t>
            </w:r>
            <w:r w:rsidR="00934551">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934551">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when liver enzymes are grade 1 level or better while on less than prednisolone 10</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mg/d</w:t>
            </w:r>
          </w:p>
        </w:tc>
        <w:tc>
          <w:tcPr>
            <w:tcW w:w="2912" w:type="dxa"/>
            <w:shd w:val="clear" w:color="auto" w:fill="auto"/>
          </w:tcPr>
          <w:p w14:paraId="426E9AAE" w14:textId="77777777" w:rsidR="00221E8F" w:rsidRPr="00FA0656" w:rsidRDefault="007B6DB0" w:rsidP="00FA06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Monitor LFTs every 3 d</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Investigate for other causes of hepatitis</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Consider corticosteroid therapy for patients who are symptomatic or </w:t>
            </w:r>
            <w:r w:rsidR="00221E8F" w:rsidRPr="00514591">
              <w:rPr>
                <w:rFonts w:ascii="Book Antiqua" w:hAnsi="Book Antiqua"/>
                <w:color w:val="000000" w:themeColor="text1"/>
              </w:rPr>
              <w:lastRenderedPageBreak/>
              <w:t>worsening LFTs</w:t>
            </w:r>
            <w:r w:rsidR="00FA0656">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Resume ICI treatment once corticosteroid treatment is</w:t>
            </w:r>
            <w:r w:rsidR="00FA0656">
              <w:rPr>
                <w:rFonts w:ascii="Book Antiqua" w:hAnsi="Book Antiqua"/>
                <w:color w:val="000000" w:themeColor="text1"/>
              </w:rPr>
              <w:t xml:space="preserve"> complete and tapered over 4 w</w:t>
            </w:r>
            <w:r w:rsidR="00221E8F" w:rsidRPr="00514591">
              <w:rPr>
                <w:rFonts w:ascii="Book Antiqua" w:hAnsi="Book Antiqua"/>
                <w:color w:val="000000" w:themeColor="text1"/>
              </w:rPr>
              <w:t>k</w:t>
            </w:r>
          </w:p>
        </w:tc>
        <w:tc>
          <w:tcPr>
            <w:tcW w:w="2127" w:type="dxa"/>
            <w:shd w:val="clear" w:color="auto" w:fill="auto"/>
          </w:tcPr>
          <w:p w14:paraId="2830E1F9" w14:textId="77777777" w:rsidR="00221E8F" w:rsidRPr="00AE63F3" w:rsidRDefault="007B6DB0" w:rsidP="00AE63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Skip dose and monitor liver parameters, INR and albumin</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twice weekly</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Start symptomatic </w:t>
            </w:r>
            <w:r w:rsidR="00221E8F" w:rsidRPr="00514591">
              <w:rPr>
                <w:rFonts w:ascii="Book Antiqua" w:hAnsi="Book Antiqua"/>
                <w:color w:val="000000" w:themeColor="text1"/>
              </w:rPr>
              <w:lastRenderedPageBreak/>
              <w:t>treatment</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If abnormal liver</w:t>
            </w:r>
            <w:r w:rsidR="00AE63F3">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para</w:t>
            </w:r>
            <w:r w:rsidR="00FA0656">
              <w:rPr>
                <w:rFonts w:ascii="Book Antiqua" w:hAnsi="Book Antiqua"/>
                <w:color w:val="000000" w:themeColor="text1"/>
              </w:rPr>
              <w:t>meters persist longer than 2 wk</w:t>
            </w:r>
            <w:r w:rsidR="00221E8F" w:rsidRPr="00514591">
              <w:rPr>
                <w:rFonts w:ascii="Book Antiqua" w:hAnsi="Book Antiqua"/>
                <w:color w:val="000000" w:themeColor="text1"/>
              </w:rPr>
              <w:t>, start</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immunosuppression and discontinue the drug</w:t>
            </w:r>
            <w:r w:rsidR="00FA0656">
              <w:rPr>
                <w:rFonts w:ascii="Book Antiqua" w:eastAsiaTheme="minorEastAsia" w:hAnsi="Book Antiqua" w:hint="eastAsia"/>
                <w:color w:val="000000" w:themeColor="text1"/>
                <w:lang w:eastAsia="zh-CN"/>
              </w:rPr>
              <w:t>;</w:t>
            </w:r>
            <w:r w:rsidR="00AE63F3">
              <w:rPr>
                <w:rFonts w:ascii="Book Antiqua" w:eastAsiaTheme="minorEastAsia" w:hAnsi="Book Antiqua" w:hint="eastAsia"/>
                <w:color w:val="000000" w:themeColor="text1"/>
                <w:lang w:eastAsia="zh-CN"/>
              </w:rPr>
              <w:t xml:space="preserve"> and </w:t>
            </w:r>
            <w:r w:rsidR="00FA0656">
              <w:rPr>
                <w:rFonts w:ascii="Book Antiqua" w:eastAsiaTheme="minorEastAsia" w:hAnsi="Book Antiqua" w:hint="eastAsia"/>
                <w:color w:val="000000" w:themeColor="text1"/>
                <w:lang w:eastAsia="zh-CN"/>
              </w:rPr>
              <w:t>(</w:t>
            </w:r>
            <w:r w:rsidR="00AE63F3">
              <w:rPr>
                <w:rFonts w:ascii="Book Antiqua" w:eastAsiaTheme="minorEastAsia" w:hAnsi="Book Antiqua" w:hint="eastAsia"/>
                <w:color w:val="000000" w:themeColor="text1"/>
                <w:lang w:eastAsia="zh-CN"/>
              </w:rPr>
              <w:t>4</w:t>
            </w:r>
            <w:r w:rsidR="00FA0656">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Upon</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improvement immunotherapy could be resumed after</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corticosteroid tapering</w:t>
            </w:r>
          </w:p>
        </w:tc>
      </w:tr>
      <w:tr w:rsidR="00346FFA" w:rsidRPr="00514591" w14:paraId="17030787" w14:textId="77777777" w:rsidTr="00B91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right w:val="none" w:sz="0" w:space="0" w:color="auto"/>
            </w:tcBorders>
            <w:shd w:val="clear" w:color="auto" w:fill="auto"/>
          </w:tcPr>
          <w:p w14:paraId="714D68D0"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lastRenderedPageBreak/>
              <w:t>Grade 3</w:t>
            </w:r>
          </w:p>
        </w:tc>
        <w:tc>
          <w:tcPr>
            <w:tcW w:w="1559" w:type="dxa"/>
            <w:tcBorders>
              <w:top w:val="none" w:sz="0" w:space="0" w:color="auto"/>
              <w:bottom w:val="none" w:sz="0" w:space="0" w:color="auto"/>
            </w:tcBorders>
            <w:shd w:val="clear" w:color="auto" w:fill="auto"/>
          </w:tcPr>
          <w:p w14:paraId="41BAF6C3" w14:textId="77777777" w:rsidR="00221E8F" w:rsidRPr="00AE63F3" w:rsidRDefault="00AE63F3" w:rsidP="00AE63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(1)</w:t>
            </w:r>
            <w:r w:rsidR="00221E8F" w:rsidRPr="00514591">
              <w:rPr>
                <w:rFonts w:ascii="Book Antiqua" w:hAnsi="Book Antiqua"/>
                <w:color w:val="000000" w:themeColor="text1"/>
              </w:rPr>
              <w:t xml:space="preserve"> Permanentl</w:t>
            </w:r>
            <w:r w:rsidR="00221E8F" w:rsidRPr="00514591">
              <w:rPr>
                <w:rFonts w:ascii="Book Antiqua" w:hAnsi="Book Antiqua"/>
                <w:color w:val="000000" w:themeColor="text1"/>
              </w:rPr>
              <w:lastRenderedPageBreak/>
              <w:t>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Consider imaging and liver biopsy while assessing for alternative causes of hepatitis</w:t>
            </w:r>
          </w:p>
        </w:tc>
        <w:tc>
          <w:tcPr>
            <w:tcW w:w="1843" w:type="dxa"/>
            <w:tcBorders>
              <w:top w:val="none" w:sz="0" w:space="0" w:color="auto"/>
              <w:bottom w:val="none" w:sz="0" w:space="0" w:color="auto"/>
            </w:tcBorders>
            <w:shd w:val="clear" w:color="auto" w:fill="auto"/>
          </w:tcPr>
          <w:p w14:paraId="3C9972C7" w14:textId="77777777" w:rsidR="00221E8F" w:rsidRPr="00AE63F3" w:rsidRDefault="00AE63F3" w:rsidP="00AE63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w:t>
            </w:r>
            <w:r w:rsidR="00221E8F" w:rsidRPr="00514591">
              <w:rPr>
                <w:rFonts w:ascii="Book Antiqua" w:hAnsi="Book Antiqua"/>
                <w:color w:val="000000" w:themeColor="text1"/>
              </w:rPr>
              <w:lastRenderedPageBreak/>
              <w:t>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Monitor complete metabolic panel every 1–2 d</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(or equivalent)</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If refractory to steroids, consider adding MMF. Once LFTs improve,</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taper over 4 w</w:t>
            </w:r>
            <w:r>
              <w:rPr>
                <w:rFonts w:ascii="Book Antiqua" w:eastAsiaTheme="minorEastAsia" w:hAnsi="Book Antiqua" w:hint="eastAsia"/>
                <w:color w:val="000000" w:themeColor="text1"/>
                <w:lang w:eastAsia="zh-CN"/>
              </w:rPr>
              <w:t>k;</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and (5)</w:t>
            </w:r>
            <w:r w:rsidR="00221E8F" w:rsidRPr="00514591">
              <w:rPr>
                <w:rFonts w:ascii="Book Antiqua" w:hAnsi="Book Antiqua"/>
                <w:color w:val="000000" w:themeColor="text1"/>
              </w:rPr>
              <w:t xml:space="preserve"> Consider liver biopsy</w:t>
            </w:r>
          </w:p>
        </w:tc>
        <w:tc>
          <w:tcPr>
            <w:tcW w:w="2410" w:type="dxa"/>
            <w:tcBorders>
              <w:top w:val="none" w:sz="0" w:space="0" w:color="auto"/>
              <w:bottom w:val="none" w:sz="0" w:space="0" w:color="auto"/>
            </w:tcBorders>
            <w:shd w:val="clear" w:color="auto" w:fill="auto"/>
          </w:tcPr>
          <w:p w14:paraId="65D51142" w14:textId="77777777" w:rsidR="00221E8F" w:rsidRPr="002E4EE4" w:rsidRDefault="00AE63F3" w:rsidP="002E4EE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w:t>
            </w:r>
            <w:r w:rsidR="00221E8F" w:rsidRPr="00514591">
              <w:rPr>
                <w:rFonts w:ascii="Book Antiqua" w:hAnsi="Book Antiqua"/>
                <w:color w:val="000000" w:themeColor="text1"/>
              </w:rPr>
              <w:lastRenderedPageBreak/>
              <w:t>medication</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hospitaliz</w:t>
            </w:r>
            <w:r w:rsidR="002E4EE4">
              <w:rPr>
                <w:rFonts w:ascii="Book Antiqua" w:hAnsi="Book Antiqua"/>
                <w:color w:val="000000" w:themeColor="text1"/>
              </w:rPr>
              <w:t>ation and start IV 1–2 mg/kg/d</w:t>
            </w:r>
            <w:r w:rsidR="002E4EE4">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If no improvement in 3 d consider adding secondary agent</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Monitor LFTs daily/every other day</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Pr>
                <w:rFonts w:ascii="Book Antiqua" w:hAnsi="Book Antiqua"/>
                <w:color w:val="000000" w:themeColor="text1"/>
              </w:rPr>
              <w:t xml:space="preserve"> </w:t>
            </w:r>
            <w:r w:rsidR="00221E8F" w:rsidRPr="00514591">
              <w:rPr>
                <w:rFonts w:ascii="Book Antiqua" w:hAnsi="Book Antiqua"/>
                <w:color w:val="000000" w:themeColor="text1"/>
              </w:rPr>
              <w:t>Once LFTs improve will need to wean</w:t>
            </w:r>
            <w:r w:rsidR="002E4EE4">
              <w:rPr>
                <w:rFonts w:ascii="Book Antiqua" w:eastAsiaTheme="minorEastAsia" w:hAnsi="Book Antiqua" w:hint="eastAsia"/>
                <w:color w:val="000000" w:themeColor="text1"/>
                <w:lang w:eastAsia="zh-CN"/>
              </w:rPr>
              <w:t xml:space="preserve"> </w:t>
            </w:r>
            <w:r w:rsidR="002E4EE4">
              <w:rPr>
                <w:rFonts w:ascii="Book Antiqua" w:hAnsi="Book Antiqua"/>
                <w:color w:val="000000" w:themeColor="text1"/>
              </w:rPr>
              <w:t>steroids over 4–6 w</w:t>
            </w:r>
            <w:r w:rsidR="00221E8F" w:rsidRPr="00514591">
              <w:rPr>
                <w:rFonts w:ascii="Book Antiqua" w:hAnsi="Book Antiqua"/>
                <w:color w:val="000000" w:themeColor="text1"/>
              </w:rPr>
              <w:t>k</w:t>
            </w:r>
            <w:r w:rsidR="002E4EE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Do not offer infliximab</w:t>
            </w:r>
          </w:p>
        </w:tc>
        <w:tc>
          <w:tcPr>
            <w:tcW w:w="2899" w:type="dxa"/>
            <w:tcBorders>
              <w:top w:val="none" w:sz="0" w:space="0" w:color="auto"/>
              <w:bottom w:val="none" w:sz="0" w:space="0" w:color="auto"/>
            </w:tcBorders>
            <w:shd w:val="clear" w:color="auto" w:fill="auto"/>
          </w:tcPr>
          <w:p w14:paraId="3A04106E" w14:textId="77777777" w:rsidR="00221E8F" w:rsidRPr="006B1706"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Investigate for other </w:t>
            </w:r>
            <w:r w:rsidR="00221E8F" w:rsidRPr="00514591">
              <w:rPr>
                <w:rFonts w:ascii="Book Antiqua" w:hAnsi="Book Antiqua"/>
                <w:color w:val="000000" w:themeColor="text1"/>
              </w:rPr>
              <w:lastRenderedPageBreak/>
              <w:t>causes of hepatitis</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Recheck LFTs/INR daily</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hospitalization</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6B1706">
              <w:rPr>
                <w:rFonts w:ascii="Book Antiqua" w:hAnsi="Book Antiqua"/>
                <w:color w:val="000000" w:themeColor="text1"/>
              </w:rPr>
              <w:t xml:space="preserve"> Start prednisolone 1 mg/kg/d</w:t>
            </w:r>
            <w:r w:rsidR="00221E8F" w:rsidRPr="00514591">
              <w:rPr>
                <w:rFonts w:ascii="Book Antiqua" w:hAnsi="Book Antiqua"/>
                <w:color w:val="000000" w:themeColor="text1"/>
              </w:rPr>
              <w:t xml:space="preserve"> Po if</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ALT/AST &lt;</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400</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U/L and normal biliru</w:t>
            </w:r>
            <w:r w:rsidR="006B1706">
              <w:rPr>
                <w:rFonts w:ascii="Book Antiqua" w:hAnsi="Book Antiqua"/>
                <w:color w:val="000000" w:themeColor="text1"/>
              </w:rPr>
              <w:t>bin/</w:t>
            </w:r>
            <w:r w:rsidR="00221E8F" w:rsidRPr="00514591">
              <w:rPr>
                <w:rFonts w:ascii="Book Antiqua" w:hAnsi="Book Antiqua"/>
                <w:color w:val="000000" w:themeColor="text1"/>
              </w:rPr>
              <w:t>albumin/INR OR start I</w:t>
            </w:r>
            <w:r w:rsidR="006B1706">
              <w:rPr>
                <w:rFonts w:ascii="Book Antiqua" w:hAnsi="Book Antiqua"/>
                <w:color w:val="000000" w:themeColor="text1"/>
              </w:rPr>
              <w:t>V methylprednisolone 2 mg/kg/d</w:t>
            </w:r>
            <w:r w:rsidR="00221E8F" w:rsidRPr="00514591">
              <w:rPr>
                <w:rFonts w:ascii="Book Antiqua" w:hAnsi="Book Antiqua"/>
                <w:color w:val="000000" w:themeColor="text1"/>
              </w:rPr>
              <w:t xml:space="preserve"> if ALT/AST &gt; 400 U/L or elevated bilirubin/INR or decreased albumin</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improve to grade 2, can switch to PO steroids and wean over 4 w</w:t>
            </w:r>
            <w:r w:rsidR="006B1706">
              <w:rPr>
                <w:rFonts w:ascii="Book Antiqua" w:eastAsiaTheme="minorEastAsia" w:hAnsi="Book Antiqua" w:hint="eastAsia"/>
                <w:color w:val="000000" w:themeColor="text1"/>
                <w:lang w:eastAsia="zh-CN"/>
              </w:rPr>
              <w:t xml:space="preserve">k;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7</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rechallenge at discretion </w:t>
            </w:r>
            <w:r w:rsidR="00221E8F" w:rsidRPr="00514591">
              <w:rPr>
                <w:rFonts w:ascii="Book Antiqua" w:hAnsi="Book Antiqua"/>
                <w:color w:val="000000" w:themeColor="text1"/>
              </w:rPr>
              <w:lastRenderedPageBreak/>
              <w:t>of consultant</w:t>
            </w:r>
            <w:r w:rsidR="006B1706">
              <w:rPr>
                <w:rFonts w:ascii="Book Antiqua" w:eastAsiaTheme="minorEastAsia" w:hAnsi="Book Antiqua" w:hint="eastAsia"/>
                <w:color w:val="000000" w:themeColor="text1"/>
                <w:lang w:eastAsia="zh-CN"/>
              </w:rPr>
              <w:t xml:space="preserve">; (8) </w:t>
            </w:r>
            <w:r w:rsidR="00221E8F" w:rsidRPr="00514591">
              <w:rPr>
                <w:rFonts w:ascii="Book Antiqua" w:hAnsi="Book Antiqua"/>
                <w:color w:val="000000" w:themeColor="text1"/>
              </w:rPr>
              <w:t>If no improvement on steroids, con</w:t>
            </w:r>
            <w:r w:rsidR="006B1706">
              <w:rPr>
                <w:rFonts w:ascii="Book Antiqua" w:hAnsi="Book Antiqua"/>
                <w:color w:val="000000" w:themeColor="text1"/>
              </w:rPr>
              <w:t>sider adding mycophenolate and/</w:t>
            </w:r>
            <w:r w:rsidR="00221E8F" w:rsidRPr="00514591">
              <w:rPr>
                <w:rFonts w:ascii="Book Antiqua" w:hAnsi="Book Antiqua"/>
                <w:color w:val="000000" w:themeColor="text1"/>
              </w:rPr>
              <w:t>or tacrolimus</w:t>
            </w:r>
            <w:r w:rsidR="006B1706">
              <w:rPr>
                <w:rFonts w:ascii="Book Antiqua" w:eastAsiaTheme="minorEastAsia" w:hAnsi="Book Antiqua" w:hint="eastAsia"/>
                <w:color w:val="000000" w:themeColor="text1"/>
                <w:lang w:eastAsia="zh-CN"/>
              </w:rPr>
              <w:t xml:space="preserve">; and (9) </w:t>
            </w:r>
            <w:r w:rsidR="00221E8F" w:rsidRPr="00514591">
              <w:rPr>
                <w:rFonts w:ascii="Book Antiqua" w:hAnsi="Book Antiqua"/>
                <w:color w:val="000000" w:themeColor="text1"/>
              </w:rPr>
              <w:t>Do not offer infliximab</w:t>
            </w:r>
          </w:p>
        </w:tc>
        <w:tc>
          <w:tcPr>
            <w:tcW w:w="2912" w:type="dxa"/>
            <w:tcBorders>
              <w:top w:val="none" w:sz="0" w:space="0" w:color="auto"/>
              <w:bottom w:val="none" w:sz="0" w:space="0" w:color="auto"/>
            </w:tcBorders>
            <w:shd w:val="clear" w:color="auto" w:fill="auto"/>
          </w:tcPr>
          <w:p w14:paraId="48F724AD" w14:textId="77777777" w:rsidR="00221E8F" w:rsidRPr="00C438BE"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treatment</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lastRenderedPageBreak/>
              <w:t>(</w:t>
            </w:r>
            <w:r w:rsidR="006B1706">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Investigate for other causes of hepatitis</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liver biopsy</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Hospitalize patient if unwell</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Urgent administration of start IV 1–2 mg/kg/d</w:t>
            </w:r>
            <w:r w:rsidR="00C438BE">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p>
          <w:p w14:paraId="4C46DD15" w14:textId="2F65AA3D" w:rsidR="00221E8F" w:rsidRPr="00781FF9" w:rsidRDefault="00221E8F"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For 3 d, following high dose oral prednisolone</w:t>
            </w:r>
            <w:r w:rsidR="00C438BE">
              <w:rPr>
                <w:rFonts w:ascii="Book Antiqua" w:eastAsiaTheme="minorEastAsia" w:hAnsi="Book Antiqua" w:hint="eastAsia"/>
                <w:color w:val="000000" w:themeColor="text1"/>
                <w:lang w:eastAsia="zh-CN"/>
              </w:rPr>
              <w:t>;</w:t>
            </w:r>
            <w:r w:rsidRPr="00514591">
              <w:rPr>
                <w:rFonts w:ascii="Book Antiqua" w:hAnsi="Book Antiqua"/>
                <w:color w:val="000000" w:themeColor="text1"/>
              </w:rPr>
              <w:t xml:space="preserve"> </w:t>
            </w:r>
            <w:r w:rsidR="00C438BE">
              <w:rPr>
                <w:rFonts w:ascii="Book Antiqua" w:eastAsiaTheme="minorEastAsia" w:hAnsi="Book Antiqua" w:hint="eastAsia"/>
                <w:color w:val="000000" w:themeColor="text1"/>
                <w:lang w:eastAsia="zh-CN"/>
              </w:rPr>
              <w:t xml:space="preserve">and </w:t>
            </w:r>
            <w:r w:rsidR="00AE63F3">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6</w:t>
            </w:r>
            <w:r w:rsidR="00AE63F3">
              <w:rPr>
                <w:rFonts w:ascii="Book Antiqua" w:eastAsiaTheme="minorEastAsia" w:hAnsi="Book Antiqua" w:hint="eastAsia"/>
                <w:color w:val="000000" w:themeColor="text1"/>
                <w:lang w:eastAsia="zh-CN"/>
              </w:rPr>
              <w:t>)</w:t>
            </w:r>
            <w:r w:rsidRPr="00514591">
              <w:rPr>
                <w:rFonts w:ascii="Book Antiqua" w:hAnsi="Book Antiqua"/>
                <w:color w:val="000000" w:themeColor="text1"/>
              </w:rPr>
              <w:t xml:space="preserve"> If no improvement on steroids, urgent referral to a gastroenterologist to prescribe other steroid-sparing agents</w:t>
            </w:r>
          </w:p>
        </w:tc>
        <w:tc>
          <w:tcPr>
            <w:tcW w:w="2127" w:type="dxa"/>
            <w:vMerge w:val="restart"/>
            <w:tcBorders>
              <w:top w:val="none" w:sz="0" w:space="0" w:color="auto"/>
              <w:bottom w:val="none" w:sz="0" w:space="0" w:color="auto"/>
            </w:tcBorders>
            <w:shd w:val="clear" w:color="auto" w:fill="auto"/>
          </w:tcPr>
          <w:p w14:paraId="6B076D8F" w14:textId="4CD8ACB0" w:rsidR="00221E8F" w:rsidRPr="00AC2D52"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Discontinue immunotherapy </w:t>
            </w:r>
            <w:r w:rsidR="00221E8F" w:rsidRPr="00514591">
              <w:rPr>
                <w:rFonts w:ascii="Book Antiqua" w:hAnsi="Book Antiqua"/>
                <w:color w:val="000000" w:themeColor="text1"/>
              </w:rPr>
              <w:lastRenderedPageBreak/>
              <w:t>and monitor liver parameters</w:t>
            </w:r>
            <w:r w:rsidR="00C438BE">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Consider permanent discontinuation of immunotherapy</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Start</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corticosteroids (methylprednisolone or equivalent) at a dose</w:t>
            </w:r>
            <w:r w:rsidR="00AC2D52">
              <w:rPr>
                <w:rFonts w:ascii="Book Antiqua" w:eastAsiaTheme="minorEastAsia" w:hAnsi="Book Antiqua" w:hint="eastAsia"/>
                <w:color w:val="000000" w:themeColor="text1"/>
                <w:lang w:eastAsia="zh-CN"/>
              </w:rPr>
              <w:t xml:space="preserve"> </w:t>
            </w:r>
            <w:r w:rsidR="00AC2D52">
              <w:rPr>
                <w:rFonts w:ascii="Book Antiqua" w:hAnsi="Book Antiqua"/>
                <w:color w:val="000000" w:themeColor="text1"/>
              </w:rPr>
              <w:t>of 1–2 mg/kg/d</w:t>
            </w:r>
            <w:r w:rsidR="00221E8F" w:rsidRPr="00514591">
              <w:rPr>
                <w:rFonts w:ascii="Book Antiqua" w:hAnsi="Book Antiqua"/>
                <w:color w:val="000000" w:themeColor="text1"/>
              </w:rPr>
              <w:t xml:space="preserve"> depending on severity</w:t>
            </w:r>
            <w:r w:rsidR="00AC2D52">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AC2D52">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If there is no</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response to corticosteroids within 2–3 d</w:t>
            </w:r>
            <w:r w:rsidR="00AC2D52">
              <w:rPr>
                <w:rFonts w:ascii="Book Antiqua" w:hAnsi="Book Antiqua"/>
                <w:color w:val="000000" w:themeColor="text1"/>
              </w:rPr>
              <w:t xml:space="preserve">, </w:t>
            </w:r>
            <w:r w:rsidR="00AC2D52">
              <w:rPr>
                <w:rFonts w:ascii="Book Antiqua" w:hAnsi="Book Antiqua"/>
                <w:color w:val="000000" w:themeColor="text1"/>
              </w:rPr>
              <w:lastRenderedPageBreak/>
              <w:t>MMF should be added at 1</w:t>
            </w:r>
            <w:r w:rsidR="00221E8F" w:rsidRPr="00514591">
              <w:rPr>
                <w:rFonts w:ascii="Book Antiqua" w:hAnsi="Book Antiqua"/>
                <w:color w:val="000000" w:themeColor="text1"/>
              </w:rPr>
              <w:t>000 mg twice daily</w:t>
            </w:r>
            <w:r w:rsidR="00AC2D52">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AC2D52">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Further</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immunosuppression: MMF, cyclosporine,</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tacrolimus, anti-thymocyte antibodies</w:t>
            </w:r>
            <w:r w:rsidR="00AC2D52">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Infliximab is not</w:t>
            </w:r>
            <w:r w:rsidR="00781FF9">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recommended</w:t>
            </w:r>
          </w:p>
        </w:tc>
      </w:tr>
      <w:tr w:rsidR="00346FFA" w:rsidRPr="00514591" w14:paraId="245AA8F1" w14:textId="77777777" w:rsidTr="00B91BDF">
        <w:tc>
          <w:tcPr>
            <w:cnfStyle w:val="001000000000" w:firstRow="0" w:lastRow="0" w:firstColumn="1" w:lastColumn="0" w:oddVBand="0" w:evenVBand="0" w:oddHBand="0" w:evenHBand="0" w:firstRowFirstColumn="0" w:firstRowLastColumn="0" w:lastRowFirstColumn="0" w:lastRowLastColumn="0"/>
            <w:tcW w:w="1277" w:type="dxa"/>
            <w:tcBorders>
              <w:right w:val="none" w:sz="0" w:space="0" w:color="auto"/>
            </w:tcBorders>
            <w:shd w:val="clear" w:color="auto" w:fill="auto"/>
          </w:tcPr>
          <w:p w14:paraId="6A449431"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lastRenderedPageBreak/>
              <w:t>Grade 4</w:t>
            </w:r>
          </w:p>
        </w:tc>
        <w:tc>
          <w:tcPr>
            <w:tcW w:w="1559" w:type="dxa"/>
            <w:shd w:val="clear" w:color="auto" w:fill="auto"/>
          </w:tcPr>
          <w:p w14:paraId="63F606F2"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Permanently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and (3)</w:t>
            </w:r>
            <w:r w:rsidR="00221E8F" w:rsidRPr="00514591">
              <w:rPr>
                <w:rFonts w:ascii="Book Antiqua" w:hAnsi="Book Antiqua"/>
                <w:color w:val="000000" w:themeColor="text1"/>
              </w:rPr>
              <w:t xml:space="preserve"> Consider imaging and liver biopsy </w:t>
            </w:r>
            <w:r w:rsidR="00221E8F" w:rsidRPr="00514591">
              <w:rPr>
                <w:rFonts w:ascii="Book Antiqua" w:hAnsi="Book Antiqua"/>
                <w:color w:val="000000" w:themeColor="text1"/>
              </w:rPr>
              <w:lastRenderedPageBreak/>
              <w:t>while assessing for alternative causes of hepatitis</w:t>
            </w:r>
          </w:p>
        </w:tc>
        <w:tc>
          <w:tcPr>
            <w:tcW w:w="1843" w:type="dxa"/>
            <w:shd w:val="clear" w:color="auto" w:fill="auto"/>
          </w:tcPr>
          <w:p w14:paraId="70756860"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Monitor complete metabolic panel every 1–2 d</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If refractory to </w:t>
            </w:r>
            <w:r w:rsidR="00221E8F" w:rsidRPr="00514591">
              <w:rPr>
                <w:rFonts w:ascii="Book Antiqua" w:hAnsi="Book Antiqua"/>
                <w:color w:val="000000" w:themeColor="text1"/>
              </w:rPr>
              <w:lastRenderedPageBreak/>
              <w:t>steroids, consider adding MMF.  LFTs improve,</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taper over 4 wk</w:t>
            </w:r>
            <w:r>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Consider liver biopsy</w:t>
            </w:r>
          </w:p>
        </w:tc>
        <w:tc>
          <w:tcPr>
            <w:tcW w:w="2410" w:type="dxa"/>
            <w:shd w:val="clear" w:color="auto" w:fill="auto"/>
          </w:tcPr>
          <w:p w14:paraId="63320B61"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medication</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Consider hospital</w:t>
            </w:r>
            <w:r>
              <w:rPr>
                <w:rFonts w:ascii="Book Antiqua" w:hAnsi="Book Antiqua"/>
                <w:color w:val="000000" w:themeColor="text1"/>
              </w:rPr>
              <w:t>ization and start IV 2 mg/kg/d</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Add MMF if no improvement in 72 h</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Consider transfer to tertiary center with hepatology consultation if no </w:t>
            </w:r>
            <w:r w:rsidR="00221E8F" w:rsidRPr="00514591">
              <w:rPr>
                <w:rFonts w:ascii="Book Antiqua" w:hAnsi="Book Antiqua"/>
                <w:color w:val="000000" w:themeColor="text1"/>
              </w:rPr>
              <w:lastRenderedPageBreak/>
              <w:t>improvement</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(5)</w:t>
            </w:r>
            <w:r w:rsidR="00221E8F" w:rsidRPr="00514591">
              <w:rPr>
                <w:rFonts w:ascii="Book Antiqua" w:hAnsi="Book Antiqua"/>
                <w:color w:val="000000" w:themeColor="text1"/>
              </w:rPr>
              <w:t xml:space="preserve"> Do not offer infliximab</w:t>
            </w:r>
            <w:r>
              <w:rPr>
                <w:rFonts w:ascii="Book Antiqua" w:eastAsiaTheme="minorEastAsia" w:hAnsi="Book Antiqua" w:hint="eastAsia"/>
                <w:color w:val="000000" w:themeColor="text1"/>
                <w:lang w:eastAsia="zh-CN"/>
              </w:rPr>
              <w:t>; and (6)</w:t>
            </w:r>
            <w:r>
              <w:rPr>
                <w:rFonts w:ascii="Book Antiqua" w:hAnsi="Book Antiqua"/>
                <w:color w:val="000000" w:themeColor="text1"/>
              </w:rPr>
              <w:t xml:space="preserve"> </w:t>
            </w:r>
            <w:r w:rsidR="00221E8F" w:rsidRPr="00514591">
              <w:rPr>
                <w:rFonts w:ascii="Book Antiqua" w:hAnsi="Book Antiqua"/>
                <w:color w:val="000000" w:themeColor="text1"/>
              </w:rPr>
              <w:t>If LFTs improve, wil</w:t>
            </w:r>
            <w:r>
              <w:rPr>
                <w:rFonts w:ascii="Book Antiqua" w:hAnsi="Book Antiqua"/>
                <w:color w:val="000000" w:themeColor="text1"/>
              </w:rPr>
              <w:t>l need steroid wean over 4–6 w</w:t>
            </w:r>
            <w:r w:rsidR="00221E8F" w:rsidRPr="00514591">
              <w:rPr>
                <w:rFonts w:ascii="Book Antiqua" w:hAnsi="Book Antiqua"/>
                <w:color w:val="000000" w:themeColor="text1"/>
              </w:rPr>
              <w:t>k</w:t>
            </w:r>
          </w:p>
        </w:tc>
        <w:tc>
          <w:tcPr>
            <w:tcW w:w="2899" w:type="dxa"/>
            <w:shd w:val="clear" w:color="auto" w:fill="auto"/>
          </w:tcPr>
          <w:p w14:paraId="11EB86A5" w14:textId="77777777" w:rsidR="00221E8F" w:rsidRPr="003D6237" w:rsidRDefault="00237E71" w:rsidP="003D623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medication</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Consider hospitalization and start IV methylprednisolone 2 mg/kg/d</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Formal hepatology consultation</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Consider liver biopsy</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(5)</w:t>
            </w:r>
            <w:r w:rsidR="00221E8F" w:rsidRPr="00514591">
              <w:rPr>
                <w:rFonts w:ascii="Book Antiqua" w:hAnsi="Book Antiqua"/>
                <w:color w:val="000000" w:themeColor="text1"/>
              </w:rPr>
              <w:t xml:space="preserve"> If no improvement on IV steroids, add</w:t>
            </w:r>
            <w:r w:rsidR="003D6237">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MMF and/or tacrolimus</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(6)</w:t>
            </w:r>
            <w:r w:rsidR="00221E8F" w:rsidRPr="00514591">
              <w:rPr>
                <w:rFonts w:ascii="Book Antiqua" w:hAnsi="Book Antiqua"/>
                <w:color w:val="000000" w:themeColor="text1"/>
              </w:rPr>
              <w:t xml:space="preserve"> Do not offer infliximab</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3D6237">
              <w:rPr>
                <w:rFonts w:ascii="Book Antiqua" w:eastAsiaTheme="minorEastAsia" w:hAnsi="Book Antiqua" w:hint="eastAsia"/>
                <w:color w:val="000000" w:themeColor="text1"/>
                <w:lang w:eastAsia="zh-CN"/>
              </w:rPr>
              <w:t>7</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w:t>
            </w:r>
            <w:r w:rsidR="00221E8F" w:rsidRPr="00514591">
              <w:rPr>
                <w:rFonts w:ascii="Book Antiqua" w:hAnsi="Book Antiqua"/>
                <w:color w:val="000000" w:themeColor="text1"/>
              </w:rPr>
              <w:lastRenderedPageBreak/>
              <w:t>improve to &gt;</w:t>
            </w:r>
            <w:r w:rsidR="003D6237">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grade 2, can switch to o</w:t>
            </w:r>
            <w:r w:rsidR="003D6237">
              <w:rPr>
                <w:rFonts w:ascii="Book Antiqua" w:hAnsi="Book Antiqua"/>
                <w:color w:val="000000" w:themeColor="text1"/>
              </w:rPr>
              <w:t>ral steroids and wean over 4 w</w:t>
            </w:r>
            <w:r w:rsidR="00221E8F" w:rsidRPr="00514591">
              <w:rPr>
                <w:rFonts w:ascii="Book Antiqua" w:hAnsi="Book Antiqua"/>
                <w:color w:val="000000" w:themeColor="text1"/>
              </w:rPr>
              <w:t>k</w:t>
            </w:r>
          </w:p>
        </w:tc>
        <w:tc>
          <w:tcPr>
            <w:tcW w:w="2912" w:type="dxa"/>
            <w:shd w:val="clear" w:color="auto" w:fill="auto"/>
          </w:tcPr>
          <w:p w14:paraId="13992BD4" w14:textId="11CA56C7" w:rsidR="00221E8F" w:rsidRPr="00781FF9" w:rsidRDefault="00237E71" w:rsidP="009961F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treatment</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Investigate for other causes of hepatitis</w:t>
            </w:r>
            <w:r w:rsidR="009961F9">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liver biopsy</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Hospitalize patient if unwell</w:t>
            </w:r>
            <w:r w:rsidR="009961F9">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Urgent administration of start IV 1–2 mg/kg/d</w:t>
            </w:r>
            <w:r w:rsidR="009961F9">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sidR="009961F9">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For 3 d, following high dose oral prednisolone</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sidR="009961F9">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If no improvement on steroids, urgent referral </w:t>
            </w:r>
            <w:r w:rsidR="00221E8F" w:rsidRPr="00514591">
              <w:rPr>
                <w:rFonts w:ascii="Book Antiqua" w:hAnsi="Book Antiqua"/>
                <w:color w:val="000000" w:themeColor="text1"/>
              </w:rPr>
              <w:lastRenderedPageBreak/>
              <w:t>to a gastroenterologist to prescribe other steroid-sparing agents</w:t>
            </w:r>
          </w:p>
        </w:tc>
        <w:tc>
          <w:tcPr>
            <w:tcW w:w="2127" w:type="dxa"/>
            <w:vMerge/>
            <w:shd w:val="clear" w:color="auto" w:fill="auto"/>
          </w:tcPr>
          <w:p w14:paraId="76332D38" w14:textId="77777777" w:rsidR="00221E8F" w:rsidRPr="00514591" w:rsidRDefault="00221E8F"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bl>
    <w:p w14:paraId="450FF919" w14:textId="77777777" w:rsidR="005E6C1E" w:rsidRPr="00514591" w:rsidRDefault="005E6C1E" w:rsidP="00514591">
      <w:pPr>
        <w:spacing w:line="360" w:lineRule="auto"/>
        <w:jc w:val="both"/>
        <w:rPr>
          <w:rFonts w:ascii="Book Antiqua" w:hAnsi="Book Antiqua"/>
          <w:color w:val="000000" w:themeColor="text1"/>
        </w:rPr>
      </w:pPr>
      <w:r w:rsidRPr="00514591">
        <w:rPr>
          <w:rFonts w:ascii="Book Antiqua" w:hAnsi="Book Antiqua"/>
          <w:color w:val="000000" w:themeColor="text1"/>
        </w:rPr>
        <w:t xml:space="preserve">Grading of severity is according to </w:t>
      </w:r>
      <w:r w:rsidR="005D28D0" w:rsidRPr="00514591">
        <w:rPr>
          <w:rFonts w:ascii="Book Antiqua" w:eastAsia="Book Antiqua" w:hAnsi="Book Antiqua" w:cs="Book Antiqua"/>
          <w:color w:val="000000"/>
        </w:rPr>
        <w:t>ommon terminology criteria for adverse events</w:t>
      </w:r>
      <w:r w:rsidRPr="00514591">
        <w:rPr>
          <w:rFonts w:ascii="Book Antiqua" w:hAnsi="Book Antiqua"/>
          <w:color w:val="000000" w:themeColor="text1"/>
        </w:rPr>
        <w:t>. ALT</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A</w:t>
      </w:r>
      <w:r w:rsidRPr="00514591">
        <w:rPr>
          <w:rFonts w:ascii="Book Antiqua" w:hAnsi="Book Antiqua"/>
          <w:color w:val="000000" w:themeColor="text1"/>
        </w:rPr>
        <w:t>lanine aminotransferase; AST</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A</w:t>
      </w:r>
      <w:r w:rsidRPr="00514591">
        <w:rPr>
          <w:rFonts w:ascii="Book Antiqua" w:hAnsi="Book Antiqua"/>
          <w:color w:val="000000" w:themeColor="text1"/>
        </w:rPr>
        <w:t>spartate aminotransferase; FDA</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U</w:t>
      </w:r>
      <w:r w:rsidR="005D28D0" w:rsidRPr="00514591">
        <w:rPr>
          <w:rFonts w:ascii="Book Antiqua" w:hAnsi="Book Antiqua"/>
          <w:color w:val="000000" w:themeColor="text1"/>
          <w:lang w:eastAsia="zh-CN"/>
        </w:rPr>
        <w:t xml:space="preserve">nited </w:t>
      </w:r>
      <w:r w:rsidRPr="00514591">
        <w:rPr>
          <w:rFonts w:ascii="Book Antiqua" w:hAnsi="Book Antiqua"/>
          <w:color w:val="000000" w:themeColor="text1"/>
        </w:rPr>
        <w:t>S</w:t>
      </w:r>
      <w:r w:rsidR="005D28D0" w:rsidRPr="00514591">
        <w:rPr>
          <w:rFonts w:ascii="Book Antiqua" w:hAnsi="Book Antiqua"/>
          <w:color w:val="000000" w:themeColor="text1"/>
          <w:lang w:eastAsia="zh-CN"/>
        </w:rPr>
        <w:t>tates</w:t>
      </w:r>
      <w:r w:rsidRPr="00514591">
        <w:rPr>
          <w:rFonts w:ascii="Book Antiqua" w:hAnsi="Book Antiqua"/>
          <w:color w:val="000000" w:themeColor="text1"/>
        </w:rPr>
        <w:t xml:space="preserve"> Food and Drug Administration; ICI</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mmune checkpoint inhibitor; INR</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nternational normalized ratio; irAEs</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mmune-related adverse events; IV</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ntravenous; LFTs</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L</w:t>
      </w:r>
      <w:r w:rsidRPr="00514591">
        <w:rPr>
          <w:rFonts w:ascii="Book Antiqua" w:hAnsi="Book Antiqua"/>
          <w:color w:val="000000" w:themeColor="text1"/>
        </w:rPr>
        <w:t>iver function tests; MMF</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M</w:t>
      </w:r>
      <w:r w:rsidRPr="00514591">
        <w:rPr>
          <w:rFonts w:ascii="Book Antiqua" w:hAnsi="Book Antiqua"/>
          <w:color w:val="000000" w:themeColor="text1"/>
        </w:rPr>
        <w:t>ycophenolate mofetil; PO</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P</w:t>
      </w:r>
      <w:r w:rsidRPr="00514591">
        <w:rPr>
          <w:rFonts w:ascii="Book Antiqua" w:hAnsi="Book Antiqua"/>
          <w:color w:val="000000" w:themeColor="text1"/>
        </w:rPr>
        <w:t>er oral</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p>
    <w:p w14:paraId="23AB4D96" w14:textId="77777777" w:rsidR="00F67908" w:rsidRDefault="00F67908" w:rsidP="00514591">
      <w:pPr>
        <w:spacing w:line="360" w:lineRule="auto"/>
        <w:jc w:val="both"/>
        <w:rPr>
          <w:rFonts w:ascii="Book Antiqua" w:hAnsi="Book Antiqua"/>
          <w:lang w:eastAsia="zh-CN"/>
        </w:rPr>
        <w:sectPr w:rsidR="00F67908" w:rsidSect="005E6C1E">
          <w:pgSz w:w="15840" w:h="12240" w:orient="landscape"/>
          <w:pgMar w:top="1440" w:right="1440" w:bottom="1440" w:left="1440" w:header="720" w:footer="720" w:gutter="0"/>
          <w:cols w:space="720"/>
          <w:docGrid w:linePitch="360"/>
        </w:sectPr>
      </w:pPr>
    </w:p>
    <w:p w14:paraId="05BF21DF" w14:textId="77777777" w:rsidR="00F67908" w:rsidRDefault="00F67908" w:rsidP="00F67908">
      <w:pPr>
        <w:jc w:val="center"/>
        <w:rPr>
          <w:rFonts w:ascii="Book Antiqua" w:hAnsi="Book Antiqua"/>
          <w:lang w:eastAsia="zh-CN"/>
        </w:rPr>
      </w:pPr>
    </w:p>
    <w:p w14:paraId="10832861" w14:textId="77777777" w:rsidR="00F67908" w:rsidRDefault="00F67908" w:rsidP="00F67908">
      <w:pPr>
        <w:jc w:val="center"/>
        <w:rPr>
          <w:rFonts w:ascii="Book Antiqua" w:hAnsi="Book Antiqua"/>
          <w:lang w:eastAsia="zh-CN"/>
        </w:rPr>
      </w:pPr>
    </w:p>
    <w:p w14:paraId="12B0C5D7" w14:textId="77777777" w:rsidR="00F67908" w:rsidRDefault="00F67908" w:rsidP="00F67908">
      <w:pPr>
        <w:jc w:val="center"/>
        <w:rPr>
          <w:rFonts w:ascii="Book Antiqua" w:hAnsi="Book Antiqua"/>
          <w:lang w:eastAsia="zh-CN"/>
        </w:rPr>
      </w:pPr>
    </w:p>
    <w:p w14:paraId="22A29037" w14:textId="77777777" w:rsidR="00F67908" w:rsidRDefault="00F67908" w:rsidP="00F67908">
      <w:pPr>
        <w:jc w:val="center"/>
        <w:rPr>
          <w:rFonts w:ascii="Book Antiqua" w:hAnsi="Book Antiqua"/>
          <w:lang w:eastAsia="zh-CN"/>
        </w:rPr>
      </w:pPr>
    </w:p>
    <w:p w14:paraId="51834FEB" w14:textId="77777777" w:rsidR="00F67908" w:rsidRDefault="00F67908" w:rsidP="00F67908">
      <w:pPr>
        <w:jc w:val="center"/>
        <w:rPr>
          <w:rFonts w:ascii="Book Antiqua" w:hAnsi="Book Antiqua"/>
          <w:lang w:eastAsia="zh-CN"/>
        </w:rPr>
      </w:pPr>
    </w:p>
    <w:p w14:paraId="359DBE38" w14:textId="6E1B0F93" w:rsidR="00F67908" w:rsidRDefault="00F67908" w:rsidP="00F67908">
      <w:pPr>
        <w:jc w:val="center"/>
        <w:rPr>
          <w:rFonts w:ascii="Book Antiqua" w:hAnsi="Book Antiqua"/>
          <w:lang w:eastAsia="zh-CN"/>
        </w:rPr>
      </w:pPr>
      <w:r>
        <w:rPr>
          <w:rFonts w:ascii="Book Antiqua" w:hAnsi="Book Antiqua"/>
          <w:noProof/>
          <w:lang w:eastAsia="zh-CN"/>
        </w:rPr>
        <w:drawing>
          <wp:inline distT="0" distB="0" distL="0" distR="0" wp14:anchorId="22304616" wp14:editId="107B87F2">
            <wp:extent cx="2496820" cy="1442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7F9727A2" w14:textId="77777777" w:rsidR="00F67908" w:rsidRDefault="00F67908" w:rsidP="00F67908">
      <w:pPr>
        <w:jc w:val="center"/>
        <w:rPr>
          <w:rFonts w:ascii="Book Antiqua" w:hAnsi="Book Antiqua"/>
          <w:lang w:eastAsia="zh-CN"/>
        </w:rPr>
      </w:pPr>
    </w:p>
    <w:p w14:paraId="64D86204" w14:textId="77777777" w:rsidR="00F67908" w:rsidRDefault="00F67908" w:rsidP="00F6790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C353082" w14:textId="77777777" w:rsidR="00F67908" w:rsidRDefault="00F67908" w:rsidP="00F6790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92CB22" w14:textId="77777777" w:rsidR="00F67908" w:rsidRDefault="00F67908" w:rsidP="00F6790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D87C45F" w14:textId="77777777" w:rsidR="00F67908" w:rsidRDefault="00F67908" w:rsidP="00F679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855571" w14:textId="77777777" w:rsidR="00F67908" w:rsidRDefault="00F67908" w:rsidP="00F6790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2B9D3A" w14:textId="77777777" w:rsidR="00F67908" w:rsidRDefault="00F67908" w:rsidP="00F6790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3B975C" w14:textId="77777777" w:rsidR="00F67908" w:rsidRDefault="00F67908" w:rsidP="00F67908">
      <w:pPr>
        <w:jc w:val="center"/>
        <w:rPr>
          <w:rFonts w:ascii="Book Antiqua" w:hAnsi="Book Antiqua"/>
          <w:lang w:eastAsia="zh-CN"/>
        </w:rPr>
      </w:pPr>
    </w:p>
    <w:p w14:paraId="6F2A5D5D" w14:textId="77777777" w:rsidR="00F67908" w:rsidRDefault="00F67908" w:rsidP="00F67908">
      <w:pPr>
        <w:jc w:val="center"/>
        <w:rPr>
          <w:rFonts w:ascii="Book Antiqua" w:hAnsi="Book Antiqua"/>
          <w:lang w:eastAsia="zh-CN"/>
        </w:rPr>
      </w:pPr>
    </w:p>
    <w:p w14:paraId="474CBAC9" w14:textId="77777777" w:rsidR="00F67908" w:rsidRDefault="00F67908" w:rsidP="00F67908">
      <w:pPr>
        <w:jc w:val="center"/>
        <w:rPr>
          <w:rFonts w:ascii="Book Antiqua" w:hAnsi="Book Antiqua"/>
          <w:lang w:eastAsia="zh-CN"/>
        </w:rPr>
      </w:pPr>
    </w:p>
    <w:p w14:paraId="65A6908D" w14:textId="4B8F699D" w:rsidR="00F67908" w:rsidRDefault="00F67908" w:rsidP="00F67908">
      <w:pPr>
        <w:jc w:val="center"/>
        <w:rPr>
          <w:rFonts w:ascii="Book Antiqua" w:hAnsi="Book Antiqua"/>
          <w:lang w:eastAsia="zh-CN"/>
        </w:rPr>
      </w:pPr>
      <w:r>
        <w:rPr>
          <w:rFonts w:ascii="Book Antiqua" w:hAnsi="Book Antiqua"/>
          <w:noProof/>
          <w:lang w:eastAsia="zh-CN"/>
        </w:rPr>
        <w:drawing>
          <wp:inline distT="0" distB="0" distL="0" distR="0" wp14:anchorId="30FD7004" wp14:editId="7E061CE5">
            <wp:extent cx="1450975" cy="1442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1442085"/>
                    </a:xfrm>
                    <a:prstGeom prst="rect">
                      <a:avLst/>
                    </a:prstGeom>
                    <a:noFill/>
                    <a:ln>
                      <a:noFill/>
                    </a:ln>
                  </pic:spPr>
                </pic:pic>
              </a:graphicData>
            </a:graphic>
          </wp:inline>
        </w:drawing>
      </w:r>
    </w:p>
    <w:p w14:paraId="420461C4" w14:textId="77777777" w:rsidR="00F67908" w:rsidRDefault="00F67908" w:rsidP="00F67908">
      <w:pPr>
        <w:jc w:val="center"/>
        <w:rPr>
          <w:rFonts w:ascii="Book Antiqua" w:hAnsi="Book Antiqua"/>
          <w:lang w:eastAsia="zh-CN"/>
        </w:rPr>
      </w:pPr>
    </w:p>
    <w:p w14:paraId="3D276F4D" w14:textId="77777777" w:rsidR="00F67908" w:rsidRDefault="00F67908" w:rsidP="00F67908">
      <w:pPr>
        <w:jc w:val="center"/>
        <w:rPr>
          <w:rFonts w:ascii="Book Antiqua" w:hAnsi="Book Antiqua"/>
          <w:lang w:eastAsia="zh-CN"/>
        </w:rPr>
      </w:pPr>
    </w:p>
    <w:p w14:paraId="2CE5A14F" w14:textId="77777777" w:rsidR="00F67908" w:rsidRDefault="00F67908" w:rsidP="00F67908">
      <w:pPr>
        <w:jc w:val="center"/>
        <w:rPr>
          <w:rFonts w:ascii="Book Antiqua" w:hAnsi="Book Antiqua"/>
          <w:lang w:eastAsia="zh-CN"/>
        </w:rPr>
      </w:pPr>
    </w:p>
    <w:p w14:paraId="006A205B" w14:textId="77777777" w:rsidR="00F67908" w:rsidRDefault="00F67908" w:rsidP="00F67908">
      <w:pPr>
        <w:jc w:val="center"/>
        <w:rPr>
          <w:rFonts w:ascii="Book Antiqua" w:hAnsi="Book Antiqua"/>
          <w:lang w:eastAsia="zh-CN"/>
        </w:rPr>
      </w:pPr>
    </w:p>
    <w:p w14:paraId="0267EF92" w14:textId="77777777" w:rsidR="00F67908" w:rsidRDefault="00F67908" w:rsidP="00F67908">
      <w:pPr>
        <w:jc w:val="center"/>
        <w:rPr>
          <w:rFonts w:ascii="Book Antiqua" w:hAnsi="Book Antiqua"/>
          <w:lang w:eastAsia="zh-CN"/>
        </w:rPr>
      </w:pPr>
    </w:p>
    <w:p w14:paraId="685E6378" w14:textId="77777777" w:rsidR="00F67908" w:rsidRDefault="00F67908" w:rsidP="00F67908">
      <w:pPr>
        <w:jc w:val="center"/>
        <w:rPr>
          <w:rFonts w:ascii="Book Antiqua" w:hAnsi="Book Antiqua"/>
          <w:lang w:eastAsia="zh-CN"/>
        </w:rPr>
      </w:pPr>
    </w:p>
    <w:p w14:paraId="081AD71D" w14:textId="77777777" w:rsidR="00F67908" w:rsidRDefault="00F67908" w:rsidP="00F67908">
      <w:pPr>
        <w:jc w:val="center"/>
        <w:rPr>
          <w:rFonts w:ascii="Book Antiqua" w:hAnsi="Book Antiqua"/>
          <w:lang w:eastAsia="zh-CN"/>
        </w:rPr>
      </w:pPr>
    </w:p>
    <w:p w14:paraId="08BB169B" w14:textId="77777777" w:rsidR="00F67908" w:rsidRDefault="00F67908" w:rsidP="00F67908">
      <w:pPr>
        <w:jc w:val="center"/>
        <w:rPr>
          <w:rFonts w:ascii="Book Antiqua" w:hAnsi="Book Antiqua"/>
          <w:lang w:eastAsia="zh-CN"/>
        </w:rPr>
      </w:pPr>
    </w:p>
    <w:p w14:paraId="0C5EEC16" w14:textId="77777777" w:rsidR="00F67908" w:rsidRDefault="00F67908" w:rsidP="00F67908">
      <w:pPr>
        <w:jc w:val="center"/>
        <w:rPr>
          <w:rFonts w:ascii="Book Antiqua" w:hAnsi="Book Antiqua"/>
          <w:lang w:eastAsia="zh-CN"/>
        </w:rPr>
      </w:pPr>
    </w:p>
    <w:p w14:paraId="3093CF2D" w14:textId="77777777" w:rsidR="00F67908" w:rsidRDefault="00F67908" w:rsidP="00F67908">
      <w:pPr>
        <w:jc w:val="right"/>
        <w:rPr>
          <w:rFonts w:ascii="Book Antiqua" w:hAnsi="Book Antiqua"/>
          <w:color w:val="000000" w:themeColor="text1"/>
          <w:lang w:eastAsia="zh-CN"/>
        </w:rPr>
      </w:pPr>
    </w:p>
    <w:p w14:paraId="317FBA41" w14:textId="77777777" w:rsidR="00F67908" w:rsidRDefault="00F67908" w:rsidP="00F6790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0D3FBDE" w14:textId="794D405E" w:rsidR="005E6C1E" w:rsidRPr="00F67908" w:rsidRDefault="005E6C1E" w:rsidP="00514591">
      <w:pPr>
        <w:spacing w:line="360" w:lineRule="auto"/>
        <w:jc w:val="both"/>
        <w:rPr>
          <w:rFonts w:ascii="Book Antiqua" w:hAnsi="Book Antiqua"/>
          <w:lang w:eastAsia="zh-CN"/>
        </w:rPr>
      </w:pPr>
    </w:p>
    <w:sectPr w:rsidR="005E6C1E" w:rsidRPr="00F67908" w:rsidSect="00F679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FB436" w14:textId="77777777" w:rsidR="00AE26D8" w:rsidRDefault="00AE26D8" w:rsidP="00DD5EA8">
      <w:r>
        <w:separator/>
      </w:r>
    </w:p>
  </w:endnote>
  <w:endnote w:type="continuationSeparator" w:id="0">
    <w:p w14:paraId="4DB2AD18" w14:textId="77777777" w:rsidR="00AE26D8" w:rsidRDefault="00AE26D8" w:rsidP="00DD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1463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C91EE58" w14:textId="77777777" w:rsidR="00AD42C2" w:rsidRPr="00DD5EA8" w:rsidRDefault="00AD42C2">
            <w:pPr>
              <w:pStyle w:val="a5"/>
              <w:jc w:val="right"/>
              <w:rPr>
                <w:rFonts w:ascii="Book Antiqua" w:hAnsi="Book Antiqua"/>
                <w:sz w:val="24"/>
                <w:szCs w:val="24"/>
              </w:rPr>
            </w:pPr>
            <w:r w:rsidRPr="00DD5EA8">
              <w:rPr>
                <w:rFonts w:ascii="Book Antiqua" w:hAnsi="Book Antiqua"/>
                <w:sz w:val="24"/>
                <w:szCs w:val="24"/>
                <w:lang w:val="zh-CN" w:eastAsia="zh-CN"/>
              </w:rPr>
              <w:t xml:space="preserve"> </w:t>
            </w:r>
            <w:r w:rsidRPr="00DD5EA8">
              <w:rPr>
                <w:rFonts w:ascii="Book Antiqua" w:hAnsi="Book Antiqua"/>
                <w:b/>
                <w:bCs/>
                <w:sz w:val="24"/>
                <w:szCs w:val="24"/>
              </w:rPr>
              <w:fldChar w:fldCharType="begin"/>
            </w:r>
            <w:r w:rsidRPr="00DD5EA8">
              <w:rPr>
                <w:rFonts w:ascii="Book Antiqua" w:hAnsi="Book Antiqua"/>
                <w:b/>
                <w:bCs/>
                <w:sz w:val="24"/>
                <w:szCs w:val="24"/>
              </w:rPr>
              <w:instrText>PAGE</w:instrText>
            </w:r>
            <w:r w:rsidRPr="00DD5EA8">
              <w:rPr>
                <w:rFonts w:ascii="Book Antiqua" w:hAnsi="Book Antiqua"/>
                <w:b/>
                <w:bCs/>
                <w:sz w:val="24"/>
                <w:szCs w:val="24"/>
              </w:rPr>
              <w:fldChar w:fldCharType="separate"/>
            </w:r>
            <w:r w:rsidR="00772FC4">
              <w:rPr>
                <w:rFonts w:ascii="Book Antiqua" w:hAnsi="Book Antiqua"/>
                <w:b/>
                <w:bCs/>
                <w:noProof/>
                <w:sz w:val="24"/>
                <w:szCs w:val="24"/>
              </w:rPr>
              <w:t>1</w:t>
            </w:r>
            <w:r w:rsidRPr="00DD5EA8">
              <w:rPr>
                <w:rFonts w:ascii="Book Antiqua" w:hAnsi="Book Antiqua"/>
                <w:b/>
                <w:bCs/>
                <w:sz w:val="24"/>
                <w:szCs w:val="24"/>
              </w:rPr>
              <w:fldChar w:fldCharType="end"/>
            </w:r>
            <w:r w:rsidRPr="00DD5EA8">
              <w:rPr>
                <w:rFonts w:ascii="Book Antiqua" w:hAnsi="Book Antiqua"/>
                <w:sz w:val="24"/>
                <w:szCs w:val="24"/>
                <w:lang w:val="zh-CN" w:eastAsia="zh-CN"/>
              </w:rPr>
              <w:t xml:space="preserve"> / </w:t>
            </w:r>
            <w:r w:rsidRPr="00DD5EA8">
              <w:rPr>
                <w:rFonts w:ascii="Book Antiqua" w:hAnsi="Book Antiqua"/>
                <w:b/>
                <w:bCs/>
                <w:sz w:val="24"/>
                <w:szCs w:val="24"/>
              </w:rPr>
              <w:fldChar w:fldCharType="begin"/>
            </w:r>
            <w:r w:rsidRPr="00DD5EA8">
              <w:rPr>
                <w:rFonts w:ascii="Book Antiqua" w:hAnsi="Book Antiqua"/>
                <w:b/>
                <w:bCs/>
                <w:sz w:val="24"/>
                <w:szCs w:val="24"/>
              </w:rPr>
              <w:instrText>NUMPAGES</w:instrText>
            </w:r>
            <w:r w:rsidRPr="00DD5EA8">
              <w:rPr>
                <w:rFonts w:ascii="Book Antiqua" w:hAnsi="Book Antiqua"/>
                <w:b/>
                <w:bCs/>
                <w:sz w:val="24"/>
                <w:szCs w:val="24"/>
              </w:rPr>
              <w:fldChar w:fldCharType="separate"/>
            </w:r>
            <w:r w:rsidR="00772FC4">
              <w:rPr>
                <w:rFonts w:ascii="Book Antiqua" w:hAnsi="Book Antiqua"/>
                <w:b/>
                <w:bCs/>
                <w:noProof/>
                <w:sz w:val="24"/>
                <w:szCs w:val="24"/>
              </w:rPr>
              <w:t>6</w:t>
            </w:r>
            <w:r w:rsidRPr="00DD5EA8">
              <w:rPr>
                <w:rFonts w:ascii="Book Antiqua" w:hAnsi="Book Antiqua"/>
                <w:b/>
                <w:bCs/>
                <w:sz w:val="24"/>
                <w:szCs w:val="24"/>
              </w:rPr>
              <w:fldChar w:fldCharType="end"/>
            </w:r>
          </w:p>
        </w:sdtContent>
      </w:sdt>
    </w:sdtContent>
  </w:sdt>
  <w:p w14:paraId="1571716D" w14:textId="77777777" w:rsidR="00AD42C2" w:rsidRDefault="00AD42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F920A" w14:textId="77777777" w:rsidR="00AE26D8" w:rsidRDefault="00AE26D8" w:rsidP="00DD5EA8">
      <w:r>
        <w:separator/>
      </w:r>
    </w:p>
  </w:footnote>
  <w:footnote w:type="continuationSeparator" w:id="0">
    <w:p w14:paraId="300CAC7F" w14:textId="77777777" w:rsidR="00AE26D8" w:rsidRDefault="00AE26D8" w:rsidP="00DD5E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4EF"/>
    <w:rsid w:val="00064431"/>
    <w:rsid w:val="000850A4"/>
    <w:rsid w:val="000C079F"/>
    <w:rsid w:val="000E0290"/>
    <w:rsid w:val="000F4BC9"/>
    <w:rsid w:val="00130A98"/>
    <w:rsid w:val="001419B1"/>
    <w:rsid w:val="001465EA"/>
    <w:rsid w:val="001666BE"/>
    <w:rsid w:val="00182BF7"/>
    <w:rsid w:val="00195D95"/>
    <w:rsid w:val="001B74C7"/>
    <w:rsid w:val="001D4697"/>
    <w:rsid w:val="001E4662"/>
    <w:rsid w:val="00205F73"/>
    <w:rsid w:val="00221E8F"/>
    <w:rsid w:val="00237E71"/>
    <w:rsid w:val="00245ED7"/>
    <w:rsid w:val="002526B9"/>
    <w:rsid w:val="00252D08"/>
    <w:rsid w:val="00283BF3"/>
    <w:rsid w:val="00290132"/>
    <w:rsid w:val="002B5E26"/>
    <w:rsid w:val="002C049C"/>
    <w:rsid w:val="002E4EE4"/>
    <w:rsid w:val="0032265B"/>
    <w:rsid w:val="00346FFA"/>
    <w:rsid w:val="00355B03"/>
    <w:rsid w:val="00370BCB"/>
    <w:rsid w:val="003C48EA"/>
    <w:rsid w:val="003D6237"/>
    <w:rsid w:val="00420B52"/>
    <w:rsid w:val="00432EAD"/>
    <w:rsid w:val="00437A7E"/>
    <w:rsid w:val="00446E94"/>
    <w:rsid w:val="004546D1"/>
    <w:rsid w:val="0046172C"/>
    <w:rsid w:val="00484B99"/>
    <w:rsid w:val="004A1A12"/>
    <w:rsid w:val="004A3E85"/>
    <w:rsid w:val="004B4414"/>
    <w:rsid w:val="004B548C"/>
    <w:rsid w:val="004F1C33"/>
    <w:rsid w:val="004F69DB"/>
    <w:rsid w:val="004F71CF"/>
    <w:rsid w:val="00514591"/>
    <w:rsid w:val="005451ED"/>
    <w:rsid w:val="00547ECF"/>
    <w:rsid w:val="00556444"/>
    <w:rsid w:val="005A15E5"/>
    <w:rsid w:val="005D28D0"/>
    <w:rsid w:val="005E0DBE"/>
    <w:rsid w:val="005E45EC"/>
    <w:rsid w:val="005E6C1E"/>
    <w:rsid w:val="006204F2"/>
    <w:rsid w:val="006246C1"/>
    <w:rsid w:val="006370A3"/>
    <w:rsid w:val="00641894"/>
    <w:rsid w:val="00650774"/>
    <w:rsid w:val="00664DAD"/>
    <w:rsid w:val="00697297"/>
    <w:rsid w:val="006B1706"/>
    <w:rsid w:val="006C25B0"/>
    <w:rsid w:val="006C7C58"/>
    <w:rsid w:val="006E0EDC"/>
    <w:rsid w:val="006E688A"/>
    <w:rsid w:val="00701F39"/>
    <w:rsid w:val="00711452"/>
    <w:rsid w:val="007256FC"/>
    <w:rsid w:val="007539A9"/>
    <w:rsid w:val="00772FC4"/>
    <w:rsid w:val="00774AD0"/>
    <w:rsid w:val="00775076"/>
    <w:rsid w:val="00776CD5"/>
    <w:rsid w:val="00781FF9"/>
    <w:rsid w:val="00795232"/>
    <w:rsid w:val="007B6DB0"/>
    <w:rsid w:val="007C257B"/>
    <w:rsid w:val="007E0CC0"/>
    <w:rsid w:val="008219EF"/>
    <w:rsid w:val="00827C65"/>
    <w:rsid w:val="00831680"/>
    <w:rsid w:val="008344F4"/>
    <w:rsid w:val="00860BC9"/>
    <w:rsid w:val="00864204"/>
    <w:rsid w:val="00874FDA"/>
    <w:rsid w:val="008779D3"/>
    <w:rsid w:val="008C31F7"/>
    <w:rsid w:val="00905F74"/>
    <w:rsid w:val="00934551"/>
    <w:rsid w:val="0094096D"/>
    <w:rsid w:val="00944B4E"/>
    <w:rsid w:val="00950CFD"/>
    <w:rsid w:val="0095172A"/>
    <w:rsid w:val="00973338"/>
    <w:rsid w:val="009961F9"/>
    <w:rsid w:val="009B3550"/>
    <w:rsid w:val="009B4D6C"/>
    <w:rsid w:val="009E31F4"/>
    <w:rsid w:val="00A07436"/>
    <w:rsid w:val="00A17B9D"/>
    <w:rsid w:val="00A3241C"/>
    <w:rsid w:val="00A468C3"/>
    <w:rsid w:val="00A668B7"/>
    <w:rsid w:val="00A72FAF"/>
    <w:rsid w:val="00A77B3E"/>
    <w:rsid w:val="00A865A7"/>
    <w:rsid w:val="00A904BA"/>
    <w:rsid w:val="00AB4FDE"/>
    <w:rsid w:val="00AC2D52"/>
    <w:rsid w:val="00AD3992"/>
    <w:rsid w:val="00AD42C2"/>
    <w:rsid w:val="00AE26D8"/>
    <w:rsid w:val="00AE63F3"/>
    <w:rsid w:val="00AF5702"/>
    <w:rsid w:val="00B073F7"/>
    <w:rsid w:val="00B076DD"/>
    <w:rsid w:val="00B07B09"/>
    <w:rsid w:val="00B1637D"/>
    <w:rsid w:val="00B91BDF"/>
    <w:rsid w:val="00B947A4"/>
    <w:rsid w:val="00BA6431"/>
    <w:rsid w:val="00BB1F9C"/>
    <w:rsid w:val="00BD6344"/>
    <w:rsid w:val="00C06A5A"/>
    <w:rsid w:val="00C36011"/>
    <w:rsid w:val="00C36D1B"/>
    <w:rsid w:val="00C438BE"/>
    <w:rsid w:val="00C47AC3"/>
    <w:rsid w:val="00C57FC8"/>
    <w:rsid w:val="00CA2A55"/>
    <w:rsid w:val="00CC340F"/>
    <w:rsid w:val="00CC6DAC"/>
    <w:rsid w:val="00D2056E"/>
    <w:rsid w:val="00DB1C02"/>
    <w:rsid w:val="00DB34D6"/>
    <w:rsid w:val="00DD0671"/>
    <w:rsid w:val="00DD5EA8"/>
    <w:rsid w:val="00DE343A"/>
    <w:rsid w:val="00DF1296"/>
    <w:rsid w:val="00E02A88"/>
    <w:rsid w:val="00E06359"/>
    <w:rsid w:val="00E41430"/>
    <w:rsid w:val="00EC28BC"/>
    <w:rsid w:val="00ED3FC9"/>
    <w:rsid w:val="00F32794"/>
    <w:rsid w:val="00F34082"/>
    <w:rsid w:val="00F61F25"/>
    <w:rsid w:val="00F67908"/>
    <w:rsid w:val="00F739AB"/>
    <w:rsid w:val="00F9183C"/>
    <w:rsid w:val="00FA0656"/>
    <w:rsid w:val="00FE27DE"/>
    <w:rsid w:val="00FE2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BE75AE"/>
  <w15:docId w15:val="{B1F3CE97-1D54-41BC-9698-2E7C0B838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DD5E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D5EA8"/>
    <w:rPr>
      <w:sz w:val="18"/>
      <w:szCs w:val="18"/>
    </w:rPr>
  </w:style>
  <w:style w:type="paragraph" w:styleId="a5">
    <w:name w:val="footer"/>
    <w:basedOn w:val="a"/>
    <w:link w:val="a6"/>
    <w:uiPriority w:val="99"/>
    <w:rsid w:val="00DD5EA8"/>
    <w:pPr>
      <w:tabs>
        <w:tab w:val="center" w:pos="4153"/>
        <w:tab w:val="right" w:pos="8306"/>
      </w:tabs>
      <w:snapToGrid w:val="0"/>
    </w:pPr>
    <w:rPr>
      <w:sz w:val="18"/>
      <w:szCs w:val="18"/>
    </w:rPr>
  </w:style>
  <w:style w:type="character" w:customStyle="1" w:styleId="a6">
    <w:name w:val="页脚 字符"/>
    <w:basedOn w:val="a0"/>
    <w:link w:val="a5"/>
    <w:uiPriority w:val="99"/>
    <w:rsid w:val="00DD5EA8"/>
    <w:rPr>
      <w:sz w:val="18"/>
      <w:szCs w:val="18"/>
    </w:rPr>
  </w:style>
  <w:style w:type="paragraph" w:styleId="a7">
    <w:name w:val="Balloon Text"/>
    <w:basedOn w:val="a"/>
    <w:link w:val="a8"/>
    <w:rsid w:val="007E0CC0"/>
    <w:rPr>
      <w:sz w:val="18"/>
      <w:szCs w:val="18"/>
    </w:rPr>
  </w:style>
  <w:style w:type="character" w:customStyle="1" w:styleId="a8">
    <w:name w:val="批注框文本 字符"/>
    <w:basedOn w:val="a0"/>
    <w:link w:val="a7"/>
    <w:rsid w:val="007E0CC0"/>
    <w:rPr>
      <w:sz w:val="18"/>
      <w:szCs w:val="18"/>
    </w:rPr>
  </w:style>
  <w:style w:type="table" w:customStyle="1" w:styleId="ListTable3-Accent11">
    <w:name w:val="List Table 3 - Accent 11"/>
    <w:basedOn w:val="a1"/>
    <w:uiPriority w:val="48"/>
    <w:rsid w:val="005E6C1E"/>
    <w:rPr>
      <w:rFonts w:asciiTheme="minorHAnsi" w:eastAsiaTheme="minorHAnsi" w:hAnsiTheme="minorHAnsi" w:cstheme="minorBidi"/>
      <w:sz w:val="24"/>
      <w:szCs w:val="24"/>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9">
    <w:name w:val="Hyperlink"/>
    <w:basedOn w:val="a0"/>
    <w:uiPriority w:val="99"/>
    <w:unhideWhenUsed/>
    <w:rsid w:val="00DF1296"/>
    <w:rPr>
      <w:color w:val="0000FF"/>
      <w:u w:val="single"/>
    </w:rPr>
  </w:style>
  <w:style w:type="character" w:styleId="aa">
    <w:name w:val="annotation reference"/>
    <w:basedOn w:val="a0"/>
    <w:rsid w:val="000114EF"/>
    <w:rPr>
      <w:sz w:val="21"/>
      <w:szCs w:val="21"/>
    </w:rPr>
  </w:style>
  <w:style w:type="paragraph" w:styleId="ab">
    <w:name w:val="annotation text"/>
    <w:basedOn w:val="a"/>
    <w:link w:val="ac"/>
    <w:rsid w:val="000114EF"/>
  </w:style>
  <w:style w:type="character" w:customStyle="1" w:styleId="ac">
    <w:name w:val="批注文字 字符"/>
    <w:basedOn w:val="a0"/>
    <w:link w:val="ab"/>
    <w:rsid w:val="000114EF"/>
    <w:rPr>
      <w:sz w:val="24"/>
      <w:szCs w:val="24"/>
    </w:rPr>
  </w:style>
  <w:style w:type="paragraph" w:styleId="ad">
    <w:name w:val="annotation subject"/>
    <w:basedOn w:val="ab"/>
    <w:next w:val="ab"/>
    <w:link w:val="ae"/>
    <w:rsid w:val="000114EF"/>
    <w:rPr>
      <w:b/>
      <w:bCs/>
    </w:rPr>
  </w:style>
  <w:style w:type="character" w:customStyle="1" w:styleId="ae">
    <w:name w:val="批注主题 字符"/>
    <w:basedOn w:val="ac"/>
    <w:link w:val="ad"/>
    <w:rsid w:val="000114EF"/>
    <w:rPr>
      <w:b/>
      <w:bCs/>
      <w:sz w:val="24"/>
      <w:szCs w:val="24"/>
    </w:rPr>
  </w:style>
  <w:style w:type="character" w:customStyle="1" w:styleId="jlqj4b">
    <w:name w:val="jlqj4b"/>
    <w:basedOn w:val="a0"/>
    <w:rsid w:val="000114EF"/>
  </w:style>
  <w:style w:type="character" w:customStyle="1" w:styleId="1">
    <w:name w:val="未处理的提及1"/>
    <w:basedOn w:val="a0"/>
    <w:uiPriority w:val="99"/>
    <w:semiHidden/>
    <w:unhideWhenUsed/>
    <w:rsid w:val="004F1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88639">
      <w:bodyDiv w:val="1"/>
      <w:marLeft w:val="0"/>
      <w:marRight w:val="0"/>
      <w:marTop w:val="0"/>
      <w:marBottom w:val="0"/>
      <w:divBdr>
        <w:top w:val="none" w:sz="0" w:space="0" w:color="auto"/>
        <w:left w:val="none" w:sz="0" w:space="0" w:color="auto"/>
        <w:bottom w:val="none" w:sz="0" w:space="0" w:color="auto"/>
        <w:right w:val="none" w:sz="0" w:space="0" w:color="auto"/>
      </w:divBdr>
    </w:div>
    <w:div w:id="1745952640">
      <w:bodyDiv w:val="1"/>
      <w:marLeft w:val="0"/>
      <w:marRight w:val="0"/>
      <w:marTop w:val="0"/>
      <w:marBottom w:val="0"/>
      <w:divBdr>
        <w:top w:val="none" w:sz="0" w:space="0" w:color="auto"/>
        <w:left w:val="none" w:sz="0" w:space="0" w:color="auto"/>
        <w:bottom w:val="none" w:sz="0" w:space="0" w:color="auto"/>
        <w:right w:val="none" w:sz="0" w:space="0" w:color="auto"/>
      </w:divBdr>
    </w:div>
    <w:div w:id="200215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drugsatfda_docs/label/2020/761034s028lbl.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ccessdata.fda.gov/drugsatfda_docs/label/2020/761069s018lbl.pdf"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47</Pages>
  <Words>16355</Words>
  <Characters>93224</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130</cp:revision>
  <dcterms:created xsi:type="dcterms:W3CDTF">2021-07-30T05:45:00Z</dcterms:created>
  <dcterms:modified xsi:type="dcterms:W3CDTF">2021-08-24T02:36:00Z</dcterms:modified>
</cp:coreProperties>
</file>