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C6468"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olor w:val="000000"/>
        </w:rPr>
        <w:t xml:space="preserve">Name of Journal: </w:t>
      </w:r>
      <w:r w:rsidRPr="000C58DA">
        <w:rPr>
          <w:rFonts w:ascii="Book Antiqua" w:eastAsia="Book Antiqua" w:hAnsi="Book Antiqua" w:cs="Book Antiqua"/>
          <w:i/>
          <w:color w:val="000000"/>
        </w:rPr>
        <w:t>World Journal of Gastroenterology</w:t>
      </w:r>
    </w:p>
    <w:p w14:paraId="5B44B23C"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olor w:val="000000"/>
        </w:rPr>
        <w:t xml:space="preserve">Manuscript NO: </w:t>
      </w:r>
      <w:r w:rsidRPr="000C58DA">
        <w:rPr>
          <w:rFonts w:ascii="Book Antiqua" w:eastAsia="Book Antiqua" w:hAnsi="Book Antiqua" w:cs="Book Antiqua"/>
          <w:color w:val="000000"/>
        </w:rPr>
        <w:t>66746</w:t>
      </w:r>
    </w:p>
    <w:p w14:paraId="75769A6F"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olor w:val="000000"/>
        </w:rPr>
        <w:t xml:space="preserve">Manuscript Type: </w:t>
      </w:r>
      <w:r w:rsidRPr="000C58DA">
        <w:rPr>
          <w:rFonts w:ascii="Book Antiqua" w:eastAsia="Book Antiqua" w:hAnsi="Book Antiqua" w:cs="Book Antiqua"/>
          <w:color w:val="000000"/>
        </w:rPr>
        <w:t>ORIGINAL ARTICLE</w:t>
      </w:r>
    </w:p>
    <w:p w14:paraId="620F9114" w14:textId="77777777" w:rsidR="00A77B3E" w:rsidRPr="000C58DA" w:rsidRDefault="00A77B3E" w:rsidP="00206D9E">
      <w:pPr>
        <w:adjustRightInd w:val="0"/>
        <w:snapToGrid w:val="0"/>
        <w:spacing w:line="360" w:lineRule="auto"/>
        <w:jc w:val="both"/>
        <w:rPr>
          <w:rFonts w:ascii="Book Antiqua" w:hAnsi="Book Antiqua"/>
        </w:rPr>
      </w:pPr>
    </w:p>
    <w:p w14:paraId="0A3D96BE"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i/>
          <w:color w:val="000000"/>
        </w:rPr>
        <w:t>Retrospective Study</w:t>
      </w:r>
    </w:p>
    <w:p w14:paraId="77CCAEC4" w14:textId="77777777" w:rsidR="00A77B3E" w:rsidRPr="000C58DA" w:rsidRDefault="009B7C34" w:rsidP="00206D9E">
      <w:pPr>
        <w:adjustRightInd w:val="0"/>
        <w:snapToGrid w:val="0"/>
        <w:spacing w:line="360" w:lineRule="auto"/>
        <w:jc w:val="both"/>
        <w:rPr>
          <w:rFonts w:ascii="Book Antiqua" w:hAnsi="Book Antiqua" w:cs="Book Antiqua"/>
          <w:b/>
          <w:color w:val="000000"/>
          <w:lang w:eastAsia="zh-CN"/>
        </w:rPr>
      </w:pPr>
      <w:bookmarkStart w:id="0" w:name="OLE_LINK10"/>
      <w:bookmarkStart w:id="1" w:name="OLE_LINK11"/>
      <w:r w:rsidRPr="000C58DA">
        <w:rPr>
          <w:rFonts w:ascii="Book Antiqua" w:eastAsia="Book Antiqua" w:hAnsi="Book Antiqua" w:cs="Book Antiqua"/>
          <w:b/>
          <w:caps/>
          <w:color w:val="000000"/>
        </w:rPr>
        <w:t>r</w:t>
      </w:r>
      <w:r w:rsidRPr="000C58DA">
        <w:rPr>
          <w:rFonts w:ascii="Book Antiqua" w:eastAsia="Book Antiqua" w:hAnsi="Book Antiqua" w:cs="Book Antiqua"/>
          <w:b/>
          <w:color w:val="000000"/>
        </w:rPr>
        <w:t xml:space="preserve">ecently acquired </w:t>
      </w:r>
      <w:r w:rsidR="00204FC7" w:rsidRPr="000C58DA">
        <w:rPr>
          <w:rFonts w:ascii="Book Antiqua" w:eastAsia="Book Antiqua" w:hAnsi="Book Antiqua" w:cs="Book Antiqua"/>
          <w:b/>
          <w:color w:val="000000"/>
        </w:rPr>
        <w:t>hepatitis C virus</w:t>
      </w:r>
      <w:r w:rsidRPr="000C58DA">
        <w:rPr>
          <w:rFonts w:ascii="Book Antiqua" w:eastAsia="Book Antiqua" w:hAnsi="Book Antiqua" w:cs="Book Antiqua"/>
          <w:b/>
          <w:color w:val="000000"/>
        </w:rPr>
        <w:t xml:space="preserve"> infection among people living with </w:t>
      </w:r>
      <w:r w:rsidR="00204FC7" w:rsidRPr="000C58DA">
        <w:rPr>
          <w:rFonts w:ascii="Book Antiqua" w:eastAsia="Book Antiqua" w:hAnsi="Book Antiqua" w:cs="Book Antiqua"/>
          <w:b/>
          <w:color w:val="000000"/>
        </w:rPr>
        <w:t xml:space="preserve">human immunodeficiency virus </w:t>
      </w:r>
      <w:r w:rsidRPr="000C58DA">
        <w:rPr>
          <w:rFonts w:ascii="Book Antiqua" w:eastAsia="Book Antiqua" w:hAnsi="Book Antiqua" w:cs="Book Antiqua"/>
          <w:b/>
          <w:color w:val="000000"/>
        </w:rPr>
        <w:t>at a university hospital in Taiwan</w:t>
      </w:r>
    </w:p>
    <w:bookmarkEnd w:id="0"/>
    <w:bookmarkEnd w:id="1"/>
    <w:p w14:paraId="02599ACE" w14:textId="77777777" w:rsidR="00204FC7" w:rsidRPr="000C58DA" w:rsidRDefault="00204FC7" w:rsidP="00206D9E">
      <w:pPr>
        <w:adjustRightInd w:val="0"/>
        <w:snapToGrid w:val="0"/>
        <w:spacing w:line="360" w:lineRule="auto"/>
        <w:jc w:val="both"/>
        <w:rPr>
          <w:rFonts w:ascii="Book Antiqua" w:hAnsi="Book Antiqua"/>
        </w:rPr>
      </w:pPr>
    </w:p>
    <w:p w14:paraId="42947F37" w14:textId="77777777" w:rsidR="00A77B3E" w:rsidRPr="000C58DA" w:rsidRDefault="00204FC7"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 xml:space="preserve">Huang </w:t>
      </w:r>
      <w:r w:rsidRPr="000C58DA">
        <w:rPr>
          <w:rFonts w:ascii="Book Antiqua" w:hAnsi="Book Antiqua" w:cs="Book Antiqua"/>
          <w:color w:val="000000"/>
          <w:lang w:eastAsia="zh-CN"/>
        </w:rPr>
        <w:t xml:space="preserve">MH </w:t>
      </w:r>
      <w:r w:rsidRPr="000C58DA">
        <w:rPr>
          <w:rFonts w:ascii="Book Antiqua" w:hAnsi="Book Antiqua" w:cs="Book Antiqua"/>
          <w:i/>
          <w:color w:val="000000"/>
          <w:lang w:eastAsia="zh-CN"/>
        </w:rPr>
        <w:t>et al.</w:t>
      </w:r>
      <w:r w:rsidRPr="000C58DA">
        <w:rPr>
          <w:rFonts w:ascii="Book Antiqua" w:hAnsi="Book Antiqua" w:cs="Book Antiqua"/>
          <w:color w:val="000000"/>
          <w:lang w:eastAsia="zh-CN"/>
        </w:rPr>
        <w:t xml:space="preserve"> </w:t>
      </w:r>
      <w:r w:rsidR="009B7C34" w:rsidRPr="000C58DA">
        <w:rPr>
          <w:rFonts w:ascii="Book Antiqua" w:eastAsia="Book Antiqua" w:hAnsi="Book Antiqua" w:cs="Book Antiqua"/>
          <w:color w:val="000000"/>
        </w:rPr>
        <w:t>HIV and recent HCV infection</w:t>
      </w:r>
    </w:p>
    <w:p w14:paraId="55E14B88" w14:textId="77777777" w:rsidR="00A77B3E" w:rsidRPr="000C58DA" w:rsidRDefault="00A77B3E" w:rsidP="00206D9E">
      <w:pPr>
        <w:adjustRightInd w:val="0"/>
        <w:snapToGrid w:val="0"/>
        <w:spacing w:line="360" w:lineRule="auto"/>
        <w:jc w:val="both"/>
        <w:rPr>
          <w:rFonts w:ascii="Book Antiqua" w:hAnsi="Book Antiqua"/>
        </w:rPr>
      </w:pPr>
    </w:p>
    <w:p w14:paraId="3F1B7620"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Miao-</w:t>
      </w:r>
      <w:proofErr w:type="spellStart"/>
      <w:r w:rsidRPr="000C58DA">
        <w:rPr>
          <w:rFonts w:ascii="Book Antiqua" w:eastAsia="Book Antiqua" w:hAnsi="Book Antiqua" w:cs="Book Antiqua"/>
          <w:color w:val="000000"/>
        </w:rPr>
        <w:t>Hui</w:t>
      </w:r>
      <w:proofErr w:type="spellEnd"/>
      <w:r w:rsidRPr="000C58DA">
        <w:rPr>
          <w:rFonts w:ascii="Book Antiqua" w:eastAsia="Book Antiqua" w:hAnsi="Book Antiqua" w:cs="Book Antiqua"/>
          <w:color w:val="000000"/>
        </w:rPr>
        <w:t xml:space="preserve"> Huang, </w:t>
      </w:r>
      <w:proofErr w:type="spellStart"/>
      <w:r w:rsidRPr="000C58DA">
        <w:rPr>
          <w:rFonts w:ascii="Book Antiqua" w:eastAsia="Book Antiqua" w:hAnsi="Book Antiqua" w:cs="Book Antiqua"/>
          <w:color w:val="000000"/>
        </w:rPr>
        <w:t>Hsin</w:t>
      </w:r>
      <w:proofErr w:type="spellEnd"/>
      <w:r w:rsidRPr="000C58DA">
        <w:rPr>
          <w:rFonts w:ascii="Book Antiqua" w:eastAsia="Book Antiqua" w:hAnsi="Book Antiqua" w:cs="Book Antiqua"/>
          <w:color w:val="000000"/>
        </w:rPr>
        <w:t xml:space="preserve">-Yun Sun, </w:t>
      </w:r>
      <w:proofErr w:type="spellStart"/>
      <w:r w:rsidRPr="000C58DA">
        <w:rPr>
          <w:rFonts w:ascii="Book Antiqua" w:eastAsia="Book Antiqua" w:hAnsi="Book Antiqua" w:cs="Book Antiqua"/>
          <w:color w:val="000000"/>
        </w:rPr>
        <w:t>Shu</w:t>
      </w:r>
      <w:proofErr w:type="spellEnd"/>
      <w:r w:rsidRPr="000C58DA">
        <w:rPr>
          <w:rFonts w:ascii="Book Antiqua" w:eastAsia="Book Antiqua" w:hAnsi="Book Antiqua" w:cs="Book Antiqua"/>
          <w:color w:val="000000"/>
        </w:rPr>
        <w:t>-Yuan Ho, Sui</w:t>
      </w:r>
      <w:r w:rsidR="00652F11" w:rsidRPr="000C58DA">
        <w:rPr>
          <w:rFonts w:ascii="Book Antiqua" w:eastAsia="Book Antiqua" w:hAnsi="Book Antiqua" w:cs="Book Antiqua"/>
          <w:color w:val="000000"/>
        </w:rPr>
        <w:t>-</w:t>
      </w:r>
      <w:r w:rsidRPr="000C58DA">
        <w:rPr>
          <w:rFonts w:ascii="Book Antiqua" w:eastAsia="Book Antiqua" w:hAnsi="Book Antiqua" w:cs="Book Antiqua"/>
          <w:color w:val="000000"/>
        </w:rPr>
        <w:t xml:space="preserve">Yuan Chang, </w:t>
      </w:r>
      <w:proofErr w:type="spellStart"/>
      <w:r w:rsidRPr="000C58DA">
        <w:rPr>
          <w:rFonts w:ascii="Book Antiqua" w:eastAsia="Book Antiqua" w:hAnsi="Book Antiqua" w:cs="Book Antiqua"/>
          <w:color w:val="000000"/>
        </w:rPr>
        <w:t>Szu</w:t>
      </w:r>
      <w:proofErr w:type="spellEnd"/>
      <w:r w:rsidRPr="000C58DA">
        <w:rPr>
          <w:rFonts w:ascii="Book Antiqua" w:eastAsia="Book Antiqua" w:hAnsi="Book Antiqua" w:cs="Book Antiqua"/>
          <w:color w:val="000000"/>
        </w:rPr>
        <w:t>-Min Hsieh, Wang-</w:t>
      </w:r>
      <w:proofErr w:type="spellStart"/>
      <w:r w:rsidRPr="000C58DA">
        <w:rPr>
          <w:rFonts w:ascii="Book Antiqua" w:eastAsia="Book Antiqua" w:hAnsi="Book Antiqua" w:cs="Book Antiqua"/>
          <w:color w:val="000000"/>
        </w:rPr>
        <w:t>Huei</w:t>
      </w:r>
      <w:proofErr w:type="spellEnd"/>
      <w:r w:rsidRPr="000C58DA">
        <w:rPr>
          <w:rFonts w:ascii="Book Antiqua" w:eastAsia="Book Antiqua" w:hAnsi="Book Antiqua" w:cs="Book Antiqua"/>
          <w:color w:val="000000"/>
        </w:rPr>
        <w:t xml:space="preserve"> Sheng, Yu-Chung Chuang, Yu-Shan Huang, Li-</w:t>
      </w:r>
      <w:proofErr w:type="spellStart"/>
      <w:r w:rsidRPr="000C58DA">
        <w:rPr>
          <w:rFonts w:ascii="Book Antiqua" w:eastAsia="Book Antiqua" w:hAnsi="Book Antiqua" w:cs="Book Antiqua"/>
          <w:color w:val="000000"/>
        </w:rPr>
        <w:t>Hsin</w:t>
      </w:r>
      <w:proofErr w:type="spellEnd"/>
      <w:r w:rsidRPr="000C58DA">
        <w:rPr>
          <w:rFonts w:ascii="Book Antiqua" w:eastAsia="Book Antiqua" w:hAnsi="Book Antiqua" w:cs="Book Antiqua"/>
          <w:color w:val="000000"/>
        </w:rPr>
        <w:t xml:space="preserve"> Su, Wen-Chun Liu, Yi-</w:t>
      </w:r>
      <w:proofErr w:type="spellStart"/>
      <w:r w:rsidRPr="000C58DA">
        <w:rPr>
          <w:rFonts w:ascii="Book Antiqua" w:eastAsia="Book Antiqua" w:hAnsi="Book Antiqua" w:cs="Book Antiqua"/>
          <w:color w:val="000000"/>
        </w:rPr>
        <w:t>Ching</w:t>
      </w:r>
      <w:proofErr w:type="spellEnd"/>
      <w:r w:rsidRPr="000C58DA">
        <w:rPr>
          <w:rFonts w:ascii="Book Antiqua" w:eastAsia="Book Antiqua" w:hAnsi="Book Antiqua" w:cs="Book Antiqua"/>
          <w:color w:val="000000"/>
        </w:rPr>
        <w:t xml:space="preserve"> Su, </w:t>
      </w:r>
      <w:proofErr w:type="spellStart"/>
      <w:r w:rsidRPr="000C58DA">
        <w:rPr>
          <w:rFonts w:ascii="Book Antiqua" w:eastAsia="Book Antiqua" w:hAnsi="Book Antiqua" w:cs="Book Antiqua"/>
          <w:color w:val="000000"/>
        </w:rPr>
        <w:t>Chien</w:t>
      </w:r>
      <w:r w:rsidR="00652F11" w:rsidRPr="000C58DA">
        <w:rPr>
          <w:rFonts w:ascii="Book Antiqua" w:hAnsi="Book Antiqua" w:cs="Book Antiqua"/>
          <w:color w:val="000000"/>
          <w:lang w:eastAsia="zh-CN"/>
        </w:rPr>
        <w:t>-</w:t>
      </w:r>
      <w:r w:rsidRPr="000C58DA">
        <w:rPr>
          <w:rFonts w:ascii="Book Antiqua" w:eastAsia="Book Antiqua" w:hAnsi="Book Antiqua" w:cs="Book Antiqua"/>
          <w:color w:val="000000"/>
        </w:rPr>
        <w:t>Ching</w:t>
      </w:r>
      <w:proofErr w:type="spellEnd"/>
      <w:r w:rsidRPr="000C58DA">
        <w:rPr>
          <w:rFonts w:ascii="Book Antiqua" w:eastAsia="Book Antiqua" w:hAnsi="Book Antiqua" w:cs="Book Antiqua"/>
          <w:color w:val="000000"/>
        </w:rPr>
        <w:t xml:space="preserve"> Hung</w:t>
      </w:r>
    </w:p>
    <w:p w14:paraId="1B8F7BAD" w14:textId="77777777" w:rsidR="00A77B3E" w:rsidRPr="000C58DA" w:rsidRDefault="00A77B3E" w:rsidP="00206D9E">
      <w:pPr>
        <w:adjustRightInd w:val="0"/>
        <w:snapToGrid w:val="0"/>
        <w:spacing w:line="360" w:lineRule="auto"/>
        <w:jc w:val="both"/>
        <w:rPr>
          <w:rFonts w:ascii="Book Antiqua" w:hAnsi="Book Antiqua"/>
        </w:rPr>
      </w:pPr>
    </w:p>
    <w:p w14:paraId="6A884B5A" w14:textId="25DD53B3"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 xml:space="preserve">Miao-Hui Huang, </w:t>
      </w:r>
      <w:r w:rsidRPr="000C58DA">
        <w:rPr>
          <w:rFonts w:ascii="Book Antiqua" w:eastAsia="Book Antiqua" w:hAnsi="Book Antiqua" w:cs="Book Antiqua"/>
          <w:color w:val="000000"/>
        </w:rPr>
        <w:t xml:space="preserve">Department of Internal Medicine, </w:t>
      </w:r>
      <w:r w:rsidR="005736CB" w:rsidRPr="005736CB">
        <w:rPr>
          <w:rFonts w:ascii="Book Antiqua" w:eastAsia="Book Antiqua" w:hAnsi="Book Antiqua" w:cs="Book Antiqua"/>
          <w:color w:val="000000"/>
        </w:rPr>
        <w:t>Hualien Tzu Chi Hospital, Buddhist Tzu Chi Medical Foundation and Tzu Chi University</w:t>
      </w:r>
      <w:r w:rsidRPr="000C58DA">
        <w:rPr>
          <w:rFonts w:ascii="Book Antiqua" w:eastAsia="Book Antiqua" w:hAnsi="Book Antiqua" w:cs="Book Antiqua"/>
          <w:color w:val="000000"/>
        </w:rPr>
        <w:t xml:space="preserve">, Hualien 970410, </w:t>
      </w:r>
      <w:bookmarkStart w:id="2" w:name="OLE_LINK12"/>
      <w:bookmarkStart w:id="3" w:name="OLE_LINK13"/>
      <w:r w:rsidRPr="000C58DA">
        <w:rPr>
          <w:rFonts w:ascii="Book Antiqua" w:eastAsia="Book Antiqua" w:hAnsi="Book Antiqua" w:cs="Book Antiqua"/>
          <w:color w:val="000000"/>
        </w:rPr>
        <w:t>Taiwan</w:t>
      </w:r>
      <w:bookmarkEnd w:id="2"/>
      <w:bookmarkEnd w:id="3"/>
    </w:p>
    <w:p w14:paraId="09BF9BAF" w14:textId="77777777" w:rsidR="00A77B3E" w:rsidRPr="000C58DA" w:rsidRDefault="00A77B3E" w:rsidP="00206D9E">
      <w:pPr>
        <w:adjustRightInd w:val="0"/>
        <w:snapToGrid w:val="0"/>
        <w:spacing w:line="360" w:lineRule="auto"/>
        <w:jc w:val="both"/>
        <w:rPr>
          <w:rFonts w:ascii="Book Antiqua" w:hAnsi="Book Antiqua"/>
        </w:rPr>
      </w:pPr>
    </w:p>
    <w:p w14:paraId="16C42FD7" w14:textId="77777777" w:rsidR="00A77B3E" w:rsidRPr="000C58DA" w:rsidRDefault="009B7C34" w:rsidP="00206D9E">
      <w:pPr>
        <w:adjustRightInd w:val="0"/>
        <w:snapToGrid w:val="0"/>
        <w:spacing w:line="360" w:lineRule="auto"/>
        <w:jc w:val="both"/>
        <w:rPr>
          <w:rFonts w:ascii="Book Antiqua" w:hAnsi="Book Antiqua"/>
        </w:rPr>
      </w:pPr>
      <w:proofErr w:type="spellStart"/>
      <w:r w:rsidRPr="000C58DA">
        <w:rPr>
          <w:rFonts w:ascii="Book Antiqua" w:eastAsia="Book Antiqua" w:hAnsi="Book Antiqua" w:cs="Book Antiqua"/>
          <w:b/>
          <w:bCs/>
          <w:color w:val="000000"/>
        </w:rPr>
        <w:t>Hsin</w:t>
      </w:r>
      <w:proofErr w:type="spellEnd"/>
      <w:r w:rsidRPr="000C58DA">
        <w:rPr>
          <w:rFonts w:ascii="Book Antiqua" w:eastAsia="Book Antiqua" w:hAnsi="Book Antiqua" w:cs="Book Antiqua"/>
          <w:b/>
          <w:bCs/>
          <w:color w:val="000000"/>
        </w:rPr>
        <w:t xml:space="preserve">-Yun Sun, </w:t>
      </w:r>
      <w:proofErr w:type="spellStart"/>
      <w:r w:rsidRPr="000C58DA">
        <w:rPr>
          <w:rFonts w:ascii="Book Antiqua" w:eastAsia="Book Antiqua" w:hAnsi="Book Antiqua" w:cs="Book Antiqua"/>
          <w:b/>
          <w:bCs/>
          <w:color w:val="000000"/>
        </w:rPr>
        <w:t>Szu</w:t>
      </w:r>
      <w:proofErr w:type="spellEnd"/>
      <w:r w:rsidRPr="000C58DA">
        <w:rPr>
          <w:rFonts w:ascii="Book Antiqua" w:eastAsia="Book Antiqua" w:hAnsi="Book Antiqua" w:cs="Book Antiqua"/>
          <w:b/>
          <w:bCs/>
          <w:color w:val="000000"/>
        </w:rPr>
        <w:t>-Min Hsieh, Wang-</w:t>
      </w:r>
      <w:proofErr w:type="spellStart"/>
      <w:r w:rsidRPr="000C58DA">
        <w:rPr>
          <w:rFonts w:ascii="Book Antiqua" w:eastAsia="Book Antiqua" w:hAnsi="Book Antiqua" w:cs="Book Antiqua"/>
          <w:b/>
          <w:bCs/>
          <w:color w:val="000000"/>
        </w:rPr>
        <w:t>Huei</w:t>
      </w:r>
      <w:proofErr w:type="spellEnd"/>
      <w:r w:rsidRPr="000C58DA">
        <w:rPr>
          <w:rFonts w:ascii="Book Antiqua" w:eastAsia="Book Antiqua" w:hAnsi="Book Antiqua" w:cs="Book Antiqua"/>
          <w:b/>
          <w:bCs/>
          <w:color w:val="000000"/>
        </w:rPr>
        <w:t xml:space="preserve"> Sheng, Yu-Chung Chuang, Yu-Shan Huang, Li-</w:t>
      </w:r>
      <w:proofErr w:type="spellStart"/>
      <w:r w:rsidRPr="000C58DA">
        <w:rPr>
          <w:rFonts w:ascii="Book Antiqua" w:eastAsia="Book Antiqua" w:hAnsi="Book Antiqua" w:cs="Book Antiqua"/>
          <w:b/>
          <w:bCs/>
          <w:color w:val="000000"/>
        </w:rPr>
        <w:t>Hsin</w:t>
      </w:r>
      <w:proofErr w:type="spellEnd"/>
      <w:r w:rsidRPr="000C58DA">
        <w:rPr>
          <w:rFonts w:ascii="Book Antiqua" w:eastAsia="Book Antiqua" w:hAnsi="Book Antiqua" w:cs="Book Antiqua"/>
          <w:b/>
          <w:bCs/>
          <w:color w:val="000000"/>
        </w:rPr>
        <w:t xml:space="preserve"> Su, Wen-Chun Liu, Yi-</w:t>
      </w:r>
      <w:proofErr w:type="spellStart"/>
      <w:r w:rsidRPr="000C58DA">
        <w:rPr>
          <w:rFonts w:ascii="Book Antiqua" w:eastAsia="Book Antiqua" w:hAnsi="Book Antiqua" w:cs="Book Antiqua"/>
          <w:b/>
          <w:bCs/>
          <w:color w:val="000000"/>
        </w:rPr>
        <w:t>Ching</w:t>
      </w:r>
      <w:proofErr w:type="spellEnd"/>
      <w:r w:rsidRPr="000C58DA">
        <w:rPr>
          <w:rFonts w:ascii="Book Antiqua" w:eastAsia="Book Antiqua" w:hAnsi="Book Antiqua" w:cs="Book Antiqua"/>
          <w:b/>
          <w:bCs/>
          <w:color w:val="000000"/>
        </w:rPr>
        <w:t xml:space="preserve"> Su, </w:t>
      </w:r>
      <w:proofErr w:type="spellStart"/>
      <w:r w:rsidRPr="000C58DA">
        <w:rPr>
          <w:rFonts w:ascii="Book Antiqua" w:eastAsia="Book Antiqua" w:hAnsi="Book Antiqua" w:cs="Book Antiqua"/>
          <w:b/>
          <w:bCs/>
          <w:color w:val="000000"/>
        </w:rPr>
        <w:t>Chien</w:t>
      </w:r>
      <w:r w:rsidR="00652F11" w:rsidRPr="000C58DA">
        <w:rPr>
          <w:rFonts w:ascii="Book Antiqua" w:hAnsi="Book Antiqua" w:cs="Book Antiqua"/>
          <w:b/>
          <w:bCs/>
          <w:color w:val="000000"/>
          <w:lang w:eastAsia="zh-CN"/>
        </w:rPr>
        <w:t>-</w:t>
      </w:r>
      <w:r w:rsidRPr="000C58DA">
        <w:rPr>
          <w:rFonts w:ascii="Book Antiqua" w:eastAsia="Book Antiqua" w:hAnsi="Book Antiqua" w:cs="Book Antiqua"/>
          <w:b/>
          <w:bCs/>
          <w:color w:val="000000"/>
        </w:rPr>
        <w:t>Ching</w:t>
      </w:r>
      <w:proofErr w:type="spellEnd"/>
      <w:r w:rsidRPr="000C58DA">
        <w:rPr>
          <w:rFonts w:ascii="Book Antiqua" w:eastAsia="Book Antiqua" w:hAnsi="Book Antiqua" w:cs="Book Antiqua"/>
          <w:b/>
          <w:bCs/>
          <w:color w:val="000000"/>
        </w:rPr>
        <w:t xml:space="preserve"> Hung, </w:t>
      </w:r>
      <w:r w:rsidRPr="000C58DA">
        <w:rPr>
          <w:rFonts w:ascii="Book Antiqua" w:eastAsia="Book Antiqua" w:hAnsi="Book Antiqua" w:cs="Book Antiqua"/>
          <w:color w:val="000000"/>
        </w:rPr>
        <w:t>Department of Internal Medicine, National Taiwan University Hospital and National Taiwan University College of Medicine, Taipei 100008, Taiwan</w:t>
      </w:r>
    </w:p>
    <w:p w14:paraId="7F6C0579" w14:textId="77777777" w:rsidR="00A77B3E" w:rsidRPr="000C58DA" w:rsidRDefault="00A77B3E" w:rsidP="00206D9E">
      <w:pPr>
        <w:adjustRightInd w:val="0"/>
        <w:snapToGrid w:val="0"/>
        <w:spacing w:line="360" w:lineRule="auto"/>
        <w:jc w:val="both"/>
        <w:rPr>
          <w:rFonts w:ascii="Book Antiqua" w:hAnsi="Book Antiqua"/>
        </w:rPr>
      </w:pPr>
    </w:p>
    <w:p w14:paraId="6E1ADFE6"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Shu-Yuan Ho, Sui</w:t>
      </w:r>
      <w:r w:rsidR="00652F11" w:rsidRPr="000C58DA">
        <w:rPr>
          <w:rFonts w:ascii="Book Antiqua" w:hAnsi="Book Antiqua" w:cs="Book Antiqua"/>
          <w:b/>
          <w:bCs/>
          <w:color w:val="000000"/>
          <w:lang w:eastAsia="zh-CN"/>
        </w:rPr>
        <w:t>-</w:t>
      </w:r>
      <w:r w:rsidRPr="000C58DA">
        <w:rPr>
          <w:rFonts w:ascii="Book Antiqua" w:eastAsia="Book Antiqua" w:hAnsi="Book Antiqua" w:cs="Book Antiqua"/>
          <w:b/>
          <w:bCs/>
          <w:color w:val="000000"/>
        </w:rPr>
        <w:t xml:space="preserve">Yuan Chang, </w:t>
      </w:r>
      <w:r w:rsidRPr="000C58DA">
        <w:rPr>
          <w:rFonts w:ascii="Book Antiqua" w:eastAsia="Book Antiqua" w:hAnsi="Book Antiqua" w:cs="Book Antiqua"/>
          <w:color w:val="000000"/>
        </w:rPr>
        <w:t>Department of Laboratory Medicine, National Taiwan University Hospital and National Taiwan University College of Medicine, Taipei 100008, Taiwan</w:t>
      </w:r>
    </w:p>
    <w:p w14:paraId="180C7EF5" w14:textId="77777777" w:rsidR="00A77B3E" w:rsidRPr="000C58DA" w:rsidRDefault="00A77B3E" w:rsidP="00206D9E">
      <w:pPr>
        <w:adjustRightInd w:val="0"/>
        <w:snapToGrid w:val="0"/>
        <w:spacing w:line="360" w:lineRule="auto"/>
        <w:jc w:val="both"/>
        <w:rPr>
          <w:rFonts w:ascii="Book Antiqua" w:hAnsi="Book Antiqua"/>
        </w:rPr>
      </w:pPr>
    </w:p>
    <w:p w14:paraId="326F2EFB"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Sui</w:t>
      </w:r>
      <w:r w:rsidR="00652F11" w:rsidRPr="000C58DA">
        <w:rPr>
          <w:rFonts w:ascii="Book Antiqua" w:eastAsia="Book Antiqua" w:hAnsi="Book Antiqua" w:cs="Book Antiqua"/>
          <w:b/>
          <w:bCs/>
          <w:color w:val="000000"/>
        </w:rPr>
        <w:t>-</w:t>
      </w:r>
      <w:r w:rsidRPr="000C58DA">
        <w:rPr>
          <w:rFonts w:ascii="Book Antiqua" w:eastAsia="Book Antiqua" w:hAnsi="Book Antiqua" w:cs="Book Antiqua"/>
          <w:b/>
          <w:bCs/>
          <w:color w:val="000000"/>
        </w:rPr>
        <w:t xml:space="preserve">Yuan Chang, </w:t>
      </w:r>
      <w:r w:rsidRPr="000C58DA">
        <w:rPr>
          <w:rFonts w:ascii="Book Antiqua" w:eastAsia="Book Antiqua" w:hAnsi="Book Antiqua" w:cs="Book Antiqua"/>
          <w:color w:val="000000"/>
        </w:rPr>
        <w:t>Department of Clinical Laboratory Sciences and Medical Biotechnology, National Taiwan University College of Medicine, Taipei 100233, Taiwan</w:t>
      </w:r>
    </w:p>
    <w:p w14:paraId="6E6A32F0" w14:textId="77777777" w:rsidR="00A77B3E" w:rsidRPr="000C58DA" w:rsidRDefault="00A77B3E" w:rsidP="00206D9E">
      <w:pPr>
        <w:adjustRightInd w:val="0"/>
        <w:snapToGrid w:val="0"/>
        <w:spacing w:line="360" w:lineRule="auto"/>
        <w:jc w:val="both"/>
        <w:rPr>
          <w:rFonts w:ascii="Book Antiqua" w:hAnsi="Book Antiqua"/>
        </w:rPr>
      </w:pPr>
    </w:p>
    <w:p w14:paraId="7B3126A2" w14:textId="77777777" w:rsidR="00A77B3E" w:rsidRPr="000C58DA" w:rsidRDefault="009B7C34" w:rsidP="00206D9E">
      <w:pPr>
        <w:adjustRightInd w:val="0"/>
        <w:snapToGrid w:val="0"/>
        <w:spacing w:line="360" w:lineRule="auto"/>
        <w:jc w:val="both"/>
        <w:rPr>
          <w:rFonts w:ascii="Book Antiqua" w:hAnsi="Book Antiqua"/>
        </w:rPr>
      </w:pPr>
      <w:proofErr w:type="spellStart"/>
      <w:r w:rsidRPr="000C58DA">
        <w:rPr>
          <w:rFonts w:ascii="Book Antiqua" w:eastAsia="Book Antiqua" w:hAnsi="Book Antiqua" w:cs="Book Antiqua"/>
          <w:b/>
          <w:bCs/>
          <w:color w:val="000000"/>
        </w:rPr>
        <w:lastRenderedPageBreak/>
        <w:t>Chien</w:t>
      </w:r>
      <w:r w:rsidR="00652F11" w:rsidRPr="000C58DA">
        <w:rPr>
          <w:rFonts w:ascii="Book Antiqua" w:hAnsi="Book Antiqua" w:cs="Book Antiqua"/>
          <w:b/>
          <w:bCs/>
          <w:color w:val="000000"/>
          <w:lang w:eastAsia="zh-CN"/>
        </w:rPr>
        <w:t>-</w:t>
      </w:r>
      <w:r w:rsidRPr="000C58DA">
        <w:rPr>
          <w:rFonts w:ascii="Book Antiqua" w:eastAsia="Book Antiqua" w:hAnsi="Book Antiqua" w:cs="Book Antiqua"/>
          <w:b/>
          <w:bCs/>
          <w:color w:val="000000"/>
        </w:rPr>
        <w:t>Ching</w:t>
      </w:r>
      <w:proofErr w:type="spellEnd"/>
      <w:r w:rsidRPr="000C58DA">
        <w:rPr>
          <w:rFonts w:ascii="Book Antiqua" w:eastAsia="Book Antiqua" w:hAnsi="Book Antiqua" w:cs="Book Antiqua"/>
          <w:b/>
          <w:bCs/>
          <w:color w:val="000000"/>
        </w:rPr>
        <w:t xml:space="preserve"> Hung, </w:t>
      </w:r>
      <w:r w:rsidRPr="000C58DA">
        <w:rPr>
          <w:rFonts w:ascii="Book Antiqua" w:eastAsia="Book Antiqua" w:hAnsi="Book Antiqua" w:cs="Book Antiqua"/>
          <w:color w:val="000000"/>
        </w:rPr>
        <w:t>Department of Tropical Medicine and Parasitology, National Taiwan University College of Medicine, Taipei 100233, Taiwan</w:t>
      </w:r>
    </w:p>
    <w:p w14:paraId="27A40206" w14:textId="77777777" w:rsidR="00A77B3E" w:rsidRPr="000C58DA" w:rsidRDefault="00A77B3E" w:rsidP="00206D9E">
      <w:pPr>
        <w:adjustRightInd w:val="0"/>
        <w:snapToGrid w:val="0"/>
        <w:spacing w:line="360" w:lineRule="auto"/>
        <w:jc w:val="both"/>
        <w:rPr>
          <w:rFonts w:ascii="Book Antiqua" w:hAnsi="Book Antiqua"/>
        </w:rPr>
      </w:pPr>
    </w:p>
    <w:p w14:paraId="59EE6CAE" w14:textId="77777777" w:rsidR="00A77B3E" w:rsidRPr="000C58DA" w:rsidRDefault="009B7C34" w:rsidP="00206D9E">
      <w:pPr>
        <w:adjustRightInd w:val="0"/>
        <w:snapToGrid w:val="0"/>
        <w:spacing w:line="360" w:lineRule="auto"/>
        <w:jc w:val="both"/>
        <w:rPr>
          <w:rFonts w:ascii="Book Antiqua" w:hAnsi="Book Antiqua"/>
        </w:rPr>
      </w:pPr>
      <w:proofErr w:type="spellStart"/>
      <w:r w:rsidRPr="000C58DA">
        <w:rPr>
          <w:rFonts w:ascii="Book Antiqua" w:eastAsia="Book Antiqua" w:hAnsi="Book Antiqua" w:cs="Book Antiqua"/>
          <w:b/>
          <w:bCs/>
          <w:color w:val="000000"/>
        </w:rPr>
        <w:t>Chien</w:t>
      </w:r>
      <w:r w:rsidR="00652F11" w:rsidRPr="000C58DA">
        <w:rPr>
          <w:rFonts w:ascii="Book Antiqua" w:eastAsia="Book Antiqua" w:hAnsi="Book Antiqua" w:cs="Book Antiqua"/>
          <w:b/>
          <w:bCs/>
          <w:color w:val="000000"/>
        </w:rPr>
        <w:t>-</w:t>
      </w:r>
      <w:r w:rsidRPr="000C58DA">
        <w:rPr>
          <w:rFonts w:ascii="Book Antiqua" w:eastAsia="Book Antiqua" w:hAnsi="Book Antiqua" w:cs="Book Antiqua"/>
          <w:b/>
          <w:bCs/>
          <w:color w:val="000000"/>
        </w:rPr>
        <w:t>Ching</w:t>
      </w:r>
      <w:proofErr w:type="spellEnd"/>
      <w:r w:rsidRPr="000C58DA">
        <w:rPr>
          <w:rFonts w:ascii="Book Antiqua" w:eastAsia="Book Antiqua" w:hAnsi="Book Antiqua" w:cs="Book Antiqua"/>
          <w:b/>
          <w:bCs/>
          <w:color w:val="000000"/>
        </w:rPr>
        <w:t xml:space="preserve"> Hung, </w:t>
      </w:r>
      <w:r w:rsidRPr="000C58DA">
        <w:rPr>
          <w:rFonts w:ascii="Book Antiqua" w:eastAsia="Book Antiqua" w:hAnsi="Book Antiqua" w:cs="Book Antiqua"/>
          <w:color w:val="000000"/>
        </w:rPr>
        <w:t>Department of Medical Research, China Medical University Hospital and China Medical University, Taichung 404394, Taiwan</w:t>
      </w:r>
    </w:p>
    <w:p w14:paraId="2ACC3A83" w14:textId="77777777" w:rsidR="00A77B3E" w:rsidRPr="000C58DA" w:rsidRDefault="00A77B3E" w:rsidP="00206D9E">
      <w:pPr>
        <w:adjustRightInd w:val="0"/>
        <w:snapToGrid w:val="0"/>
        <w:spacing w:line="360" w:lineRule="auto"/>
        <w:jc w:val="both"/>
        <w:rPr>
          <w:rFonts w:ascii="Book Antiqua" w:hAnsi="Book Antiqua"/>
        </w:rPr>
      </w:pPr>
    </w:p>
    <w:p w14:paraId="77ED6B42" w14:textId="36E0D00C"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 xml:space="preserve">Author contributions: </w:t>
      </w:r>
      <w:r w:rsidRPr="000C58DA">
        <w:rPr>
          <w:rFonts w:ascii="Book Antiqua" w:eastAsia="Book Antiqua" w:hAnsi="Book Antiqua" w:cs="Book Antiqua"/>
          <w:color w:val="000000"/>
        </w:rPr>
        <w:t xml:space="preserve">Huang MH designed and performed the research; Sun HY and Hung CC designed the research and supervised the report; Ho SY and Chang SY provided laboratory support; Hung CC, Sun HY, Hsieh SM, Sheng WH, Chuang YC, Huang YS, Su LH, Liu WC, </w:t>
      </w:r>
      <w:r w:rsidR="00652F11" w:rsidRPr="000C58DA">
        <w:rPr>
          <w:rFonts w:ascii="Book Antiqua" w:eastAsia="Book Antiqua" w:hAnsi="Book Antiqua" w:cs="Book Antiqua"/>
          <w:color w:val="000000"/>
        </w:rPr>
        <w:t>and</w:t>
      </w:r>
      <w:r w:rsidR="00652F11" w:rsidRPr="000C58DA">
        <w:rPr>
          <w:rFonts w:ascii="Book Antiqua" w:hAnsi="Book Antiqua" w:cs="Book Antiqua"/>
          <w:color w:val="000000"/>
          <w:lang w:eastAsia="zh-CN"/>
        </w:rPr>
        <w:t xml:space="preserve"> </w:t>
      </w:r>
      <w:r w:rsidRPr="000C58DA">
        <w:rPr>
          <w:rFonts w:ascii="Book Antiqua" w:eastAsia="Book Antiqua" w:hAnsi="Book Antiqua" w:cs="Book Antiqua"/>
          <w:color w:val="000000"/>
        </w:rPr>
        <w:t>Su YC were involved in the collection and assembly of clinical data; Huang MH and Hung CC participated in the data analysis and drafted the report</w:t>
      </w:r>
      <w:r w:rsidR="00652F11"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 </w:t>
      </w:r>
      <w:r w:rsidR="00435D77">
        <w:rPr>
          <w:rFonts w:ascii="PMingLiU" w:eastAsia="PMingLiU" w:hAnsi="PMingLiU" w:cs="PMingLiU" w:hint="eastAsia"/>
          <w:color w:val="000000"/>
          <w:lang w:eastAsia="zh-TW"/>
        </w:rPr>
        <w:t>a</w:t>
      </w:r>
      <w:r w:rsidRPr="000C58DA">
        <w:rPr>
          <w:rFonts w:ascii="Book Antiqua" w:eastAsia="Book Antiqua" w:hAnsi="Book Antiqua" w:cs="Book Antiqua"/>
          <w:color w:val="000000"/>
        </w:rPr>
        <w:t>ll authors reviewed and approved the final version of the report.</w:t>
      </w:r>
    </w:p>
    <w:p w14:paraId="6A38C19A" w14:textId="77777777" w:rsidR="00A77B3E" w:rsidRPr="000C58DA" w:rsidRDefault="00A77B3E" w:rsidP="00206D9E">
      <w:pPr>
        <w:adjustRightInd w:val="0"/>
        <w:snapToGrid w:val="0"/>
        <w:spacing w:line="360" w:lineRule="auto"/>
        <w:jc w:val="both"/>
        <w:rPr>
          <w:rFonts w:ascii="Book Antiqua" w:hAnsi="Book Antiqua"/>
        </w:rPr>
      </w:pPr>
    </w:p>
    <w:p w14:paraId="1E683040" w14:textId="77777777" w:rsidR="00A77B3E" w:rsidRPr="000C58DA" w:rsidRDefault="009B7C34" w:rsidP="00206D9E">
      <w:pPr>
        <w:adjustRightInd w:val="0"/>
        <w:snapToGrid w:val="0"/>
        <w:spacing w:line="360" w:lineRule="auto"/>
        <w:jc w:val="both"/>
        <w:rPr>
          <w:rFonts w:ascii="Book Antiqua" w:hAnsi="Book Antiqua"/>
          <w:lang w:eastAsia="zh-CN"/>
        </w:rPr>
      </w:pPr>
      <w:r w:rsidRPr="000C58DA">
        <w:rPr>
          <w:rFonts w:ascii="Book Antiqua" w:eastAsia="Book Antiqua" w:hAnsi="Book Antiqua" w:cs="Book Antiqua"/>
          <w:b/>
          <w:bCs/>
          <w:color w:val="000000"/>
        </w:rPr>
        <w:t xml:space="preserve">Supported by </w:t>
      </w:r>
      <w:r w:rsidRPr="000C58DA">
        <w:rPr>
          <w:rFonts w:ascii="Book Antiqua" w:eastAsia="Book Antiqua" w:hAnsi="Book Antiqua" w:cs="Book Antiqua"/>
          <w:color w:val="000000"/>
        </w:rPr>
        <w:t>National Taiwan University Hospital, Taipei, Taiwan</w:t>
      </w:r>
      <w:r w:rsidR="00652F11" w:rsidRPr="000C58DA">
        <w:rPr>
          <w:rFonts w:ascii="Book Antiqua" w:hAnsi="Book Antiqua" w:cs="Book Antiqua"/>
          <w:color w:val="000000"/>
          <w:lang w:eastAsia="zh-CN"/>
        </w:rPr>
        <w:t>,</w:t>
      </w:r>
      <w:r w:rsidR="00652F11" w:rsidRPr="000C58DA">
        <w:rPr>
          <w:rFonts w:ascii="Book Antiqua" w:eastAsia="Book Antiqua" w:hAnsi="Book Antiqua" w:cs="Book Antiqua"/>
          <w:color w:val="000000"/>
        </w:rPr>
        <w:t xml:space="preserve"> </w:t>
      </w:r>
      <w:r w:rsidR="00652F11" w:rsidRPr="000C58DA">
        <w:rPr>
          <w:rFonts w:ascii="Book Antiqua" w:hAnsi="Book Antiqua" w:cs="Book Antiqua"/>
          <w:color w:val="000000"/>
          <w:lang w:eastAsia="zh-CN"/>
        </w:rPr>
        <w:t xml:space="preserve">No. </w:t>
      </w:r>
      <w:r w:rsidRPr="000C58DA">
        <w:rPr>
          <w:rFonts w:ascii="Book Antiqua" w:eastAsia="Book Antiqua" w:hAnsi="Book Antiqua" w:cs="Book Antiqua"/>
          <w:color w:val="000000"/>
        </w:rPr>
        <w:t xml:space="preserve">NTUH106-003347 </w:t>
      </w:r>
      <w:r w:rsidR="00652F11" w:rsidRPr="000C58DA">
        <w:rPr>
          <w:rFonts w:ascii="Book Antiqua" w:hAnsi="Book Antiqua" w:cs="Book Antiqua"/>
          <w:color w:val="000000"/>
          <w:lang w:eastAsia="zh-CN"/>
        </w:rPr>
        <w:t>(</w:t>
      </w:r>
      <w:r w:rsidRPr="000C58DA">
        <w:rPr>
          <w:rFonts w:ascii="Book Antiqua" w:eastAsia="Book Antiqua" w:hAnsi="Book Antiqua" w:cs="Book Antiqua"/>
          <w:color w:val="000000"/>
        </w:rPr>
        <w:t>to Sun HY)</w:t>
      </w:r>
      <w:r w:rsidR="00652F11" w:rsidRPr="000C58DA">
        <w:rPr>
          <w:rFonts w:ascii="Book Antiqua" w:hAnsi="Book Antiqua" w:cs="Book Antiqua"/>
          <w:color w:val="000000"/>
          <w:lang w:eastAsia="zh-CN"/>
        </w:rPr>
        <w:t>.</w:t>
      </w:r>
    </w:p>
    <w:p w14:paraId="1E0FD208" w14:textId="77777777" w:rsidR="00A77B3E" w:rsidRPr="000C58DA" w:rsidRDefault="00A77B3E" w:rsidP="00206D9E">
      <w:pPr>
        <w:adjustRightInd w:val="0"/>
        <w:snapToGrid w:val="0"/>
        <w:spacing w:line="360" w:lineRule="auto"/>
        <w:jc w:val="both"/>
        <w:rPr>
          <w:rFonts w:ascii="Book Antiqua" w:hAnsi="Book Antiqua"/>
        </w:rPr>
      </w:pPr>
    </w:p>
    <w:p w14:paraId="5FF93B05" w14:textId="7F95B2EA"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 xml:space="preserve">Corresponding author: </w:t>
      </w:r>
      <w:proofErr w:type="spellStart"/>
      <w:r w:rsidRPr="000C58DA">
        <w:rPr>
          <w:rFonts w:ascii="Book Antiqua" w:eastAsia="Book Antiqua" w:hAnsi="Book Antiqua" w:cs="Book Antiqua"/>
          <w:b/>
          <w:bCs/>
          <w:color w:val="000000"/>
        </w:rPr>
        <w:t>Chien</w:t>
      </w:r>
      <w:r w:rsidR="00652F11" w:rsidRPr="000C58DA">
        <w:rPr>
          <w:rFonts w:ascii="Book Antiqua" w:hAnsi="Book Antiqua" w:cs="Book Antiqua"/>
          <w:b/>
          <w:bCs/>
          <w:color w:val="000000"/>
          <w:lang w:eastAsia="zh-CN"/>
        </w:rPr>
        <w:t>-</w:t>
      </w:r>
      <w:r w:rsidRPr="000C58DA">
        <w:rPr>
          <w:rFonts w:ascii="Book Antiqua" w:eastAsia="Book Antiqua" w:hAnsi="Book Antiqua" w:cs="Book Antiqua"/>
          <w:b/>
          <w:bCs/>
          <w:color w:val="000000"/>
        </w:rPr>
        <w:t>Ching</w:t>
      </w:r>
      <w:proofErr w:type="spellEnd"/>
      <w:r w:rsidRPr="000C58DA">
        <w:rPr>
          <w:rFonts w:ascii="Book Antiqua" w:eastAsia="Book Antiqua" w:hAnsi="Book Antiqua" w:cs="Book Antiqua"/>
          <w:b/>
          <w:bCs/>
          <w:color w:val="000000"/>
        </w:rPr>
        <w:t xml:space="preserve"> Hung, MD, PhD, Professor, </w:t>
      </w:r>
      <w:r w:rsidRPr="000C58DA">
        <w:rPr>
          <w:rFonts w:ascii="Book Antiqua" w:eastAsia="Book Antiqua" w:hAnsi="Book Antiqua" w:cs="Book Antiqua"/>
          <w:color w:val="000000"/>
        </w:rPr>
        <w:t xml:space="preserve">Department of Internal Medicine, National Taiwan University Hospital and National Taiwan University College of Medicine, </w:t>
      </w:r>
      <w:r w:rsidR="00206D9E" w:rsidRPr="000C58DA">
        <w:rPr>
          <w:rFonts w:ascii="Book Antiqua" w:eastAsia="Book Antiqua" w:hAnsi="Book Antiqua" w:cs="Book Antiqua"/>
          <w:color w:val="000000"/>
        </w:rPr>
        <w:t xml:space="preserve">No. </w:t>
      </w:r>
      <w:r w:rsidRPr="000C58DA">
        <w:rPr>
          <w:rFonts w:ascii="Book Antiqua" w:eastAsia="Book Antiqua" w:hAnsi="Book Antiqua" w:cs="Book Antiqua"/>
          <w:color w:val="000000"/>
        </w:rPr>
        <w:t>7 Chung-Shan South Road, Taipei 100008, Taiwan. hcc0401@ntu.edu.tw</w:t>
      </w:r>
    </w:p>
    <w:p w14:paraId="775A1EE8" w14:textId="77777777" w:rsidR="00A77B3E" w:rsidRPr="000C58DA" w:rsidRDefault="00A77B3E" w:rsidP="00206D9E">
      <w:pPr>
        <w:adjustRightInd w:val="0"/>
        <w:snapToGrid w:val="0"/>
        <w:spacing w:line="360" w:lineRule="auto"/>
        <w:jc w:val="both"/>
        <w:rPr>
          <w:rFonts w:ascii="Book Antiqua" w:hAnsi="Book Antiqua"/>
        </w:rPr>
      </w:pPr>
    </w:p>
    <w:p w14:paraId="5760A04B"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 xml:space="preserve">Received: </w:t>
      </w:r>
      <w:r w:rsidRPr="000C58DA">
        <w:rPr>
          <w:rFonts w:ascii="Book Antiqua" w:eastAsia="Book Antiqua" w:hAnsi="Book Antiqua" w:cs="Book Antiqua"/>
          <w:color w:val="000000"/>
        </w:rPr>
        <w:t>April 5, 2021</w:t>
      </w:r>
    </w:p>
    <w:p w14:paraId="30F23A62" w14:textId="77777777" w:rsidR="00A77B3E" w:rsidRPr="000C58DA" w:rsidRDefault="009B7C34" w:rsidP="00206D9E">
      <w:pPr>
        <w:adjustRightInd w:val="0"/>
        <w:snapToGrid w:val="0"/>
        <w:spacing w:line="360" w:lineRule="auto"/>
        <w:jc w:val="both"/>
        <w:rPr>
          <w:rFonts w:ascii="Book Antiqua" w:hAnsi="Book Antiqua"/>
          <w:lang w:eastAsia="zh-CN"/>
        </w:rPr>
      </w:pPr>
      <w:r w:rsidRPr="000C58DA">
        <w:rPr>
          <w:rFonts w:ascii="Book Antiqua" w:eastAsia="Book Antiqua" w:hAnsi="Book Antiqua" w:cs="Book Antiqua"/>
          <w:b/>
          <w:bCs/>
          <w:color w:val="000000"/>
        </w:rPr>
        <w:t xml:space="preserve">Revised: </w:t>
      </w:r>
      <w:r w:rsidR="00652F11" w:rsidRPr="000C58DA">
        <w:rPr>
          <w:rFonts w:ascii="Book Antiqua" w:hAnsi="Book Antiqua" w:cs="Book Antiqua"/>
          <w:bCs/>
          <w:color w:val="000000"/>
          <w:lang w:eastAsia="zh-CN"/>
        </w:rPr>
        <w:t>July 13, 2021</w:t>
      </w:r>
    </w:p>
    <w:p w14:paraId="57B692F9" w14:textId="14D0BDD9"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 xml:space="preserve">Accepted: </w:t>
      </w:r>
      <w:bookmarkStart w:id="4" w:name="OLE_LINK15"/>
      <w:bookmarkStart w:id="5" w:name="OLE_LINK33"/>
      <w:bookmarkStart w:id="6" w:name="OLE_LINK48"/>
      <w:r w:rsidR="00206D9E" w:rsidRPr="000C58DA">
        <w:rPr>
          <w:rFonts w:ascii="Book Antiqua" w:eastAsia="宋体" w:hAnsi="Book Antiqua" w:hint="eastAsia"/>
          <w:color w:val="000000" w:themeColor="text1"/>
        </w:rPr>
        <w:t>S</w:t>
      </w:r>
      <w:r w:rsidR="00206D9E" w:rsidRPr="000C58DA">
        <w:rPr>
          <w:rFonts w:ascii="Book Antiqua" w:eastAsia="宋体" w:hAnsi="Book Antiqua" w:hint="eastAsia"/>
          <w:color w:val="000000" w:themeColor="text1"/>
          <w:lang w:eastAsia="zh-CN"/>
        </w:rPr>
        <w:t>e</w:t>
      </w:r>
      <w:r w:rsidR="00206D9E" w:rsidRPr="000C58DA">
        <w:rPr>
          <w:rFonts w:ascii="Book Antiqua" w:eastAsia="宋体" w:hAnsi="Book Antiqua"/>
          <w:color w:val="000000" w:themeColor="text1"/>
        </w:rPr>
        <w:t>ptember 2, 2021</w:t>
      </w:r>
      <w:bookmarkEnd w:id="4"/>
      <w:bookmarkEnd w:id="5"/>
      <w:bookmarkEnd w:id="6"/>
    </w:p>
    <w:p w14:paraId="12313E57" w14:textId="22A8D324"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 xml:space="preserve">Published online: </w:t>
      </w:r>
      <w:r w:rsidR="0003676A" w:rsidRPr="000C58DA">
        <w:rPr>
          <w:rFonts w:ascii="Book Antiqua" w:eastAsia="宋体" w:hAnsi="Book Antiqua" w:hint="eastAsia"/>
          <w:color w:val="000000" w:themeColor="text1"/>
          <w:lang w:eastAsia="zh-CN"/>
        </w:rPr>
        <w:t>October</w:t>
      </w:r>
      <w:r w:rsidR="0003676A" w:rsidRPr="000C58DA">
        <w:rPr>
          <w:rFonts w:ascii="Book Antiqua" w:eastAsia="宋体" w:hAnsi="Book Antiqua"/>
          <w:color w:val="000000" w:themeColor="text1"/>
        </w:rPr>
        <w:t xml:space="preserve"> 7, 2021</w:t>
      </w:r>
    </w:p>
    <w:p w14:paraId="063147F5" w14:textId="77777777" w:rsidR="00A77B3E" w:rsidRPr="000C58DA" w:rsidRDefault="00A77B3E" w:rsidP="00206D9E">
      <w:pPr>
        <w:adjustRightInd w:val="0"/>
        <w:snapToGrid w:val="0"/>
        <w:spacing w:line="360" w:lineRule="auto"/>
        <w:jc w:val="both"/>
        <w:rPr>
          <w:rFonts w:ascii="Book Antiqua" w:hAnsi="Book Antiqua"/>
        </w:rPr>
        <w:sectPr w:rsidR="00A77B3E" w:rsidRPr="000C58DA">
          <w:footerReference w:type="default" r:id="rId7"/>
          <w:pgSz w:w="12240" w:h="15840"/>
          <w:pgMar w:top="1440" w:right="1440" w:bottom="1440" w:left="1440" w:header="720" w:footer="720" w:gutter="0"/>
          <w:cols w:space="720"/>
          <w:docGrid w:linePitch="360"/>
        </w:sectPr>
      </w:pPr>
    </w:p>
    <w:p w14:paraId="2BA225E5"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olor w:val="000000"/>
        </w:rPr>
        <w:lastRenderedPageBreak/>
        <w:t>Abstract</w:t>
      </w:r>
    </w:p>
    <w:p w14:paraId="06949C42"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BACKGROUND</w:t>
      </w:r>
    </w:p>
    <w:p w14:paraId="0E3B5032"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 xml:space="preserve">Little is known about the engagement in </w:t>
      </w:r>
      <w:r w:rsidR="00652F11" w:rsidRPr="000C58DA">
        <w:rPr>
          <w:rFonts w:ascii="Book Antiqua" w:eastAsia="Book Antiqua" w:hAnsi="Book Antiqua" w:cs="Book Antiqua"/>
          <w:color w:val="000000"/>
        </w:rPr>
        <w:t xml:space="preserve">hepatitis C virus </w:t>
      </w:r>
      <w:r w:rsidR="00652F11" w:rsidRPr="000C58DA">
        <w:rPr>
          <w:rFonts w:ascii="Book Antiqua" w:hAnsi="Book Antiqua" w:cs="Book Antiqua"/>
          <w:color w:val="000000"/>
          <w:lang w:eastAsia="zh-CN"/>
        </w:rPr>
        <w:t>(</w:t>
      </w:r>
      <w:r w:rsidRPr="000C58DA">
        <w:rPr>
          <w:rFonts w:ascii="Book Antiqua" w:eastAsia="Book Antiqua" w:hAnsi="Book Antiqua" w:cs="Book Antiqua"/>
          <w:color w:val="000000"/>
        </w:rPr>
        <w:t>HCV</w:t>
      </w:r>
      <w:r w:rsidR="00652F11"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 care and completion of HCV treatment in people living with </w:t>
      </w:r>
      <w:bookmarkStart w:id="7" w:name="OLE_LINK294"/>
      <w:bookmarkStart w:id="8" w:name="OLE_LINK295"/>
      <w:r w:rsidR="00652F11" w:rsidRPr="000C58DA">
        <w:rPr>
          <w:rFonts w:ascii="Book Antiqua" w:eastAsia="Book Antiqua" w:hAnsi="Book Antiqua" w:cs="Book Antiqua"/>
          <w:color w:val="000000"/>
        </w:rPr>
        <w:t xml:space="preserve">human immunodeficiency virus </w:t>
      </w:r>
      <w:r w:rsidR="00652F11" w:rsidRPr="000C58DA">
        <w:rPr>
          <w:rFonts w:ascii="Book Antiqua" w:hAnsi="Book Antiqua" w:cs="Book Antiqua"/>
          <w:color w:val="000000"/>
          <w:lang w:eastAsia="zh-CN"/>
        </w:rPr>
        <w:t>(</w:t>
      </w:r>
      <w:r w:rsidRPr="000C58DA">
        <w:rPr>
          <w:rFonts w:ascii="Book Antiqua" w:eastAsia="Book Antiqua" w:hAnsi="Book Antiqua" w:cs="Book Antiqua"/>
          <w:color w:val="000000"/>
        </w:rPr>
        <w:t>HIV</w:t>
      </w:r>
      <w:r w:rsidR="00652F11"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 </w:t>
      </w:r>
      <w:bookmarkEnd w:id="7"/>
      <w:bookmarkEnd w:id="8"/>
      <w:r w:rsidRPr="000C58DA">
        <w:rPr>
          <w:rFonts w:ascii="Book Antiqua" w:eastAsia="Book Antiqua" w:hAnsi="Book Antiqua" w:cs="Book Antiqua"/>
          <w:color w:val="000000"/>
        </w:rPr>
        <w:t>(PLWH) who have HCV coinfection in the Asia-Pacific region. Examining the HCV care cascade can identify barriers to the completion of HCV treatment and facilitate achievement of HCV micro-elimination in PLWH.</w:t>
      </w:r>
    </w:p>
    <w:p w14:paraId="148034D4" w14:textId="77777777" w:rsidR="00A77B3E" w:rsidRPr="000C58DA" w:rsidRDefault="00A77B3E" w:rsidP="00206D9E">
      <w:pPr>
        <w:adjustRightInd w:val="0"/>
        <w:snapToGrid w:val="0"/>
        <w:spacing w:line="360" w:lineRule="auto"/>
        <w:jc w:val="both"/>
        <w:rPr>
          <w:rFonts w:ascii="Book Antiqua" w:hAnsi="Book Antiqua"/>
        </w:rPr>
      </w:pPr>
    </w:p>
    <w:p w14:paraId="1577785E"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AIM</w:t>
      </w:r>
    </w:p>
    <w:p w14:paraId="23516F57"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To investigate the care cascade of incident HCV infections among PLWH in Taiwan.</w:t>
      </w:r>
    </w:p>
    <w:p w14:paraId="06291122" w14:textId="77777777" w:rsidR="00A77B3E" w:rsidRPr="000C58DA" w:rsidRDefault="00A77B3E" w:rsidP="00206D9E">
      <w:pPr>
        <w:adjustRightInd w:val="0"/>
        <w:snapToGrid w:val="0"/>
        <w:spacing w:line="360" w:lineRule="auto"/>
        <w:jc w:val="both"/>
        <w:rPr>
          <w:rFonts w:ascii="Book Antiqua" w:hAnsi="Book Antiqua"/>
        </w:rPr>
      </w:pPr>
    </w:p>
    <w:p w14:paraId="7083057D"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METHODS</w:t>
      </w:r>
    </w:p>
    <w:p w14:paraId="6D7678D4"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PLWH with incident HCV infections, defined as HCV seroconversion, were retrospectively identified by sequential anti-HCV testing of all archived blood samples at National Taiwan University Hospital between 2011 and 2018. All PLWH with incident HCV infections were followed until December 31, 2019. The care cascade of HCV examined included all incident HCV-infected patients, the percentages of anti-HCV antibodies detected by HIV-treating physicians in clinical care, plasma HCV RNA load tested, HCV RNA positivity diagnosed, referral to treatment assessment made, anti-HCV treatment initiated, and sustained virologic response</w:t>
      </w:r>
      <w:r w:rsidR="00652F11" w:rsidRPr="000C58DA">
        <w:rPr>
          <w:rFonts w:ascii="Book Antiqua" w:hAnsi="Book Antiqua" w:cs="Book Antiqua"/>
          <w:color w:val="000000"/>
          <w:lang w:eastAsia="zh-CN"/>
        </w:rPr>
        <w:t xml:space="preserve"> </w:t>
      </w:r>
      <w:r w:rsidRPr="000C58DA">
        <w:rPr>
          <w:rFonts w:ascii="Book Antiqua" w:eastAsia="Book Antiqua" w:hAnsi="Book Antiqua" w:cs="Book Antiqua"/>
          <w:color w:val="000000"/>
        </w:rPr>
        <w:t>achieved. Those who had HCV seroconversion during the interferon (IFN) era (2011–2016) and the direct-acting antiviral (DAA) era (2017–2018) were analyzed separately. The duration of HCV viremia—from the date of seroconversion to viral clearance by treatments or until the end of observation—and the incidence of sexually transmitted infections (STIs) during the HCV viremic period were estimated.</w:t>
      </w:r>
    </w:p>
    <w:p w14:paraId="750656EC" w14:textId="77777777" w:rsidR="00A77B3E" w:rsidRPr="000C58DA" w:rsidRDefault="00A77B3E" w:rsidP="00206D9E">
      <w:pPr>
        <w:adjustRightInd w:val="0"/>
        <w:snapToGrid w:val="0"/>
        <w:spacing w:line="360" w:lineRule="auto"/>
        <w:jc w:val="both"/>
        <w:rPr>
          <w:rFonts w:ascii="Book Antiqua" w:hAnsi="Book Antiqua"/>
        </w:rPr>
      </w:pPr>
    </w:p>
    <w:p w14:paraId="0F4189F5"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RESULTS</w:t>
      </w:r>
    </w:p>
    <w:p w14:paraId="605636F9"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 xml:space="preserve">During the study period, 287 of 3495 (8.2%) PLWH (92.3% being men who have sex with men) who were HCV-seronegative at baseline developed HCV seroconversion by </w:t>
      </w:r>
      <w:r w:rsidRPr="000C58DA">
        <w:rPr>
          <w:rFonts w:ascii="Book Antiqua" w:eastAsia="Book Antiqua" w:hAnsi="Book Antiqua" w:cs="Book Antiqua"/>
          <w:color w:val="000000"/>
        </w:rPr>
        <w:lastRenderedPageBreak/>
        <w:t xml:space="preserve">retrospective testing of all archived blood samples. Of the 287 incident HCV infections, 277 (96.5%) had anti-HCV antibodies detected by HIV-treating physicians, 270 (94.1%) had plasma HCV RNA determined and 251 (87.5%) tested positive for HCV RNA. Of those with HCV viremia, 226 (78.7%) were referred to treatment assessment, 215 (74.9%) initiated anti-HCV treatment, and 202 (70.4%) achieved viral clearance. Compared with that in the IFN era, the median interval from HCV seroconversion by retrospective testing to detection of HCV seropositivity by HIV-treating physicians was significantly shorter in the DAA era </w:t>
      </w:r>
      <w:r w:rsidR="00652F11"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179 d </w:t>
      </w:r>
      <w:r w:rsidR="00652F11"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interquartile range </w:t>
      </w:r>
      <w:r w:rsidR="00652F11" w:rsidRPr="000C58DA">
        <w:rPr>
          <w:rFonts w:ascii="Book Antiqua" w:hAnsi="Book Antiqua" w:cs="Book Antiqua"/>
          <w:color w:val="000000"/>
          <w:lang w:eastAsia="zh-CN"/>
        </w:rPr>
        <w:t>(</w:t>
      </w:r>
      <w:r w:rsidRPr="000C58DA">
        <w:rPr>
          <w:rFonts w:ascii="Book Antiqua" w:eastAsia="Book Antiqua" w:hAnsi="Book Antiqua" w:cs="Book Antiqua"/>
          <w:color w:val="000000"/>
        </w:rPr>
        <w:t>IQR</w:t>
      </w:r>
      <w:r w:rsidR="00652F11"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 87-434</w:t>
      </w:r>
      <w:r w:rsidR="00652F11"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 </w:t>
      </w:r>
      <w:r w:rsidRPr="000C58DA">
        <w:rPr>
          <w:rFonts w:ascii="Book Antiqua" w:eastAsia="Book Antiqua" w:hAnsi="Book Antiqua" w:cs="Book Antiqua"/>
          <w:i/>
          <w:iCs/>
          <w:color w:val="000000"/>
        </w:rPr>
        <w:t>vs</w:t>
      </w:r>
      <w:r w:rsidRPr="000C58DA">
        <w:rPr>
          <w:rFonts w:ascii="Book Antiqua" w:eastAsia="Book Antiqua" w:hAnsi="Book Antiqua" w:cs="Book Antiqua"/>
          <w:color w:val="000000"/>
        </w:rPr>
        <w:t xml:space="preserve"> 92 d (IQR 57-173); </w:t>
      </w:r>
      <w:r w:rsidRPr="000C58DA">
        <w:rPr>
          <w:rFonts w:ascii="Book Antiqua" w:eastAsia="Book Antiqua" w:hAnsi="Book Antiqua" w:cs="Book Antiqua"/>
          <w:i/>
          <w:iCs/>
          <w:color w:val="000000"/>
        </w:rPr>
        <w:t xml:space="preserve">P </w:t>
      </w:r>
      <w:r w:rsidRPr="000C58DA">
        <w:rPr>
          <w:rFonts w:ascii="Book Antiqua" w:eastAsia="Book Antiqua" w:hAnsi="Book Antiqua" w:cs="Book Antiqua"/>
          <w:color w:val="000000"/>
        </w:rPr>
        <w:t>&lt; 0.001</w:t>
      </w:r>
      <w:r w:rsidR="00652F11"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 The incidence rate of STIs in the DAA </w:t>
      </w:r>
      <w:r w:rsidRPr="000C58DA">
        <w:rPr>
          <w:rFonts w:ascii="Book Antiqua" w:eastAsia="Book Antiqua" w:hAnsi="Book Antiqua" w:cs="Book Antiqua"/>
          <w:i/>
          <w:iCs/>
          <w:color w:val="000000"/>
        </w:rPr>
        <w:t>vs</w:t>
      </w:r>
      <w:r w:rsidRPr="000C58DA">
        <w:rPr>
          <w:rFonts w:ascii="Book Antiqua" w:eastAsia="Book Antiqua" w:hAnsi="Book Antiqua" w:cs="Book Antiqua"/>
          <w:color w:val="000000"/>
        </w:rPr>
        <w:t xml:space="preserve"> the IFN era was 50.5 per 100 person-years of follow-up (PYFU) and 38.5 per 100 PYFU, respectively, with an incidence rate ratio of 1.31 (95% confidence interval 0.96-1.77), while the duration of HCV viremia was 380 d (IQR 274-554) and 735 d (IQR 391-1447) (</w:t>
      </w:r>
      <w:r w:rsidRPr="000C58DA">
        <w:rPr>
          <w:rFonts w:ascii="Book Antiqua" w:eastAsia="Book Antiqua" w:hAnsi="Book Antiqua" w:cs="Book Antiqua"/>
          <w:i/>
          <w:iCs/>
          <w:color w:val="000000"/>
        </w:rPr>
        <w:t xml:space="preserve">P </w:t>
      </w:r>
      <w:r w:rsidRPr="000C58DA">
        <w:rPr>
          <w:rFonts w:ascii="Book Antiqua" w:eastAsia="Book Antiqua" w:hAnsi="Book Antiqua" w:cs="Book Antiqua"/>
          <w:color w:val="000000"/>
        </w:rPr>
        <w:t>&lt; 0.001), respectively.</w:t>
      </w:r>
    </w:p>
    <w:p w14:paraId="6687C66C" w14:textId="77777777" w:rsidR="00A77B3E" w:rsidRPr="000C58DA" w:rsidRDefault="00A77B3E" w:rsidP="00206D9E">
      <w:pPr>
        <w:adjustRightInd w:val="0"/>
        <w:snapToGrid w:val="0"/>
        <w:spacing w:line="360" w:lineRule="auto"/>
        <w:jc w:val="both"/>
        <w:rPr>
          <w:rFonts w:ascii="Book Antiqua" w:hAnsi="Book Antiqua"/>
        </w:rPr>
      </w:pPr>
    </w:p>
    <w:p w14:paraId="01D40085"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CONCLUSION</w:t>
      </w:r>
    </w:p>
    <w:p w14:paraId="3D249548"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While anti-HCV therapies are effective in achieving viral clearance, our study suggests more efforts are needed to expedite the linkage of PLWH diagnosed with incident HCV infections to HCV treatment.</w:t>
      </w:r>
    </w:p>
    <w:p w14:paraId="3F7FB005" w14:textId="77777777" w:rsidR="00A77B3E" w:rsidRPr="000C58DA" w:rsidRDefault="00A77B3E" w:rsidP="00206D9E">
      <w:pPr>
        <w:adjustRightInd w:val="0"/>
        <w:snapToGrid w:val="0"/>
        <w:spacing w:line="360" w:lineRule="auto"/>
        <w:jc w:val="both"/>
        <w:rPr>
          <w:rFonts w:ascii="Book Antiqua" w:hAnsi="Book Antiqua"/>
        </w:rPr>
      </w:pPr>
    </w:p>
    <w:p w14:paraId="20907786" w14:textId="77777777" w:rsidR="00A77B3E" w:rsidRPr="000C58DA" w:rsidRDefault="009B7C34" w:rsidP="00206D9E">
      <w:pPr>
        <w:adjustRightInd w:val="0"/>
        <w:snapToGrid w:val="0"/>
        <w:spacing w:line="360" w:lineRule="auto"/>
        <w:jc w:val="both"/>
        <w:rPr>
          <w:rFonts w:ascii="Book Antiqua" w:hAnsi="Book Antiqua"/>
          <w:lang w:eastAsia="zh-CN"/>
        </w:rPr>
      </w:pPr>
      <w:r w:rsidRPr="000C58DA">
        <w:rPr>
          <w:rFonts w:ascii="Book Antiqua" w:eastAsia="Book Antiqua" w:hAnsi="Book Antiqua" w:cs="Book Antiqua"/>
          <w:b/>
          <w:bCs/>
          <w:color w:val="000000"/>
        </w:rPr>
        <w:t xml:space="preserve">Key Words: </w:t>
      </w:r>
      <w:r w:rsidRPr="000C58DA">
        <w:rPr>
          <w:rFonts w:ascii="Book Antiqua" w:eastAsia="Book Antiqua" w:hAnsi="Book Antiqua" w:cs="Book Antiqua"/>
          <w:color w:val="000000"/>
        </w:rPr>
        <w:t xml:space="preserve">Recent </w:t>
      </w:r>
      <w:r w:rsidR="009C34D3" w:rsidRPr="000C58DA">
        <w:rPr>
          <w:rFonts w:ascii="Book Antiqua" w:eastAsia="Book Antiqua" w:hAnsi="Book Antiqua" w:cs="Book Antiqua"/>
          <w:color w:val="000000"/>
        </w:rPr>
        <w:t xml:space="preserve">hepatitis C virus </w:t>
      </w:r>
      <w:r w:rsidRPr="000C58DA">
        <w:rPr>
          <w:rFonts w:ascii="Book Antiqua" w:eastAsia="Book Antiqua" w:hAnsi="Book Antiqua" w:cs="Book Antiqua"/>
          <w:color w:val="000000"/>
        </w:rPr>
        <w:t xml:space="preserve">infection; Cascade of care; Direct-acting antivirals; People living with </w:t>
      </w:r>
      <w:r w:rsidR="00B478BE" w:rsidRPr="000C58DA">
        <w:rPr>
          <w:rFonts w:ascii="Book Antiqua" w:eastAsia="Book Antiqua" w:hAnsi="Book Antiqua" w:cs="Book Antiqua"/>
          <w:color w:val="000000"/>
        </w:rPr>
        <w:t>human immunodeficiency virus</w:t>
      </w:r>
      <w:r w:rsidRPr="000C58DA">
        <w:rPr>
          <w:rFonts w:ascii="Book Antiqua" w:eastAsia="Book Antiqua" w:hAnsi="Book Antiqua" w:cs="Book Antiqua"/>
          <w:color w:val="000000"/>
        </w:rPr>
        <w:t>; Sustained virologic response; Sexually transmitted infections</w:t>
      </w:r>
    </w:p>
    <w:p w14:paraId="61462300" w14:textId="77777777" w:rsidR="00A77B3E" w:rsidRDefault="00A77B3E" w:rsidP="00206D9E">
      <w:pPr>
        <w:adjustRightInd w:val="0"/>
        <w:snapToGrid w:val="0"/>
        <w:spacing w:line="360" w:lineRule="auto"/>
        <w:jc w:val="both"/>
        <w:rPr>
          <w:rFonts w:ascii="Book Antiqua" w:hAnsi="Book Antiqua"/>
          <w:lang w:eastAsia="zh-CN"/>
        </w:rPr>
      </w:pPr>
    </w:p>
    <w:p w14:paraId="2D1C66C5" w14:textId="77777777" w:rsidR="00A65891" w:rsidRPr="00026CB8" w:rsidRDefault="00A65891" w:rsidP="00A6589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C391CA4" w14:textId="77777777" w:rsidR="00A65891" w:rsidRPr="000C58DA" w:rsidRDefault="00A65891" w:rsidP="00206D9E">
      <w:pPr>
        <w:adjustRightInd w:val="0"/>
        <w:snapToGrid w:val="0"/>
        <w:spacing w:line="360" w:lineRule="auto"/>
        <w:jc w:val="both"/>
        <w:rPr>
          <w:rFonts w:ascii="Book Antiqua" w:hAnsi="Book Antiqua"/>
          <w:lang w:eastAsia="zh-CN"/>
        </w:rPr>
      </w:pPr>
    </w:p>
    <w:p w14:paraId="30C37B53" w14:textId="3BB64FFA" w:rsidR="00A65891" w:rsidRPr="007D65F7" w:rsidRDefault="00A65891" w:rsidP="00206D9E">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9B7C34" w:rsidRPr="000C58DA">
        <w:rPr>
          <w:rFonts w:ascii="Book Antiqua" w:eastAsia="Book Antiqua" w:hAnsi="Book Antiqua" w:cs="Book Antiqua"/>
          <w:color w:val="000000"/>
        </w:rPr>
        <w:t>Huang MH, Sun HY, Ho SY, Chang S</w:t>
      </w:r>
      <w:r w:rsidR="0063563B">
        <w:rPr>
          <w:rFonts w:ascii="Book Antiqua" w:hAnsi="Book Antiqua" w:cs="Book Antiqua" w:hint="eastAsia"/>
          <w:color w:val="000000"/>
          <w:lang w:eastAsia="zh-CN"/>
        </w:rPr>
        <w:t>Y</w:t>
      </w:r>
      <w:r w:rsidR="009B7C34" w:rsidRPr="000C58DA">
        <w:rPr>
          <w:rFonts w:ascii="Book Antiqua" w:eastAsia="Book Antiqua" w:hAnsi="Book Antiqua" w:cs="Book Antiqua"/>
          <w:color w:val="000000"/>
        </w:rPr>
        <w:t xml:space="preserve">, Hsieh SM, Sheng WH, Chuang YC, Huang YS, Su LH, Liu WC, Su YC, Hung C. </w:t>
      </w:r>
      <w:r w:rsidR="009C34D3" w:rsidRPr="000C58DA">
        <w:rPr>
          <w:rFonts w:ascii="Book Antiqua" w:eastAsia="Book Antiqua" w:hAnsi="Book Antiqua" w:cs="Book Antiqua"/>
          <w:color w:val="000000"/>
        </w:rPr>
        <w:t>Recentl</w:t>
      </w:r>
      <w:bookmarkStart w:id="9" w:name="_GoBack"/>
      <w:bookmarkEnd w:id="9"/>
      <w:r w:rsidR="009C34D3" w:rsidRPr="000C58DA">
        <w:rPr>
          <w:rFonts w:ascii="Book Antiqua" w:eastAsia="Book Antiqua" w:hAnsi="Book Antiqua" w:cs="Book Antiqua"/>
          <w:color w:val="000000"/>
        </w:rPr>
        <w:t>y acquired hepatitis C virus infection among people living with human immunodeficiency virus at a university hospital in Taiwan</w:t>
      </w:r>
      <w:r w:rsidR="009B7C34" w:rsidRPr="000C58DA">
        <w:rPr>
          <w:rFonts w:ascii="Book Antiqua" w:eastAsia="Book Antiqua" w:hAnsi="Book Antiqua" w:cs="Book Antiqua"/>
          <w:color w:val="000000"/>
        </w:rPr>
        <w:t xml:space="preserve">. </w:t>
      </w:r>
      <w:r w:rsidR="009B7C34" w:rsidRPr="000C58DA">
        <w:rPr>
          <w:rFonts w:ascii="Book Antiqua" w:eastAsia="Book Antiqua" w:hAnsi="Book Antiqua" w:cs="Book Antiqua"/>
          <w:i/>
          <w:iCs/>
          <w:color w:val="000000"/>
        </w:rPr>
        <w:t xml:space="preserve">World J </w:t>
      </w:r>
      <w:proofErr w:type="spellStart"/>
      <w:r w:rsidR="009B7C34" w:rsidRPr="000C58DA">
        <w:rPr>
          <w:rFonts w:ascii="Book Antiqua" w:eastAsia="Book Antiqua" w:hAnsi="Book Antiqua" w:cs="Book Antiqua"/>
          <w:i/>
          <w:iCs/>
          <w:color w:val="000000"/>
        </w:rPr>
        <w:t>Gastroenterol</w:t>
      </w:r>
      <w:proofErr w:type="spellEnd"/>
      <w:r w:rsidR="009B7C34" w:rsidRPr="000C58DA">
        <w:rPr>
          <w:rFonts w:ascii="Book Antiqua" w:eastAsia="Book Antiqua" w:hAnsi="Book Antiqua" w:cs="Book Antiqua"/>
          <w:color w:val="000000"/>
        </w:rPr>
        <w:t xml:space="preserve"> 2021</w:t>
      </w:r>
      <w:r w:rsidR="00347E84" w:rsidRPr="000C58DA">
        <w:rPr>
          <w:rFonts w:ascii="Book Antiqua" w:eastAsia="Book Antiqua" w:hAnsi="Book Antiqua" w:cs="Book Antiqua"/>
          <w:color w:val="000000"/>
        </w:rPr>
        <w:t xml:space="preserve">; 27(37): </w:t>
      </w:r>
      <w:r w:rsidR="000555FC">
        <w:rPr>
          <w:rFonts w:ascii="Book Antiqua" w:hAnsi="Book Antiqua" w:cs="Book Antiqua" w:hint="eastAsia"/>
          <w:color w:val="000000"/>
          <w:lang w:eastAsia="zh-CN"/>
        </w:rPr>
        <w:t>6277</w:t>
      </w:r>
      <w:r w:rsidR="00347E84" w:rsidRPr="000C58DA">
        <w:rPr>
          <w:rFonts w:ascii="Book Antiqua" w:eastAsia="Book Antiqua" w:hAnsi="Book Antiqua" w:cs="Book Antiqua"/>
          <w:color w:val="000000"/>
        </w:rPr>
        <w:t>-</w:t>
      </w:r>
      <w:r w:rsidR="007D65F7">
        <w:rPr>
          <w:rFonts w:ascii="Book Antiqua" w:hAnsi="Book Antiqua" w:cs="Book Antiqua" w:hint="eastAsia"/>
          <w:color w:val="000000"/>
          <w:lang w:eastAsia="zh-CN"/>
        </w:rPr>
        <w:t>6289</w:t>
      </w:r>
    </w:p>
    <w:p w14:paraId="1DB84C8C" w14:textId="33B82144" w:rsidR="00A65891" w:rsidRDefault="00347E84" w:rsidP="00206D9E">
      <w:pPr>
        <w:adjustRightInd w:val="0"/>
        <w:snapToGrid w:val="0"/>
        <w:spacing w:line="360" w:lineRule="auto"/>
        <w:jc w:val="both"/>
        <w:rPr>
          <w:rFonts w:ascii="Book Antiqua" w:hAnsi="Book Antiqua" w:cs="Book Antiqua"/>
          <w:color w:val="000000"/>
          <w:lang w:eastAsia="zh-CN"/>
        </w:rPr>
      </w:pPr>
      <w:r w:rsidRPr="00A65891">
        <w:rPr>
          <w:rFonts w:ascii="Book Antiqua" w:eastAsia="Book Antiqua" w:hAnsi="Book Antiqua" w:cs="Book Antiqua"/>
          <w:b/>
          <w:color w:val="000000"/>
        </w:rPr>
        <w:lastRenderedPageBreak/>
        <w:t xml:space="preserve">URL: </w:t>
      </w:r>
      <w:r w:rsidRPr="000C58DA">
        <w:rPr>
          <w:rFonts w:ascii="Book Antiqua" w:eastAsia="Book Antiqua" w:hAnsi="Book Antiqua" w:cs="Book Antiqua"/>
          <w:color w:val="000000"/>
        </w:rPr>
        <w:t>https://www.wjgnet.com/1007-9327/full/v27/i37/</w:t>
      </w:r>
      <w:r w:rsidR="000555FC">
        <w:rPr>
          <w:rFonts w:ascii="Book Antiqua" w:hAnsi="Book Antiqua" w:cs="Book Antiqua" w:hint="eastAsia"/>
          <w:color w:val="000000"/>
          <w:lang w:eastAsia="zh-CN"/>
        </w:rPr>
        <w:t>6277</w:t>
      </w:r>
      <w:r w:rsidRPr="000C58DA">
        <w:rPr>
          <w:rFonts w:ascii="Book Antiqua" w:eastAsia="Book Antiqua" w:hAnsi="Book Antiqua" w:cs="Book Antiqua"/>
          <w:color w:val="000000"/>
        </w:rPr>
        <w:t>.htm</w:t>
      </w:r>
    </w:p>
    <w:p w14:paraId="5AB9903D" w14:textId="5F47F583" w:rsidR="00A77B3E" w:rsidRPr="000555FC" w:rsidRDefault="00347E84" w:rsidP="00206D9E">
      <w:pPr>
        <w:adjustRightInd w:val="0"/>
        <w:snapToGrid w:val="0"/>
        <w:spacing w:line="360" w:lineRule="auto"/>
        <w:jc w:val="both"/>
        <w:rPr>
          <w:rFonts w:ascii="Book Antiqua" w:hAnsi="Book Antiqua"/>
          <w:lang w:eastAsia="zh-CN"/>
        </w:rPr>
      </w:pPr>
      <w:r w:rsidRPr="00A65891">
        <w:rPr>
          <w:rFonts w:ascii="Book Antiqua" w:eastAsia="Book Antiqua" w:hAnsi="Book Antiqua" w:cs="Book Antiqua"/>
          <w:b/>
          <w:color w:val="000000"/>
        </w:rPr>
        <w:t xml:space="preserve">DOI: </w:t>
      </w:r>
      <w:r w:rsidRPr="000C58DA">
        <w:rPr>
          <w:rFonts w:ascii="Book Antiqua" w:eastAsia="Book Antiqua" w:hAnsi="Book Antiqua" w:cs="Book Antiqua"/>
          <w:color w:val="000000"/>
        </w:rPr>
        <w:t>https://dx.doi.org/10.3748/wjg.v27.i37.</w:t>
      </w:r>
      <w:r w:rsidR="000555FC">
        <w:rPr>
          <w:rFonts w:ascii="Book Antiqua" w:hAnsi="Book Antiqua" w:cs="Book Antiqua" w:hint="eastAsia"/>
          <w:color w:val="000000"/>
          <w:lang w:eastAsia="zh-CN"/>
        </w:rPr>
        <w:t>6277</w:t>
      </w:r>
    </w:p>
    <w:p w14:paraId="1BDF5AD0" w14:textId="77777777" w:rsidR="00A77B3E" w:rsidRPr="000C58DA" w:rsidRDefault="00A77B3E" w:rsidP="00206D9E">
      <w:pPr>
        <w:adjustRightInd w:val="0"/>
        <w:snapToGrid w:val="0"/>
        <w:spacing w:line="360" w:lineRule="auto"/>
        <w:jc w:val="both"/>
        <w:rPr>
          <w:rFonts w:ascii="Book Antiqua" w:hAnsi="Book Antiqua"/>
        </w:rPr>
      </w:pPr>
    </w:p>
    <w:p w14:paraId="62ABB18E"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 xml:space="preserve">Core Tip: </w:t>
      </w:r>
      <w:r w:rsidRPr="000C58DA">
        <w:rPr>
          <w:rFonts w:ascii="Book Antiqua" w:eastAsia="Book Antiqua" w:hAnsi="Book Antiqua" w:cs="Book Antiqua"/>
          <w:color w:val="000000"/>
        </w:rPr>
        <w:t xml:space="preserve">We examined the </w:t>
      </w:r>
      <w:r w:rsidR="009C34D3" w:rsidRPr="000C58DA">
        <w:rPr>
          <w:rFonts w:ascii="Book Antiqua" w:eastAsia="Book Antiqua" w:hAnsi="Book Antiqua" w:cs="Book Antiqua"/>
          <w:color w:val="000000"/>
        </w:rPr>
        <w:t xml:space="preserve">hepatitis C virus </w:t>
      </w:r>
      <w:r w:rsidR="009C34D3" w:rsidRPr="000C58DA">
        <w:rPr>
          <w:rFonts w:ascii="Book Antiqua" w:hAnsi="Book Antiqua" w:cs="Book Antiqua"/>
          <w:color w:val="000000"/>
          <w:lang w:eastAsia="zh-CN"/>
        </w:rPr>
        <w:t>(</w:t>
      </w:r>
      <w:r w:rsidR="009C34D3" w:rsidRPr="000C58DA">
        <w:rPr>
          <w:rFonts w:ascii="Book Antiqua" w:eastAsia="Book Antiqua" w:hAnsi="Book Antiqua" w:cs="Book Antiqua"/>
          <w:color w:val="000000"/>
        </w:rPr>
        <w:t>HCV</w:t>
      </w:r>
      <w:r w:rsidR="009C34D3" w:rsidRPr="000C58DA">
        <w:rPr>
          <w:rFonts w:ascii="Book Antiqua" w:hAnsi="Book Antiqua" w:cs="Book Antiqua"/>
          <w:color w:val="000000"/>
          <w:lang w:eastAsia="zh-CN"/>
        </w:rPr>
        <w:t xml:space="preserve">) </w:t>
      </w:r>
      <w:r w:rsidRPr="000C58DA">
        <w:rPr>
          <w:rFonts w:ascii="Book Antiqua" w:eastAsia="Book Antiqua" w:hAnsi="Book Antiqua" w:cs="Book Antiqua"/>
          <w:color w:val="000000"/>
        </w:rPr>
        <w:t xml:space="preserve">care cascade among people living with </w:t>
      </w:r>
      <w:r w:rsidR="00B478BE" w:rsidRPr="000C58DA">
        <w:rPr>
          <w:rFonts w:ascii="Book Antiqua" w:eastAsia="Book Antiqua" w:hAnsi="Book Antiqua" w:cs="Book Antiqua"/>
          <w:color w:val="000000"/>
        </w:rPr>
        <w:t xml:space="preserve">human immunodeficiency virus </w:t>
      </w:r>
      <w:r w:rsidRPr="000C58DA">
        <w:rPr>
          <w:rFonts w:ascii="Book Antiqua" w:eastAsia="Book Antiqua" w:hAnsi="Book Antiqua" w:cs="Book Antiqua"/>
          <w:color w:val="000000"/>
        </w:rPr>
        <w:t>who acquired incident HCV infections at a university hospital in Taiwan between 2011 and 2018. We observed high rates of linkage to HCV care and retention in care in both interferon (IFN, 2011 to 2016) and direct-acting antiviral (DAA, 2017 to 2018) eras. The rate of referral to treatment assessment had increased from the IFN era to the DAA era. Moreover, the duration of HCV viremia was markedly shortened because of early diagnosis and linkage to effective treatment in the DAA era compared to that in the IFN era.</w:t>
      </w:r>
    </w:p>
    <w:p w14:paraId="6FC7862D" w14:textId="77777777" w:rsidR="00A77B3E" w:rsidRPr="000C58DA" w:rsidRDefault="009C34D3" w:rsidP="00206D9E">
      <w:pPr>
        <w:adjustRightInd w:val="0"/>
        <w:snapToGrid w:val="0"/>
        <w:spacing w:line="360" w:lineRule="auto"/>
        <w:jc w:val="both"/>
        <w:rPr>
          <w:rFonts w:ascii="Book Antiqua" w:hAnsi="Book Antiqua"/>
        </w:rPr>
      </w:pPr>
      <w:r w:rsidRPr="000C58DA">
        <w:rPr>
          <w:rFonts w:ascii="Book Antiqua" w:hAnsi="Book Antiqua"/>
        </w:rPr>
        <w:br w:type="page"/>
      </w:r>
      <w:r w:rsidR="009B7C34" w:rsidRPr="000C58DA">
        <w:rPr>
          <w:rFonts w:ascii="Book Antiqua" w:eastAsia="Book Antiqua" w:hAnsi="Book Antiqua" w:cs="Book Antiqua"/>
          <w:b/>
          <w:caps/>
          <w:color w:val="000000"/>
          <w:u w:val="single"/>
        </w:rPr>
        <w:lastRenderedPageBreak/>
        <w:t>INTRODUCTION</w:t>
      </w:r>
    </w:p>
    <w:p w14:paraId="54735446"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 xml:space="preserve">Viral hepatitis is a major public health threat and approximately 2.3 million people living with </w:t>
      </w:r>
      <w:r w:rsidR="009C34D3" w:rsidRPr="000C58DA">
        <w:rPr>
          <w:rFonts w:ascii="Book Antiqua" w:eastAsia="Book Antiqua" w:hAnsi="Book Antiqua" w:cs="Book Antiqua"/>
          <w:color w:val="000000"/>
        </w:rPr>
        <w:t xml:space="preserve">human immunodeficiency virus </w:t>
      </w:r>
      <w:r w:rsidR="009C34D3" w:rsidRPr="000C58DA">
        <w:rPr>
          <w:rFonts w:ascii="Book Antiqua" w:hAnsi="Book Antiqua" w:cs="Book Antiqua"/>
          <w:color w:val="000000"/>
          <w:lang w:eastAsia="zh-CN"/>
        </w:rPr>
        <w:t>(</w:t>
      </w:r>
      <w:r w:rsidR="009C34D3" w:rsidRPr="000C58DA">
        <w:rPr>
          <w:rFonts w:ascii="Book Antiqua" w:eastAsia="Book Antiqua" w:hAnsi="Book Antiqua" w:cs="Book Antiqua"/>
          <w:color w:val="000000"/>
        </w:rPr>
        <w:t>HIV</w:t>
      </w:r>
      <w:r w:rsidR="009C34D3" w:rsidRPr="000C58DA">
        <w:rPr>
          <w:rFonts w:ascii="Book Antiqua" w:hAnsi="Book Antiqua" w:cs="Book Antiqua"/>
          <w:color w:val="000000"/>
          <w:lang w:eastAsia="zh-CN"/>
        </w:rPr>
        <w:t>)</w:t>
      </w:r>
      <w:r w:rsidR="009C34D3" w:rsidRPr="000C58DA">
        <w:rPr>
          <w:rFonts w:ascii="Book Antiqua" w:eastAsia="Book Antiqua" w:hAnsi="Book Antiqua" w:cs="Book Antiqua"/>
          <w:color w:val="000000"/>
        </w:rPr>
        <w:t xml:space="preserve"> </w:t>
      </w:r>
      <w:r w:rsidRPr="000C58DA">
        <w:rPr>
          <w:rFonts w:ascii="Book Antiqua" w:eastAsia="Book Antiqua" w:hAnsi="Book Antiqua" w:cs="Book Antiqua"/>
          <w:color w:val="000000"/>
        </w:rPr>
        <w:t xml:space="preserve">(PLWH) are coinfected with </w:t>
      </w:r>
      <w:r w:rsidR="009C34D3" w:rsidRPr="000C58DA">
        <w:rPr>
          <w:rFonts w:ascii="Book Antiqua" w:eastAsia="Book Antiqua" w:hAnsi="Book Antiqua" w:cs="Book Antiqua"/>
          <w:color w:val="000000"/>
        </w:rPr>
        <w:t xml:space="preserve">hepatitis C virus </w:t>
      </w:r>
      <w:r w:rsidR="009C34D3" w:rsidRPr="000C58DA">
        <w:rPr>
          <w:rFonts w:ascii="Book Antiqua" w:hAnsi="Book Antiqua" w:cs="Book Antiqua"/>
          <w:color w:val="000000"/>
          <w:lang w:eastAsia="zh-CN"/>
        </w:rPr>
        <w:t>(</w:t>
      </w:r>
      <w:r w:rsidR="009C34D3" w:rsidRPr="000C58DA">
        <w:rPr>
          <w:rFonts w:ascii="Book Antiqua" w:eastAsia="Book Antiqua" w:hAnsi="Book Antiqua" w:cs="Book Antiqua"/>
          <w:color w:val="000000"/>
        </w:rPr>
        <w:t>HCV</w:t>
      </w:r>
      <w:r w:rsidR="009C34D3" w:rsidRPr="000C58DA">
        <w:rPr>
          <w:rFonts w:ascii="Book Antiqua" w:hAnsi="Book Antiqua" w:cs="Book Antiqua"/>
          <w:color w:val="000000"/>
          <w:lang w:eastAsia="zh-CN"/>
        </w:rPr>
        <w:t xml:space="preserve">) </w:t>
      </w:r>
      <w:r w:rsidRPr="000C58DA">
        <w:rPr>
          <w:rFonts w:ascii="Book Antiqua" w:eastAsia="Book Antiqua" w:hAnsi="Book Antiqua" w:cs="Book Antiqua"/>
          <w:color w:val="000000"/>
        </w:rPr>
        <w:t>globally</w:t>
      </w:r>
      <w:r w:rsidRPr="000C58DA">
        <w:rPr>
          <w:rFonts w:ascii="Book Antiqua" w:eastAsia="Book Antiqua" w:hAnsi="Book Antiqua" w:cs="Book Antiqua"/>
          <w:color w:val="000000"/>
          <w:vertAlign w:val="superscript"/>
        </w:rPr>
        <w:t>[1-3]</w:t>
      </w:r>
      <w:r w:rsidRPr="000C58DA">
        <w:rPr>
          <w:rFonts w:ascii="Book Antiqua" w:eastAsia="Book Antiqua" w:hAnsi="Book Antiqua" w:cs="Book Antiqua"/>
          <w:color w:val="000000"/>
        </w:rPr>
        <w:t>. Injection drug users (IDUs) have been the major contributors to HCV transmission</w:t>
      </w:r>
      <w:r w:rsidRPr="000C58DA">
        <w:rPr>
          <w:rFonts w:ascii="Book Antiqua" w:eastAsia="Book Antiqua" w:hAnsi="Book Antiqua" w:cs="Book Antiqua"/>
          <w:color w:val="000000"/>
          <w:vertAlign w:val="superscript"/>
        </w:rPr>
        <w:t>[4]</w:t>
      </w:r>
      <w:r w:rsidRPr="000C58DA">
        <w:rPr>
          <w:rFonts w:ascii="Book Antiqua" w:eastAsia="Book Antiqua" w:hAnsi="Book Antiqua" w:cs="Book Antiqua"/>
          <w:color w:val="000000"/>
        </w:rPr>
        <w:t xml:space="preserve">. In Asia-Pacific region, the prevalence of HCV coinfection among PLWH ranges from 3.8% to 42.6%, and may be as high as 80.8% to 98.5% among </w:t>
      </w:r>
      <w:proofErr w:type="gramStart"/>
      <w:r w:rsidRPr="000C58DA">
        <w:rPr>
          <w:rFonts w:ascii="Book Antiqua" w:eastAsia="Book Antiqua" w:hAnsi="Book Antiqua" w:cs="Book Antiqua"/>
          <w:color w:val="000000"/>
        </w:rPr>
        <w:t>IDUs</w:t>
      </w:r>
      <w:r w:rsidRPr="000C58DA">
        <w:rPr>
          <w:rFonts w:ascii="Book Antiqua" w:eastAsia="Book Antiqua" w:hAnsi="Book Antiqua" w:cs="Book Antiqua"/>
          <w:color w:val="000000"/>
          <w:vertAlign w:val="superscript"/>
        </w:rPr>
        <w:t>[</w:t>
      </w:r>
      <w:proofErr w:type="gramEnd"/>
      <w:r w:rsidRPr="000C58DA">
        <w:rPr>
          <w:rFonts w:ascii="Book Antiqua" w:eastAsia="Book Antiqua" w:hAnsi="Book Antiqua" w:cs="Book Antiqua"/>
          <w:color w:val="000000"/>
          <w:vertAlign w:val="superscript"/>
        </w:rPr>
        <w:t>5,6]</w:t>
      </w:r>
      <w:r w:rsidRPr="000C58DA">
        <w:rPr>
          <w:rFonts w:ascii="Book Antiqua" w:eastAsia="Book Antiqua" w:hAnsi="Book Antiqua" w:cs="Book Antiqua"/>
          <w:color w:val="000000"/>
        </w:rPr>
        <w:t xml:space="preserve">. Since 2000, incident HCV infections among PLWH who are MSM have continued to increase in the United States, European countries, and </w:t>
      </w:r>
      <w:proofErr w:type="gramStart"/>
      <w:r w:rsidRPr="000C58DA">
        <w:rPr>
          <w:rFonts w:ascii="Book Antiqua" w:eastAsia="Book Antiqua" w:hAnsi="Book Antiqua" w:cs="Book Antiqua"/>
          <w:color w:val="000000"/>
        </w:rPr>
        <w:t>Australia</w:t>
      </w:r>
      <w:r w:rsidRPr="000C58DA">
        <w:rPr>
          <w:rFonts w:ascii="Book Antiqua" w:eastAsia="Book Antiqua" w:hAnsi="Book Antiqua" w:cs="Book Antiqua"/>
          <w:color w:val="000000"/>
          <w:vertAlign w:val="superscript"/>
        </w:rPr>
        <w:t>[</w:t>
      </w:r>
      <w:proofErr w:type="gramEnd"/>
      <w:r w:rsidRPr="000C58DA">
        <w:rPr>
          <w:rFonts w:ascii="Book Antiqua" w:eastAsia="Book Antiqua" w:hAnsi="Book Antiqua" w:cs="Book Antiqua"/>
          <w:color w:val="000000"/>
          <w:vertAlign w:val="superscript"/>
        </w:rPr>
        <w:t>7-9]</w:t>
      </w:r>
      <w:r w:rsidRPr="000C58DA">
        <w:rPr>
          <w:rFonts w:ascii="Book Antiqua" w:eastAsia="Book Antiqua" w:hAnsi="Book Antiqua" w:cs="Book Antiqua"/>
          <w:color w:val="000000"/>
        </w:rPr>
        <w:t xml:space="preserve">. Similar increasing trends were observed among PLWH who are MSM in Asia-Pacific </w:t>
      </w:r>
      <w:proofErr w:type="gramStart"/>
      <w:r w:rsidRPr="000C58DA">
        <w:rPr>
          <w:rFonts w:ascii="Book Antiqua" w:eastAsia="Book Antiqua" w:hAnsi="Book Antiqua" w:cs="Book Antiqua"/>
          <w:color w:val="000000"/>
        </w:rPr>
        <w:t>region</w:t>
      </w:r>
      <w:r w:rsidRPr="000C58DA">
        <w:rPr>
          <w:rFonts w:ascii="Book Antiqua" w:eastAsia="Book Antiqua" w:hAnsi="Book Antiqua" w:cs="Book Antiqua"/>
          <w:color w:val="000000"/>
          <w:vertAlign w:val="superscript"/>
        </w:rPr>
        <w:t>[</w:t>
      </w:r>
      <w:proofErr w:type="gramEnd"/>
      <w:r w:rsidRPr="000C58DA">
        <w:rPr>
          <w:rFonts w:ascii="Book Antiqua" w:eastAsia="Book Antiqua" w:hAnsi="Book Antiqua" w:cs="Book Antiqua"/>
          <w:color w:val="000000"/>
          <w:vertAlign w:val="superscript"/>
        </w:rPr>
        <w:t>10,11]</w:t>
      </w:r>
      <w:r w:rsidRPr="000C58DA">
        <w:rPr>
          <w:rFonts w:ascii="Book Antiqua" w:eastAsia="Book Antiqua" w:hAnsi="Book Antiqua" w:cs="Book Antiqua"/>
          <w:color w:val="000000"/>
        </w:rPr>
        <w:t>. The causes of the increases of HCV transmission among MSM are multifactorial and are related to concurrent sexually transmitted infections</w:t>
      </w:r>
      <w:r w:rsidR="008E7AFF" w:rsidRPr="000C58DA">
        <w:rPr>
          <w:rFonts w:ascii="Book Antiqua" w:eastAsia="Book Antiqua" w:hAnsi="Book Antiqua" w:cs="Book Antiqua"/>
          <w:color w:val="000000"/>
        </w:rPr>
        <w:t xml:space="preserve"> (STIs)</w:t>
      </w:r>
      <w:r w:rsidRPr="000C58DA">
        <w:rPr>
          <w:rFonts w:ascii="Book Antiqua" w:eastAsia="Book Antiqua" w:hAnsi="Book Antiqua" w:cs="Book Antiqua"/>
          <w:color w:val="000000"/>
        </w:rPr>
        <w:t>, unprotected anal intercourse, traumatic sexual contacts, and use of recreational drugs by inhalation or injection</w:t>
      </w:r>
      <w:r w:rsidRPr="000C58DA">
        <w:rPr>
          <w:rFonts w:ascii="Book Antiqua" w:eastAsia="Book Antiqua" w:hAnsi="Book Antiqua" w:cs="Book Antiqua"/>
          <w:color w:val="000000"/>
          <w:vertAlign w:val="superscript"/>
        </w:rPr>
        <w:t>[12]</w:t>
      </w:r>
      <w:r w:rsidRPr="000C58DA">
        <w:rPr>
          <w:rFonts w:ascii="Book Antiqua" w:eastAsia="Book Antiqua" w:hAnsi="Book Antiqua" w:cs="Book Antiqua"/>
          <w:color w:val="000000"/>
        </w:rPr>
        <w:t xml:space="preserve">. </w:t>
      </w:r>
    </w:p>
    <w:p w14:paraId="6774D8DE" w14:textId="2CFDC840" w:rsidR="00A77B3E" w:rsidRPr="000C58DA" w:rsidRDefault="009B7C34" w:rsidP="00206D9E">
      <w:pPr>
        <w:adjustRightInd w:val="0"/>
        <w:snapToGrid w:val="0"/>
        <w:spacing w:line="360" w:lineRule="auto"/>
        <w:ind w:firstLineChars="200" w:firstLine="480"/>
        <w:jc w:val="both"/>
        <w:rPr>
          <w:rFonts w:ascii="Book Antiqua" w:hAnsi="Book Antiqua"/>
        </w:rPr>
      </w:pPr>
      <w:r w:rsidRPr="000C58DA">
        <w:rPr>
          <w:rFonts w:ascii="Book Antiqua" w:eastAsia="Book Antiqua" w:hAnsi="Book Antiqua" w:cs="Book Antiqua"/>
          <w:color w:val="000000"/>
        </w:rPr>
        <w:t>The evolution of HCV treatment from interferon (IFN)-based therapy to IFN-free direct-acting antivirals (DAAs) has significantly improved tolerability and effectiveness in achieving viral clearance</w:t>
      </w:r>
      <w:r w:rsidRPr="000C58DA">
        <w:rPr>
          <w:rFonts w:ascii="Book Antiqua" w:eastAsia="Book Antiqua" w:hAnsi="Book Antiqua" w:cs="Book Antiqua"/>
          <w:color w:val="000000"/>
          <w:vertAlign w:val="superscript"/>
        </w:rPr>
        <w:t>[13]</w:t>
      </w:r>
      <w:r w:rsidRPr="000C58DA">
        <w:rPr>
          <w:rFonts w:ascii="Book Antiqua" w:eastAsia="Book Antiqua" w:hAnsi="Book Antiqua" w:cs="Book Antiqua"/>
          <w:color w:val="000000"/>
        </w:rPr>
        <w:t>. The rates of viral clearance with DAAs are similarly high for HCV-</w:t>
      </w:r>
      <w:proofErr w:type="spellStart"/>
      <w:r w:rsidRPr="000C58DA">
        <w:rPr>
          <w:rFonts w:ascii="Book Antiqua" w:eastAsia="Book Antiqua" w:hAnsi="Book Antiqua" w:cs="Book Antiqua"/>
          <w:color w:val="000000"/>
        </w:rPr>
        <w:t>monoinfected</w:t>
      </w:r>
      <w:proofErr w:type="spellEnd"/>
      <w:r w:rsidRPr="000C58DA">
        <w:rPr>
          <w:rFonts w:ascii="Book Antiqua" w:eastAsia="Book Antiqua" w:hAnsi="Book Antiqua" w:cs="Book Antiqua"/>
          <w:color w:val="000000"/>
        </w:rPr>
        <w:t xml:space="preserve"> patients and HCV/HIV-</w:t>
      </w:r>
      <w:proofErr w:type="spellStart"/>
      <w:r w:rsidRPr="000C58DA">
        <w:rPr>
          <w:rFonts w:ascii="Book Antiqua" w:eastAsia="Book Antiqua" w:hAnsi="Book Antiqua" w:cs="Book Antiqua"/>
          <w:color w:val="000000"/>
        </w:rPr>
        <w:t>coinfected</w:t>
      </w:r>
      <w:proofErr w:type="spellEnd"/>
      <w:r w:rsidRPr="000C58DA">
        <w:rPr>
          <w:rFonts w:ascii="Book Antiqua" w:eastAsia="Book Antiqua" w:hAnsi="Book Antiqua" w:cs="Book Antiqua"/>
          <w:color w:val="000000"/>
        </w:rPr>
        <w:t xml:space="preserve"> patients in clinical trials and real-world experience</w:t>
      </w:r>
      <w:r w:rsidRPr="000C58DA">
        <w:rPr>
          <w:rFonts w:ascii="Book Antiqua" w:eastAsia="Book Antiqua" w:hAnsi="Book Antiqua" w:cs="Book Antiqua"/>
          <w:color w:val="000000"/>
          <w:vertAlign w:val="superscript"/>
        </w:rPr>
        <w:t>[14-18]</w:t>
      </w:r>
      <w:r w:rsidRPr="000C58DA">
        <w:rPr>
          <w:rFonts w:ascii="Book Antiqua" w:eastAsia="Book Antiqua" w:hAnsi="Book Antiqua" w:cs="Book Antiqua"/>
          <w:color w:val="000000"/>
        </w:rPr>
        <w:t>.</w:t>
      </w:r>
      <w:r w:rsidR="00206D9E" w:rsidRPr="000C58DA">
        <w:rPr>
          <w:rFonts w:ascii="Book Antiqua" w:eastAsia="Book Antiqua" w:hAnsi="Book Antiqua" w:cs="Book Antiqua"/>
          <w:color w:val="000000"/>
        </w:rPr>
        <w:t xml:space="preserve"> </w:t>
      </w:r>
      <w:r w:rsidRPr="000C58DA">
        <w:rPr>
          <w:rFonts w:ascii="Book Antiqua" w:eastAsia="Book Antiqua" w:hAnsi="Book Antiqua" w:cs="Book Antiqua"/>
          <w:color w:val="000000"/>
        </w:rPr>
        <w:t>With the introduction of effective DAAs, ending the HCV epidemic is considered an achievable goal by scaling up diagnosis and treatment of HCV infection</w:t>
      </w:r>
      <w:r w:rsidRPr="000C58DA">
        <w:rPr>
          <w:rFonts w:ascii="Book Antiqua" w:eastAsia="Book Antiqua" w:hAnsi="Book Antiqua" w:cs="Book Antiqua"/>
          <w:color w:val="000000"/>
          <w:vertAlign w:val="superscript"/>
        </w:rPr>
        <w:t>[1]</w:t>
      </w:r>
      <w:r w:rsidRPr="000C58DA">
        <w:rPr>
          <w:rFonts w:ascii="Book Antiqua" w:eastAsia="Book Antiqua" w:hAnsi="Book Antiqua" w:cs="Book Antiqua"/>
          <w:color w:val="000000"/>
        </w:rPr>
        <w:t>. Among the interventional strategies proposed to achieve hepatitis elimination, the continuum assessed by the "cascade of care" on the population level is suggested to evaluate the status of hepatitis treatment services and the level of engagement in care</w:t>
      </w:r>
      <w:r w:rsidRPr="000C58DA">
        <w:rPr>
          <w:rFonts w:ascii="Book Antiqua" w:eastAsia="Book Antiqua" w:hAnsi="Book Antiqua" w:cs="Book Antiqua"/>
          <w:color w:val="000000"/>
          <w:vertAlign w:val="superscript"/>
        </w:rPr>
        <w:t>[19,20]</w:t>
      </w:r>
      <w:r w:rsidRPr="000C58DA">
        <w:rPr>
          <w:rFonts w:ascii="Book Antiqua" w:eastAsia="Book Antiqua" w:hAnsi="Book Antiqua" w:cs="Book Antiqua"/>
          <w:color w:val="000000"/>
        </w:rPr>
        <w:t>. The proportion of patients in each step of the cascade—infected, tested, status confirmed, engagement in care, treatment initiated, cured, and followed up for chronic care—reflects the coverage of diagnosis, access to treatment, and quality of care.</w:t>
      </w:r>
    </w:p>
    <w:p w14:paraId="08B0BBE1" w14:textId="77777777" w:rsidR="00A77B3E" w:rsidRPr="000C58DA" w:rsidRDefault="009B7C34" w:rsidP="00206D9E">
      <w:pPr>
        <w:adjustRightInd w:val="0"/>
        <w:snapToGrid w:val="0"/>
        <w:spacing w:line="360" w:lineRule="auto"/>
        <w:ind w:firstLineChars="200" w:firstLine="480"/>
        <w:jc w:val="both"/>
        <w:rPr>
          <w:rFonts w:ascii="Book Antiqua" w:hAnsi="Book Antiqua"/>
        </w:rPr>
      </w:pPr>
      <w:r w:rsidRPr="000C58DA">
        <w:rPr>
          <w:rFonts w:ascii="Book Antiqua" w:eastAsia="Book Antiqua" w:hAnsi="Book Antiqua" w:cs="Book Antiqua"/>
          <w:color w:val="000000"/>
        </w:rPr>
        <w:t>In Taiwan, pegylated IFN plus ribavirin (PEG-IFN/RBV) has become the standard anti-HCV treatment regimen since 2004 and has been fully reimbursed by the National Health Insurance (NHI) since 2009</w:t>
      </w:r>
      <w:r w:rsidRPr="000C58DA">
        <w:rPr>
          <w:rFonts w:ascii="Book Antiqua" w:eastAsia="Book Antiqua" w:hAnsi="Book Antiqua" w:cs="Book Antiqua"/>
          <w:color w:val="000000"/>
          <w:vertAlign w:val="superscript"/>
        </w:rPr>
        <w:t>[21,22]</w:t>
      </w:r>
      <w:r w:rsidRPr="000C58DA">
        <w:rPr>
          <w:rFonts w:ascii="Book Antiqua" w:eastAsia="Book Antiqua" w:hAnsi="Book Antiqua" w:cs="Book Antiqua"/>
          <w:color w:val="000000"/>
        </w:rPr>
        <w:t xml:space="preserve">. DAAs were not available until 2017, when the </w:t>
      </w:r>
      <w:r w:rsidRPr="000C58DA">
        <w:rPr>
          <w:rFonts w:ascii="Book Antiqua" w:eastAsia="Book Antiqua" w:hAnsi="Book Antiqua" w:cs="Book Antiqua"/>
          <w:color w:val="000000"/>
        </w:rPr>
        <w:lastRenderedPageBreak/>
        <w:t>regimens were restricted to individuals with chronic HCV infection with evidence of significant hepatic fibrosis. Generic versions of patented DAAs could be purchased for individual use from Bangladesh</w:t>
      </w:r>
      <w:r w:rsidRPr="000C58DA">
        <w:rPr>
          <w:rFonts w:ascii="Book Antiqua" w:eastAsia="Book Antiqua" w:hAnsi="Book Antiqua" w:cs="Book Antiqua"/>
          <w:color w:val="000000"/>
          <w:vertAlign w:val="superscript"/>
        </w:rPr>
        <w:t>[23]</w:t>
      </w:r>
      <w:r w:rsidRPr="000C58DA">
        <w:rPr>
          <w:rFonts w:ascii="Book Antiqua" w:eastAsia="Book Antiqua" w:hAnsi="Book Antiqua" w:cs="Book Antiqua"/>
          <w:color w:val="000000"/>
        </w:rPr>
        <w:t>. Before 2019, referral to a hepatologist for hepatitis C evaluation and treatment was required according to NHI regulations. The reimbursement restrictions on the use of DAAs were lifted in January of 2019 by allowing HCV viremic patients to initiate DAAs regardless of liver fibrosis status. Subsequently, PLWH with HCV viremia could be evaluated and DAAs initiated by HIV-treating physicians at infectious disease clinics.</w:t>
      </w:r>
    </w:p>
    <w:p w14:paraId="7F246A8B"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 xml:space="preserve">In this study, we aimed to examine the HCV care cascade among PLWH who received a diagnosis of incident HCV infection at a university hospital in Taiwan. </w:t>
      </w:r>
    </w:p>
    <w:p w14:paraId="33186576" w14:textId="77777777" w:rsidR="00A77B3E" w:rsidRPr="000C58DA" w:rsidRDefault="00A77B3E" w:rsidP="00206D9E">
      <w:pPr>
        <w:adjustRightInd w:val="0"/>
        <w:snapToGrid w:val="0"/>
        <w:spacing w:line="360" w:lineRule="auto"/>
        <w:ind w:firstLine="480"/>
        <w:jc w:val="both"/>
        <w:rPr>
          <w:rFonts w:ascii="Book Antiqua" w:hAnsi="Book Antiqua"/>
        </w:rPr>
      </w:pPr>
    </w:p>
    <w:p w14:paraId="49F92939"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aps/>
          <w:color w:val="000000"/>
          <w:u w:val="single"/>
        </w:rPr>
        <w:t>MATERIALS AND METHODS</w:t>
      </w:r>
    </w:p>
    <w:p w14:paraId="76AF42E0"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i/>
          <w:iCs/>
          <w:color w:val="000000"/>
        </w:rPr>
        <w:t>Study design and data collection</w:t>
      </w:r>
    </w:p>
    <w:p w14:paraId="3CA57D0B"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We retrospectively reviewed the medical records of all PLWH aged 18 years or older seeking medical care for HIV at the National Taiwan University Hospital (NTUH), the largest designated hospital for HIV inpatient and outpatient care in Taiwan, from January 2011 to December 2018; and those included were followed until death, loss to follow-up, transfer of care, or the end of the study on December 31, 2019, whichever occurred first. The study period (2011-2018) spanned two different eras of anti-HCV treatment, from the IFN/RBV era (2011-2016) to the DAA era (2017-2018) before restricted access to HCV treatments were completely lifted in early 2019. In this study, the IFN-based regimen was PEG-IFN plus weight-based RBV with response-guided treatment duration. From 2016 to 2018, generic versions of patent IFN-free DAAs (</w:t>
      </w:r>
      <w:proofErr w:type="spellStart"/>
      <w:r w:rsidRPr="000C58DA">
        <w:rPr>
          <w:rFonts w:ascii="Book Antiqua" w:eastAsia="Book Antiqua" w:hAnsi="Book Antiqua" w:cs="Book Antiqua"/>
          <w:color w:val="000000"/>
        </w:rPr>
        <w:t>sofosbuvir</w:t>
      </w:r>
      <w:proofErr w:type="spellEnd"/>
      <w:r w:rsidRPr="000C58DA">
        <w:rPr>
          <w:rFonts w:ascii="Book Antiqua" w:eastAsia="Book Antiqua" w:hAnsi="Book Antiqua" w:cs="Book Antiqua"/>
          <w:color w:val="000000"/>
        </w:rPr>
        <w:t>/</w:t>
      </w:r>
      <w:proofErr w:type="spellStart"/>
      <w:r w:rsidRPr="000C58DA">
        <w:rPr>
          <w:rFonts w:ascii="Book Antiqua" w:eastAsia="Book Antiqua" w:hAnsi="Book Antiqua" w:cs="Book Antiqua"/>
          <w:color w:val="000000"/>
        </w:rPr>
        <w:t>velpatasvir</w:t>
      </w:r>
      <w:proofErr w:type="spellEnd"/>
      <w:r w:rsidRPr="000C58DA">
        <w:rPr>
          <w:rFonts w:ascii="Book Antiqua" w:eastAsia="Book Antiqua" w:hAnsi="Book Antiqua" w:cs="Book Antiqua"/>
          <w:color w:val="000000"/>
        </w:rPr>
        <w:t xml:space="preserve">) were used for treatment of recently acquired HCV infection. </w:t>
      </w:r>
    </w:p>
    <w:p w14:paraId="33BAD79A" w14:textId="20F51C73"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Anti-HCV antibodies were detected using a fourth-generation enzyme immunoassay (</w:t>
      </w:r>
      <w:proofErr w:type="spellStart"/>
      <w:r w:rsidRPr="000C58DA">
        <w:rPr>
          <w:rFonts w:ascii="Book Antiqua" w:eastAsia="Book Antiqua" w:hAnsi="Book Antiqua" w:cs="Book Antiqua"/>
          <w:color w:val="000000"/>
        </w:rPr>
        <w:t>Dia.Pro</w:t>
      </w:r>
      <w:proofErr w:type="spellEnd"/>
      <w:r w:rsidRPr="000C58DA">
        <w:rPr>
          <w:rFonts w:ascii="Book Antiqua" w:eastAsia="Book Antiqua" w:hAnsi="Book Antiqua" w:cs="Book Antiqua"/>
          <w:color w:val="000000"/>
        </w:rPr>
        <w:t xml:space="preserve"> Diagnostic </w:t>
      </w:r>
      <w:proofErr w:type="spellStart"/>
      <w:r w:rsidRPr="000C58DA">
        <w:rPr>
          <w:rFonts w:ascii="Book Antiqua" w:eastAsia="Book Antiqua" w:hAnsi="Book Antiqua" w:cs="Book Antiqua"/>
          <w:color w:val="000000"/>
        </w:rPr>
        <w:t>Bioprobes</w:t>
      </w:r>
      <w:proofErr w:type="spellEnd"/>
      <w:r w:rsidRPr="000C58DA">
        <w:rPr>
          <w:rFonts w:ascii="Book Antiqua" w:eastAsia="Book Antiqua" w:hAnsi="Book Antiqua" w:cs="Book Antiqua"/>
          <w:color w:val="000000"/>
        </w:rPr>
        <w:t xml:space="preserve"> </w:t>
      </w:r>
      <w:proofErr w:type="spellStart"/>
      <w:r w:rsidRPr="000C58DA">
        <w:rPr>
          <w:rFonts w:ascii="Book Antiqua" w:eastAsia="Book Antiqua" w:hAnsi="Book Antiqua" w:cs="Book Antiqua"/>
          <w:color w:val="000000"/>
        </w:rPr>
        <w:t>Srl</w:t>
      </w:r>
      <w:proofErr w:type="spellEnd"/>
      <w:r w:rsidRPr="000C58DA">
        <w:rPr>
          <w:rFonts w:ascii="Book Antiqua" w:eastAsia="Book Antiqua" w:hAnsi="Book Antiqua" w:cs="Book Antiqua"/>
          <w:color w:val="000000"/>
        </w:rPr>
        <w:t>. Italy)</w:t>
      </w:r>
      <w:r w:rsidRPr="000C58DA">
        <w:rPr>
          <w:rFonts w:ascii="Book Antiqua" w:eastAsia="Book Antiqua" w:hAnsi="Book Antiqua" w:cs="Book Antiqua"/>
          <w:color w:val="000000"/>
          <w:vertAlign w:val="superscript"/>
        </w:rPr>
        <w:t>[11]</w:t>
      </w:r>
      <w:r w:rsidRPr="000C58DA">
        <w:rPr>
          <w:rFonts w:ascii="Book Antiqua" w:eastAsia="Book Antiqua" w:hAnsi="Book Antiqua" w:cs="Book Antiqua"/>
          <w:color w:val="000000"/>
        </w:rPr>
        <w:t xml:space="preserve"> and the HCV serostatus of the first available blood samples during the study period were regarded as the baseline serostatus. For those with a negative anti-HCV status at baseline, anti-HCV testing of all their archived blood samples were performed retrospectively on an annual basis to </w:t>
      </w:r>
      <w:r w:rsidRPr="000C58DA">
        <w:rPr>
          <w:rFonts w:ascii="Book Antiqua" w:eastAsia="Book Antiqua" w:hAnsi="Book Antiqua" w:cs="Book Antiqua"/>
          <w:color w:val="000000"/>
        </w:rPr>
        <w:lastRenderedPageBreak/>
        <w:t xml:space="preserve">detect HCV seroconversion. Patients who developed HCV seroconversion within the past 12 </w:t>
      </w:r>
      <w:proofErr w:type="spellStart"/>
      <w:r w:rsidRPr="000C58DA">
        <w:rPr>
          <w:rFonts w:ascii="Book Antiqua" w:eastAsia="Book Antiqua" w:hAnsi="Book Antiqua" w:cs="Book Antiqua"/>
          <w:color w:val="000000"/>
        </w:rPr>
        <w:t>mo</w:t>
      </w:r>
      <w:proofErr w:type="spellEnd"/>
      <w:r w:rsidRPr="000C58DA">
        <w:rPr>
          <w:rFonts w:ascii="Book Antiqua" w:eastAsia="Book Antiqua" w:hAnsi="Book Antiqua" w:cs="Book Antiqua"/>
          <w:color w:val="000000"/>
        </w:rPr>
        <w:t xml:space="preserve"> were identified as having recently acquired HCV infection and were included in this study.</w:t>
      </w:r>
    </w:p>
    <w:p w14:paraId="21EE0929"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 xml:space="preserve">The date of HCV seroconversion was arbitrarily assigned as the mid-point between the dates of the first positive and the last negative anti-HCV test. Using a standardized case record form, we collected data on patient demographics, HIV transmission risk groups, and laboratory test results, including CD4 </w:t>
      </w:r>
      <w:r w:rsidR="00263D7B" w:rsidRPr="000C58DA">
        <w:rPr>
          <w:rFonts w:ascii="Book Antiqua" w:eastAsia="Book Antiqua" w:hAnsi="Book Antiqua" w:cs="Book Antiqua"/>
          <w:color w:val="000000"/>
        </w:rPr>
        <w:t>l</w:t>
      </w:r>
      <w:r w:rsidRPr="000C58DA">
        <w:rPr>
          <w:rFonts w:ascii="Book Antiqua" w:eastAsia="Book Antiqua" w:hAnsi="Book Antiqua" w:cs="Book Antiqua"/>
          <w:color w:val="000000"/>
        </w:rPr>
        <w:t>ymphocyte count and plasma HIV RNA load (PVL), hepatitis B surface antigen (</w:t>
      </w:r>
      <w:proofErr w:type="spellStart"/>
      <w:r w:rsidRPr="000C58DA">
        <w:rPr>
          <w:rFonts w:ascii="Book Antiqua" w:eastAsia="Book Antiqua" w:hAnsi="Book Antiqua" w:cs="Book Antiqua"/>
          <w:color w:val="000000"/>
        </w:rPr>
        <w:t>HBsAg</w:t>
      </w:r>
      <w:proofErr w:type="spellEnd"/>
      <w:r w:rsidRPr="000C58DA">
        <w:rPr>
          <w:rFonts w:ascii="Book Antiqua" w:eastAsia="Book Antiqua" w:hAnsi="Book Antiqua" w:cs="Book Antiqua"/>
          <w:color w:val="000000"/>
        </w:rPr>
        <w:t xml:space="preserve">), rapid plasma </w:t>
      </w:r>
      <w:proofErr w:type="spellStart"/>
      <w:r w:rsidRPr="000C58DA">
        <w:rPr>
          <w:rFonts w:ascii="Book Antiqua" w:eastAsia="Book Antiqua" w:hAnsi="Book Antiqua" w:cs="Book Antiqua"/>
          <w:color w:val="000000"/>
        </w:rPr>
        <w:t>reagin</w:t>
      </w:r>
      <w:proofErr w:type="spellEnd"/>
      <w:r w:rsidRPr="000C58DA">
        <w:rPr>
          <w:rFonts w:ascii="Book Antiqua" w:eastAsia="Book Antiqua" w:hAnsi="Book Antiqua" w:cs="Book Antiqua"/>
          <w:color w:val="000000"/>
        </w:rPr>
        <w:t xml:space="preserve"> (RPR) titer, plasma HCV RNA load and genotype when HCV viremia was detected.</w:t>
      </w:r>
    </w:p>
    <w:p w14:paraId="43E2380B"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The study was approved by the Research Ethics Committee of the hospital (registration number: 201605103RINC and 201605128RINC) and informed consent was obtained from all the participants.</w:t>
      </w:r>
    </w:p>
    <w:p w14:paraId="588CE924" w14:textId="77777777" w:rsidR="00A77B3E" w:rsidRPr="000C58DA" w:rsidRDefault="00A77B3E" w:rsidP="00206D9E">
      <w:pPr>
        <w:adjustRightInd w:val="0"/>
        <w:snapToGrid w:val="0"/>
        <w:spacing w:line="360" w:lineRule="auto"/>
        <w:ind w:firstLine="480"/>
        <w:jc w:val="both"/>
        <w:rPr>
          <w:rFonts w:ascii="Book Antiqua" w:hAnsi="Book Antiqua"/>
        </w:rPr>
      </w:pPr>
    </w:p>
    <w:p w14:paraId="30D9008A"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i/>
          <w:iCs/>
          <w:color w:val="000000"/>
        </w:rPr>
        <w:t>Definitions</w:t>
      </w:r>
    </w:p>
    <w:p w14:paraId="0FF68EA5" w14:textId="5960B3C1"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 xml:space="preserve">The HCV care cascade comprised the following steps of care: (1) “HCV infected” included all </w:t>
      </w:r>
      <w:proofErr w:type="spellStart"/>
      <w:r w:rsidRPr="000C58DA">
        <w:rPr>
          <w:rFonts w:ascii="Book Antiqua" w:eastAsia="Book Antiqua" w:hAnsi="Book Antiqua" w:cs="Book Antiqua"/>
          <w:color w:val="000000"/>
        </w:rPr>
        <w:t>seroconverters</w:t>
      </w:r>
      <w:proofErr w:type="spellEnd"/>
      <w:r w:rsidRPr="000C58DA">
        <w:rPr>
          <w:rFonts w:ascii="Book Antiqua" w:eastAsia="Book Antiqua" w:hAnsi="Book Antiqua" w:cs="Book Antiqua"/>
          <w:color w:val="000000"/>
        </w:rPr>
        <w:t xml:space="preserve"> in the past 12 </w:t>
      </w:r>
      <w:proofErr w:type="spellStart"/>
      <w:r w:rsidRPr="000C58DA">
        <w:rPr>
          <w:rFonts w:ascii="Book Antiqua" w:eastAsia="Book Antiqua" w:hAnsi="Book Antiqua" w:cs="Book Antiqua"/>
          <w:color w:val="000000"/>
        </w:rPr>
        <w:t>mo</w:t>
      </w:r>
      <w:proofErr w:type="spellEnd"/>
      <w:r w:rsidRPr="000C58DA">
        <w:rPr>
          <w:rFonts w:ascii="Book Antiqua" w:eastAsia="Book Antiqua" w:hAnsi="Book Antiqua" w:cs="Book Antiqua"/>
          <w:color w:val="000000"/>
        </w:rPr>
        <w:t xml:space="preserve"> identified by testing of archived blood samples; (2) “</w:t>
      </w:r>
      <w:r w:rsidR="00733712">
        <w:rPr>
          <w:rFonts w:ascii="Book Antiqua" w:eastAsia="Book Antiqua" w:hAnsi="Book Antiqua" w:cs="Book Antiqua"/>
          <w:color w:val="000000"/>
        </w:rPr>
        <w:t>A</w:t>
      </w:r>
      <w:r w:rsidRPr="000C58DA">
        <w:rPr>
          <w:rFonts w:ascii="Book Antiqua" w:eastAsia="Book Antiqua" w:hAnsi="Book Antiqua" w:cs="Book Antiqua"/>
          <w:color w:val="000000"/>
        </w:rPr>
        <w:t>ntibody detected” defined as a confirmed anti-HCV-positive test identified by HIV-treating physicians and documented in the medical records; (3) “HCV RNA tested” as the performance of a plasma HCV RNA test either after a positive anti-HCV test or when HCV viremia is detected during an acute infection with a negative anti-HCV test; (4) “HCV RNA positivity” as detectable plasma HCV RNA at the time of testing; (5) “</w:t>
      </w:r>
      <w:r w:rsidRPr="000C58DA">
        <w:rPr>
          <w:rFonts w:ascii="Book Antiqua" w:eastAsia="Book Antiqua" w:hAnsi="Book Antiqua" w:cs="Book Antiqua"/>
          <w:caps/>
          <w:color w:val="000000"/>
        </w:rPr>
        <w:t>r</w:t>
      </w:r>
      <w:r w:rsidRPr="000C58DA">
        <w:rPr>
          <w:rFonts w:ascii="Book Antiqua" w:eastAsia="Book Antiqua" w:hAnsi="Book Antiqua" w:cs="Book Antiqua"/>
          <w:color w:val="000000"/>
        </w:rPr>
        <w:t>eferred to treatment assessment” as successful referral of HCV-infected individuals to a hepatology clinic for evaluation of liver fibrosis or HCV treatment; or completion of pretreatment blood testing in infectious disease clinics as required by NHI regulation in 2019, including evaluation of liver fibrosis, renal function, HCV genotype, and plasma HCV RNA load</w:t>
      </w:r>
      <w:r w:rsidRPr="000C58DA">
        <w:rPr>
          <w:rFonts w:ascii="Book Antiqua" w:eastAsia="Book Antiqua" w:hAnsi="Book Antiqua" w:cs="Book Antiqua"/>
          <w:color w:val="000000"/>
          <w:vertAlign w:val="superscript"/>
        </w:rPr>
        <w:t>[16]</w:t>
      </w:r>
      <w:r w:rsidRPr="000C58DA">
        <w:rPr>
          <w:rFonts w:ascii="Book Antiqua" w:eastAsia="Book Antiqua" w:hAnsi="Book Antiqua" w:cs="Book Antiqua"/>
          <w:color w:val="000000"/>
        </w:rPr>
        <w:t>; (6) “</w:t>
      </w:r>
      <w:r w:rsidRPr="000C58DA">
        <w:rPr>
          <w:rFonts w:ascii="Book Antiqua" w:eastAsia="Book Antiqua" w:hAnsi="Book Antiqua" w:cs="Book Antiqua"/>
          <w:caps/>
          <w:color w:val="000000"/>
        </w:rPr>
        <w:t>t</w:t>
      </w:r>
      <w:r w:rsidRPr="000C58DA">
        <w:rPr>
          <w:rFonts w:ascii="Book Antiqua" w:eastAsia="Book Antiqua" w:hAnsi="Book Antiqua" w:cs="Book Antiqua"/>
          <w:color w:val="000000"/>
        </w:rPr>
        <w:t>reatment initiated” as patients who had been prescribed HCV treatment medications; and (7) “</w:t>
      </w:r>
      <w:r w:rsidRPr="000C58DA">
        <w:rPr>
          <w:rFonts w:ascii="Book Antiqua" w:eastAsia="Book Antiqua" w:hAnsi="Book Antiqua" w:cs="Book Antiqua"/>
          <w:caps/>
          <w:color w:val="000000"/>
        </w:rPr>
        <w:t>s</w:t>
      </w:r>
      <w:r w:rsidRPr="000C58DA">
        <w:rPr>
          <w:rFonts w:ascii="Book Antiqua" w:eastAsia="Book Antiqua" w:hAnsi="Book Antiqua" w:cs="Book Antiqua"/>
          <w:color w:val="000000"/>
        </w:rPr>
        <w:t xml:space="preserve">ustained virologic response (SVR) achieved” as the state of persistently undetectable HCV RNA until 24 </w:t>
      </w:r>
      <w:proofErr w:type="spellStart"/>
      <w:r w:rsidRPr="000C58DA">
        <w:rPr>
          <w:rFonts w:ascii="Book Antiqua" w:eastAsia="Book Antiqua" w:hAnsi="Book Antiqua" w:cs="Book Antiqua"/>
          <w:color w:val="000000"/>
        </w:rPr>
        <w:lastRenderedPageBreak/>
        <w:t>wk</w:t>
      </w:r>
      <w:proofErr w:type="spellEnd"/>
      <w:r w:rsidRPr="000C58DA">
        <w:rPr>
          <w:rFonts w:ascii="Book Antiqua" w:eastAsia="Book Antiqua" w:hAnsi="Book Antiqua" w:cs="Book Antiqua"/>
          <w:color w:val="000000"/>
        </w:rPr>
        <w:t xml:space="preserve"> after completion of IFN-based regimens and 12 </w:t>
      </w:r>
      <w:proofErr w:type="spellStart"/>
      <w:r w:rsidRPr="000C58DA">
        <w:rPr>
          <w:rFonts w:ascii="Book Antiqua" w:eastAsia="Book Antiqua" w:hAnsi="Book Antiqua" w:cs="Book Antiqua"/>
          <w:color w:val="000000"/>
        </w:rPr>
        <w:t>wk</w:t>
      </w:r>
      <w:proofErr w:type="spellEnd"/>
      <w:r w:rsidRPr="000C58DA">
        <w:rPr>
          <w:rFonts w:ascii="Book Antiqua" w:eastAsia="Book Antiqua" w:hAnsi="Book Antiqua" w:cs="Book Antiqua"/>
          <w:color w:val="000000"/>
        </w:rPr>
        <w:t xml:space="preserve"> after completion of DAA treatments.</w:t>
      </w:r>
    </w:p>
    <w:p w14:paraId="00CB01A0"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The duration</w:t>
      </w:r>
      <w:r w:rsidR="008E7AFF" w:rsidRPr="000C58DA">
        <w:rPr>
          <w:rFonts w:ascii="Book Antiqua" w:eastAsia="Book Antiqua" w:hAnsi="Book Antiqua" w:cs="Book Antiqua"/>
          <w:color w:val="000000"/>
        </w:rPr>
        <w:t>s</w:t>
      </w:r>
      <w:r w:rsidRPr="000C58DA">
        <w:rPr>
          <w:rFonts w:ascii="Book Antiqua" w:eastAsia="Book Antiqua" w:hAnsi="Book Antiqua" w:cs="Book Antiqua"/>
          <w:color w:val="000000"/>
        </w:rPr>
        <w:t xml:space="preserve"> between two consecutive steps of the care cascade were recorded. Those who had HCV seroconversion during the IFN era (2011–2016) and the DAA era (2017–2018) were analyzed separately for comparison of the proportion of patients attaining each step and the interval between two consecutive steps of the cascade. The total duration of HCV viremia was defined as the interval between the estimated date of HCV seroconversion to the end of HCV treatment in those with undetectable HCV RNA; those who did not achieve SVR were followed until the completion of retreatment with undetectable HCV RNA, the end of observation, or loss to follow-up, whichever occurred first.</w:t>
      </w:r>
    </w:p>
    <w:p w14:paraId="0709F4A7"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 xml:space="preserve">The number of STIs, including syphilis (defined as a four-fold increase of RPR titers, consistent clinical symptoms, or administration of syphilis treatment), and gonorrhea (defined as culture-confirmed </w:t>
      </w:r>
      <w:r w:rsidRPr="000C58DA">
        <w:rPr>
          <w:rFonts w:ascii="Book Antiqua" w:eastAsia="Book Antiqua" w:hAnsi="Book Antiqua" w:cs="Book Antiqua"/>
          <w:i/>
          <w:iCs/>
          <w:color w:val="000000"/>
        </w:rPr>
        <w:t>Neisseria gonorrhoeae</w:t>
      </w:r>
      <w:r w:rsidRPr="000C58DA">
        <w:rPr>
          <w:rFonts w:ascii="Book Antiqua" w:eastAsia="Book Antiqua" w:hAnsi="Book Antiqua" w:cs="Book Antiqua"/>
          <w:color w:val="000000"/>
        </w:rPr>
        <w:t xml:space="preserve"> infection or consistent clinical symptoms and administration of gonorrhea treatment), during the defined intervals of HCV viremia was calculated. We used occurrences of STIs as surrogate markers for unprotected sex contacts of the included PLWH during the HCV viremic period without effective treatment to indicate the risk for onward transmission of HCV.</w:t>
      </w:r>
    </w:p>
    <w:p w14:paraId="23FB4D83" w14:textId="77777777" w:rsidR="00A77B3E" w:rsidRPr="000C58DA" w:rsidRDefault="00A77B3E" w:rsidP="00206D9E">
      <w:pPr>
        <w:adjustRightInd w:val="0"/>
        <w:snapToGrid w:val="0"/>
        <w:spacing w:line="360" w:lineRule="auto"/>
        <w:ind w:firstLine="480"/>
        <w:jc w:val="both"/>
        <w:rPr>
          <w:rFonts w:ascii="Book Antiqua" w:hAnsi="Book Antiqua"/>
        </w:rPr>
      </w:pPr>
    </w:p>
    <w:p w14:paraId="7AD96B52"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i/>
          <w:iCs/>
          <w:color w:val="000000"/>
        </w:rPr>
        <w:t>Statistical analysis</w:t>
      </w:r>
    </w:p>
    <w:p w14:paraId="01F7315A"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 xml:space="preserve">The cascade of care after diagnosis of recently acquired HCV infection was examined by each step using descriptive analysis. Comparisons of categorical variables were performed by chi-square analysis and those of continuous variables by a Mann-Whitney </w:t>
      </w:r>
      <w:r w:rsidRPr="000C58DA">
        <w:rPr>
          <w:rFonts w:ascii="Book Antiqua" w:eastAsia="Book Antiqua" w:hAnsi="Book Antiqua" w:cs="Book Antiqua"/>
          <w:i/>
          <w:color w:val="000000"/>
        </w:rPr>
        <w:t>U</w:t>
      </w:r>
      <w:r w:rsidRPr="000C58DA">
        <w:rPr>
          <w:rFonts w:ascii="Book Antiqua" w:eastAsia="Book Antiqua" w:hAnsi="Book Antiqua" w:cs="Book Antiqua"/>
          <w:color w:val="000000"/>
        </w:rPr>
        <w:t xml:space="preserve"> Test. The incidence rate of STIs during HCV viremia was calculated as the number of STIs per 100 PYFU. All analyses were two</w:t>
      </w:r>
      <w:r w:rsidR="00652F11" w:rsidRPr="000C58DA">
        <w:rPr>
          <w:rFonts w:ascii="Book Antiqua" w:eastAsia="Book Antiqua" w:hAnsi="Book Antiqua" w:cs="Book Antiqua"/>
          <w:color w:val="000000"/>
        </w:rPr>
        <w:t>-</w:t>
      </w:r>
      <w:r w:rsidRPr="000C58DA">
        <w:rPr>
          <w:rFonts w:ascii="Book Antiqua" w:eastAsia="Book Antiqua" w:hAnsi="Book Antiqua" w:cs="Book Antiqua"/>
          <w:color w:val="000000"/>
        </w:rPr>
        <w:t xml:space="preserve">tailed, and a </w:t>
      </w:r>
      <w:r w:rsidRPr="000C58DA">
        <w:rPr>
          <w:rFonts w:ascii="Book Antiqua" w:eastAsia="Book Antiqua" w:hAnsi="Book Antiqua" w:cs="Book Antiqua"/>
          <w:i/>
          <w:iCs/>
          <w:color w:val="000000"/>
        </w:rPr>
        <w:t>P</w:t>
      </w:r>
      <w:r w:rsidRPr="000C58DA">
        <w:rPr>
          <w:rFonts w:ascii="Book Antiqua" w:eastAsia="Book Antiqua" w:hAnsi="Book Antiqua" w:cs="Book Antiqua"/>
          <w:color w:val="000000"/>
        </w:rPr>
        <w:t xml:space="preserve"> &lt; 0.05 was considered statistically significant. All statistical analyses were performed using Stata/SE, version 14.0. The statistical methods of this study were reviewed by the staff of National Taiwan University Hospital–Statistical Consulting Unit (NTUH-SCU).</w:t>
      </w:r>
    </w:p>
    <w:p w14:paraId="032CEBA4" w14:textId="77777777" w:rsidR="00A77B3E" w:rsidRPr="000C58DA" w:rsidRDefault="00A77B3E" w:rsidP="00206D9E">
      <w:pPr>
        <w:adjustRightInd w:val="0"/>
        <w:snapToGrid w:val="0"/>
        <w:spacing w:line="360" w:lineRule="auto"/>
        <w:jc w:val="both"/>
        <w:rPr>
          <w:rFonts w:ascii="Book Antiqua" w:hAnsi="Book Antiqua"/>
        </w:rPr>
      </w:pPr>
    </w:p>
    <w:p w14:paraId="6D58B0EB"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aps/>
          <w:color w:val="000000"/>
          <w:u w:val="single"/>
        </w:rPr>
        <w:lastRenderedPageBreak/>
        <w:t>RESULTS</w:t>
      </w:r>
    </w:p>
    <w:p w14:paraId="7E881D00"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Between January 2011 and December 2018, 3,495 PLWH had a negative anti-HCV antibody test at baseline (Figure 1) and HCV seroconversion was detected in 294 (8.4%) PLWH. After excluding 7 PLWH who were lost to follow-up when seroconversion occurred, a total of 287 PLWH were included in the analysis of the HCV care cascade.</w:t>
      </w:r>
    </w:p>
    <w:p w14:paraId="46CD8874"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 xml:space="preserve">The clinical characteristics of the included 287 PLWH with recently acquired HCV infection are shown in Table 1. All of them were male, with a mean age of 34.5 years </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standard deviation </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SD</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 7.6</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 The mean </w:t>
      </w:r>
      <w:r w:rsidR="008E7AFF" w:rsidRPr="000C58DA">
        <w:rPr>
          <w:rFonts w:ascii="Book Antiqua" w:eastAsia="Book Antiqua" w:hAnsi="Book Antiqua" w:cs="Book Antiqua"/>
          <w:color w:val="000000"/>
        </w:rPr>
        <w:t>PVL</w:t>
      </w:r>
      <w:r w:rsidRPr="000C58DA">
        <w:rPr>
          <w:rFonts w:ascii="Book Antiqua" w:eastAsia="Book Antiqua" w:hAnsi="Book Antiqua" w:cs="Book Antiqua"/>
          <w:color w:val="000000"/>
        </w:rPr>
        <w:t xml:space="preserve"> was 1.72 </w:t>
      </w:r>
      <w:r w:rsidR="008E7AFF" w:rsidRPr="000C58DA">
        <w:rPr>
          <w:rFonts w:ascii="Book Antiqua" w:eastAsia="Book Antiqua" w:hAnsi="Book Antiqua" w:cs="Book Antiqua"/>
          <w:color w:val="000000"/>
        </w:rPr>
        <w:t>l</w:t>
      </w:r>
      <w:r w:rsidRPr="000C58DA">
        <w:rPr>
          <w:rFonts w:ascii="Book Antiqua" w:eastAsia="Book Antiqua" w:hAnsi="Book Antiqua" w:cs="Book Antiqua"/>
          <w:color w:val="000000"/>
        </w:rPr>
        <w:t>og</w:t>
      </w:r>
      <w:r w:rsidRPr="000C58DA">
        <w:rPr>
          <w:rFonts w:ascii="Book Antiqua" w:eastAsia="Book Antiqua" w:hAnsi="Book Antiqua" w:cs="Book Antiqua"/>
          <w:color w:val="000000"/>
          <w:vertAlign w:val="subscript"/>
        </w:rPr>
        <w:t>10</w:t>
      </w:r>
      <w:r w:rsidRPr="000C58DA">
        <w:rPr>
          <w:rFonts w:ascii="Book Antiqua" w:eastAsia="Book Antiqua" w:hAnsi="Book Antiqua" w:cs="Book Antiqua"/>
          <w:color w:val="000000"/>
        </w:rPr>
        <w:t xml:space="preserve"> copies/mL (SD 1.09) and mean CD4 count was 597.7 cells/mm</w:t>
      </w:r>
      <w:r w:rsidRPr="000C58DA">
        <w:rPr>
          <w:rFonts w:ascii="Book Antiqua" w:eastAsia="Book Antiqua" w:hAnsi="Book Antiqua" w:cs="Book Antiqua"/>
          <w:color w:val="000000"/>
          <w:vertAlign w:val="superscript"/>
        </w:rPr>
        <w:t>3</w:t>
      </w:r>
      <w:r w:rsidRPr="000C58DA">
        <w:rPr>
          <w:rFonts w:ascii="Book Antiqua" w:eastAsia="Book Antiqua" w:hAnsi="Book Antiqua" w:cs="Book Antiqua"/>
          <w:color w:val="000000"/>
        </w:rPr>
        <w:t xml:space="preserve"> (SD 251.1) at the time of HCV seroconversion. The HBsAg seropositivity rate was 14.9% and active or previous syphilis was present in 89.2%. The risk groups of HIV acquisition included 265 (92.3%) MSM, 5 (1.8%) heterosexuals, 4 (1.4%) IDUs, and 13 (4.5%) unknown. The mean plasma HCV RNA load was 5.72 </w:t>
      </w:r>
      <w:r w:rsidR="008E7AFF" w:rsidRPr="000C58DA">
        <w:rPr>
          <w:rFonts w:ascii="Book Antiqua" w:eastAsia="Book Antiqua" w:hAnsi="Book Antiqua" w:cs="Book Antiqua"/>
          <w:color w:val="000000"/>
        </w:rPr>
        <w:t>l</w:t>
      </w:r>
      <w:r w:rsidRPr="000C58DA">
        <w:rPr>
          <w:rFonts w:ascii="Book Antiqua" w:eastAsia="Book Antiqua" w:hAnsi="Book Antiqua" w:cs="Book Antiqua"/>
          <w:color w:val="000000"/>
        </w:rPr>
        <w:t>og</w:t>
      </w:r>
      <w:r w:rsidRPr="000C58DA">
        <w:rPr>
          <w:rFonts w:ascii="Book Antiqua" w:eastAsia="Book Antiqua" w:hAnsi="Book Antiqua" w:cs="Book Antiqua"/>
          <w:color w:val="000000"/>
          <w:vertAlign w:val="subscript"/>
        </w:rPr>
        <w:t>10</w:t>
      </w:r>
      <w:r w:rsidRPr="000C58DA">
        <w:rPr>
          <w:rFonts w:ascii="Book Antiqua" w:eastAsia="Book Antiqua" w:hAnsi="Book Antiqua" w:cs="Book Antiqua"/>
          <w:color w:val="000000"/>
        </w:rPr>
        <w:t xml:space="preserve"> copies/mL (SD 1.50). Twenty-two (7.7%), 84 (29.3%), 119 (41.5%), 6 (2.1%), and 34 (11.8%) PLWH had infection with HCV genotypes 1a, 1b, 2a, 3, and 6, respectively, and 3 (1%) had mixed infections of genotypes 1b and 2.</w:t>
      </w:r>
    </w:p>
    <w:p w14:paraId="55F8A2EE" w14:textId="77777777" w:rsidR="00A77B3E" w:rsidRPr="000C58DA" w:rsidRDefault="009B7C34" w:rsidP="00206D9E">
      <w:pPr>
        <w:adjustRightInd w:val="0"/>
        <w:snapToGrid w:val="0"/>
        <w:spacing w:line="360" w:lineRule="auto"/>
        <w:ind w:firstLineChars="200" w:firstLine="480"/>
        <w:jc w:val="both"/>
        <w:rPr>
          <w:rFonts w:ascii="Book Antiqua" w:hAnsi="Book Antiqua"/>
        </w:rPr>
      </w:pPr>
      <w:r w:rsidRPr="000C58DA">
        <w:rPr>
          <w:rFonts w:ascii="Book Antiqua" w:eastAsia="Book Antiqua" w:hAnsi="Book Antiqua" w:cs="Book Antiqua"/>
          <w:color w:val="000000"/>
        </w:rPr>
        <w:t>Of the 287 PLWH, 277 (96.5%) were found to have HCV seroconversions by HIV-treating physicians, including 8 diagnosed at the stage of acute infection with positive HCV RNA and negative anti-HCV antibody. Plasma HCV RNA load was determined in 270 (94.1%) PLWH after seroconversion, with 19 (12.5%) clearing viremia spontaneously and 251 (87.5%) remaining viremic (Table 2). Overall, 226 (78.7%) PLWH were referred to hepatology clinics for treatment assessment, and anti-HCV treatments were initiated in 215 (74.9%) PLWH, of whom 202 (70.4%) achieved SVR (Table 2).</w:t>
      </w:r>
    </w:p>
    <w:p w14:paraId="3E8F67AB"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 xml:space="preserve">Compared with PLWH who had HCV seroconversion in the IFN era (2011–2016), those who seroconverted in the DAA era (2017–2018) had higher achievement rates of all sequential steps of the care cascade (Figure 2), though not reaching statistical significance. The rate of antibody diagnosis within one year of HCV seroconversion was significantly higher in the DAA era than that in the IFN era (88.2% </w:t>
      </w:r>
      <w:r w:rsidRPr="000C58DA">
        <w:rPr>
          <w:rFonts w:ascii="Book Antiqua" w:eastAsia="Book Antiqua" w:hAnsi="Book Antiqua" w:cs="Book Antiqua"/>
          <w:i/>
          <w:iCs/>
          <w:color w:val="000000"/>
        </w:rPr>
        <w:t>vs</w:t>
      </w:r>
      <w:r w:rsidRPr="000C58DA">
        <w:rPr>
          <w:rFonts w:ascii="Book Antiqua" w:eastAsia="Book Antiqua" w:hAnsi="Book Antiqua" w:cs="Book Antiqua"/>
          <w:color w:val="000000"/>
        </w:rPr>
        <w:t xml:space="preserve"> 69.5%; </w:t>
      </w:r>
      <w:r w:rsidRPr="000C58DA">
        <w:rPr>
          <w:rFonts w:ascii="Book Antiqua" w:eastAsia="Book Antiqua" w:hAnsi="Book Antiqua" w:cs="Book Antiqua"/>
          <w:i/>
          <w:iCs/>
          <w:color w:val="000000"/>
        </w:rPr>
        <w:t>P</w:t>
      </w:r>
      <w:r w:rsidRPr="000C58DA">
        <w:rPr>
          <w:rFonts w:ascii="Book Antiqua" w:eastAsia="Book Antiqua" w:hAnsi="Book Antiqua" w:cs="Book Antiqua"/>
          <w:color w:val="000000"/>
        </w:rPr>
        <w:t xml:space="preserve"> &lt; 0.001) (Figure 2). In the IFN era, the major gap of engagement in care was from HCV RNA </w:t>
      </w:r>
      <w:r w:rsidRPr="000C58DA">
        <w:rPr>
          <w:rFonts w:ascii="Book Antiqua" w:eastAsia="Book Antiqua" w:hAnsi="Book Antiqua" w:cs="Book Antiqua"/>
          <w:color w:val="000000"/>
        </w:rPr>
        <w:lastRenderedPageBreak/>
        <w:t>positivity to referral for assessment and treatment, which resulted in a loss of 11.8% of those found to be HCV viremic.</w:t>
      </w:r>
    </w:p>
    <w:p w14:paraId="1E88D17B" w14:textId="77777777" w:rsidR="00A77B3E" w:rsidRPr="000C58DA" w:rsidRDefault="009B7C34" w:rsidP="00206D9E">
      <w:pPr>
        <w:adjustRightInd w:val="0"/>
        <w:snapToGrid w:val="0"/>
        <w:spacing w:line="360" w:lineRule="auto"/>
        <w:ind w:firstLineChars="200" w:firstLine="480"/>
        <w:jc w:val="both"/>
        <w:rPr>
          <w:rFonts w:ascii="Book Antiqua" w:hAnsi="Book Antiqua"/>
        </w:rPr>
      </w:pPr>
      <w:r w:rsidRPr="000C58DA">
        <w:rPr>
          <w:rFonts w:ascii="Book Antiqua" w:eastAsia="Book Antiqua" w:hAnsi="Book Antiqua" w:cs="Book Antiqua"/>
          <w:color w:val="000000"/>
        </w:rPr>
        <w:t>The median interval from seroconversion to detection of HCV seropositivity by HIV-treating p</w:t>
      </w:r>
      <w:r w:rsidR="00CA0B23" w:rsidRPr="000C58DA">
        <w:rPr>
          <w:rFonts w:ascii="Book Antiqua" w:eastAsia="Book Antiqua" w:hAnsi="Book Antiqua" w:cs="Book Antiqua"/>
          <w:color w:val="000000"/>
        </w:rPr>
        <w:t>hysicians was 130 d</w:t>
      </w:r>
      <w:r w:rsidRPr="000C58DA">
        <w:rPr>
          <w:rFonts w:ascii="Book Antiqua" w:eastAsia="Book Antiqua" w:hAnsi="Book Antiqua" w:cs="Book Antiqua"/>
          <w:color w:val="000000"/>
        </w:rPr>
        <w:t xml:space="preserve"> </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interquartile range </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IQR</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 80-295</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 which was significantly shorter in the DAA era than in the IFN era </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92 d </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IQR, 57-173</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 </w:t>
      </w:r>
      <w:r w:rsidRPr="000C58DA">
        <w:rPr>
          <w:rFonts w:ascii="Book Antiqua" w:eastAsia="Book Antiqua" w:hAnsi="Book Antiqua" w:cs="Book Antiqua"/>
          <w:i/>
          <w:iCs/>
          <w:color w:val="000000"/>
        </w:rPr>
        <w:t>vs</w:t>
      </w:r>
      <w:r w:rsidRPr="000C58DA">
        <w:rPr>
          <w:rFonts w:ascii="Book Antiqua" w:eastAsia="Book Antiqua" w:hAnsi="Book Antiqua" w:cs="Book Antiqua"/>
          <w:color w:val="000000"/>
        </w:rPr>
        <w:t xml:space="preserve"> 179 d </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IQR 87-434</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 </w:t>
      </w:r>
      <w:r w:rsidRPr="000C58DA">
        <w:rPr>
          <w:rFonts w:ascii="Book Antiqua" w:eastAsia="Book Antiqua" w:hAnsi="Book Antiqua" w:cs="Book Antiqua"/>
          <w:i/>
          <w:iCs/>
          <w:color w:val="000000"/>
        </w:rPr>
        <w:t>P</w:t>
      </w:r>
      <w:r w:rsidRPr="000C58DA">
        <w:rPr>
          <w:rFonts w:ascii="Book Antiqua" w:eastAsia="Book Antiqua" w:hAnsi="Book Antiqua" w:cs="Book Antiqua"/>
          <w:color w:val="000000"/>
        </w:rPr>
        <w:t xml:space="preserve"> &lt; 0.001</w:t>
      </w:r>
      <w:r w:rsidR="00CA0B23"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 (Table 2, Figure 3). From detection of HCV seropositivity to HCV RNA testing, the interval was 21 d (IQR 6-39) and 12 d (IQR 6-68) in the IFN and DAA eras, respectively (</w:t>
      </w:r>
      <w:r w:rsidRPr="000C58DA">
        <w:rPr>
          <w:rFonts w:ascii="Book Antiqua" w:eastAsia="Book Antiqua" w:hAnsi="Book Antiqua" w:cs="Book Antiqua"/>
          <w:i/>
          <w:iCs/>
          <w:color w:val="000000"/>
        </w:rPr>
        <w:t>P</w:t>
      </w:r>
      <w:r w:rsidRPr="000C58DA">
        <w:rPr>
          <w:rFonts w:ascii="Book Antiqua" w:eastAsia="Book Antiqua" w:hAnsi="Book Antiqua" w:cs="Book Antiqua"/>
          <w:color w:val="000000"/>
        </w:rPr>
        <w:t xml:space="preserve"> = 0.19). The intervals from HCV RNA testing to treatment assessment and from assessment to treatment initiation were longer in the DAA era compared with those in the IFN era, 81 d (IQR 14-169) </w:t>
      </w:r>
      <w:r w:rsidRPr="000C58DA">
        <w:rPr>
          <w:rFonts w:ascii="Book Antiqua" w:eastAsia="Book Antiqua" w:hAnsi="Book Antiqua" w:cs="Book Antiqua"/>
          <w:i/>
          <w:iCs/>
          <w:color w:val="000000"/>
        </w:rPr>
        <w:t>vs</w:t>
      </w:r>
      <w:r w:rsidRPr="000C58DA">
        <w:rPr>
          <w:rFonts w:ascii="Book Antiqua" w:eastAsia="Book Antiqua" w:hAnsi="Book Antiqua" w:cs="Book Antiqua"/>
          <w:color w:val="000000"/>
        </w:rPr>
        <w:t xml:space="preserve"> 26 d (IQR 7-208), and 42 d (IQR 18-84) </w:t>
      </w:r>
      <w:r w:rsidRPr="000C58DA">
        <w:rPr>
          <w:rFonts w:ascii="Book Antiqua" w:eastAsia="Book Antiqua" w:hAnsi="Book Antiqua" w:cs="Book Antiqua"/>
          <w:i/>
          <w:iCs/>
          <w:color w:val="000000"/>
        </w:rPr>
        <w:t>vs</w:t>
      </w:r>
      <w:r w:rsidRPr="000C58DA">
        <w:rPr>
          <w:rFonts w:ascii="Book Antiqua" w:eastAsia="Book Antiqua" w:hAnsi="Book Antiqua" w:cs="Book Antiqua"/>
          <w:color w:val="000000"/>
        </w:rPr>
        <w:t xml:space="preserve"> 35 d (IQR 27-90), which were not statistically significantly different (</w:t>
      </w:r>
      <w:r w:rsidRPr="000C58DA">
        <w:rPr>
          <w:rFonts w:ascii="Book Antiqua" w:eastAsia="Book Antiqua" w:hAnsi="Book Antiqua" w:cs="Book Antiqua"/>
          <w:i/>
          <w:iCs/>
          <w:color w:val="000000"/>
        </w:rPr>
        <w:t>P</w:t>
      </w:r>
      <w:r w:rsidRPr="000C58DA">
        <w:rPr>
          <w:rFonts w:ascii="Book Antiqua" w:eastAsia="Book Antiqua" w:hAnsi="Book Antiqua" w:cs="Book Antiqua"/>
          <w:color w:val="000000"/>
        </w:rPr>
        <w:t xml:space="preserve"> = 0.25 and </w:t>
      </w:r>
      <w:r w:rsidRPr="000C58DA">
        <w:rPr>
          <w:rFonts w:ascii="Book Antiqua" w:eastAsia="Book Antiqua" w:hAnsi="Book Antiqua" w:cs="Book Antiqua"/>
          <w:i/>
          <w:iCs/>
          <w:color w:val="000000"/>
        </w:rPr>
        <w:t>P</w:t>
      </w:r>
      <w:r w:rsidRPr="000C58DA">
        <w:rPr>
          <w:rFonts w:ascii="Book Antiqua" w:eastAsia="Book Antiqua" w:hAnsi="Book Antiqua" w:cs="Book Antiqua"/>
          <w:color w:val="000000"/>
        </w:rPr>
        <w:t xml:space="preserve"> = 0.55, respectively). The duration of viremia was 735 d (IQR 391-1447) in the IFN era, which was significantly longer than that in the DAA era (380 d; IQR 274-554; </w:t>
      </w:r>
      <w:r w:rsidRPr="000C58DA">
        <w:rPr>
          <w:rFonts w:ascii="Book Antiqua" w:eastAsia="Book Antiqua" w:hAnsi="Book Antiqua" w:cs="Book Antiqua"/>
          <w:i/>
          <w:iCs/>
          <w:color w:val="000000"/>
        </w:rPr>
        <w:t>P</w:t>
      </w:r>
      <w:r w:rsidRPr="000C58DA">
        <w:rPr>
          <w:rFonts w:ascii="Book Antiqua" w:eastAsia="Book Antiqua" w:hAnsi="Book Antiqua" w:cs="Book Antiqua"/>
          <w:color w:val="000000"/>
        </w:rPr>
        <w:t xml:space="preserve"> &lt; 0.001).</w:t>
      </w:r>
    </w:p>
    <w:p w14:paraId="01D924AB"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 xml:space="preserve">Among the HCV </w:t>
      </w:r>
      <w:proofErr w:type="spellStart"/>
      <w:r w:rsidRPr="000C58DA">
        <w:rPr>
          <w:rFonts w:ascii="Book Antiqua" w:eastAsia="Book Antiqua" w:hAnsi="Book Antiqua" w:cs="Book Antiqua"/>
          <w:color w:val="000000"/>
        </w:rPr>
        <w:t>seroconverters</w:t>
      </w:r>
      <w:proofErr w:type="spellEnd"/>
      <w:r w:rsidRPr="000C58DA">
        <w:rPr>
          <w:rFonts w:ascii="Book Antiqua" w:eastAsia="Book Antiqua" w:hAnsi="Book Antiqua" w:cs="Book Antiqua"/>
          <w:color w:val="000000"/>
        </w:rPr>
        <w:t xml:space="preserve"> in the IFN era, a total of 165 episodes of STIs were observed in the entire HCV viremic duration of 428.2 PYFU, resulting in an incidence rate of 38.5 per 100 PYFU. In the DAA era, the HCV </w:t>
      </w:r>
      <w:proofErr w:type="spellStart"/>
      <w:r w:rsidRPr="000C58DA">
        <w:rPr>
          <w:rFonts w:ascii="Book Antiqua" w:eastAsia="Book Antiqua" w:hAnsi="Book Antiqua" w:cs="Book Antiqua"/>
          <w:color w:val="000000"/>
        </w:rPr>
        <w:t>seroconverters</w:t>
      </w:r>
      <w:proofErr w:type="spellEnd"/>
      <w:r w:rsidRPr="000C58DA">
        <w:rPr>
          <w:rFonts w:ascii="Book Antiqua" w:eastAsia="Book Antiqua" w:hAnsi="Book Antiqua" w:cs="Book Antiqua"/>
          <w:color w:val="000000"/>
        </w:rPr>
        <w:t xml:space="preserve"> acquired a total of 55 episodes of STIs during 108.8 PYFU of viremia, leading to an incidence rate of 50.5 per 100 PYFU. The incidence rate ratio (IRR) of STIs in the DAA era </w:t>
      </w:r>
      <w:r w:rsidRPr="000C58DA">
        <w:rPr>
          <w:rFonts w:ascii="Book Antiqua" w:eastAsia="Book Antiqua" w:hAnsi="Book Antiqua" w:cs="Book Antiqua"/>
          <w:i/>
          <w:iCs/>
          <w:color w:val="000000"/>
        </w:rPr>
        <w:t>vs</w:t>
      </w:r>
      <w:r w:rsidRPr="000C58DA">
        <w:rPr>
          <w:rFonts w:ascii="Book Antiqua" w:eastAsia="Book Antiqua" w:hAnsi="Book Antiqua" w:cs="Book Antiqua"/>
          <w:color w:val="000000"/>
        </w:rPr>
        <w:t xml:space="preserve"> the IFN era was 1.31 (95%CI 0.96-1.77).</w:t>
      </w:r>
    </w:p>
    <w:p w14:paraId="02606474"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 xml:space="preserve">Figure 4 demonstrates the breakdown of HCV treatment uptake by year. The annual number of PLWH with HCV viremia who received IFN-based therapy was unchanged from 2012 to 2016. With the introduction of DAAs in 2016, the number of PLWH receiving DAA treatment increased year by year, especially in 2019, when restrictions on DAA reimbursement were lifted and all HCV viremic patients could be treated with DAAs. </w:t>
      </w:r>
    </w:p>
    <w:p w14:paraId="46FA6FB0" w14:textId="77777777" w:rsidR="00A77B3E" w:rsidRPr="000C58DA" w:rsidRDefault="00A77B3E" w:rsidP="00206D9E">
      <w:pPr>
        <w:adjustRightInd w:val="0"/>
        <w:snapToGrid w:val="0"/>
        <w:spacing w:line="360" w:lineRule="auto"/>
        <w:ind w:firstLine="480"/>
        <w:jc w:val="both"/>
        <w:rPr>
          <w:rFonts w:ascii="Book Antiqua" w:hAnsi="Book Antiqua"/>
        </w:rPr>
      </w:pPr>
    </w:p>
    <w:p w14:paraId="109B9099"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aps/>
          <w:color w:val="000000"/>
          <w:u w:val="single"/>
        </w:rPr>
        <w:t>DISCUSSION</w:t>
      </w:r>
    </w:p>
    <w:p w14:paraId="3B06EB5D"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lastRenderedPageBreak/>
        <w:t xml:space="preserve">In this study, we observed high rates of linkage to HCV care and retention in the care system among PLWH at our institution, in both the IFN and DAA eras. The retention rates between each step of the care cascade after detection of incident HCV infection primarily exceeded 90% (Figure 2). A major barrier noted in the IFN era was referral to treatment assessment (88.2%) after detection of HCV viremia, while this gap seemed diminished in the DAA era. In addition, the duration of HCV viremia, from seroconversion to completion of HCV treatment, was markedly shortened in the DAA era compared to that in the IFN era (380 d </w:t>
      </w:r>
      <w:r w:rsidRPr="000C58DA">
        <w:rPr>
          <w:rFonts w:ascii="Book Antiqua" w:eastAsia="Book Antiqua" w:hAnsi="Book Antiqua" w:cs="Book Antiqua"/>
          <w:i/>
          <w:iCs/>
          <w:color w:val="000000"/>
        </w:rPr>
        <w:t>vs</w:t>
      </w:r>
      <w:r w:rsidRPr="000C58DA">
        <w:rPr>
          <w:rFonts w:ascii="Book Antiqua" w:eastAsia="Book Antiqua" w:hAnsi="Book Antiqua" w:cs="Book Antiqua"/>
          <w:color w:val="000000"/>
        </w:rPr>
        <w:t xml:space="preserve"> 735 d; </w:t>
      </w:r>
      <w:r w:rsidRPr="000C58DA">
        <w:rPr>
          <w:rFonts w:ascii="Book Antiqua" w:eastAsia="Book Antiqua" w:hAnsi="Book Antiqua" w:cs="Book Antiqua"/>
          <w:i/>
          <w:iCs/>
          <w:color w:val="000000"/>
        </w:rPr>
        <w:t>P</w:t>
      </w:r>
      <w:r w:rsidRPr="000C58DA">
        <w:rPr>
          <w:rFonts w:ascii="Book Antiqua" w:eastAsia="Book Antiqua" w:hAnsi="Book Antiqua" w:cs="Book Antiqua"/>
          <w:color w:val="000000"/>
        </w:rPr>
        <w:t xml:space="preserve"> &lt; 0.001). The improvement was mainly due to early diagnosis of recently acquired HCV infection by HIV-treating physicians because the diagnostic rate within one year after seroconversion increased from 69.5% (116/167) to 88.2% (97/110), and the median time from seroconversion to antibody diagnosis was shortened from 179 d to 92 d (</w:t>
      </w:r>
      <w:r w:rsidRPr="000C58DA">
        <w:rPr>
          <w:rFonts w:ascii="Book Antiqua" w:eastAsia="Book Antiqua" w:hAnsi="Book Antiqua" w:cs="Book Antiqua"/>
          <w:i/>
          <w:iCs/>
          <w:color w:val="000000"/>
        </w:rPr>
        <w:t>P</w:t>
      </w:r>
      <w:r w:rsidRPr="000C58DA">
        <w:rPr>
          <w:rFonts w:ascii="Book Antiqua" w:eastAsia="Book Antiqua" w:hAnsi="Book Antiqua" w:cs="Book Antiqua"/>
          <w:color w:val="000000"/>
        </w:rPr>
        <w:t xml:space="preserve"> &lt; 0.001).</w:t>
      </w:r>
    </w:p>
    <w:p w14:paraId="138027F4"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 xml:space="preserve">The occurrence of STIs during HCV viremia represented risky sexual behavior, potentially resulting in onward transmission of HCV to their contacts. The incidence rate of STIs observed in the DAA era was higher than that in the IFN era, though not reaching statistical significance (50.5 </w:t>
      </w:r>
      <w:r w:rsidRPr="000C58DA">
        <w:rPr>
          <w:rFonts w:ascii="Book Antiqua" w:eastAsia="Book Antiqua" w:hAnsi="Book Antiqua" w:cs="Book Antiqua"/>
          <w:i/>
          <w:iCs/>
          <w:color w:val="000000"/>
        </w:rPr>
        <w:t>vs</w:t>
      </w:r>
      <w:r w:rsidRPr="000C58DA">
        <w:rPr>
          <w:rFonts w:ascii="Book Antiqua" w:eastAsia="Book Antiqua" w:hAnsi="Book Antiqua" w:cs="Book Antiqua"/>
          <w:color w:val="000000"/>
        </w:rPr>
        <w:t xml:space="preserve"> 38.5 per 100 PYFU; IRR 1.31, 95%CI 0.96-1.77). In contrast, the total number of STI episodes was far fewer in the DAA era </w:t>
      </w:r>
      <w:r w:rsidRPr="000C58DA">
        <w:rPr>
          <w:rFonts w:ascii="Book Antiqua" w:eastAsia="Book Antiqua" w:hAnsi="Book Antiqua" w:cs="Book Antiqua"/>
          <w:i/>
          <w:iCs/>
          <w:color w:val="000000"/>
        </w:rPr>
        <w:t xml:space="preserve">vs </w:t>
      </w:r>
      <w:r w:rsidRPr="000C58DA">
        <w:rPr>
          <w:rFonts w:ascii="Book Antiqua" w:eastAsia="Book Antiqua" w:hAnsi="Book Antiqua" w:cs="Book Antiqua"/>
          <w:color w:val="000000"/>
        </w:rPr>
        <w:t xml:space="preserve">the IFN era (55 episodes among 111 patients </w:t>
      </w:r>
      <w:r w:rsidRPr="000C58DA">
        <w:rPr>
          <w:rFonts w:ascii="Book Antiqua" w:eastAsia="Book Antiqua" w:hAnsi="Book Antiqua" w:cs="Book Antiqua"/>
          <w:i/>
          <w:iCs/>
          <w:color w:val="000000"/>
        </w:rPr>
        <w:t>vs</w:t>
      </w:r>
      <w:r w:rsidRPr="000C58DA">
        <w:rPr>
          <w:rFonts w:ascii="Book Antiqua" w:eastAsia="Book Antiqua" w:hAnsi="Book Antiqua" w:cs="Book Antiqua"/>
          <w:color w:val="000000"/>
        </w:rPr>
        <w:t xml:space="preserve"> 165 episodes among 176 patients, respectively), likely due to a shorter duration of HCV viremia. The curtailing of HCV viremia with the initiation of effective DAAs may indicate reduced opportunities to transmit HCV during the viremic period.</w:t>
      </w:r>
    </w:p>
    <w:p w14:paraId="368974F6"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 xml:space="preserve">There are limited data to describe the care cascade after incident HCV infections were diagnosed both in the general population and in HCV-coinfected PLWH in the Asia-Pacific region. In our study, we tested archived blood samples to include all patients who had recent HCV infections in the previous year and estimated the time of seroconversion. In doing so, we could assess the rate of antibody diagnosis of HCV infection by treating physicians, the interval of delay in clinical diagnosis, and the duration of HCV viremia before effective anti-HCV treatments were initiated. Prior population-level studies of the care cascade either estimated the seroprevalence of </w:t>
      </w:r>
      <w:r w:rsidRPr="000C58DA">
        <w:rPr>
          <w:rFonts w:ascii="Book Antiqua" w:eastAsia="Book Antiqua" w:hAnsi="Book Antiqua" w:cs="Book Antiqua"/>
          <w:color w:val="000000"/>
        </w:rPr>
        <w:lastRenderedPageBreak/>
        <w:t>HCV</w:t>
      </w:r>
      <w:r w:rsidRPr="000C58DA">
        <w:rPr>
          <w:rFonts w:ascii="Book Antiqua" w:eastAsia="Book Antiqua" w:hAnsi="Book Antiqua" w:cs="Book Antiqua"/>
          <w:color w:val="000000"/>
          <w:vertAlign w:val="superscript"/>
        </w:rPr>
        <w:t>[24,25]</w:t>
      </w:r>
      <w:r w:rsidRPr="000C58DA">
        <w:rPr>
          <w:rFonts w:ascii="Book Antiqua" w:eastAsia="Book Antiqua" w:hAnsi="Book Antiqua" w:cs="Book Antiqua"/>
          <w:color w:val="000000"/>
        </w:rPr>
        <w:t xml:space="preserve"> or described the cascade since the diagnosis of anti-HCV positivity</w:t>
      </w:r>
      <w:r w:rsidRPr="000C58DA">
        <w:rPr>
          <w:rFonts w:ascii="Book Antiqua" w:eastAsia="Book Antiqua" w:hAnsi="Book Antiqua" w:cs="Book Antiqua"/>
          <w:color w:val="000000"/>
          <w:vertAlign w:val="superscript"/>
        </w:rPr>
        <w:t>[26]</w:t>
      </w:r>
      <w:r w:rsidRPr="000C58DA">
        <w:rPr>
          <w:rFonts w:ascii="Book Antiqua" w:eastAsia="Book Antiqua" w:hAnsi="Book Antiqua" w:cs="Book Antiqua"/>
          <w:color w:val="000000"/>
        </w:rPr>
        <w:t>. In single-center studies focusing on HCV-coinfected PLWH, the actual numbers of HCV infections were not shown in the care cascade</w:t>
      </w:r>
      <w:r w:rsidRPr="000C58DA">
        <w:rPr>
          <w:rFonts w:ascii="Book Antiqua" w:eastAsia="Book Antiqua" w:hAnsi="Book Antiqua" w:cs="Book Antiqua"/>
          <w:color w:val="000000"/>
          <w:vertAlign w:val="superscript"/>
        </w:rPr>
        <w:t>[27,28]</w:t>
      </w:r>
      <w:r w:rsidRPr="000C58DA">
        <w:rPr>
          <w:rFonts w:ascii="Book Antiqua" w:eastAsia="Book Antiqua" w:hAnsi="Book Antiqua" w:cs="Book Antiqua"/>
          <w:color w:val="000000"/>
        </w:rPr>
        <w:t>.</w:t>
      </w:r>
    </w:p>
    <w:p w14:paraId="5258D97B"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Previous population-based care cascade assessments for HCV infection in the IFN era revealed low rates of retention in care and treatment initiation, probably related to concerns about inconvenience, lower effectiveness, intolerability, and higher rates of adverse effects with IFN/RBV treatment. The antibody diagnostic rate was 50% to 75%; HCV RNA testing was performed in 30 to 50% of patients; less than 20% of patients received HCV treatment; and the final SVR rate was lower than 10%</w:t>
      </w:r>
      <w:r w:rsidRPr="000C58DA">
        <w:rPr>
          <w:rFonts w:ascii="Book Antiqua" w:eastAsia="Book Antiqua" w:hAnsi="Book Antiqua" w:cs="Book Antiqua"/>
          <w:color w:val="000000"/>
          <w:vertAlign w:val="superscript"/>
        </w:rPr>
        <w:t>[24,25]</w:t>
      </w:r>
      <w:r w:rsidRPr="000C58DA">
        <w:rPr>
          <w:rFonts w:ascii="Book Antiqua" w:eastAsia="Book Antiqua" w:hAnsi="Book Antiqua" w:cs="Book Antiqua"/>
          <w:color w:val="000000"/>
        </w:rPr>
        <w:t xml:space="preserve">. At our institution during the IFN era, the antibody diagnosis, HCV RNA testing, treatment initiation, and SVR rates were 94.9%, 92.0%, 74.4%, and 68.2%, respectively, much higher than those of previous population-level studies. We believe that regularly scheduled follow-up visits for fully-reimbursed HIV antiretroviral treatments in the majority of PLWH might have provided an opportunity to facilitate HCV testing and increase engagement of HCV </w:t>
      </w:r>
      <w:proofErr w:type="gramStart"/>
      <w:r w:rsidRPr="000C58DA">
        <w:rPr>
          <w:rFonts w:ascii="Book Antiqua" w:eastAsia="Book Antiqua" w:hAnsi="Book Antiqua" w:cs="Book Antiqua"/>
          <w:color w:val="000000"/>
        </w:rPr>
        <w:t>care</w:t>
      </w:r>
      <w:r w:rsidRPr="000C58DA">
        <w:rPr>
          <w:rFonts w:ascii="Book Antiqua" w:eastAsia="Book Antiqua" w:hAnsi="Book Antiqua" w:cs="Book Antiqua"/>
          <w:color w:val="000000"/>
          <w:vertAlign w:val="superscript"/>
        </w:rPr>
        <w:t>[</w:t>
      </w:r>
      <w:proofErr w:type="gramEnd"/>
      <w:r w:rsidRPr="000C58DA">
        <w:rPr>
          <w:rFonts w:ascii="Book Antiqua" w:eastAsia="Book Antiqua" w:hAnsi="Book Antiqua" w:cs="Book Antiqua"/>
          <w:color w:val="000000"/>
          <w:vertAlign w:val="superscript"/>
        </w:rPr>
        <w:t>29,30]</w:t>
      </w:r>
      <w:r w:rsidRPr="000C58DA">
        <w:rPr>
          <w:rFonts w:ascii="Book Antiqua" w:eastAsia="Book Antiqua" w:hAnsi="Book Antiqua" w:cs="Book Antiqua"/>
          <w:color w:val="000000"/>
        </w:rPr>
        <w:t>. However, mandatory referrals to a hepatologist for HCV pretreatment assessment and management may have raised the barrier to anti-HCV treatment initiation and achievement of viral clearance, as such a requirement negatively impacts convenience and costs, thereby potentially increasing the risk of dropout from HCV care. This barrier has diminished since 2019 when NHI approved HIV-treating physicians to participate in HCV assessment and treatment for PLWH at infectious disease clinics. The rate of treatment assessment after HCV RNA positivity increased from 88.2% (134/152) in the IFN era to 92.9% (92/99) in the DAA era.</w:t>
      </w:r>
    </w:p>
    <w:p w14:paraId="359C34E7"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The introduction of DAAs has been shown to improve engagement of HCV care and treatment uptake. The British Columbia Hepatitis Tester Cohort demonstrated improvement of the care cascade in the DAA era. Of the patients who tested anti-HCV-positive, 83% had HCV RNA testing done; and, of those who were HCV viremic and were genotyped, 61% received DAA therapy, with 90% achieving SVR</w:t>
      </w:r>
      <w:r w:rsidRPr="000C58DA">
        <w:rPr>
          <w:rFonts w:ascii="Book Antiqua" w:eastAsia="Book Antiqua" w:hAnsi="Book Antiqua" w:cs="Book Antiqua"/>
          <w:color w:val="000000"/>
          <w:vertAlign w:val="superscript"/>
        </w:rPr>
        <w:t>[31]</w:t>
      </w:r>
      <w:r w:rsidRPr="000C58DA">
        <w:rPr>
          <w:rFonts w:ascii="Book Antiqua" w:eastAsia="Book Antiqua" w:hAnsi="Book Antiqua" w:cs="Book Antiqua"/>
          <w:color w:val="000000"/>
        </w:rPr>
        <w:t>. In a report from seven HCV elimination studies among PLWH in the early DAA era, the average treatment uptake increased to 48% and treatment completion rates reached 96%</w:t>
      </w:r>
      <w:r w:rsidRPr="000C58DA">
        <w:rPr>
          <w:rFonts w:ascii="Book Antiqua" w:eastAsia="Book Antiqua" w:hAnsi="Book Antiqua" w:cs="Book Antiqua"/>
          <w:color w:val="000000"/>
          <w:vertAlign w:val="superscript"/>
        </w:rPr>
        <w:t>[32]</w:t>
      </w:r>
      <w:r w:rsidRPr="000C58DA">
        <w:rPr>
          <w:rFonts w:ascii="Book Antiqua" w:eastAsia="Book Antiqua" w:hAnsi="Book Antiqua" w:cs="Book Antiqua"/>
          <w:color w:val="000000"/>
        </w:rPr>
        <w:t xml:space="preserve">. Our </w:t>
      </w:r>
      <w:r w:rsidRPr="000C58DA">
        <w:rPr>
          <w:rFonts w:ascii="Book Antiqua" w:eastAsia="Book Antiqua" w:hAnsi="Book Antiqua" w:cs="Book Antiqua"/>
          <w:color w:val="000000"/>
        </w:rPr>
        <w:lastRenderedPageBreak/>
        <w:t>current study showed a significantly higher rate of linkage to care, with &gt;</w:t>
      </w:r>
      <w:r w:rsidR="002D367D" w:rsidRPr="000C58DA">
        <w:rPr>
          <w:rFonts w:ascii="Book Antiqua" w:hAnsi="Book Antiqua" w:cs="Book Antiqua"/>
          <w:color w:val="000000"/>
          <w:lang w:eastAsia="zh-CN"/>
        </w:rPr>
        <w:t xml:space="preserve"> </w:t>
      </w:r>
      <w:r w:rsidRPr="000C58DA">
        <w:rPr>
          <w:rFonts w:ascii="Book Antiqua" w:eastAsia="Book Antiqua" w:hAnsi="Book Antiqua" w:cs="Book Antiqua"/>
          <w:color w:val="000000"/>
        </w:rPr>
        <w:t>90% of PLWH consistently advancing from each cascade step to the next in the DAA era, which resulted in a total of 84.8% (84/99) viremic patients initiating anti-HCV treatments, and 97.6% (82/84) achieving SVR. In the Swiss HIV Cohort Study, the treatment incidence increased from 4.5 per 100 PYFU before the availability of DAAs, to 22.4 per 100 PYFU after the introduction of second-generation DAAs</w:t>
      </w:r>
      <w:r w:rsidRPr="000C58DA">
        <w:rPr>
          <w:rFonts w:ascii="Book Antiqua" w:eastAsia="Book Antiqua" w:hAnsi="Book Antiqua" w:cs="Book Antiqua"/>
          <w:color w:val="000000"/>
          <w:vertAlign w:val="superscript"/>
        </w:rPr>
        <w:t>[33]</w:t>
      </w:r>
      <w:r w:rsidRPr="000C58DA">
        <w:rPr>
          <w:rFonts w:ascii="Book Antiqua" w:eastAsia="Book Antiqua" w:hAnsi="Book Antiqua" w:cs="Book Antiqua"/>
          <w:color w:val="000000"/>
        </w:rPr>
        <w:t>. These findings were in line with observations from our study. While the annual number of IFN-based therapy remained unchanged from 2012 to 2016, the number of DAA treatment initiated progressively increased from 2016 to 2018, which further rocketed in 2019, when the restriction on DAA reimbursement was lifted (Figure 4). During the period between 2016 and 2018, when access to DAA through NHI reimbursement remained limited, generic DAAs could be purchased overseas by PLWH themselves; however, accessibility was limited by the cost incurred. During this period, we found that the median intervals from HCV RNA testing to referral to treatment assessment, and those from referral to treatment initiation were longer than those in the IFN era, though not reaching statistical significance (Table 2 and Figure 3).</w:t>
      </w:r>
    </w:p>
    <w:p w14:paraId="44A64700" w14:textId="77777777" w:rsidR="00A77B3E" w:rsidRPr="000C58DA" w:rsidRDefault="009B7C34" w:rsidP="00206D9E">
      <w:pPr>
        <w:adjustRightInd w:val="0"/>
        <w:snapToGrid w:val="0"/>
        <w:spacing w:line="360" w:lineRule="auto"/>
        <w:ind w:firstLine="480"/>
        <w:jc w:val="both"/>
        <w:rPr>
          <w:rFonts w:ascii="Book Antiqua" w:hAnsi="Book Antiqua"/>
        </w:rPr>
      </w:pPr>
      <w:r w:rsidRPr="000C58DA">
        <w:rPr>
          <w:rFonts w:ascii="Book Antiqua" w:eastAsia="Book Antiqua" w:hAnsi="Book Antiqua" w:cs="Book Antiqua"/>
          <w:color w:val="000000"/>
        </w:rPr>
        <w:t>There are several limitations in this study. First, the cascade of HCV care from this single-center study might not be generalizable to other institutions in Taiwan, given that discrepancies in the patients’ demographic and clinical characteristics and socio-economic status may exist. At our institution, PLWH with recent HCV infection were mainly MSM, accounting for more than 90% of the included patients, while the percentages of heterosexual and IDUs were both lower than 2%. Prior studies suggested from an assessment of the HCV care cascade in IDUs that active drug users had poorer treatment adherence, resulting in lower rates of viral clearance</w:t>
      </w:r>
      <w:r w:rsidRPr="000C58DA">
        <w:rPr>
          <w:rFonts w:ascii="Book Antiqua" w:eastAsia="Book Antiqua" w:hAnsi="Book Antiqua" w:cs="Book Antiqua"/>
          <w:color w:val="000000"/>
          <w:vertAlign w:val="superscript"/>
        </w:rPr>
        <w:t>[34-36]</w:t>
      </w:r>
      <w:r w:rsidRPr="000C58DA">
        <w:rPr>
          <w:rFonts w:ascii="Book Antiqua" w:eastAsia="Book Antiqua" w:hAnsi="Book Antiqua" w:cs="Book Antiqua"/>
          <w:color w:val="000000"/>
        </w:rPr>
        <w:t>. Second, our study did not investigate factors that may be associated with failure of engagement in the HCV care cascade. Third, HCV reinfection, which can occur in this high-risk group</w:t>
      </w:r>
      <w:r w:rsidRPr="000C58DA">
        <w:rPr>
          <w:rFonts w:ascii="Book Antiqua" w:eastAsia="Book Antiqua" w:hAnsi="Book Antiqua" w:cs="Book Antiqua"/>
          <w:color w:val="000000"/>
          <w:vertAlign w:val="superscript"/>
        </w:rPr>
        <w:t>[37-39]</w:t>
      </w:r>
      <w:r w:rsidRPr="000C58DA">
        <w:rPr>
          <w:rFonts w:ascii="Book Antiqua" w:eastAsia="Book Antiqua" w:hAnsi="Book Antiqua" w:cs="Book Antiqua"/>
          <w:color w:val="000000"/>
        </w:rPr>
        <w:t>, were not included in the analyses of the HCV care cascade.</w:t>
      </w:r>
    </w:p>
    <w:p w14:paraId="39FEB6F9" w14:textId="77777777" w:rsidR="00A77B3E" w:rsidRPr="000C58DA" w:rsidRDefault="00A77B3E" w:rsidP="00206D9E">
      <w:pPr>
        <w:adjustRightInd w:val="0"/>
        <w:snapToGrid w:val="0"/>
        <w:spacing w:line="360" w:lineRule="auto"/>
        <w:ind w:firstLine="480"/>
        <w:jc w:val="both"/>
        <w:rPr>
          <w:rFonts w:ascii="Book Antiqua" w:hAnsi="Book Antiqua"/>
        </w:rPr>
      </w:pPr>
    </w:p>
    <w:p w14:paraId="7BBE3E7A"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aps/>
          <w:color w:val="000000"/>
          <w:u w:val="single"/>
        </w:rPr>
        <w:t>CONCLUSION</w:t>
      </w:r>
    </w:p>
    <w:p w14:paraId="4C6FCE39"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lastRenderedPageBreak/>
        <w:t>In conclusion, we describe the HCV care cascade at a referral hospital in Taiwan from the IFN era to the DAA era. The rates of engagement in each step of the HCV care cascade were high in both eras and the barriers to referral and reimbursement diminished over time. However, given both the longer intervals of HCV viremia observed in the DAA era and a higher incidence of STIs potentially contributing to onward transmission of HCV, more efforts are needed to expedite the linkage of PLWH diagnosed with incident HCV infections to HCV treatment.</w:t>
      </w:r>
    </w:p>
    <w:p w14:paraId="78473CF1" w14:textId="77777777" w:rsidR="00A77B3E" w:rsidRPr="000C58DA" w:rsidRDefault="00A77B3E" w:rsidP="00206D9E">
      <w:pPr>
        <w:adjustRightInd w:val="0"/>
        <w:snapToGrid w:val="0"/>
        <w:spacing w:line="360" w:lineRule="auto"/>
        <w:jc w:val="both"/>
        <w:rPr>
          <w:rFonts w:ascii="Book Antiqua" w:hAnsi="Book Antiqua"/>
        </w:rPr>
      </w:pPr>
    </w:p>
    <w:p w14:paraId="5FF9DA64"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aps/>
          <w:color w:val="000000"/>
          <w:u w:val="single"/>
        </w:rPr>
        <w:t>ARTICLE HIGHLIGHTS</w:t>
      </w:r>
    </w:p>
    <w:p w14:paraId="0F3C1D73"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i/>
          <w:color w:val="000000"/>
        </w:rPr>
        <w:t>Research background</w:t>
      </w:r>
    </w:p>
    <w:p w14:paraId="10428691"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 xml:space="preserve">Recently acquired </w:t>
      </w:r>
      <w:r w:rsidR="00CA0B23" w:rsidRPr="000C58DA">
        <w:rPr>
          <w:rFonts w:ascii="Book Antiqua" w:eastAsia="Book Antiqua" w:hAnsi="Book Antiqua" w:cs="Book Antiqua"/>
          <w:color w:val="000000"/>
        </w:rPr>
        <w:t xml:space="preserve">hepatitis C virus </w:t>
      </w:r>
      <w:r w:rsidR="00CA0B23" w:rsidRPr="000C58DA">
        <w:rPr>
          <w:rFonts w:ascii="Book Antiqua" w:hAnsi="Book Antiqua" w:cs="Book Antiqua"/>
          <w:color w:val="000000"/>
          <w:lang w:eastAsia="zh-CN"/>
        </w:rPr>
        <w:t>(</w:t>
      </w:r>
      <w:r w:rsidR="00CA0B23" w:rsidRPr="000C58DA">
        <w:rPr>
          <w:rFonts w:ascii="Book Antiqua" w:eastAsia="Book Antiqua" w:hAnsi="Book Antiqua" w:cs="Book Antiqua"/>
          <w:color w:val="000000"/>
        </w:rPr>
        <w:t>HCV</w:t>
      </w:r>
      <w:r w:rsidR="00CA0B23" w:rsidRPr="000C58DA">
        <w:rPr>
          <w:rFonts w:ascii="Book Antiqua" w:hAnsi="Book Antiqua" w:cs="Book Antiqua"/>
          <w:color w:val="000000"/>
          <w:lang w:eastAsia="zh-CN"/>
        </w:rPr>
        <w:t>)</w:t>
      </w:r>
      <w:r w:rsidR="00CA0B23" w:rsidRPr="000C58DA">
        <w:rPr>
          <w:rFonts w:ascii="Book Antiqua" w:eastAsia="Book Antiqua" w:hAnsi="Book Antiqua" w:cs="Book Antiqua"/>
          <w:color w:val="000000"/>
        </w:rPr>
        <w:t xml:space="preserve"> </w:t>
      </w:r>
      <w:r w:rsidRPr="000C58DA">
        <w:rPr>
          <w:rFonts w:ascii="Book Antiqua" w:eastAsia="Book Antiqua" w:hAnsi="Book Antiqua" w:cs="Book Antiqua"/>
          <w:color w:val="000000"/>
        </w:rPr>
        <w:t xml:space="preserve">infections are increasingly reported in people living with </w:t>
      </w:r>
      <w:r w:rsidR="00CA0B23" w:rsidRPr="000C58DA">
        <w:rPr>
          <w:rFonts w:ascii="Book Antiqua" w:eastAsia="Book Antiqua" w:hAnsi="Book Antiqua" w:cs="Book Antiqua"/>
          <w:color w:val="000000"/>
        </w:rPr>
        <w:t xml:space="preserve">human immunodeficiency virus </w:t>
      </w:r>
      <w:r w:rsidR="00CA0B23" w:rsidRPr="000C58DA">
        <w:rPr>
          <w:rFonts w:ascii="Book Antiqua" w:hAnsi="Book Antiqua" w:cs="Book Antiqua"/>
          <w:color w:val="000000"/>
          <w:lang w:eastAsia="zh-CN"/>
        </w:rPr>
        <w:t>(</w:t>
      </w:r>
      <w:r w:rsidR="00CA0B23" w:rsidRPr="000C58DA">
        <w:rPr>
          <w:rFonts w:ascii="Book Antiqua" w:eastAsia="Book Antiqua" w:hAnsi="Book Antiqua" w:cs="Book Antiqua"/>
          <w:color w:val="000000"/>
        </w:rPr>
        <w:t>HIV</w:t>
      </w:r>
      <w:r w:rsidR="00CA0B23" w:rsidRPr="000C58DA">
        <w:rPr>
          <w:rFonts w:ascii="Book Antiqua" w:hAnsi="Book Antiqua" w:cs="Book Antiqua"/>
          <w:color w:val="000000"/>
          <w:lang w:eastAsia="zh-CN"/>
        </w:rPr>
        <w:t>)</w:t>
      </w:r>
      <w:r w:rsidR="00CA0B23" w:rsidRPr="000C58DA">
        <w:rPr>
          <w:rFonts w:ascii="Book Antiqua" w:eastAsia="Book Antiqua" w:hAnsi="Book Antiqua" w:cs="Book Antiqua"/>
          <w:color w:val="000000"/>
        </w:rPr>
        <w:t xml:space="preserve"> </w:t>
      </w:r>
      <w:r w:rsidRPr="000C58DA">
        <w:rPr>
          <w:rFonts w:ascii="Book Antiqua" w:eastAsia="Book Antiqua" w:hAnsi="Book Antiqua" w:cs="Book Antiqua"/>
          <w:color w:val="000000"/>
        </w:rPr>
        <w:t xml:space="preserve">(PLWH) who are men who have sex with men. With availability of highly effective direct-acting antivirals (DAAs) for the treatment of HCV, </w:t>
      </w:r>
      <w:proofErr w:type="spellStart"/>
      <w:r w:rsidRPr="000C58DA">
        <w:rPr>
          <w:rFonts w:ascii="Book Antiqua" w:eastAsia="Book Antiqua" w:hAnsi="Book Antiqua" w:cs="Book Antiqua"/>
          <w:color w:val="000000"/>
        </w:rPr>
        <w:t>microelimination</w:t>
      </w:r>
      <w:proofErr w:type="spellEnd"/>
      <w:r w:rsidRPr="000C58DA">
        <w:rPr>
          <w:rFonts w:ascii="Book Antiqua" w:eastAsia="Book Antiqua" w:hAnsi="Book Antiqua" w:cs="Book Antiqua"/>
          <w:color w:val="000000"/>
        </w:rPr>
        <w:t xml:space="preserve"> HCV is considered an achievable goal in this at-risk population.</w:t>
      </w:r>
    </w:p>
    <w:p w14:paraId="63312E95" w14:textId="77777777" w:rsidR="00A77B3E" w:rsidRPr="000C58DA" w:rsidRDefault="00A77B3E" w:rsidP="00206D9E">
      <w:pPr>
        <w:adjustRightInd w:val="0"/>
        <w:snapToGrid w:val="0"/>
        <w:spacing w:line="360" w:lineRule="auto"/>
        <w:jc w:val="both"/>
        <w:rPr>
          <w:rFonts w:ascii="Book Antiqua" w:hAnsi="Book Antiqua"/>
        </w:rPr>
      </w:pPr>
    </w:p>
    <w:p w14:paraId="70D4F606"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i/>
          <w:color w:val="000000"/>
        </w:rPr>
        <w:t>Research motivation</w:t>
      </w:r>
    </w:p>
    <w:p w14:paraId="34EF3399"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 xml:space="preserve">To achieve </w:t>
      </w:r>
      <w:proofErr w:type="spellStart"/>
      <w:r w:rsidRPr="000C58DA">
        <w:rPr>
          <w:rFonts w:ascii="Book Antiqua" w:eastAsia="Book Antiqua" w:hAnsi="Book Antiqua" w:cs="Book Antiqua"/>
          <w:color w:val="000000"/>
        </w:rPr>
        <w:t>microelimination</w:t>
      </w:r>
      <w:proofErr w:type="spellEnd"/>
      <w:r w:rsidRPr="000C58DA">
        <w:rPr>
          <w:rFonts w:ascii="Book Antiqua" w:eastAsia="Book Antiqua" w:hAnsi="Book Antiqua" w:cs="Book Antiqua"/>
          <w:color w:val="000000"/>
        </w:rPr>
        <w:t xml:space="preserve"> of HCV in PLWH, each step of the continuum of HCV care, from diagnosis, linkage to and engagement in care, initiation of anti-HCV treatment, treatment completion, to prevention against reinfection, is crucial. Examining the HCV care cascade can identify barriers to the completion of HCV treatment and facilitate achievement of HCV micro-elimination in PLWH.</w:t>
      </w:r>
    </w:p>
    <w:p w14:paraId="579B5251" w14:textId="77777777" w:rsidR="00A77B3E" w:rsidRPr="000C58DA" w:rsidRDefault="00A77B3E" w:rsidP="00206D9E">
      <w:pPr>
        <w:adjustRightInd w:val="0"/>
        <w:snapToGrid w:val="0"/>
        <w:spacing w:line="360" w:lineRule="auto"/>
        <w:jc w:val="both"/>
        <w:rPr>
          <w:rFonts w:ascii="Book Antiqua" w:hAnsi="Book Antiqua"/>
        </w:rPr>
      </w:pPr>
    </w:p>
    <w:p w14:paraId="7CB1D02E"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i/>
          <w:color w:val="000000"/>
        </w:rPr>
        <w:t>Research objectives</w:t>
      </w:r>
    </w:p>
    <w:p w14:paraId="4C8C5DFC"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 xml:space="preserve">The study aimed to evaluate the care cascade of PLWH with recently acquired HCV infections at a university hospital designated for HIV care in Taiwan. </w:t>
      </w:r>
    </w:p>
    <w:p w14:paraId="3FFE6E54" w14:textId="77777777" w:rsidR="00A77B3E" w:rsidRPr="000C58DA" w:rsidRDefault="00A77B3E" w:rsidP="00206D9E">
      <w:pPr>
        <w:adjustRightInd w:val="0"/>
        <w:snapToGrid w:val="0"/>
        <w:spacing w:line="360" w:lineRule="auto"/>
        <w:jc w:val="both"/>
        <w:rPr>
          <w:rFonts w:ascii="Book Antiqua" w:hAnsi="Book Antiqua"/>
        </w:rPr>
      </w:pPr>
    </w:p>
    <w:p w14:paraId="1EDB67EE"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i/>
          <w:color w:val="000000"/>
        </w:rPr>
        <w:t>Research methods</w:t>
      </w:r>
    </w:p>
    <w:p w14:paraId="622EE003" w14:textId="77777777" w:rsidR="00A77B3E" w:rsidRPr="000C58DA" w:rsidRDefault="00CA0B23" w:rsidP="00206D9E">
      <w:pPr>
        <w:adjustRightInd w:val="0"/>
        <w:snapToGrid w:val="0"/>
        <w:spacing w:line="360" w:lineRule="auto"/>
        <w:jc w:val="both"/>
        <w:rPr>
          <w:rFonts w:ascii="Book Antiqua" w:hAnsi="Book Antiqua"/>
        </w:rPr>
      </w:pPr>
      <w:r w:rsidRPr="000C58DA">
        <w:rPr>
          <w:rFonts w:ascii="Book Antiqua" w:hAnsi="Book Antiqua" w:cs="Book Antiqua"/>
          <w:color w:val="000000"/>
          <w:lang w:eastAsia="zh-CN"/>
        </w:rPr>
        <w:lastRenderedPageBreak/>
        <w:t>The authors</w:t>
      </w:r>
      <w:r w:rsidR="009B7C34" w:rsidRPr="000C58DA">
        <w:rPr>
          <w:rFonts w:ascii="Book Antiqua" w:eastAsia="Book Antiqua" w:hAnsi="Book Antiqua" w:cs="Book Antiqua"/>
          <w:color w:val="000000"/>
        </w:rPr>
        <w:t xml:space="preserve"> retrospectively reviewed the medical records of all PLWH testing negative for anti-HCV at baseline who developed anti-HCV seroconversion between 2011 to 2018 and were observed till the end of 2019. The number of people in each step of HCV care cascade was assessed and the duration between two sequential steps was estimated.</w:t>
      </w:r>
    </w:p>
    <w:p w14:paraId="3B54C907" w14:textId="77777777" w:rsidR="00A77B3E" w:rsidRPr="000C58DA" w:rsidRDefault="00A77B3E" w:rsidP="00206D9E">
      <w:pPr>
        <w:adjustRightInd w:val="0"/>
        <w:snapToGrid w:val="0"/>
        <w:spacing w:line="360" w:lineRule="auto"/>
        <w:jc w:val="both"/>
        <w:rPr>
          <w:rFonts w:ascii="Book Antiqua" w:hAnsi="Book Antiqua"/>
        </w:rPr>
      </w:pPr>
    </w:p>
    <w:p w14:paraId="3EB0E7A3"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i/>
          <w:color w:val="000000"/>
        </w:rPr>
        <w:t>Research results</w:t>
      </w:r>
    </w:p>
    <w:p w14:paraId="23B326BE"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A total of 287 PLWH recently acquired HCV infections during the study period. High rates of linkage to HCV care and retention in the care were observed in our cohort. Compared with the interferon (IFN, 2011-2016) era, the barrier of referral to anti-HCV treatment assessment was diminished and the total duration of HCV viremia marked decreased in the direct-acting antiviral (DAA, 2017-2018) era.</w:t>
      </w:r>
    </w:p>
    <w:p w14:paraId="2AE2084A" w14:textId="77777777" w:rsidR="00A77B3E" w:rsidRPr="000C58DA" w:rsidRDefault="00A77B3E" w:rsidP="00206D9E">
      <w:pPr>
        <w:adjustRightInd w:val="0"/>
        <w:snapToGrid w:val="0"/>
        <w:spacing w:line="360" w:lineRule="auto"/>
        <w:jc w:val="both"/>
        <w:rPr>
          <w:rFonts w:ascii="Book Antiqua" w:hAnsi="Book Antiqua"/>
        </w:rPr>
      </w:pPr>
    </w:p>
    <w:p w14:paraId="3C64BA60"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i/>
          <w:color w:val="000000"/>
        </w:rPr>
        <w:t>Research conclusions</w:t>
      </w:r>
    </w:p>
    <w:p w14:paraId="7F4ED741"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The achievement rates of engagement in each step of the HCV care cascade were high in both IFN and DAA eras and the barriers to referral and treatment initiation diminished over time.</w:t>
      </w:r>
    </w:p>
    <w:p w14:paraId="0EA4C56A" w14:textId="77777777" w:rsidR="00A77B3E" w:rsidRPr="000C58DA" w:rsidRDefault="00A77B3E" w:rsidP="00206D9E">
      <w:pPr>
        <w:adjustRightInd w:val="0"/>
        <w:snapToGrid w:val="0"/>
        <w:spacing w:line="360" w:lineRule="auto"/>
        <w:jc w:val="both"/>
        <w:rPr>
          <w:rFonts w:ascii="Book Antiqua" w:hAnsi="Book Antiqua"/>
        </w:rPr>
      </w:pPr>
    </w:p>
    <w:p w14:paraId="62361D17"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i/>
          <w:color w:val="000000"/>
        </w:rPr>
        <w:t>Research perspectives</w:t>
      </w:r>
    </w:p>
    <w:p w14:paraId="5106F44A"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 xml:space="preserve">The impact of scale-up of HCV testing and DAA treatment after lifting the restriction on DAA reimbursement on the trends of incident HCV infections in PLWH warrants more long-term observation. </w:t>
      </w:r>
    </w:p>
    <w:p w14:paraId="12D69B2B" w14:textId="77777777" w:rsidR="00A77B3E" w:rsidRPr="000C58DA" w:rsidRDefault="00A77B3E" w:rsidP="00206D9E">
      <w:pPr>
        <w:adjustRightInd w:val="0"/>
        <w:snapToGrid w:val="0"/>
        <w:spacing w:line="360" w:lineRule="auto"/>
        <w:jc w:val="both"/>
        <w:rPr>
          <w:rFonts w:ascii="Book Antiqua" w:hAnsi="Book Antiqua"/>
        </w:rPr>
      </w:pPr>
    </w:p>
    <w:p w14:paraId="4E0B83C2"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aps/>
          <w:color w:val="000000"/>
          <w:u w:val="single"/>
        </w:rPr>
        <w:t>ACKNOWLEDGEMENTS</w:t>
      </w:r>
    </w:p>
    <w:p w14:paraId="2ACA79BA"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The authors would like to express their gratitude to the staff of National Taiwan University Hospital-Statistical Consulting Unit (NTUH-SCU) for statistical consultation and analyses.</w:t>
      </w:r>
    </w:p>
    <w:p w14:paraId="34AC9CA7" w14:textId="77777777" w:rsidR="00A77B3E" w:rsidRPr="000C58DA" w:rsidRDefault="00A77B3E" w:rsidP="00206D9E">
      <w:pPr>
        <w:adjustRightInd w:val="0"/>
        <w:snapToGrid w:val="0"/>
        <w:spacing w:line="360" w:lineRule="auto"/>
        <w:jc w:val="both"/>
        <w:rPr>
          <w:rFonts w:ascii="Book Antiqua" w:hAnsi="Book Antiqua"/>
        </w:rPr>
      </w:pPr>
    </w:p>
    <w:p w14:paraId="5D028277" w14:textId="77777777" w:rsidR="00A77B3E" w:rsidRPr="000C58DA" w:rsidRDefault="009B7C34" w:rsidP="00206D9E">
      <w:pPr>
        <w:adjustRightInd w:val="0"/>
        <w:snapToGrid w:val="0"/>
        <w:spacing w:line="360" w:lineRule="auto"/>
        <w:jc w:val="both"/>
        <w:rPr>
          <w:rFonts w:ascii="Book Antiqua" w:hAnsi="Book Antiqua" w:cs="Book Antiqua"/>
          <w:b/>
          <w:color w:val="000000"/>
          <w:lang w:eastAsia="zh-CN"/>
        </w:rPr>
      </w:pPr>
      <w:r w:rsidRPr="000C58DA">
        <w:rPr>
          <w:rFonts w:ascii="Book Antiqua" w:eastAsia="Book Antiqua" w:hAnsi="Book Antiqua" w:cs="Book Antiqua"/>
          <w:b/>
          <w:color w:val="000000"/>
        </w:rPr>
        <w:t>REFERENCES</w:t>
      </w:r>
    </w:p>
    <w:p w14:paraId="4453FA3A" w14:textId="77777777" w:rsidR="00CA0B23" w:rsidRPr="000C58DA" w:rsidRDefault="00CA0B23" w:rsidP="00206D9E">
      <w:pPr>
        <w:adjustRightInd w:val="0"/>
        <w:snapToGrid w:val="0"/>
        <w:spacing w:line="360" w:lineRule="auto"/>
        <w:jc w:val="both"/>
        <w:rPr>
          <w:rFonts w:ascii="Book Antiqua" w:hAnsi="Book Antiqua"/>
        </w:rPr>
      </w:pPr>
      <w:bookmarkStart w:id="10" w:name="OLE_LINK20"/>
      <w:r w:rsidRPr="000C58DA">
        <w:rPr>
          <w:rFonts w:ascii="Book Antiqua" w:hAnsi="Book Antiqua"/>
        </w:rPr>
        <w:lastRenderedPageBreak/>
        <w:t xml:space="preserve">1 </w:t>
      </w:r>
      <w:r w:rsidRPr="000C58DA">
        <w:rPr>
          <w:rFonts w:ascii="Book Antiqua" w:hAnsi="Book Antiqua"/>
          <w:b/>
          <w:bCs/>
        </w:rPr>
        <w:t>Thomas DL</w:t>
      </w:r>
      <w:r w:rsidRPr="000C58DA">
        <w:rPr>
          <w:rFonts w:ascii="Book Antiqua" w:hAnsi="Book Antiqua"/>
        </w:rPr>
        <w:t xml:space="preserve">. Global Elimination of Chronic Hepatitis. </w:t>
      </w:r>
      <w:r w:rsidRPr="000C58DA">
        <w:rPr>
          <w:rFonts w:ascii="Book Antiqua" w:hAnsi="Book Antiqua"/>
          <w:i/>
          <w:iCs/>
        </w:rPr>
        <w:t xml:space="preserve">N </w:t>
      </w:r>
      <w:proofErr w:type="spellStart"/>
      <w:r w:rsidRPr="000C58DA">
        <w:rPr>
          <w:rFonts w:ascii="Book Antiqua" w:hAnsi="Book Antiqua"/>
          <w:i/>
          <w:iCs/>
        </w:rPr>
        <w:t>Engl</w:t>
      </w:r>
      <w:proofErr w:type="spellEnd"/>
      <w:r w:rsidRPr="000C58DA">
        <w:rPr>
          <w:rFonts w:ascii="Book Antiqua" w:hAnsi="Book Antiqua"/>
          <w:i/>
          <w:iCs/>
        </w:rPr>
        <w:t xml:space="preserve"> J Med</w:t>
      </w:r>
      <w:r w:rsidRPr="000C58DA">
        <w:rPr>
          <w:rFonts w:ascii="Book Antiqua" w:hAnsi="Book Antiqua"/>
        </w:rPr>
        <w:t xml:space="preserve"> 2019; </w:t>
      </w:r>
      <w:r w:rsidRPr="000C58DA">
        <w:rPr>
          <w:rFonts w:ascii="Book Antiqua" w:hAnsi="Book Antiqua"/>
          <w:b/>
          <w:bCs/>
        </w:rPr>
        <w:t>380</w:t>
      </w:r>
      <w:r w:rsidRPr="000C58DA">
        <w:rPr>
          <w:rFonts w:ascii="Book Antiqua" w:hAnsi="Book Antiqua"/>
        </w:rPr>
        <w:t>: 2041-2050 [PMID: 31116920 DOI: 10.1056/NEJMra1810477]</w:t>
      </w:r>
    </w:p>
    <w:p w14:paraId="64B36B98"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2 </w:t>
      </w:r>
      <w:r w:rsidRPr="000C58DA">
        <w:rPr>
          <w:rFonts w:ascii="Book Antiqua" w:hAnsi="Book Antiqua"/>
          <w:b/>
          <w:bCs/>
        </w:rPr>
        <w:t>Platt L</w:t>
      </w:r>
      <w:r w:rsidRPr="000C58DA">
        <w:rPr>
          <w:rFonts w:ascii="Book Antiqua" w:hAnsi="Book Antiqua"/>
        </w:rPr>
        <w:t xml:space="preserve">, Easterbrook P, Gower E, McDonald B, Sabin K, McGowan C, </w:t>
      </w:r>
      <w:proofErr w:type="spellStart"/>
      <w:r w:rsidRPr="000C58DA">
        <w:rPr>
          <w:rFonts w:ascii="Book Antiqua" w:hAnsi="Book Antiqua"/>
        </w:rPr>
        <w:t>Yanny</w:t>
      </w:r>
      <w:proofErr w:type="spellEnd"/>
      <w:r w:rsidRPr="000C58DA">
        <w:rPr>
          <w:rFonts w:ascii="Book Antiqua" w:hAnsi="Book Antiqua"/>
        </w:rPr>
        <w:t xml:space="preserve"> I, </w:t>
      </w:r>
      <w:proofErr w:type="spellStart"/>
      <w:r w:rsidRPr="000C58DA">
        <w:rPr>
          <w:rFonts w:ascii="Book Antiqua" w:hAnsi="Book Antiqua"/>
        </w:rPr>
        <w:t>Razavi</w:t>
      </w:r>
      <w:proofErr w:type="spellEnd"/>
      <w:r w:rsidRPr="000C58DA">
        <w:rPr>
          <w:rFonts w:ascii="Book Antiqua" w:hAnsi="Book Antiqua"/>
        </w:rPr>
        <w:t xml:space="preserve"> H, Vickerman P. Prevalence and burden of HCV co-infection in people living with HIV: a global systematic review and meta-analysis. </w:t>
      </w:r>
      <w:r w:rsidRPr="000C58DA">
        <w:rPr>
          <w:rFonts w:ascii="Book Antiqua" w:hAnsi="Book Antiqua"/>
          <w:i/>
          <w:iCs/>
        </w:rPr>
        <w:t>Lancet Infect Dis</w:t>
      </w:r>
      <w:r w:rsidRPr="000C58DA">
        <w:rPr>
          <w:rFonts w:ascii="Book Antiqua" w:hAnsi="Book Antiqua"/>
        </w:rPr>
        <w:t xml:space="preserve"> 2016; </w:t>
      </w:r>
      <w:r w:rsidRPr="000C58DA">
        <w:rPr>
          <w:rFonts w:ascii="Book Antiqua" w:hAnsi="Book Antiqua"/>
          <w:b/>
          <w:bCs/>
        </w:rPr>
        <w:t>16</w:t>
      </w:r>
      <w:r w:rsidRPr="000C58DA">
        <w:rPr>
          <w:rFonts w:ascii="Book Antiqua" w:hAnsi="Book Antiqua"/>
        </w:rPr>
        <w:t>: 797-808 [PMID: 26922272 DOI: 10.1016/S1473-3099(15)00485-5]</w:t>
      </w:r>
    </w:p>
    <w:p w14:paraId="52338EF8"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3 </w:t>
      </w:r>
      <w:r w:rsidRPr="000C58DA">
        <w:rPr>
          <w:rFonts w:ascii="Book Antiqua" w:hAnsi="Book Antiqua"/>
          <w:b/>
          <w:bCs/>
        </w:rPr>
        <w:t>Cooke GS</w:t>
      </w:r>
      <w:r w:rsidRPr="000C58DA">
        <w:rPr>
          <w:rFonts w:ascii="Book Antiqua" w:hAnsi="Book Antiqua"/>
        </w:rPr>
        <w:t xml:space="preserve">, </w:t>
      </w:r>
      <w:proofErr w:type="spellStart"/>
      <w:r w:rsidRPr="000C58DA">
        <w:rPr>
          <w:rFonts w:ascii="Book Antiqua" w:hAnsi="Book Antiqua"/>
        </w:rPr>
        <w:t>Andrieux</w:t>
      </w:r>
      <w:proofErr w:type="spellEnd"/>
      <w:r w:rsidRPr="000C58DA">
        <w:rPr>
          <w:rFonts w:ascii="Book Antiqua" w:hAnsi="Book Antiqua"/>
        </w:rPr>
        <w:t xml:space="preserve">-Meyer I, Applegate TL, </w:t>
      </w:r>
      <w:proofErr w:type="spellStart"/>
      <w:r w:rsidRPr="000C58DA">
        <w:rPr>
          <w:rFonts w:ascii="Book Antiqua" w:hAnsi="Book Antiqua"/>
        </w:rPr>
        <w:t>Atun</w:t>
      </w:r>
      <w:proofErr w:type="spellEnd"/>
      <w:r w:rsidRPr="000C58DA">
        <w:rPr>
          <w:rFonts w:ascii="Book Antiqua" w:hAnsi="Book Antiqua"/>
        </w:rPr>
        <w:t xml:space="preserve"> R, Burry JR, </w:t>
      </w:r>
      <w:proofErr w:type="spellStart"/>
      <w:r w:rsidRPr="000C58DA">
        <w:rPr>
          <w:rFonts w:ascii="Book Antiqua" w:hAnsi="Book Antiqua"/>
        </w:rPr>
        <w:t>Cheinquer</w:t>
      </w:r>
      <w:proofErr w:type="spellEnd"/>
      <w:r w:rsidRPr="000C58DA">
        <w:rPr>
          <w:rFonts w:ascii="Book Antiqua" w:hAnsi="Book Antiqua"/>
        </w:rPr>
        <w:t xml:space="preserve"> H, </w:t>
      </w:r>
      <w:proofErr w:type="spellStart"/>
      <w:r w:rsidRPr="000C58DA">
        <w:rPr>
          <w:rFonts w:ascii="Book Antiqua" w:hAnsi="Book Antiqua"/>
        </w:rPr>
        <w:t>Dusheiko</w:t>
      </w:r>
      <w:proofErr w:type="spellEnd"/>
      <w:r w:rsidRPr="000C58DA">
        <w:rPr>
          <w:rFonts w:ascii="Book Antiqua" w:hAnsi="Book Antiqua"/>
        </w:rPr>
        <w:t xml:space="preserve"> G, Feld JJ, Gore C, Griswold MG, Hamid S, </w:t>
      </w:r>
      <w:proofErr w:type="spellStart"/>
      <w:r w:rsidRPr="000C58DA">
        <w:rPr>
          <w:rFonts w:ascii="Book Antiqua" w:hAnsi="Book Antiqua"/>
        </w:rPr>
        <w:t>Hellard</w:t>
      </w:r>
      <w:proofErr w:type="spellEnd"/>
      <w:r w:rsidRPr="000C58DA">
        <w:rPr>
          <w:rFonts w:ascii="Book Antiqua" w:hAnsi="Book Antiqua"/>
        </w:rPr>
        <w:t xml:space="preserve"> ME, </w:t>
      </w:r>
      <w:proofErr w:type="spellStart"/>
      <w:r w:rsidRPr="000C58DA">
        <w:rPr>
          <w:rFonts w:ascii="Book Antiqua" w:hAnsi="Book Antiqua"/>
        </w:rPr>
        <w:t>Hou</w:t>
      </w:r>
      <w:proofErr w:type="spellEnd"/>
      <w:r w:rsidRPr="000C58DA">
        <w:rPr>
          <w:rFonts w:ascii="Book Antiqua" w:hAnsi="Book Antiqua"/>
        </w:rPr>
        <w:t xml:space="preserve"> J, Howell J, Jia J, Kravchenko N, Lazarus JV, </w:t>
      </w:r>
      <w:proofErr w:type="spellStart"/>
      <w:r w:rsidRPr="000C58DA">
        <w:rPr>
          <w:rFonts w:ascii="Book Antiqua" w:hAnsi="Book Antiqua"/>
        </w:rPr>
        <w:t>Lemoine</w:t>
      </w:r>
      <w:proofErr w:type="spellEnd"/>
      <w:r w:rsidRPr="000C58DA">
        <w:rPr>
          <w:rFonts w:ascii="Book Antiqua" w:hAnsi="Book Antiqua"/>
        </w:rPr>
        <w:t xml:space="preserve"> M, </w:t>
      </w:r>
      <w:proofErr w:type="spellStart"/>
      <w:r w:rsidRPr="000C58DA">
        <w:rPr>
          <w:rFonts w:ascii="Book Antiqua" w:hAnsi="Book Antiqua"/>
        </w:rPr>
        <w:t>Lesi</w:t>
      </w:r>
      <w:proofErr w:type="spellEnd"/>
      <w:r w:rsidRPr="000C58DA">
        <w:rPr>
          <w:rFonts w:ascii="Book Antiqua" w:hAnsi="Book Antiqua"/>
        </w:rPr>
        <w:t xml:space="preserve"> OA, </w:t>
      </w:r>
      <w:proofErr w:type="spellStart"/>
      <w:r w:rsidRPr="000C58DA">
        <w:rPr>
          <w:rFonts w:ascii="Book Antiqua" w:hAnsi="Book Antiqua"/>
        </w:rPr>
        <w:t>Maistat</w:t>
      </w:r>
      <w:proofErr w:type="spellEnd"/>
      <w:r w:rsidRPr="000C58DA">
        <w:rPr>
          <w:rFonts w:ascii="Book Antiqua" w:hAnsi="Book Antiqua"/>
        </w:rPr>
        <w:t xml:space="preserve"> L, McMahon BJ, </w:t>
      </w:r>
      <w:proofErr w:type="spellStart"/>
      <w:r w:rsidRPr="000C58DA">
        <w:rPr>
          <w:rFonts w:ascii="Book Antiqua" w:hAnsi="Book Antiqua"/>
        </w:rPr>
        <w:t>Razavi</w:t>
      </w:r>
      <w:proofErr w:type="spellEnd"/>
      <w:r w:rsidRPr="000C58DA">
        <w:rPr>
          <w:rFonts w:ascii="Book Antiqua" w:hAnsi="Book Antiqua"/>
        </w:rPr>
        <w:t xml:space="preserve"> H, Roberts T, Simmons B, </w:t>
      </w:r>
      <w:proofErr w:type="spellStart"/>
      <w:r w:rsidRPr="000C58DA">
        <w:rPr>
          <w:rFonts w:ascii="Book Antiqua" w:hAnsi="Book Antiqua"/>
        </w:rPr>
        <w:t>Sonderup</w:t>
      </w:r>
      <w:proofErr w:type="spellEnd"/>
      <w:r w:rsidRPr="000C58DA">
        <w:rPr>
          <w:rFonts w:ascii="Book Antiqua" w:hAnsi="Book Antiqua"/>
        </w:rPr>
        <w:t xml:space="preserve"> MW, Spearman CW, Taylor BE, Thomas DL, Waked I, Ward JW, </w:t>
      </w:r>
      <w:proofErr w:type="spellStart"/>
      <w:r w:rsidRPr="000C58DA">
        <w:rPr>
          <w:rFonts w:ascii="Book Antiqua" w:hAnsi="Book Antiqua"/>
        </w:rPr>
        <w:t>Wiktor</w:t>
      </w:r>
      <w:proofErr w:type="spellEnd"/>
      <w:r w:rsidRPr="000C58DA">
        <w:rPr>
          <w:rFonts w:ascii="Book Antiqua" w:hAnsi="Book Antiqua"/>
        </w:rPr>
        <w:t xml:space="preserve"> SZ; Lancet Gastroenterology &amp; Hepatology Commissioners. Accelerating the elimination of viral hepatitis: a Lancet Gastroenterology &amp; Hepatology Commission. </w:t>
      </w:r>
      <w:r w:rsidRPr="000C58DA">
        <w:rPr>
          <w:rFonts w:ascii="Book Antiqua" w:hAnsi="Book Antiqua"/>
          <w:i/>
          <w:iCs/>
        </w:rPr>
        <w:t>Lancet Gastroenterol Hepatol</w:t>
      </w:r>
      <w:r w:rsidRPr="000C58DA">
        <w:rPr>
          <w:rFonts w:ascii="Book Antiqua" w:hAnsi="Book Antiqua"/>
        </w:rPr>
        <w:t xml:space="preserve"> 2019; </w:t>
      </w:r>
      <w:r w:rsidRPr="000C58DA">
        <w:rPr>
          <w:rFonts w:ascii="Book Antiqua" w:hAnsi="Book Antiqua"/>
          <w:b/>
          <w:bCs/>
        </w:rPr>
        <w:t>4</w:t>
      </w:r>
      <w:r w:rsidRPr="000C58DA">
        <w:rPr>
          <w:rFonts w:ascii="Book Antiqua" w:hAnsi="Book Antiqua"/>
        </w:rPr>
        <w:t>: 135-184 [PMID: 30647010 DOI: 10.1016/S2468-1253(18)30270-X]</w:t>
      </w:r>
    </w:p>
    <w:p w14:paraId="1F009763"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4 </w:t>
      </w:r>
      <w:proofErr w:type="spellStart"/>
      <w:r w:rsidRPr="000C58DA">
        <w:rPr>
          <w:rFonts w:ascii="Book Antiqua" w:hAnsi="Book Antiqua"/>
          <w:b/>
          <w:bCs/>
        </w:rPr>
        <w:t>Trickey</w:t>
      </w:r>
      <w:proofErr w:type="spellEnd"/>
      <w:r w:rsidRPr="000C58DA">
        <w:rPr>
          <w:rFonts w:ascii="Book Antiqua" w:hAnsi="Book Antiqua"/>
          <w:b/>
          <w:bCs/>
        </w:rPr>
        <w:t xml:space="preserve"> A</w:t>
      </w:r>
      <w:r w:rsidRPr="000C58DA">
        <w:rPr>
          <w:rFonts w:ascii="Book Antiqua" w:hAnsi="Book Antiqua"/>
        </w:rPr>
        <w:t xml:space="preserve">, Fraser H, Lim AG, Peacock A, </w:t>
      </w:r>
      <w:proofErr w:type="spellStart"/>
      <w:r w:rsidRPr="000C58DA">
        <w:rPr>
          <w:rFonts w:ascii="Book Antiqua" w:hAnsi="Book Antiqua"/>
        </w:rPr>
        <w:t>Colledge</w:t>
      </w:r>
      <w:proofErr w:type="spellEnd"/>
      <w:r w:rsidRPr="000C58DA">
        <w:rPr>
          <w:rFonts w:ascii="Book Antiqua" w:hAnsi="Book Antiqua"/>
        </w:rPr>
        <w:t xml:space="preserve"> S, Walker JG, Leung J, </w:t>
      </w:r>
      <w:proofErr w:type="spellStart"/>
      <w:r w:rsidRPr="000C58DA">
        <w:rPr>
          <w:rFonts w:ascii="Book Antiqua" w:hAnsi="Book Antiqua"/>
        </w:rPr>
        <w:t>Grebely</w:t>
      </w:r>
      <w:proofErr w:type="spellEnd"/>
      <w:r w:rsidRPr="000C58DA">
        <w:rPr>
          <w:rFonts w:ascii="Book Antiqua" w:hAnsi="Book Antiqua"/>
        </w:rPr>
        <w:t xml:space="preserve"> J, </w:t>
      </w:r>
      <w:proofErr w:type="spellStart"/>
      <w:r w:rsidRPr="000C58DA">
        <w:rPr>
          <w:rFonts w:ascii="Book Antiqua" w:hAnsi="Book Antiqua"/>
        </w:rPr>
        <w:t>Larney</w:t>
      </w:r>
      <w:proofErr w:type="spellEnd"/>
      <w:r w:rsidRPr="000C58DA">
        <w:rPr>
          <w:rFonts w:ascii="Book Antiqua" w:hAnsi="Book Antiqua"/>
        </w:rPr>
        <w:t xml:space="preserve"> S, Martin NK, Hickman M, Degenhardt L, May MT, Vickerman P. The contribution of injection drug use to hepatitis C virus transmission globally, regionally, and at country level: a modelling study. </w:t>
      </w:r>
      <w:r w:rsidRPr="000C58DA">
        <w:rPr>
          <w:rFonts w:ascii="Book Antiqua" w:hAnsi="Book Antiqua"/>
          <w:i/>
          <w:iCs/>
        </w:rPr>
        <w:t>Lancet Gastroenterol Hepatol</w:t>
      </w:r>
      <w:r w:rsidRPr="000C58DA">
        <w:rPr>
          <w:rFonts w:ascii="Book Antiqua" w:hAnsi="Book Antiqua"/>
        </w:rPr>
        <w:t xml:space="preserve"> 2019; </w:t>
      </w:r>
      <w:r w:rsidRPr="000C58DA">
        <w:rPr>
          <w:rFonts w:ascii="Book Antiqua" w:hAnsi="Book Antiqua"/>
          <w:b/>
          <w:bCs/>
        </w:rPr>
        <w:t>4</w:t>
      </w:r>
      <w:r w:rsidRPr="000C58DA">
        <w:rPr>
          <w:rFonts w:ascii="Book Antiqua" w:hAnsi="Book Antiqua"/>
        </w:rPr>
        <w:t>: 435-444 [PMID: 30981685 DOI: 10.1016/S2468-1253(19)30085-8]</w:t>
      </w:r>
    </w:p>
    <w:p w14:paraId="74BC7BE4"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5 </w:t>
      </w:r>
      <w:proofErr w:type="spellStart"/>
      <w:r w:rsidRPr="000C58DA">
        <w:rPr>
          <w:rFonts w:ascii="Book Antiqua" w:hAnsi="Book Antiqua"/>
          <w:b/>
          <w:bCs/>
        </w:rPr>
        <w:t>Martinello</w:t>
      </w:r>
      <w:proofErr w:type="spellEnd"/>
      <w:r w:rsidRPr="000C58DA">
        <w:rPr>
          <w:rFonts w:ascii="Book Antiqua" w:hAnsi="Book Antiqua"/>
          <w:b/>
          <w:bCs/>
        </w:rPr>
        <w:t xml:space="preserve"> M</w:t>
      </w:r>
      <w:r w:rsidRPr="000C58DA">
        <w:rPr>
          <w:rFonts w:ascii="Book Antiqua" w:hAnsi="Book Antiqua"/>
        </w:rPr>
        <w:t xml:space="preserve">, Amin J, Matthews GV, Dore GJ. Prevalence and Disease Burden of HCV Coinfection in HIV Cohorts in the Asia Pacific Region: A Systematic Review and Meta-Analysis. </w:t>
      </w:r>
      <w:r w:rsidRPr="000C58DA">
        <w:rPr>
          <w:rFonts w:ascii="Book Antiqua" w:hAnsi="Book Antiqua"/>
          <w:i/>
          <w:iCs/>
        </w:rPr>
        <w:t>AIDS Rev</w:t>
      </w:r>
      <w:r w:rsidRPr="000C58DA">
        <w:rPr>
          <w:rFonts w:ascii="Book Antiqua" w:hAnsi="Book Antiqua"/>
        </w:rPr>
        <w:t xml:space="preserve"> 2016; </w:t>
      </w:r>
      <w:r w:rsidRPr="000C58DA">
        <w:rPr>
          <w:rFonts w:ascii="Book Antiqua" w:hAnsi="Book Antiqua"/>
          <w:b/>
          <w:bCs/>
        </w:rPr>
        <w:t>18</w:t>
      </w:r>
      <w:r w:rsidRPr="000C58DA">
        <w:rPr>
          <w:rFonts w:ascii="Book Antiqua" w:hAnsi="Book Antiqua"/>
        </w:rPr>
        <w:t>: 68-80 [PMID: 27196354]</w:t>
      </w:r>
    </w:p>
    <w:p w14:paraId="7DE9CC3D"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6 </w:t>
      </w:r>
      <w:r w:rsidRPr="000C58DA">
        <w:rPr>
          <w:rFonts w:ascii="Book Antiqua" w:hAnsi="Book Antiqua"/>
          <w:b/>
          <w:bCs/>
        </w:rPr>
        <w:t>Zhou J</w:t>
      </w:r>
      <w:r w:rsidRPr="000C58DA">
        <w:rPr>
          <w:rFonts w:ascii="Book Antiqua" w:hAnsi="Book Antiqua"/>
        </w:rPr>
        <w:t xml:space="preserve">, Dore GJ, Zhang F, Lim PL, Chen YM; TREAT Asia HIV Observational Database. Hepatitis B and C virus coinfection in The TREAT Asia HIV Observational Database. </w:t>
      </w:r>
      <w:r w:rsidRPr="000C58DA">
        <w:rPr>
          <w:rFonts w:ascii="Book Antiqua" w:hAnsi="Book Antiqua"/>
          <w:i/>
          <w:iCs/>
        </w:rPr>
        <w:t>J Gastroenterol Hepatol</w:t>
      </w:r>
      <w:r w:rsidRPr="000C58DA">
        <w:rPr>
          <w:rFonts w:ascii="Book Antiqua" w:hAnsi="Book Antiqua"/>
        </w:rPr>
        <w:t xml:space="preserve"> 2007; </w:t>
      </w:r>
      <w:r w:rsidRPr="000C58DA">
        <w:rPr>
          <w:rFonts w:ascii="Book Antiqua" w:hAnsi="Book Antiqua"/>
          <w:b/>
          <w:bCs/>
        </w:rPr>
        <w:t>22</w:t>
      </w:r>
      <w:r w:rsidRPr="000C58DA">
        <w:rPr>
          <w:rFonts w:ascii="Book Antiqua" w:hAnsi="Book Antiqua"/>
        </w:rPr>
        <w:t>: 1510-1518 [PMID: 17645479 DOI: 10.1111/j.1440-1746.2007.05062.x]</w:t>
      </w:r>
    </w:p>
    <w:p w14:paraId="0D4D4E74"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7 </w:t>
      </w:r>
      <w:r w:rsidRPr="000C58DA">
        <w:rPr>
          <w:rFonts w:ascii="Book Antiqua" w:hAnsi="Book Antiqua"/>
          <w:b/>
          <w:bCs/>
        </w:rPr>
        <w:t xml:space="preserve">van de </w:t>
      </w:r>
      <w:proofErr w:type="spellStart"/>
      <w:r w:rsidRPr="000C58DA">
        <w:rPr>
          <w:rFonts w:ascii="Book Antiqua" w:hAnsi="Book Antiqua"/>
          <w:b/>
          <w:bCs/>
        </w:rPr>
        <w:t>Laar</w:t>
      </w:r>
      <w:proofErr w:type="spellEnd"/>
      <w:r w:rsidRPr="000C58DA">
        <w:rPr>
          <w:rFonts w:ascii="Book Antiqua" w:hAnsi="Book Antiqua"/>
          <w:b/>
          <w:bCs/>
        </w:rPr>
        <w:t xml:space="preserve"> T</w:t>
      </w:r>
      <w:r w:rsidRPr="000C58DA">
        <w:rPr>
          <w:rFonts w:ascii="Book Antiqua" w:hAnsi="Book Antiqua"/>
        </w:rPr>
        <w:t xml:space="preserve">, </w:t>
      </w:r>
      <w:proofErr w:type="spellStart"/>
      <w:r w:rsidRPr="000C58DA">
        <w:rPr>
          <w:rFonts w:ascii="Book Antiqua" w:hAnsi="Book Antiqua"/>
        </w:rPr>
        <w:t>Pybus</w:t>
      </w:r>
      <w:proofErr w:type="spellEnd"/>
      <w:r w:rsidRPr="000C58DA">
        <w:rPr>
          <w:rFonts w:ascii="Book Antiqua" w:hAnsi="Book Antiqua"/>
        </w:rPr>
        <w:t xml:space="preserve"> O, </w:t>
      </w:r>
      <w:proofErr w:type="spellStart"/>
      <w:r w:rsidRPr="000C58DA">
        <w:rPr>
          <w:rFonts w:ascii="Book Antiqua" w:hAnsi="Book Antiqua"/>
        </w:rPr>
        <w:t>Bruisten</w:t>
      </w:r>
      <w:proofErr w:type="spellEnd"/>
      <w:r w:rsidRPr="000C58DA">
        <w:rPr>
          <w:rFonts w:ascii="Book Antiqua" w:hAnsi="Book Antiqua"/>
        </w:rPr>
        <w:t xml:space="preserve"> S, Brown D, Nelson M, </w:t>
      </w:r>
      <w:proofErr w:type="spellStart"/>
      <w:r w:rsidRPr="000C58DA">
        <w:rPr>
          <w:rFonts w:ascii="Book Antiqua" w:hAnsi="Book Antiqua"/>
        </w:rPr>
        <w:t>Bhagani</w:t>
      </w:r>
      <w:proofErr w:type="spellEnd"/>
      <w:r w:rsidRPr="000C58DA">
        <w:rPr>
          <w:rFonts w:ascii="Book Antiqua" w:hAnsi="Book Antiqua"/>
        </w:rPr>
        <w:t xml:space="preserve"> S, Vogel M, </w:t>
      </w:r>
      <w:proofErr w:type="spellStart"/>
      <w:r w:rsidRPr="000C58DA">
        <w:rPr>
          <w:rFonts w:ascii="Book Antiqua" w:hAnsi="Book Antiqua"/>
        </w:rPr>
        <w:t>Baumgarten</w:t>
      </w:r>
      <w:proofErr w:type="spellEnd"/>
      <w:r w:rsidRPr="000C58DA">
        <w:rPr>
          <w:rFonts w:ascii="Book Antiqua" w:hAnsi="Book Antiqua"/>
        </w:rPr>
        <w:t xml:space="preserve"> A, </w:t>
      </w:r>
      <w:proofErr w:type="spellStart"/>
      <w:r w:rsidRPr="000C58DA">
        <w:rPr>
          <w:rFonts w:ascii="Book Antiqua" w:hAnsi="Book Antiqua"/>
        </w:rPr>
        <w:t>Chaix</w:t>
      </w:r>
      <w:proofErr w:type="spellEnd"/>
      <w:r w:rsidRPr="000C58DA">
        <w:rPr>
          <w:rFonts w:ascii="Book Antiqua" w:hAnsi="Book Antiqua"/>
        </w:rPr>
        <w:t xml:space="preserve"> ML, Fisher M, </w:t>
      </w:r>
      <w:proofErr w:type="spellStart"/>
      <w:r w:rsidRPr="000C58DA">
        <w:rPr>
          <w:rFonts w:ascii="Book Antiqua" w:hAnsi="Book Antiqua"/>
        </w:rPr>
        <w:t>Gotz</w:t>
      </w:r>
      <w:proofErr w:type="spellEnd"/>
      <w:r w:rsidRPr="000C58DA">
        <w:rPr>
          <w:rFonts w:ascii="Book Antiqua" w:hAnsi="Book Antiqua"/>
        </w:rPr>
        <w:t xml:space="preserve"> H, Matthews GV, Neifer S, White P, Rawlinson W, Pol S, </w:t>
      </w:r>
      <w:proofErr w:type="spellStart"/>
      <w:r w:rsidRPr="000C58DA">
        <w:rPr>
          <w:rFonts w:ascii="Book Antiqua" w:hAnsi="Book Antiqua"/>
        </w:rPr>
        <w:t>Rockstroh</w:t>
      </w:r>
      <w:proofErr w:type="spellEnd"/>
      <w:r w:rsidRPr="000C58DA">
        <w:rPr>
          <w:rFonts w:ascii="Book Antiqua" w:hAnsi="Book Antiqua"/>
        </w:rPr>
        <w:t xml:space="preserve"> J, </w:t>
      </w:r>
      <w:proofErr w:type="spellStart"/>
      <w:r w:rsidRPr="000C58DA">
        <w:rPr>
          <w:rFonts w:ascii="Book Antiqua" w:hAnsi="Book Antiqua"/>
        </w:rPr>
        <w:t>Coutinho</w:t>
      </w:r>
      <w:proofErr w:type="spellEnd"/>
      <w:r w:rsidRPr="000C58DA">
        <w:rPr>
          <w:rFonts w:ascii="Book Antiqua" w:hAnsi="Book Antiqua"/>
        </w:rPr>
        <w:t xml:space="preserve"> R, Dore GJ, </w:t>
      </w:r>
      <w:proofErr w:type="spellStart"/>
      <w:r w:rsidRPr="000C58DA">
        <w:rPr>
          <w:rFonts w:ascii="Book Antiqua" w:hAnsi="Book Antiqua"/>
        </w:rPr>
        <w:t>Dusheiko</w:t>
      </w:r>
      <w:proofErr w:type="spellEnd"/>
      <w:r w:rsidRPr="000C58DA">
        <w:rPr>
          <w:rFonts w:ascii="Book Antiqua" w:hAnsi="Book Antiqua"/>
        </w:rPr>
        <w:t xml:space="preserve"> GM, </w:t>
      </w:r>
      <w:proofErr w:type="spellStart"/>
      <w:r w:rsidRPr="000C58DA">
        <w:rPr>
          <w:rFonts w:ascii="Book Antiqua" w:hAnsi="Book Antiqua"/>
        </w:rPr>
        <w:t>Danta</w:t>
      </w:r>
      <w:proofErr w:type="spellEnd"/>
      <w:r w:rsidRPr="000C58DA">
        <w:rPr>
          <w:rFonts w:ascii="Book Antiqua" w:hAnsi="Book Antiqua"/>
        </w:rPr>
        <w:t xml:space="preserve"> M. </w:t>
      </w:r>
      <w:r w:rsidRPr="000C58DA">
        <w:rPr>
          <w:rFonts w:ascii="Book Antiqua" w:hAnsi="Book Antiqua"/>
        </w:rPr>
        <w:lastRenderedPageBreak/>
        <w:t xml:space="preserve">Evidence of a large, international network of HCV transmission in HIV-positive men who have sex with men. </w:t>
      </w:r>
      <w:r w:rsidRPr="000C58DA">
        <w:rPr>
          <w:rFonts w:ascii="Book Antiqua" w:hAnsi="Book Antiqua"/>
          <w:i/>
          <w:iCs/>
        </w:rPr>
        <w:t>Gastroenterology</w:t>
      </w:r>
      <w:r w:rsidRPr="000C58DA">
        <w:rPr>
          <w:rFonts w:ascii="Book Antiqua" w:hAnsi="Book Antiqua"/>
        </w:rPr>
        <w:t xml:space="preserve"> 2009; </w:t>
      </w:r>
      <w:r w:rsidRPr="000C58DA">
        <w:rPr>
          <w:rFonts w:ascii="Book Antiqua" w:hAnsi="Book Antiqua"/>
          <w:b/>
          <w:bCs/>
        </w:rPr>
        <w:t>136</w:t>
      </w:r>
      <w:r w:rsidRPr="000C58DA">
        <w:rPr>
          <w:rFonts w:ascii="Book Antiqua" w:hAnsi="Book Antiqua"/>
        </w:rPr>
        <w:t>: 1609-1617 [PMID: 19422083 DOI: 10.1053/j.gastro.2009.02.006]</w:t>
      </w:r>
    </w:p>
    <w:p w14:paraId="69C76937"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8 </w:t>
      </w:r>
      <w:proofErr w:type="spellStart"/>
      <w:r w:rsidRPr="000C58DA">
        <w:rPr>
          <w:rFonts w:ascii="Book Antiqua" w:hAnsi="Book Antiqua"/>
          <w:b/>
          <w:bCs/>
        </w:rPr>
        <w:t>Wandeler</w:t>
      </w:r>
      <w:proofErr w:type="spellEnd"/>
      <w:r w:rsidRPr="000C58DA">
        <w:rPr>
          <w:rFonts w:ascii="Book Antiqua" w:hAnsi="Book Antiqua"/>
          <w:b/>
          <w:bCs/>
        </w:rPr>
        <w:t xml:space="preserve"> G</w:t>
      </w:r>
      <w:r w:rsidRPr="000C58DA">
        <w:rPr>
          <w:rFonts w:ascii="Book Antiqua" w:hAnsi="Book Antiqua"/>
        </w:rPr>
        <w:t xml:space="preserve">, </w:t>
      </w:r>
      <w:proofErr w:type="spellStart"/>
      <w:r w:rsidRPr="000C58DA">
        <w:rPr>
          <w:rFonts w:ascii="Book Antiqua" w:hAnsi="Book Antiqua"/>
        </w:rPr>
        <w:t>Gsponer</w:t>
      </w:r>
      <w:proofErr w:type="spellEnd"/>
      <w:r w:rsidRPr="000C58DA">
        <w:rPr>
          <w:rFonts w:ascii="Book Antiqua" w:hAnsi="Book Antiqua"/>
        </w:rPr>
        <w:t xml:space="preserve"> T, </w:t>
      </w:r>
      <w:proofErr w:type="spellStart"/>
      <w:r w:rsidRPr="000C58DA">
        <w:rPr>
          <w:rFonts w:ascii="Book Antiqua" w:hAnsi="Book Antiqua"/>
        </w:rPr>
        <w:t>Bregenzer</w:t>
      </w:r>
      <w:proofErr w:type="spellEnd"/>
      <w:r w:rsidRPr="000C58DA">
        <w:rPr>
          <w:rFonts w:ascii="Book Antiqua" w:hAnsi="Book Antiqua"/>
        </w:rPr>
        <w:t xml:space="preserve"> A, </w:t>
      </w:r>
      <w:proofErr w:type="spellStart"/>
      <w:r w:rsidRPr="000C58DA">
        <w:rPr>
          <w:rFonts w:ascii="Book Antiqua" w:hAnsi="Book Antiqua"/>
        </w:rPr>
        <w:t>Günthard</w:t>
      </w:r>
      <w:proofErr w:type="spellEnd"/>
      <w:r w:rsidRPr="000C58DA">
        <w:rPr>
          <w:rFonts w:ascii="Book Antiqua" w:hAnsi="Book Antiqua"/>
        </w:rPr>
        <w:t xml:space="preserve"> HF, </w:t>
      </w:r>
      <w:proofErr w:type="spellStart"/>
      <w:r w:rsidRPr="000C58DA">
        <w:rPr>
          <w:rFonts w:ascii="Book Antiqua" w:hAnsi="Book Antiqua"/>
        </w:rPr>
        <w:t>Clerc</w:t>
      </w:r>
      <w:proofErr w:type="spellEnd"/>
      <w:r w:rsidRPr="000C58DA">
        <w:rPr>
          <w:rFonts w:ascii="Book Antiqua" w:hAnsi="Book Antiqua"/>
        </w:rPr>
        <w:t xml:space="preserve"> O, </w:t>
      </w:r>
      <w:proofErr w:type="spellStart"/>
      <w:r w:rsidRPr="000C58DA">
        <w:rPr>
          <w:rFonts w:ascii="Book Antiqua" w:hAnsi="Book Antiqua"/>
        </w:rPr>
        <w:t>Calmy</w:t>
      </w:r>
      <w:proofErr w:type="spellEnd"/>
      <w:r w:rsidRPr="000C58DA">
        <w:rPr>
          <w:rFonts w:ascii="Book Antiqua" w:hAnsi="Book Antiqua"/>
        </w:rPr>
        <w:t xml:space="preserve"> A, </w:t>
      </w:r>
      <w:proofErr w:type="spellStart"/>
      <w:r w:rsidRPr="000C58DA">
        <w:rPr>
          <w:rFonts w:ascii="Book Antiqua" w:hAnsi="Book Antiqua"/>
        </w:rPr>
        <w:t>Stöckle</w:t>
      </w:r>
      <w:proofErr w:type="spellEnd"/>
      <w:r w:rsidRPr="000C58DA">
        <w:rPr>
          <w:rFonts w:ascii="Book Antiqua" w:hAnsi="Book Antiqua"/>
        </w:rPr>
        <w:t xml:space="preserve"> M, </w:t>
      </w:r>
      <w:proofErr w:type="spellStart"/>
      <w:r w:rsidRPr="000C58DA">
        <w:rPr>
          <w:rFonts w:ascii="Book Antiqua" w:hAnsi="Book Antiqua"/>
        </w:rPr>
        <w:t>Bernasconi</w:t>
      </w:r>
      <w:proofErr w:type="spellEnd"/>
      <w:r w:rsidRPr="000C58DA">
        <w:rPr>
          <w:rFonts w:ascii="Book Antiqua" w:hAnsi="Book Antiqua"/>
        </w:rPr>
        <w:t xml:space="preserve"> E, </w:t>
      </w:r>
      <w:proofErr w:type="spellStart"/>
      <w:r w:rsidRPr="000C58DA">
        <w:rPr>
          <w:rFonts w:ascii="Book Antiqua" w:hAnsi="Book Antiqua"/>
        </w:rPr>
        <w:t>Furrer</w:t>
      </w:r>
      <w:proofErr w:type="spellEnd"/>
      <w:r w:rsidRPr="000C58DA">
        <w:rPr>
          <w:rFonts w:ascii="Book Antiqua" w:hAnsi="Book Antiqua"/>
        </w:rPr>
        <w:t xml:space="preserve"> H, Rauch A; Swiss HIV Cohort Study. Hepatitis C virus infections in the Swiss HIV Cohort Study: a rapidly evolving epidemic. </w:t>
      </w:r>
      <w:r w:rsidRPr="000C58DA">
        <w:rPr>
          <w:rFonts w:ascii="Book Antiqua" w:hAnsi="Book Antiqua"/>
          <w:i/>
          <w:iCs/>
        </w:rPr>
        <w:t>Clin Infect Dis</w:t>
      </w:r>
      <w:r w:rsidRPr="000C58DA">
        <w:rPr>
          <w:rFonts w:ascii="Book Antiqua" w:hAnsi="Book Antiqua"/>
        </w:rPr>
        <w:t xml:space="preserve"> 2012; </w:t>
      </w:r>
      <w:r w:rsidRPr="000C58DA">
        <w:rPr>
          <w:rFonts w:ascii="Book Antiqua" w:hAnsi="Book Antiqua"/>
          <w:b/>
          <w:bCs/>
        </w:rPr>
        <w:t>55</w:t>
      </w:r>
      <w:r w:rsidRPr="000C58DA">
        <w:rPr>
          <w:rFonts w:ascii="Book Antiqua" w:hAnsi="Book Antiqua"/>
        </w:rPr>
        <w:t>: 1408-1416 [PMID: 22893583 DOI: 10.1093/</w:t>
      </w:r>
      <w:proofErr w:type="spellStart"/>
      <w:r w:rsidRPr="000C58DA">
        <w:rPr>
          <w:rFonts w:ascii="Book Antiqua" w:hAnsi="Book Antiqua"/>
        </w:rPr>
        <w:t>cid</w:t>
      </w:r>
      <w:proofErr w:type="spellEnd"/>
      <w:r w:rsidRPr="000C58DA">
        <w:rPr>
          <w:rFonts w:ascii="Book Antiqua" w:hAnsi="Book Antiqua"/>
        </w:rPr>
        <w:t>/cis694]</w:t>
      </w:r>
    </w:p>
    <w:p w14:paraId="221C6236"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9 </w:t>
      </w:r>
      <w:proofErr w:type="spellStart"/>
      <w:r w:rsidRPr="000C58DA">
        <w:rPr>
          <w:rFonts w:ascii="Book Antiqua" w:hAnsi="Book Antiqua"/>
          <w:b/>
          <w:bCs/>
        </w:rPr>
        <w:t>Boesecke</w:t>
      </w:r>
      <w:proofErr w:type="spellEnd"/>
      <w:r w:rsidRPr="000C58DA">
        <w:rPr>
          <w:rFonts w:ascii="Book Antiqua" w:hAnsi="Book Antiqua"/>
          <w:b/>
          <w:bCs/>
        </w:rPr>
        <w:t xml:space="preserve"> C</w:t>
      </w:r>
      <w:r w:rsidRPr="000C58DA">
        <w:rPr>
          <w:rFonts w:ascii="Book Antiqua" w:hAnsi="Book Antiqua"/>
        </w:rPr>
        <w:t xml:space="preserve">, </w:t>
      </w:r>
      <w:proofErr w:type="spellStart"/>
      <w:r w:rsidRPr="000C58DA">
        <w:rPr>
          <w:rFonts w:ascii="Book Antiqua" w:hAnsi="Book Antiqua"/>
        </w:rPr>
        <w:t>Grint</w:t>
      </w:r>
      <w:proofErr w:type="spellEnd"/>
      <w:r w:rsidRPr="000C58DA">
        <w:rPr>
          <w:rFonts w:ascii="Book Antiqua" w:hAnsi="Book Antiqua"/>
        </w:rPr>
        <w:t xml:space="preserve"> D, Soriano V, Lundgren JD, </w:t>
      </w:r>
      <w:proofErr w:type="spellStart"/>
      <w:r w:rsidRPr="000C58DA">
        <w:rPr>
          <w:rFonts w:ascii="Book Antiqua" w:hAnsi="Book Antiqua"/>
        </w:rPr>
        <w:t>d'Arminio</w:t>
      </w:r>
      <w:proofErr w:type="spellEnd"/>
      <w:r w:rsidRPr="000C58DA">
        <w:rPr>
          <w:rFonts w:ascii="Book Antiqua" w:hAnsi="Book Antiqua"/>
        </w:rPr>
        <w:t xml:space="preserve"> </w:t>
      </w:r>
      <w:proofErr w:type="spellStart"/>
      <w:r w:rsidRPr="000C58DA">
        <w:rPr>
          <w:rFonts w:ascii="Book Antiqua" w:hAnsi="Book Antiqua"/>
        </w:rPr>
        <w:t>Monforte</w:t>
      </w:r>
      <w:proofErr w:type="spellEnd"/>
      <w:r w:rsidRPr="000C58DA">
        <w:rPr>
          <w:rFonts w:ascii="Book Antiqua" w:hAnsi="Book Antiqua"/>
        </w:rPr>
        <w:t xml:space="preserve"> A, </w:t>
      </w:r>
      <w:proofErr w:type="spellStart"/>
      <w:r w:rsidRPr="000C58DA">
        <w:rPr>
          <w:rFonts w:ascii="Book Antiqua" w:hAnsi="Book Antiqua"/>
        </w:rPr>
        <w:t>Mitsura</w:t>
      </w:r>
      <w:proofErr w:type="spellEnd"/>
      <w:r w:rsidRPr="000C58DA">
        <w:rPr>
          <w:rFonts w:ascii="Book Antiqua" w:hAnsi="Book Antiqua"/>
        </w:rPr>
        <w:t xml:space="preserve"> VM, </w:t>
      </w:r>
      <w:proofErr w:type="spellStart"/>
      <w:r w:rsidRPr="000C58DA">
        <w:rPr>
          <w:rFonts w:ascii="Book Antiqua" w:hAnsi="Book Antiqua"/>
        </w:rPr>
        <w:t>Chentsova</w:t>
      </w:r>
      <w:proofErr w:type="spellEnd"/>
      <w:r w:rsidRPr="000C58DA">
        <w:rPr>
          <w:rFonts w:ascii="Book Antiqua" w:hAnsi="Book Antiqua"/>
        </w:rPr>
        <w:t xml:space="preserve"> N, </w:t>
      </w:r>
      <w:proofErr w:type="spellStart"/>
      <w:r w:rsidRPr="000C58DA">
        <w:rPr>
          <w:rFonts w:ascii="Book Antiqua" w:hAnsi="Book Antiqua"/>
        </w:rPr>
        <w:t>Hadziosmanovic</w:t>
      </w:r>
      <w:proofErr w:type="spellEnd"/>
      <w:r w:rsidRPr="000C58DA">
        <w:rPr>
          <w:rFonts w:ascii="Book Antiqua" w:hAnsi="Book Antiqua"/>
        </w:rPr>
        <w:t xml:space="preserve"> V, Kirk O, </w:t>
      </w:r>
      <w:proofErr w:type="spellStart"/>
      <w:r w:rsidRPr="000C58DA">
        <w:rPr>
          <w:rFonts w:ascii="Book Antiqua" w:hAnsi="Book Antiqua"/>
        </w:rPr>
        <w:t>Mocroft</w:t>
      </w:r>
      <w:proofErr w:type="spellEnd"/>
      <w:r w:rsidRPr="000C58DA">
        <w:rPr>
          <w:rFonts w:ascii="Book Antiqua" w:hAnsi="Book Antiqua"/>
        </w:rPr>
        <w:t xml:space="preserve"> A, Peters L, </w:t>
      </w:r>
      <w:proofErr w:type="spellStart"/>
      <w:r w:rsidRPr="000C58DA">
        <w:rPr>
          <w:rFonts w:ascii="Book Antiqua" w:hAnsi="Book Antiqua"/>
        </w:rPr>
        <w:t>Rockstroh</w:t>
      </w:r>
      <w:proofErr w:type="spellEnd"/>
      <w:r w:rsidRPr="000C58DA">
        <w:rPr>
          <w:rFonts w:ascii="Book Antiqua" w:hAnsi="Book Antiqua"/>
        </w:rPr>
        <w:t xml:space="preserve"> JK; </w:t>
      </w:r>
      <w:proofErr w:type="spellStart"/>
      <w:r w:rsidRPr="000C58DA">
        <w:rPr>
          <w:rFonts w:ascii="Book Antiqua" w:hAnsi="Book Antiqua"/>
        </w:rPr>
        <w:t>EuroSIDA</w:t>
      </w:r>
      <w:proofErr w:type="spellEnd"/>
      <w:r w:rsidRPr="000C58DA">
        <w:rPr>
          <w:rFonts w:ascii="Book Antiqua" w:hAnsi="Book Antiqua"/>
        </w:rPr>
        <w:t xml:space="preserve"> in </w:t>
      </w:r>
      <w:proofErr w:type="spellStart"/>
      <w:r w:rsidRPr="000C58DA">
        <w:rPr>
          <w:rFonts w:ascii="Book Antiqua" w:hAnsi="Book Antiqua"/>
        </w:rPr>
        <w:t>EuroCoord</w:t>
      </w:r>
      <w:proofErr w:type="spellEnd"/>
      <w:r w:rsidRPr="000C58DA">
        <w:rPr>
          <w:rFonts w:ascii="Book Antiqua" w:hAnsi="Book Antiqua"/>
        </w:rPr>
        <w:t xml:space="preserve">. Hepatitis C seroconversions in HIV infection across Europe: which regions and patient groups are affected? </w:t>
      </w:r>
      <w:r w:rsidRPr="000C58DA">
        <w:rPr>
          <w:rFonts w:ascii="Book Antiqua" w:hAnsi="Book Antiqua"/>
          <w:i/>
          <w:iCs/>
        </w:rPr>
        <w:t>Liver Int</w:t>
      </w:r>
      <w:r w:rsidRPr="000C58DA">
        <w:rPr>
          <w:rFonts w:ascii="Book Antiqua" w:hAnsi="Book Antiqua"/>
        </w:rPr>
        <w:t xml:space="preserve"> 2015; </w:t>
      </w:r>
      <w:r w:rsidRPr="000C58DA">
        <w:rPr>
          <w:rFonts w:ascii="Book Antiqua" w:hAnsi="Book Antiqua"/>
          <w:b/>
          <w:bCs/>
        </w:rPr>
        <w:t>35</w:t>
      </w:r>
      <w:r w:rsidRPr="000C58DA">
        <w:rPr>
          <w:rFonts w:ascii="Book Antiqua" w:hAnsi="Book Antiqua"/>
        </w:rPr>
        <w:t>: 2384-2391 [PMID: 25875966 DOI: 10.1111/liv.12848]</w:t>
      </w:r>
    </w:p>
    <w:p w14:paraId="35F0756E"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10 </w:t>
      </w:r>
      <w:r w:rsidRPr="000C58DA">
        <w:rPr>
          <w:rFonts w:ascii="Book Antiqua" w:hAnsi="Book Antiqua"/>
          <w:b/>
          <w:bCs/>
        </w:rPr>
        <w:t>Sun HY</w:t>
      </w:r>
      <w:r w:rsidRPr="000C58DA">
        <w:rPr>
          <w:rFonts w:ascii="Book Antiqua" w:hAnsi="Book Antiqua"/>
        </w:rPr>
        <w:t xml:space="preserve">, </w:t>
      </w:r>
      <w:proofErr w:type="spellStart"/>
      <w:r w:rsidRPr="000C58DA">
        <w:rPr>
          <w:rFonts w:ascii="Book Antiqua" w:hAnsi="Book Antiqua"/>
        </w:rPr>
        <w:t>Uemura</w:t>
      </w:r>
      <w:proofErr w:type="spellEnd"/>
      <w:r w:rsidRPr="000C58DA">
        <w:rPr>
          <w:rFonts w:ascii="Book Antiqua" w:hAnsi="Book Antiqua"/>
        </w:rPr>
        <w:t xml:space="preserve"> H, Wong NS, Chan DP, Wong BC, Lin PH, Su LH, Hung CC, Oka S, Chang SY, Lee SS. Molecular epidemiology of acute HCV infection in HIV-positive patients from Hong Kong, Taipei, Tokyo. </w:t>
      </w:r>
      <w:r w:rsidRPr="000C58DA">
        <w:rPr>
          <w:rFonts w:ascii="Book Antiqua" w:hAnsi="Book Antiqua"/>
          <w:i/>
          <w:iCs/>
        </w:rPr>
        <w:t>Liver Int</w:t>
      </w:r>
      <w:r w:rsidRPr="000C58DA">
        <w:rPr>
          <w:rFonts w:ascii="Book Antiqua" w:hAnsi="Book Antiqua"/>
        </w:rPr>
        <w:t xml:space="preserve"> 2019; </w:t>
      </w:r>
      <w:r w:rsidRPr="000C58DA">
        <w:rPr>
          <w:rFonts w:ascii="Book Antiqua" w:hAnsi="Book Antiqua"/>
          <w:b/>
          <w:bCs/>
        </w:rPr>
        <w:t>39</w:t>
      </w:r>
      <w:r w:rsidRPr="000C58DA">
        <w:rPr>
          <w:rFonts w:ascii="Book Antiqua" w:hAnsi="Book Antiqua"/>
        </w:rPr>
        <w:t>: 1044-1051 [PMID: 30770636 DOI: 10.1111/liv.14073]</w:t>
      </w:r>
    </w:p>
    <w:p w14:paraId="64D5BF32"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11 </w:t>
      </w:r>
      <w:r w:rsidRPr="000C58DA">
        <w:rPr>
          <w:rFonts w:ascii="Book Antiqua" w:hAnsi="Book Antiqua"/>
          <w:b/>
          <w:bCs/>
        </w:rPr>
        <w:t>Ho SY</w:t>
      </w:r>
      <w:r w:rsidRPr="000C58DA">
        <w:rPr>
          <w:rFonts w:ascii="Book Antiqua" w:hAnsi="Book Antiqua"/>
        </w:rPr>
        <w:t xml:space="preserve">, Su LH, Sun HY, Huang YS, Chuang YC, Huang MH, Liu WC, Su YC, Lin PH, Chang SY, Hung CC. Trends of recent hepatitis C virus infection among HIV-positive men who have sex with men in Taiwan, 2011-2018. </w:t>
      </w:r>
      <w:proofErr w:type="spellStart"/>
      <w:r w:rsidRPr="000C58DA">
        <w:rPr>
          <w:rFonts w:ascii="Book Antiqua" w:hAnsi="Book Antiqua"/>
          <w:i/>
          <w:iCs/>
        </w:rPr>
        <w:t>EClinicalMedicine</w:t>
      </w:r>
      <w:proofErr w:type="spellEnd"/>
      <w:r w:rsidRPr="000C58DA">
        <w:rPr>
          <w:rFonts w:ascii="Book Antiqua" w:hAnsi="Book Antiqua"/>
        </w:rPr>
        <w:t xml:space="preserve"> 2020; </w:t>
      </w:r>
      <w:r w:rsidRPr="000C58DA">
        <w:rPr>
          <w:rFonts w:ascii="Book Antiqua" w:hAnsi="Book Antiqua"/>
          <w:b/>
          <w:bCs/>
        </w:rPr>
        <w:t>24</w:t>
      </w:r>
      <w:r w:rsidRPr="000C58DA">
        <w:rPr>
          <w:rFonts w:ascii="Book Antiqua" w:hAnsi="Book Antiqua"/>
        </w:rPr>
        <w:t>: 100441 [PMID: 32637905 DOI: 10.1016/j.eclinm.2020.100441]</w:t>
      </w:r>
    </w:p>
    <w:p w14:paraId="7714D0E1"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12 </w:t>
      </w:r>
      <w:r w:rsidRPr="000C58DA">
        <w:rPr>
          <w:rFonts w:ascii="Book Antiqua" w:hAnsi="Book Antiqua"/>
          <w:b/>
          <w:bCs/>
        </w:rPr>
        <w:t>Chan DP</w:t>
      </w:r>
      <w:r w:rsidRPr="000C58DA">
        <w:rPr>
          <w:rFonts w:ascii="Book Antiqua" w:hAnsi="Book Antiqua"/>
        </w:rPr>
        <w:t xml:space="preserve">, Sun HY, Wong HT, Lee SS, Hung CC. Sexually acquired hepatitis C virus infection: a review. </w:t>
      </w:r>
      <w:r w:rsidRPr="000C58DA">
        <w:rPr>
          <w:rFonts w:ascii="Book Antiqua" w:hAnsi="Book Antiqua"/>
          <w:i/>
          <w:iCs/>
        </w:rPr>
        <w:t>Int J Infect Dis</w:t>
      </w:r>
      <w:r w:rsidRPr="000C58DA">
        <w:rPr>
          <w:rFonts w:ascii="Book Antiqua" w:hAnsi="Book Antiqua"/>
        </w:rPr>
        <w:t xml:space="preserve"> 2016; </w:t>
      </w:r>
      <w:r w:rsidRPr="000C58DA">
        <w:rPr>
          <w:rFonts w:ascii="Book Antiqua" w:hAnsi="Book Antiqua"/>
          <w:b/>
          <w:bCs/>
        </w:rPr>
        <w:t>49</w:t>
      </w:r>
      <w:r w:rsidRPr="000C58DA">
        <w:rPr>
          <w:rFonts w:ascii="Book Antiqua" w:hAnsi="Book Antiqua"/>
        </w:rPr>
        <w:t>: 47-58 [PMID: 27270138 DOI: 10.1016/j.ijid.2016.05.030]</w:t>
      </w:r>
    </w:p>
    <w:p w14:paraId="749E4145"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13 </w:t>
      </w:r>
      <w:proofErr w:type="spellStart"/>
      <w:r w:rsidRPr="000C58DA">
        <w:rPr>
          <w:rFonts w:ascii="Book Antiqua" w:hAnsi="Book Antiqua"/>
          <w:b/>
          <w:bCs/>
        </w:rPr>
        <w:t>Sikavi</w:t>
      </w:r>
      <w:proofErr w:type="spellEnd"/>
      <w:r w:rsidRPr="000C58DA">
        <w:rPr>
          <w:rFonts w:ascii="Book Antiqua" w:hAnsi="Book Antiqua"/>
          <w:b/>
          <w:bCs/>
        </w:rPr>
        <w:t xml:space="preserve"> C</w:t>
      </w:r>
      <w:r w:rsidRPr="000C58DA">
        <w:rPr>
          <w:rFonts w:ascii="Book Antiqua" w:hAnsi="Book Antiqua"/>
        </w:rPr>
        <w:t xml:space="preserve">, Chen PH, Lee AD, Saab EG, Choi G, Saab S. Hepatitis C and human immunodeficiency virus coinfection in the era of direct-acting antiviral agents: No longer a difficult-to-treat population. </w:t>
      </w:r>
      <w:r w:rsidRPr="000C58DA">
        <w:rPr>
          <w:rFonts w:ascii="Book Antiqua" w:hAnsi="Book Antiqua"/>
          <w:i/>
          <w:iCs/>
        </w:rPr>
        <w:t>Hepatology</w:t>
      </w:r>
      <w:r w:rsidRPr="000C58DA">
        <w:rPr>
          <w:rFonts w:ascii="Book Antiqua" w:hAnsi="Book Antiqua"/>
        </w:rPr>
        <w:t xml:space="preserve"> 2018; </w:t>
      </w:r>
      <w:r w:rsidRPr="000C58DA">
        <w:rPr>
          <w:rFonts w:ascii="Book Antiqua" w:hAnsi="Book Antiqua"/>
          <w:b/>
          <w:bCs/>
        </w:rPr>
        <w:t>67</w:t>
      </w:r>
      <w:r w:rsidRPr="000C58DA">
        <w:rPr>
          <w:rFonts w:ascii="Book Antiqua" w:hAnsi="Book Antiqua"/>
        </w:rPr>
        <w:t>: 847-857 [PMID: 29108121 DOI: 10.1002/hep.29642]</w:t>
      </w:r>
    </w:p>
    <w:p w14:paraId="763AE5E1"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14 </w:t>
      </w:r>
      <w:r w:rsidRPr="000C58DA">
        <w:rPr>
          <w:rFonts w:ascii="Book Antiqua" w:hAnsi="Book Antiqua"/>
          <w:b/>
          <w:bCs/>
        </w:rPr>
        <w:t>Brown RS Jr</w:t>
      </w:r>
      <w:r w:rsidRPr="000C58DA">
        <w:rPr>
          <w:rFonts w:ascii="Book Antiqua" w:hAnsi="Book Antiqua"/>
        </w:rPr>
        <w:t xml:space="preserve">, Buti M, Rodrigues L, </w:t>
      </w:r>
      <w:proofErr w:type="spellStart"/>
      <w:r w:rsidRPr="000C58DA">
        <w:rPr>
          <w:rFonts w:ascii="Book Antiqua" w:hAnsi="Book Antiqua"/>
        </w:rPr>
        <w:t>Chulanov</w:t>
      </w:r>
      <w:proofErr w:type="spellEnd"/>
      <w:r w:rsidRPr="000C58DA">
        <w:rPr>
          <w:rFonts w:ascii="Book Antiqua" w:hAnsi="Book Antiqua"/>
        </w:rPr>
        <w:t xml:space="preserve"> V, Chuang WL, Aguilar H, </w:t>
      </w:r>
      <w:proofErr w:type="spellStart"/>
      <w:r w:rsidRPr="000C58DA">
        <w:rPr>
          <w:rFonts w:ascii="Book Antiqua" w:hAnsi="Book Antiqua"/>
        </w:rPr>
        <w:t>Horváth</w:t>
      </w:r>
      <w:proofErr w:type="spellEnd"/>
      <w:r w:rsidRPr="000C58DA">
        <w:rPr>
          <w:rFonts w:ascii="Book Antiqua" w:hAnsi="Book Antiqua"/>
        </w:rPr>
        <w:t xml:space="preserve"> G, Zuckerman E, Carrion BR, Rodriguez-Perez F, </w:t>
      </w:r>
      <w:proofErr w:type="spellStart"/>
      <w:r w:rsidRPr="000C58DA">
        <w:rPr>
          <w:rFonts w:ascii="Book Antiqua" w:hAnsi="Book Antiqua"/>
        </w:rPr>
        <w:t>Urbánek</w:t>
      </w:r>
      <w:proofErr w:type="spellEnd"/>
      <w:r w:rsidRPr="000C58DA">
        <w:rPr>
          <w:rFonts w:ascii="Book Antiqua" w:hAnsi="Book Antiqua"/>
        </w:rPr>
        <w:t xml:space="preserve"> P, </w:t>
      </w:r>
      <w:proofErr w:type="spellStart"/>
      <w:r w:rsidRPr="000C58DA">
        <w:rPr>
          <w:rFonts w:ascii="Book Antiqua" w:hAnsi="Book Antiqua"/>
        </w:rPr>
        <w:t>Abergel</w:t>
      </w:r>
      <w:proofErr w:type="spellEnd"/>
      <w:r w:rsidRPr="000C58DA">
        <w:rPr>
          <w:rFonts w:ascii="Book Antiqua" w:hAnsi="Book Antiqua"/>
        </w:rPr>
        <w:t xml:space="preserve"> A, Cohen E, Lovell </w:t>
      </w:r>
      <w:r w:rsidRPr="000C58DA">
        <w:rPr>
          <w:rFonts w:ascii="Book Antiqua" w:hAnsi="Book Antiqua"/>
        </w:rPr>
        <w:lastRenderedPageBreak/>
        <w:t xml:space="preserve">SS, Schnell G, Lin CW, </w:t>
      </w:r>
      <w:proofErr w:type="spellStart"/>
      <w:r w:rsidRPr="000C58DA">
        <w:rPr>
          <w:rFonts w:ascii="Book Antiqua" w:hAnsi="Book Antiqua"/>
        </w:rPr>
        <w:t>Zha</w:t>
      </w:r>
      <w:proofErr w:type="spellEnd"/>
      <w:r w:rsidRPr="000C58DA">
        <w:rPr>
          <w:rFonts w:ascii="Book Antiqua" w:hAnsi="Book Antiqua"/>
        </w:rPr>
        <w:t xml:space="preserve"> J, Wang S, Trinh R, Mensa FJ, Burroughs M, </w:t>
      </w:r>
      <w:proofErr w:type="spellStart"/>
      <w:r w:rsidRPr="000C58DA">
        <w:rPr>
          <w:rFonts w:ascii="Book Antiqua" w:hAnsi="Book Antiqua"/>
        </w:rPr>
        <w:t>Felizarta</w:t>
      </w:r>
      <w:proofErr w:type="spellEnd"/>
      <w:r w:rsidRPr="000C58DA">
        <w:rPr>
          <w:rFonts w:ascii="Book Antiqua" w:hAnsi="Book Antiqua"/>
        </w:rPr>
        <w:t xml:space="preserve"> F. </w:t>
      </w:r>
      <w:proofErr w:type="spellStart"/>
      <w:r w:rsidRPr="000C58DA">
        <w:rPr>
          <w:rFonts w:ascii="Book Antiqua" w:hAnsi="Book Antiqua"/>
        </w:rPr>
        <w:t>Glecaprevir</w:t>
      </w:r>
      <w:proofErr w:type="spellEnd"/>
      <w:r w:rsidRPr="000C58DA">
        <w:rPr>
          <w:rFonts w:ascii="Book Antiqua" w:hAnsi="Book Antiqua"/>
        </w:rPr>
        <w:t>/</w:t>
      </w:r>
      <w:proofErr w:type="spellStart"/>
      <w:r w:rsidRPr="000C58DA">
        <w:rPr>
          <w:rFonts w:ascii="Book Antiqua" w:hAnsi="Book Antiqua"/>
        </w:rPr>
        <w:t>pibrentasvir</w:t>
      </w:r>
      <w:proofErr w:type="spellEnd"/>
      <w:r w:rsidRPr="000C58DA">
        <w:rPr>
          <w:rFonts w:ascii="Book Antiqua" w:hAnsi="Book Antiqua"/>
        </w:rPr>
        <w:t xml:space="preserve"> for 8</w:t>
      </w:r>
      <w:r w:rsidRPr="000C58DA">
        <w:t> </w:t>
      </w:r>
      <w:r w:rsidRPr="000C58DA">
        <w:rPr>
          <w:rFonts w:ascii="Book Antiqua" w:hAnsi="Book Antiqua"/>
        </w:rPr>
        <w:t>weeks in treatment-na</w:t>
      </w:r>
      <w:r w:rsidRPr="000C58DA">
        <w:rPr>
          <w:rFonts w:ascii="Book Antiqua" w:hAnsi="Book Antiqua" w:cs="Book Antiqua"/>
        </w:rPr>
        <w:t>ï</w:t>
      </w:r>
      <w:r w:rsidRPr="000C58DA">
        <w:rPr>
          <w:rFonts w:ascii="Book Antiqua" w:hAnsi="Book Antiqua"/>
        </w:rPr>
        <w:t xml:space="preserve">ve patients with chronic HCV genotypes 1-6 and compensated cirrhosis: The EXPEDITION-8 trial. </w:t>
      </w:r>
      <w:r w:rsidRPr="000C58DA">
        <w:rPr>
          <w:rFonts w:ascii="Book Antiqua" w:hAnsi="Book Antiqua"/>
          <w:i/>
          <w:iCs/>
        </w:rPr>
        <w:t>J Hepatol</w:t>
      </w:r>
      <w:r w:rsidRPr="000C58DA">
        <w:rPr>
          <w:rFonts w:ascii="Book Antiqua" w:hAnsi="Book Antiqua"/>
        </w:rPr>
        <w:t xml:space="preserve"> 2020; </w:t>
      </w:r>
      <w:r w:rsidRPr="000C58DA">
        <w:rPr>
          <w:rFonts w:ascii="Book Antiqua" w:hAnsi="Book Antiqua"/>
          <w:b/>
          <w:bCs/>
        </w:rPr>
        <w:t>72</w:t>
      </w:r>
      <w:r w:rsidRPr="000C58DA">
        <w:rPr>
          <w:rFonts w:ascii="Book Antiqua" w:hAnsi="Book Antiqua"/>
        </w:rPr>
        <w:t>: 441-449 [PMID: 31682879 DOI: 10.1016/j.jhep.2019.10.020]</w:t>
      </w:r>
    </w:p>
    <w:p w14:paraId="4C91E5A5"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15 </w:t>
      </w:r>
      <w:proofErr w:type="spellStart"/>
      <w:r w:rsidRPr="000C58DA">
        <w:rPr>
          <w:rFonts w:ascii="Book Antiqua" w:hAnsi="Book Antiqua"/>
          <w:b/>
          <w:bCs/>
        </w:rPr>
        <w:t>Rockstroh</w:t>
      </w:r>
      <w:proofErr w:type="spellEnd"/>
      <w:r w:rsidRPr="000C58DA">
        <w:rPr>
          <w:rFonts w:ascii="Book Antiqua" w:hAnsi="Book Antiqua"/>
          <w:b/>
          <w:bCs/>
        </w:rPr>
        <w:t xml:space="preserve"> JK</w:t>
      </w:r>
      <w:r w:rsidRPr="000C58DA">
        <w:rPr>
          <w:rFonts w:ascii="Book Antiqua" w:hAnsi="Book Antiqua"/>
        </w:rPr>
        <w:t xml:space="preserve">, Lacombe K, </w:t>
      </w:r>
      <w:proofErr w:type="spellStart"/>
      <w:r w:rsidRPr="000C58DA">
        <w:rPr>
          <w:rFonts w:ascii="Book Antiqua" w:hAnsi="Book Antiqua"/>
        </w:rPr>
        <w:t>Viani</w:t>
      </w:r>
      <w:proofErr w:type="spellEnd"/>
      <w:r w:rsidRPr="000C58DA">
        <w:rPr>
          <w:rFonts w:ascii="Book Antiqua" w:hAnsi="Book Antiqua"/>
        </w:rPr>
        <w:t xml:space="preserve"> RM, </w:t>
      </w:r>
      <w:proofErr w:type="spellStart"/>
      <w:r w:rsidRPr="000C58DA">
        <w:rPr>
          <w:rFonts w:ascii="Book Antiqua" w:hAnsi="Book Antiqua"/>
        </w:rPr>
        <w:t>Orkin</w:t>
      </w:r>
      <w:proofErr w:type="spellEnd"/>
      <w:r w:rsidRPr="000C58DA">
        <w:rPr>
          <w:rFonts w:ascii="Book Antiqua" w:hAnsi="Book Antiqua"/>
        </w:rPr>
        <w:t xml:space="preserve"> C, </w:t>
      </w:r>
      <w:proofErr w:type="spellStart"/>
      <w:r w:rsidRPr="000C58DA">
        <w:rPr>
          <w:rFonts w:ascii="Book Antiqua" w:hAnsi="Book Antiqua"/>
        </w:rPr>
        <w:t>Wyles</w:t>
      </w:r>
      <w:proofErr w:type="spellEnd"/>
      <w:r w:rsidRPr="000C58DA">
        <w:rPr>
          <w:rFonts w:ascii="Book Antiqua" w:hAnsi="Book Antiqua"/>
        </w:rPr>
        <w:t xml:space="preserve"> D, </w:t>
      </w:r>
      <w:proofErr w:type="spellStart"/>
      <w:r w:rsidRPr="000C58DA">
        <w:rPr>
          <w:rFonts w:ascii="Book Antiqua" w:hAnsi="Book Antiqua"/>
        </w:rPr>
        <w:t>Luetkemeyer</w:t>
      </w:r>
      <w:proofErr w:type="spellEnd"/>
      <w:r w:rsidRPr="000C58DA">
        <w:rPr>
          <w:rFonts w:ascii="Book Antiqua" w:hAnsi="Book Antiqua"/>
        </w:rPr>
        <w:t xml:space="preserve"> AF, Soto-</w:t>
      </w:r>
      <w:proofErr w:type="spellStart"/>
      <w:r w:rsidRPr="000C58DA">
        <w:rPr>
          <w:rFonts w:ascii="Book Antiqua" w:hAnsi="Book Antiqua"/>
        </w:rPr>
        <w:t>Malave</w:t>
      </w:r>
      <w:proofErr w:type="spellEnd"/>
      <w:r w:rsidRPr="000C58DA">
        <w:rPr>
          <w:rFonts w:ascii="Book Antiqua" w:hAnsi="Book Antiqua"/>
        </w:rPr>
        <w:t xml:space="preserve"> R, </w:t>
      </w:r>
      <w:proofErr w:type="spellStart"/>
      <w:r w:rsidRPr="000C58DA">
        <w:rPr>
          <w:rFonts w:ascii="Book Antiqua" w:hAnsi="Book Antiqua"/>
        </w:rPr>
        <w:t>Flisiak</w:t>
      </w:r>
      <w:proofErr w:type="spellEnd"/>
      <w:r w:rsidRPr="000C58DA">
        <w:rPr>
          <w:rFonts w:ascii="Book Antiqua" w:hAnsi="Book Antiqua"/>
        </w:rPr>
        <w:t xml:space="preserve"> R, </w:t>
      </w:r>
      <w:proofErr w:type="spellStart"/>
      <w:r w:rsidRPr="000C58DA">
        <w:rPr>
          <w:rFonts w:ascii="Book Antiqua" w:hAnsi="Book Antiqua"/>
        </w:rPr>
        <w:t>Bhagani</w:t>
      </w:r>
      <w:proofErr w:type="spellEnd"/>
      <w:r w:rsidRPr="000C58DA">
        <w:rPr>
          <w:rFonts w:ascii="Book Antiqua" w:hAnsi="Book Antiqua"/>
        </w:rPr>
        <w:t xml:space="preserve"> S, Sherman KE, </w:t>
      </w:r>
      <w:proofErr w:type="spellStart"/>
      <w:r w:rsidRPr="000C58DA">
        <w:rPr>
          <w:rFonts w:ascii="Book Antiqua" w:hAnsi="Book Antiqua"/>
        </w:rPr>
        <w:t>Shimonova</w:t>
      </w:r>
      <w:proofErr w:type="spellEnd"/>
      <w:r w:rsidRPr="000C58DA">
        <w:rPr>
          <w:rFonts w:ascii="Book Antiqua" w:hAnsi="Book Antiqua"/>
        </w:rPr>
        <w:t xml:space="preserve"> T, </w:t>
      </w:r>
      <w:proofErr w:type="spellStart"/>
      <w:r w:rsidRPr="000C58DA">
        <w:rPr>
          <w:rFonts w:ascii="Book Antiqua" w:hAnsi="Book Antiqua"/>
        </w:rPr>
        <w:t>Ruane</w:t>
      </w:r>
      <w:proofErr w:type="spellEnd"/>
      <w:r w:rsidRPr="000C58DA">
        <w:rPr>
          <w:rFonts w:ascii="Book Antiqua" w:hAnsi="Book Antiqua"/>
        </w:rPr>
        <w:t xml:space="preserve"> P, </w:t>
      </w:r>
      <w:proofErr w:type="spellStart"/>
      <w:r w:rsidRPr="000C58DA">
        <w:rPr>
          <w:rFonts w:ascii="Book Antiqua" w:hAnsi="Book Antiqua"/>
        </w:rPr>
        <w:t>Sasadeusz</w:t>
      </w:r>
      <w:proofErr w:type="spellEnd"/>
      <w:r w:rsidRPr="000C58DA">
        <w:rPr>
          <w:rFonts w:ascii="Book Antiqua" w:hAnsi="Book Antiqua"/>
        </w:rPr>
        <w:t xml:space="preserve"> J, Slim J, Zhang Z, </w:t>
      </w:r>
      <w:proofErr w:type="spellStart"/>
      <w:r w:rsidRPr="000C58DA">
        <w:rPr>
          <w:rFonts w:ascii="Book Antiqua" w:hAnsi="Book Antiqua"/>
        </w:rPr>
        <w:t>Samanta</w:t>
      </w:r>
      <w:proofErr w:type="spellEnd"/>
      <w:r w:rsidRPr="000C58DA">
        <w:rPr>
          <w:rFonts w:ascii="Book Antiqua" w:hAnsi="Book Antiqua"/>
        </w:rPr>
        <w:t xml:space="preserve"> S, Ng TI, </w:t>
      </w:r>
      <w:proofErr w:type="spellStart"/>
      <w:r w:rsidRPr="000C58DA">
        <w:rPr>
          <w:rFonts w:ascii="Book Antiqua" w:hAnsi="Book Antiqua"/>
        </w:rPr>
        <w:t>Gulati</w:t>
      </w:r>
      <w:proofErr w:type="spellEnd"/>
      <w:r w:rsidRPr="000C58DA">
        <w:rPr>
          <w:rFonts w:ascii="Book Antiqua" w:hAnsi="Book Antiqua"/>
        </w:rPr>
        <w:t xml:space="preserve"> A, </w:t>
      </w:r>
      <w:proofErr w:type="spellStart"/>
      <w:r w:rsidRPr="000C58DA">
        <w:rPr>
          <w:rFonts w:ascii="Book Antiqua" w:hAnsi="Book Antiqua"/>
        </w:rPr>
        <w:t>Kosloski</w:t>
      </w:r>
      <w:proofErr w:type="spellEnd"/>
      <w:r w:rsidRPr="000C58DA">
        <w:rPr>
          <w:rFonts w:ascii="Book Antiqua" w:hAnsi="Book Antiqua"/>
        </w:rPr>
        <w:t xml:space="preserve"> MP, Shulman NS, Trinh R, </w:t>
      </w:r>
      <w:proofErr w:type="spellStart"/>
      <w:r w:rsidRPr="000C58DA">
        <w:rPr>
          <w:rFonts w:ascii="Book Antiqua" w:hAnsi="Book Antiqua"/>
        </w:rPr>
        <w:t>Sulkowski</w:t>
      </w:r>
      <w:proofErr w:type="spellEnd"/>
      <w:r w:rsidRPr="000C58DA">
        <w:rPr>
          <w:rFonts w:ascii="Book Antiqua" w:hAnsi="Book Antiqua"/>
        </w:rPr>
        <w:t xml:space="preserve"> M. Efficacy and Safety of </w:t>
      </w:r>
      <w:proofErr w:type="spellStart"/>
      <w:r w:rsidRPr="000C58DA">
        <w:rPr>
          <w:rFonts w:ascii="Book Antiqua" w:hAnsi="Book Antiqua"/>
        </w:rPr>
        <w:t>Glecaprevir</w:t>
      </w:r>
      <w:proofErr w:type="spellEnd"/>
      <w:r w:rsidRPr="000C58DA">
        <w:rPr>
          <w:rFonts w:ascii="Book Antiqua" w:hAnsi="Book Antiqua"/>
        </w:rPr>
        <w:t>/</w:t>
      </w:r>
      <w:proofErr w:type="spellStart"/>
      <w:r w:rsidRPr="000C58DA">
        <w:rPr>
          <w:rFonts w:ascii="Book Antiqua" w:hAnsi="Book Antiqua"/>
        </w:rPr>
        <w:t>Pibrentasvir</w:t>
      </w:r>
      <w:proofErr w:type="spellEnd"/>
      <w:r w:rsidRPr="000C58DA">
        <w:rPr>
          <w:rFonts w:ascii="Book Antiqua" w:hAnsi="Book Antiqua"/>
        </w:rPr>
        <w:t xml:space="preserve"> in Patients </w:t>
      </w:r>
      <w:proofErr w:type="spellStart"/>
      <w:r w:rsidRPr="000C58DA">
        <w:rPr>
          <w:rFonts w:ascii="Book Antiqua" w:hAnsi="Book Antiqua"/>
        </w:rPr>
        <w:t>Coinfected</w:t>
      </w:r>
      <w:proofErr w:type="spellEnd"/>
      <w:r w:rsidRPr="000C58DA">
        <w:rPr>
          <w:rFonts w:ascii="Book Antiqua" w:hAnsi="Book Antiqua"/>
        </w:rPr>
        <w:t xml:space="preserve"> With Hepatitis C Virus and Human Immunodeficiency Virus Type 1: The EXPEDITION-2 Study. </w:t>
      </w:r>
      <w:r w:rsidRPr="000C58DA">
        <w:rPr>
          <w:rFonts w:ascii="Book Antiqua" w:hAnsi="Book Antiqua"/>
          <w:i/>
          <w:iCs/>
        </w:rPr>
        <w:t>Clin Infect Dis</w:t>
      </w:r>
      <w:r w:rsidRPr="000C58DA">
        <w:rPr>
          <w:rFonts w:ascii="Book Antiqua" w:hAnsi="Book Antiqua"/>
        </w:rPr>
        <w:t xml:space="preserve"> 2018; </w:t>
      </w:r>
      <w:r w:rsidRPr="000C58DA">
        <w:rPr>
          <w:rFonts w:ascii="Book Antiqua" w:hAnsi="Book Antiqua"/>
          <w:b/>
          <w:bCs/>
        </w:rPr>
        <w:t>67</w:t>
      </w:r>
      <w:r w:rsidRPr="000C58DA">
        <w:rPr>
          <w:rFonts w:ascii="Book Antiqua" w:hAnsi="Book Antiqua"/>
        </w:rPr>
        <w:t>: 1010-1017 [PMID: 29566246 DOI: 10.1093/</w:t>
      </w:r>
      <w:proofErr w:type="spellStart"/>
      <w:r w:rsidRPr="000C58DA">
        <w:rPr>
          <w:rFonts w:ascii="Book Antiqua" w:hAnsi="Book Antiqua"/>
        </w:rPr>
        <w:t>cid</w:t>
      </w:r>
      <w:proofErr w:type="spellEnd"/>
      <w:r w:rsidRPr="000C58DA">
        <w:rPr>
          <w:rFonts w:ascii="Book Antiqua" w:hAnsi="Book Antiqua"/>
        </w:rPr>
        <w:t>/ciy220]</w:t>
      </w:r>
    </w:p>
    <w:p w14:paraId="1423BCFE"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16 </w:t>
      </w:r>
      <w:proofErr w:type="spellStart"/>
      <w:r w:rsidRPr="000C58DA">
        <w:rPr>
          <w:rFonts w:ascii="Book Antiqua" w:hAnsi="Book Antiqua"/>
          <w:b/>
          <w:bCs/>
        </w:rPr>
        <w:t>Wyles</w:t>
      </w:r>
      <w:proofErr w:type="spellEnd"/>
      <w:r w:rsidRPr="000C58DA">
        <w:rPr>
          <w:rFonts w:ascii="Book Antiqua" w:hAnsi="Book Antiqua"/>
          <w:b/>
          <w:bCs/>
        </w:rPr>
        <w:t xml:space="preserve"> D</w:t>
      </w:r>
      <w:r w:rsidRPr="000C58DA">
        <w:rPr>
          <w:rFonts w:ascii="Book Antiqua" w:hAnsi="Book Antiqua"/>
        </w:rPr>
        <w:t xml:space="preserve">, </w:t>
      </w:r>
      <w:proofErr w:type="spellStart"/>
      <w:r w:rsidRPr="000C58DA">
        <w:rPr>
          <w:rFonts w:ascii="Book Antiqua" w:hAnsi="Book Antiqua"/>
        </w:rPr>
        <w:t>Bräu</w:t>
      </w:r>
      <w:proofErr w:type="spellEnd"/>
      <w:r w:rsidRPr="000C58DA">
        <w:rPr>
          <w:rFonts w:ascii="Book Antiqua" w:hAnsi="Book Antiqua"/>
        </w:rPr>
        <w:t xml:space="preserve"> N, </w:t>
      </w:r>
      <w:proofErr w:type="spellStart"/>
      <w:r w:rsidRPr="000C58DA">
        <w:rPr>
          <w:rFonts w:ascii="Book Antiqua" w:hAnsi="Book Antiqua"/>
        </w:rPr>
        <w:t>Kottilil</w:t>
      </w:r>
      <w:proofErr w:type="spellEnd"/>
      <w:r w:rsidRPr="000C58DA">
        <w:rPr>
          <w:rFonts w:ascii="Book Antiqua" w:hAnsi="Book Antiqua"/>
        </w:rPr>
        <w:t xml:space="preserve"> S, </w:t>
      </w:r>
      <w:proofErr w:type="spellStart"/>
      <w:r w:rsidRPr="000C58DA">
        <w:rPr>
          <w:rFonts w:ascii="Book Antiqua" w:hAnsi="Book Antiqua"/>
        </w:rPr>
        <w:t>Daar</w:t>
      </w:r>
      <w:proofErr w:type="spellEnd"/>
      <w:r w:rsidRPr="000C58DA">
        <w:rPr>
          <w:rFonts w:ascii="Book Antiqua" w:hAnsi="Book Antiqua"/>
        </w:rPr>
        <w:t xml:space="preserve"> ES, </w:t>
      </w:r>
      <w:proofErr w:type="spellStart"/>
      <w:r w:rsidRPr="000C58DA">
        <w:rPr>
          <w:rFonts w:ascii="Book Antiqua" w:hAnsi="Book Antiqua"/>
        </w:rPr>
        <w:t>Ruane</w:t>
      </w:r>
      <w:proofErr w:type="spellEnd"/>
      <w:r w:rsidRPr="000C58DA">
        <w:rPr>
          <w:rFonts w:ascii="Book Antiqua" w:hAnsi="Book Antiqua"/>
        </w:rPr>
        <w:t xml:space="preserve"> P, </w:t>
      </w:r>
      <w:proofErr w:type="spellStart"/>
      <w:r w:rsidRPr="000C58DA">
        <w:rPr>
          <w:rFonts w:ascii="Book Antiqua" w:hAnsi="Book Antiqua"/>
        </w:rPr>
        <w:t>Workowski</w:t>
      </w:r>
      <w:proofErr w:type="spellEnd"/>
      <w:r w:rsidRPr="000C58DA">
        <w:rPr>
          <w:rFonts w:ascii="Book Antiqua" w:hAnsi="Book Antiqua"/>
        </w:rPr>
        <w:t xml:space="preserve"> K, </w:t>
      </w:r>
      <w:proofErr w:type="spellStart"/>
      <w:r w:rsidRPr="000C58DA">
        <w:rPr>
          <w:rFonts w:ascii="Book Antiqua" w:hAnsi="Book Antiqua"/>
        </w:rPr>
        <w:t>Luetkemeyer</w:t>
      </w:r>
      <w:proofErr w:type="spellEnd"/>
      <w:r w:rsidRPr="000C58DA">
        <w:rPr>
          <w:rFonts w:ascii="Book Antiqua" w:hAnsi="Book Antiqua"/>
        </w:rPr>
        <w:t xml:space="preserve"> A, </w:t>
      </w:r>
      <w:proofErr w:type="spellStart"/>
      <w:r w:rsidRPr="000C58DA">
        <w:rPr>
          <w:rFonts w:ascii="Book Antiqua" w:hAnsi="Book Antiqua"/>
        </w:rPr>
        <w:t>Adeyemi</w:t>
      </w:r>
      <w:proofErr w:type="spellEnd"/>
      <w:r w:rsidRPr="000C58DA">
        <w:rPr>
          <w:rFonts w:ascii="Book Antiqua" w:hAnsi="Book Antiqua"/>
        </w:rPr>
        <w:t xml:space="preserve"> O, Kim AY, </w:t>
      </w:r>
      <w:proofErr w:type="spellStart"/>
      <w:r w:rsidRPr="000C58DA">
        <w:rPr>
          <w:rFonts w:ascii="Book Antiqua" w:hAnsi="Book Antiqua"/>
        </w:rPr>
        <w:t>Doehle</w:t>
      </w:r>
      <w:proofErr w:type="spellEnd"/>
      <w:r w:rsidRPr="000C58DA">
        <w:rPr>
          <w:rFonts w:ascii="Book Antiqua" w:hAnsi="Book Antiqua"/>
        </w:rPr>
        <w:t xml:space="preserve"> B, Huang KC, </w:t>
      </w:r>
      <w:proofErr w:type="spellStart"/>
      <w:r w:rsidRPr="000C58DA">
        <w:rPr>
          <w:rFonts w:ascii="Book Antiqua" w:hAnsi="Book Antiqua"/>
        </w:rPr>
        <w:t>Mogalian</w:t>
      </w:r>
      <w:proofErr w:type="spellEnd"/>
      <w:r w:rsidRPr="000C58DA">
        <w:rPr>
          <w:rFonts w:ascii="Book Antiqua" w:hAnsi="Book Antiqua"/>
        </w:rPr>
        <w:t xml:space="preserve"> E, </w:t>
      </w:r>
      <w:proofErr w:type="spellStart"/>
      <w:r w:rsidRPr="000C58DA">
        <w:rPr>
          <w:rFonts w:ascii="Book Antiqua" w:hAnsi="Book Antiqua"/>
        </w:rPr>
        <w:t>Osinusi</w:t>
      </w:r>
      <w:proofErr w:type="spellEnd"/>
      <w:r w:rsidRPr="000C58DA">
        <w:rPr>
          <w:rFonts w:ascii="Book Antiqua" w:hAnsi="Book Antiqua"/>
        </w:rPr>
        <w:t xml:space="preserve"> A, McNally J, </w:t>
      </w:r>
      <w:proofErr w:type="spellStart"/>
      <w:r w:rsidRPr="000C58DA">
        <w:rPr>
          <w:rFonts w:ascii="Book Antiqua" w:hAnsi="Book Antiqua"/>
        </w:rPr>
        <w:t>Brainard</w:t>
      </w:r>
      <w:proofErr w:type="spellEnd"/>
      <w:r w:rsidRPr="000C58DA">
        <w:rPr>
          <w:rFonts w:ascii="Book Antiqua" w:hAnsi="Book Antiqua"/>
        </w:rPr>
        <w:t xml:space="preserve"> DM, </w:t>
      </w:r>
      <w:proofErr w:type="spellStart"/>
      <w:r w:rsidRPr="000C58DA">
        <w:rPr>
          <w:rFonts w:ascii="Book Antiqua" w:hAnsi="Book Antiqua"/>
        </w:rPr>
        <w:t>McHutchison</w:t>
      </w:r>
      <w:proofErr w:type="spellEnd"/>
      <w:r w:rsidRPr="000C58DA">
        <w:rPr>
          <w:rFonts w:ascii="Book Antiqua" w:hAnsi="Book Antiqua"/>
        </w:rPr>
        <w:t xml:space="preserve"> JG, </w:t>
      </w:r>
      <w:proofErr w:type="spellStart"/>
      <w:r w:rsidRPr="000C58DA">
        <w:rPr>
          <w:rFonts w:ascii="Book Antiqua" w:hAnsi="Book Antiqua"/>
        </w:rPr>
        <w:t>Naggie</w:t>
      </w:r>
      <w:proofErr w:type="spellEnd"/>
      <w:r w:rsidRPr="000C58DA">
        <w:rPr>
          <w:rFonts w:ascii="Book Antiqua" w:hAnsi="Book Antiqua"/>
        </w:rPr>
        <w:t xml:space="preserve"> S, </w:t>
      </w:r>
      <w:proofErr w:type="spellStart"/>
      <w:r w:rsidRPr="000C58DA">
        <w:rPr>
          <w:rFonts w:ascii="Book Antiqua" w:hAnsi="Book Antiqua"/>
        </w:rPr>
        <w:t>Sulkowski</w:t>
      </w:r>
      <w:proofErr w:type="spellEnd"/>
      <w:r w:rsidRPr="000C58DA">
        <w:rPr>
          <w:rFonts w:ascii="Book Antiqua" w:hAnsi="Book Antiqua"/>
        </w:rPr>
        <w:t xml:space="preserve"> M; ASTRAL-5 Investigators. </w:t>
      </w:r>
      <w:proofErr w:type="spellStart"/>
      <w:r w:rsidRPr="000C58DA">
        <w:rPr>
          <w:rFonts w:ascii="Book Antiqua" w:hAnsi="Book Antiqua"/>
        </w:rPr>
        <w:t>Sofosbuvir</w:t>
      </w:r>
      <w:proofErr w:type="spellEnd"/>
      <w:r w:rsidRPr="000C58DA">
        <w:rPr>
          <w:rFonts w:ascii="Book Antiqua" w:hAnsi="Book Antiqua"/>
        </w:rPr>
        <w:t xml:space="preserve"> and </w:t>
      </w:r>
      <w:proofErr w:type="spellStart"/>
      <w:r w:rsidRPr="000C58DA">
        <w:rPr>
          <w:rFonts w:ascii="Book Antiqua" w:hAnsi="Book Antiqua"/>
        </w:rPr>
        <w:t>Velpatasvir</w:t>
      </w:r>
      <w:proofErr w:type="spellEnd"/>
      <w:r w:rsidRPr="000C58DA">
        <w:rPr>
          <w:rFonts w:ascii="Book Antiqua" w:hAnsi="Book Antiqua"/>
        </w:rPr>
        <w:t xml:space="preserve"> for the Treatment of Hepatitis C Virus in Patients Coinfected With Human Immunodeficiency Virus Type 1: An Open-Label, Phase 3 Study. </w:t>
      </w:r>
      <w:r w:rsidRPr="000C58DA">
        <w:rPr>
          <w:rFonts w:ascii="Book Antiqua" w:hAnsi="Book Antiqua"/>
          <w:i/>
          <w:iCs/>
        </w:rPr>
        <w:t>Clin Infect Dis</w:t>
      </w:r>
      <w:r w:rsidRPr="000C58DA">
        <w:rPr>
          <w:rFonts w:ascii="Book Antiqua" w:hAnsi="Book Antiqua"/>
        </w:rPr>
        <w:t xml:space="preserve"> 2017; </w:t>
      </w:r>
      <w:r w:rsidRPr="000C58DA">
        <w:rPr>
          <w:rFonts w:ascii="Book Antiqua" w:hAnsi="Book Antiqua"/>
          <w:b/>
          <w:bCs/>
        </w:rPr>
        <w:t>65</w:t>
      </w:r>
      <w:r w:rsidRPr="000C58DA">
        <w:rPr>
          <w:rFonts w:ascii="Book Antiqua" w:hAnsi="Book Antiqua"/>
        </w:rPr>
        <w:t>: 6-12 [PMID: 28369210 DOI: 10.1093/</w:t>
      </w:r>
      <w:proofErr w:type="spellStart"/>
      <w:r w:rsidRPr="000C58DA">
        <w:rPr>
          <w:rFonts w:ascii="Book Antiqua" w:hAnsi="Book Antiqua"/>
        </w:rPr>
        <w:t>cid</w:t>
      </w:r>
      <w:proofErr w:type="spellEnd"/>
      <w:r w:rsidRPr="000C58DA">
        <w:rPr>
          <w:rFonts w:ascii="Book Antiqua" w:hAnsi="Book Antiqua"/>
        </w:rPr>
        <w:t>/cix260]</w:t>
      </w:r>
    </w:p>
    <w:p w14:paraId="3A160BC7"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17 </w:t>
      </w:r>
      <w:r w:rsidRPr="000C58DA">
        <w:rPr>
          <w:rFonts w:ascii="Book Antiqua" w:hAnsi="Book Antiqua"/>
          <w:b/>
          <w:bCs/>
        </w:rPr>
        <w:t>Liu CH</w:t>
      </w:r>
      <w:r w:rsidRPr="000C58DA">
        <w:rPr>
          <w:rFonts w:ascii="Book Antiqua" w:hAnsi="Book Antiqua"/>
        </w:rPr>
        <w:t xml:space="preserve">, Sun HY, Hsieh SM, Liu WC, Sheng WH, Liu CJ, Su TH, Tseng TC, Chen PJ, Hung CC, Kao JH. Evolution of estimated glomerular filtration rate in human immunodeficiency virus and hepatitis C virus-coinfected patients receiving sofosbuvir-based direct-acting antivirals and antiretroviral therapy. </w:t>
      </w:r>
      <w:r w:rsidRPr="000C58DA">
        <w:rPr>
          <w:rFonts w:ascii="Book Antiqua" w:hAnsi="Book Antiqua"/>
          <w:i/>
          <w:iCs/>
        </w:rPr>
        <w:t xml:space="preserve">J Viral </w:t>
      </w:r>
      <w:proofErr w:type="spellStart"/>
      <w:r w:rsidRPr="000C58DA">
        <w:rPr>
          <w:rFonts w:ascii="Book Antiqua" w:hAnsi="Book Antiqua"/>
          <w:i/>
          <w:iCs/>
        </w:rPr>
        <w:t>Hepat</w:t>
      </w:r>
      <w:proofErr w:type="spellEnd"/>
      <w:r w:rsidRPr="000C58DA">
        <w:rPr>
          <w:rFonts w:ascii="Book Antiqua" w:hAnsi="Book Antiqua"/>
        </w:rPr>
        <w:t xml:space="preserve"> 2021; </w:t>
      </w:r>
      <w:r w:rsidRPr="000C58DA">
        <w:rPr>
          <w:rFonts w:ascii="Book Antiqua" w:hAnsi="Book Antiqua"/>
          <w:b/>
          <w:bCs/>
        </w:rPr>
        <w:t>28</w:t>
      </w:r>
      <w:r w:rsidRPr="000C58DA">
        <w:rPr>
          <w:rFonts w:ascii="Book Antiqua" w:hAnsi="Book Antiqua"/>
        </w:rPr>
        <w:t>: 887-896 [PMID: 33759290 DOI: 10.1111/jvh.13502]</w:t>
      </w:r>
    </w:p>
    <w:p w14:paraId="7ACEB146"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18 </w:t>
      </w:r>
      <w:r w:rsidRPr="000C58DA">
        <w:rPr>
          <w:rFonts w:ascii="Book Antiqua" w:hAnsi="Book Antiqua"/>
          <w:b/>
          <w:bCs/>
        </w:rPr>
        <w:t>Liu CH</w:t>
      </w:r>
      <w:r w:rsidRPr="000C58DA">
        <w:rPr>
          <w:rFonts w:ascii="Book Antiqua" w:hAnsi="Book Antiqua"/>
        </w:rPr>
        <w:t xml:space="preserve">, Chen PY, Chen JJ, Lo CC, Su WW, Tseng KC, Liu CJ, Huang CS, Huang KJ, Yang SS, Peng CY, Tsai MC, Kao WY, Chang CY, Shih YL, Fang YJ, Chen CY, Lee PL, Huang JJ, Su PY, Tseng CW, Hung CC, Chang CH, Huang YJ, Lai HC, Chang CC, Lee FJ, Hsieh TY, Kao JH. </w:t>
      </w:r>
      <w:proofErr w:type="spellStart"/>
      <w:r w:rsidRPr="000C58DA">
        <w:rPr>
          <w:rFonts w:ascii="Book Antiqua" w:hAnsi="Book Antiqua"/>
        </w:rPr>
        <w:t>Sofosbuvir</w:t>
      </w:r>
      <w:proofErr w:type="spellEnd"/>
      <w:r w:rsidRPr="000C58DA">
        <w:rPr>
          <w:rFonts w:ascii="Book Antiqua" w:hAnsi="Book Antiqua"/>
        </w:rPr>
        <w:t>/</w:t>
      </w:r>
      <w:proofErr w:type="spellStart"/>
      <w:r w:rsidRPr="000C58DA">
        <w:rPr>
          <w:rFonts w:ascii="Book Antiqua" w:hAnsi="Book Antiqua"/>
        </w:rPr>
        <w:t>velpatasvir</w:t>
      </w:r>
      <w:proofErr w:type="spellEnd"/>
      <w:r w:rsidRPr="000C58DA">
        <w:rPr>
          <w:rFonts w:ascii="Book Antiqua" w:hAnsi="Book Antiqua"/>
        </w:rPr>
        <w:t xml:space="preserve"> for patients with chronic hepatitis C virus infection and compensated liver disease: real-world data in Taiwan. </w:t>
      </w:r>
      <w:r w:rsidRPr="000C58DA">
        <w:rPr>
          <w:rFonts w:ascii="Book Antiqua" w:hAnsi="Book Antiqua"/>
          <w:i/>
          <w:iCs/>
        </w:rPr>
        <w:t>Hepatol Int</w:t>
      </w:r>
      <w:r w:rsidRPr="000C58DA">
        <w:rPr>
          <w:rFonts w:ascii="Book Antiqua" w:hAnsi="Book Antiqua"/>
        </w:rPr>
        <w:t xml:space="preserve"> 2021; </w:t>
      </w:r>
      <w:r w:rsidRPr="000C58DA">
        <w:rPr>
          <w:rFonts w:ascii="Book Antiqua" w:hAnsi="Book Antiqua"/>
          <w:b/>
          <w:bCs/>
        </w:rPr>
        <w:t>15</w:t>
      </w:r>
      <w:r w:rsidRPr="000C58DA">
        <w:rPr>
          <w:rFonts w:ascii="Book Antiqua" w:hAnsi="Book Antiqua"/>
        </w:rPr>
        <w:t>: 338-349 [PMID: 33677787 DOI: 10.1007/s12072-021-10158-x]</w:t>
      </w:r>
    </w:p>
    <w:p w14:paraId="6673BE6B"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lastRenderedPageBreak/>
        <w:t xml:space="preserve">19 </w:t>
      </w:r>
      <w:proofErr w:type="spellStart"/>
      <w:r w:rsidRPr="000C58DA">
        <w:rPr>
          <w:rFonts w:ascii="Book Antiqua" w:hAnsi="Book Antiqua"/>
          <w:b/>
          <w:bCs/>
        </w:rPr>
        <w:t>Rockstroh</w:t>
      </w:r>
      <w:proofErr w:type="spellEnd"/>
      <w:r w:rsidRPr="000C58DA">
        <w:rPr>
          <w:rFonts w:ascii="Book Antiqua" w:hAnsi="Book Antiqua"/>
          <w:b/>
          <w:bCs/>
        </w:rPr>
        <w:t xml:space="preserve"> J</w:t>
      </w:r>
      <w:r w:rsidRPr="000C58DA">
        <w:rPr>
          <w:rFonts w:ascii="Book Antiqua" w:hAnsi="Book Antiqua"/>
        </w:rPr>
        <w:t xml:space="preserve">, </w:t>
      </w:r>
      <w:proofErr w:type="spellStart"/>
      <w:r w:rsidRPr="000C58DA">
        <w:rPr>
          <w:rFonts w:ascii="Book Antiqua" w:hAnsi="Book Antiqua"/>
        </w:rPr>
        <w:t>Boesecke</w:t>
      </w:r>
      <w:proofErr w:type="spellEnd"/>
      <w:r w:rsidRPr="000C58DA">
        <w:rPr>
          <w:rFonts w:ascii="Book Antiqua" w:hAnsi="Book Antiqua"/>
        </w:rPr>
        <w:t xml:space="preserve"> C. Treatment of acute hepatitis C in HIV coinfection: Is this a chance for achieving </w:t>
      </w:r>
      <w:proofErr w:type="spellStart"/>
      <w:r w:rsidRPr="000C58DA">
        <w:rPr>
          <w:rFonts w:ascii="Book Antiqua" w:hAnsi="Book Antiqua"/>
        </w:rPr>
        <w:t>microelimination</w:t>
      </w:r>
      <w:proofErr w:type="spellEnd"/>
      <w:r w:rsidRPr="000C58DA">
        <w:rPr>
          <w:rFonts w:ascii="Book Antiqua" w:hAnsi="Book Antiqua"/>
        </w:rPr>
        <w:t xml:space="preserve">? </w:t>
      </w:r>
      <w:r w:rsidRPr="000C58DA">
        <w:rPr>
          <w:rFonts w:ascii="Book Antiqua" w:hAnsi="Book Antiqua"/>
          <w:i/>
          <w:iCs/>
        </w:rPr>
        <w:t>United European Gastroenterol J</w:t>
      </w:r>
      <w:r w:rsidRPr="000C58DA">
        <w:rPr>
          <w:rFonts w:ascii="Book Antiqua" w:hAnsi="Book Antiqua"/>
        </w:rPr>
        <w:t xml:space="preserve"> 2019; </w:t>
      </w:r>
      <w:r w:rsidRPr="000C58DA">
        <w:rPr>
          <w:rFonts w:ascii="Book Antiqua" w:hAnsi="Book Antiqua"/>
          <w:b/>
          <w:bCs/>
        </w:rPr>
        <w:t>7</w:t>
      </w:r>
      <w:r w:rsidRPr="000C58DA">
        <w:rPr>
          <w:rFonts w:ascii="Book Antiqua" w:hAnsi="Book Antiqua"/>
        </w:rPr>
        <w:t>: 465-466 [PMID: 31065363 DOI: 10.1177/2050640619843735]</w:t>
      </w:r>
    </w:p>
    <w:p w14:paraId="015CEF9C"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20 </w:t>
      </w:r>
      <w:r w:rsidRPr="000C58DA">
        <w:rPr>
          <w:rFonts w:ascii="Book Antiqua" w:hAnsi="Book Antiqua"/>
          <w:b/>
          <w:bCs/>
        </w:rPr>
        <w:t>Heffernan A</w:t>
      </w:r>
      <w:r w:rsidRPr="000C58DA">
        <w:rPr>
          <w:rFonts w:ascii="Book Antiqua" w:hAnsi="Book Antiqua"/>
        </w:rPr>
        <w:t xml:space="preserve">, Cooke GS, </w:t>
      </w:r>
      <w:proofErr w:type="spellStart"/>
      <w:r w:rsidRPr="000C58DA">
        <w:rPr>
          <w:rFonts w:ascii="Book Antiqua" w:hAnsi="Book Antiqua"/>
        </w:rPr>
        <w:t>Nayagam</w:t>
      </w:r>
      <w:proofErr w:type="spellEnd"/>
      <w:r w:rsidRPr="000C58DA">
        <w:rPr>
          <w:rFonts w:ascii="Book Antiqua" w:hAnsi="Book Antiqua"/>
        </w:rPr>
        <w:t xml:space="preserve"> S, </w:t>
      </w:r>
      <w:proofErr w:type="spellStart"/>
      <w:r w:rsidRPr="000C58DA">
        <w:rPr>
          <w:rFonts w:ascii="Book Antiqua" w:hAnsi="Book Antiqua"/>
        </w:rPr>
        <w:t>Thursz</w:t>
      </w:r>
      <w:proofErr w:type="spellEnd"/>
      <w:r w:rsidRPr="000C58DA">
        <w:rPr>
          <w:rFonts w:ascii="Book Antiqua" w:hAnsi="Book Antiqua"/>
        </w:rPr>
        <w:t xml:space="preserve"> M, Hallett TB. Scaling up prevention and treatment towards the elimination of hepatitis C: a global mathematical model. </w:t>
      </w:r>
      <w:r w:rsidRPr="000C58DA">
        <w:rPr>
          <w:rFonts w:ascii="Book Antiqua" w:hAnsi="Book Antiqua"/>
          <w:i/>
          <w:iCs/>
        </w:rPr>
        <w:t>Lancet</w:t>
      </w:r>
      <w:r w:rsidRPr="000C58DA">
        <w:rPr>
          <w:rFonts w:ascii="Book Antiqua" w:hAnsi="Book Antiqua"/>
        </w:rPr>
        <w:t xml:space="preserve"> 2019; </w:t>
      </w:r>
      <w:r w:rsidRPr="000C58DA">
        <w:rPr>
          <w:rFonts w:ascii="Book Antiqua" w:hAnsi="Book Antiqua"/>
          <w:b/>
          <w:bCs/>
        </w:rPr>
        <w:t>393</w:t>
      </w:r>
      <w:r w:rsidRPr="000C58DA">
        <w:rPr>
          <w:rFonts w:ascii="Book Antiqua" w:hAnsi="Book Antiqua"/>
        </w:rPr>
        <w:t>: 1319-1329 [PMID: 30704789 DOI: 10.1016/S0140-6736(18)32277-3]</w:t>
      </w:r>
    </w:p>
    <w:p w14:paraId="6560D3E4"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21 </w:t>
      </w:r>
      <w:r w:rsidRPr="000C58DA">
        <w:rPr>
          <w:rFonts w:ascii="Book Antiqua" w:hAnsi="Book Antiqua"/>
          <w:b/>
          <w:bCs/>
        </w:rPr>
        <w:t>Kao JH</w:t>
      </w:r>
      <w:r w:rsidRPr="000C58DA">
        <w:rPr>
          <w:rFonts w:ascii="Book Antiqua" w:hAnsi="Book Antiqua"/>
        </w:rPr>
        <w:t xml:space="preserve">. Hepatitis C virus infection in Taiwan: Past, present, and future. </w:t>
      </w:r>
      <w:r w:rsidRPr="000C58DA">
        <w:rPr>
          <w:rFonts w:ascii="Book Antiqua" w:hAnsi="Book Antiqua"/>
          <w:i/>
          <w:iCs/>
        </w:rPr>
        <w:t xml:space="preserve">J </w:t>
      </w:r>
      <w:proofErr w:type="spellStart"/>
      <w:r w:rsidRPr="000C58DA">
        <w:rPr>
          <w:rFonts w:ascii="Book Antiqua" w:hAnsi="Book Antiqua"/>
          <w:i/>
          <w:iCs/>
        </w:rPr>
        <w:t>Formos</w:t>
      </w:r>
      <w:proofErr w:type="spellEnd"/>
      <w:r w:rsidRPr="000C58DA">
        <w:rPr>
          <w:rFonts w:ascii="Book Antiqua" w:hAnsi="Book Antiqua"/>
          <w:i/>
          <w:iCs/>
        </w:rPr>
        <w:t xml:space="preserve"> Med </w:t>
      </w:r>
      <w:proofErr w:type="spellStart"/>
      <w:r w:rsidRPr="000C58DA">
        <w:rPr>
          <w:rFonts w:ascii="Book Antiqua" w:hAnsi="Book Antiqua"/>
          <w:i/>
          <w:iCs/>
        </w:rPr>
        <w:t>Assoc</w:t>
      </w:r>
      <w:proofErr w:type="spellEnd"/>
      <w:r w:rsidRPr="000C58DA">
        <w:rPr>
          <w:rFonts w:ascii="Book Antiqua" w:hAnsi="Book Antiqua"/>
        </w:rPr>
        <w:t xml:space="preserve"> 2016; </w:t>
      </w:r>
      <w:r w:rsidRPr="000C58DA">
        <w:rPr>
          <w:rFonts w:ascii="Book Antiqua" w:hAnsi="Book Antiqua"/>
          <w:b/>
          <w:bCs/>
        </w:rPr>
        <w:t>115</w:t>
      </w:r>
      <w:r w:rsidRPr="000C58DA">
        <w:rPr>
          <w:rFonts w:ascii="Book Antiqua" w:hAnsi="Book Antiqua"/>
        </w:rPr>
        <w:t>: 65-66 [PMID: 26228687 DOI: 10.1016/j.jfma.2015.06.012]</w:t>
      </w:r>
    </w:p>
    <w:p w14:paraId="4EADAFB7"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22 </w:t>
      </w:r>
      <w:r w:rsidRPr="000C58DA">
        <w:rPr>
          <w:rFonts w:ascii="Book Antiqua" w:hAnsi="Book Antiqua"/>
          <w:b/>
          <w:bCs/>
        </w:rPr>
        <w:t>Liu CH</w:t>
      </w:r>
      <w:r w:rsidRPr="000C58DA">
        <w:rPr>
          <w:rFonts w:ascii="Book Antiqua" w:hAnsi="Book Antiqua"/>
        </w:rPr>
        <w:t xml:space="preserve">, Sheng WH, Sun HY, Hsieh SM, Lo YC, Liu CJ, Su TH, Yang HC, Liu WC, Chen PJ, Chen DS, Hung CC, Kao JH. Peginterferon plus Ribavirin for HIV-infected Patients with Treatment-Naïve Acute or Chronic HCV Infection in Taiwan: A Prospective Cohort Study. </w:t>
      </w:r>
      <w:r w:rsidRPr="000C58DA">
        <w:rPr>
          <w:rFonts w:ascii="Book Antiqua" w:hAnsi="Book Antiqua"/>
          <w:i/>
          <w:iCs/>
        </w:rPr>
        <w:t>Sci Rep</w:t>
      </w:r>
      <w:r w:rsidRPr="000C58DA">
        <w:rPr>
          <w:rFonts w:ascii="Book Antiqua" w:hAnsi="Book Antiqua"/>
        </w:rPr>
        <w:t xml:space="preserve"> 2015; </w:t>
      </w:r>
      <w:r w:rsidRPr="000C58DA">
        <w:rPr>
          <w:rFonts w:ascii="Book Antiqua" w:hAnsi="Book Antiqua"/>
          <w:b/>
          <w:bCs/>
        </w:rPr>
        <w:t>5</w:t>
      </w:r>
      <w:r w:rsidRPr="000C58DA">
        <w:rPr>
          <w:rFonts w:ascii="Book Antiqua" w:hAnsi="Book Antiqua"/>
        </w:rPr>
        <w:t>: 17410 [PMID: 26616669 DOI: 10.1038/srep17410]</w:t>
      </w:r>
    </w:p>
    <w:p w14:paraId="783AD545"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23 </w:t>
      </w:r>
      <w:r w:rsidRPr="000C58DA">
        <w:rPr>
          <w:rFonts w:ascii="Book Antiqua" w:hAnsi="Book Antiqua"/>
          <w:b/>
          <w:bCs/>
        </w:rPr>
        <w:t>Liu CH</w:t>
      </w:r>
      <w:r w:rsidRPr="000C58DA">
        <w:rPr>
          <w:rFonts w:ascii="Book Antiqua" w:hAnsi="Book Antiqua"/>
        </w:rPr>
        <w:t xml:space="preserve">, Sun HY, Liu CJ, Sheng WH, Hsieh SM, Lo YC, Liu WC, Su TH, Yang HC, Hong CM, Tseng TC, Chen PJ, Chen DS, Hung CC, Kao JH. Generic </w:t>
      </w:r>
      <w:proofErr w:type="spellStart"/>
      <w:r w:rsidRPr="000C58DA">
        <w:rPr>
          <w:rFonts w:ascii="Book Antiqua" w:hAnsi="Book Antiqua"/>
        </w:rPr>
        <w:t>velpatasvir</w:t>
      </w:r>
      <w:proofErr w:type="spellEnd"/>
      <w:r w:rsidRPr="000C58DA">
        <w:rPr>
          <w:rFonts w:ascii="Book Antiqua" w:hAnsi="Book Antiqua"/>
        </w:rPr>
        <w:t xml:space="preserve"> plus </w:t>
      </w:r>
      <w:proofErr w:type="spellStart"/>
      <w:r w:rsidRPr="000C58DA">
        <w:rPr>
          <w:rFonts w:ascii="Book Antiqua" w:hAnsi="Book Antiqua"/>
        </w:rPr>
        <w:t>sofosbuvir</w:t>
      </w:r>
      <w:proofErr w:type="spellEnd"/>
      <w:r w:rsidRPr="000C58DA">
        <w:rPr>
          <w:rFonts w:ascii="Book Antiqua" w:hAnsi="Book Antiqua"/>
        </w:rPr>
        <w:t xml:space="preserve"> for hepatitis C virus infection in patients with or without human immunodeficiency virus coinfection. </w:t>
      </w:r>
      <w:r w:rsidRPr="000C58DA">
        <w:rPr>
          <w:rFonts w:ascii="Book Antiqua" w:hAnsi="Book Antiqua"/>
          <w:i/>
          <w:iCs/>
        </w:rPr>
        <w:t xml:space="preserve">Aliment </w:t>
      </w:r>
      <w:proofErr w:type="spellStart"/>
      <w:r w:rsidRPr="000C58DA">
        <w:rPr>
          <w:rFonts w:ascii="Book Antiqua" w:hAnsi="Book Antiqua"/>
          <w:i/>
          <w:iCs/>
        </w:rPr>
        <w:t>Pharmacol</w:t>
      </w:r>
      <w:proofErr w:type="spellEnd"/>
      <w:r w:rsidRPr="000C58DA">
        <w:rPr>
          <w:rFonts w:ascii="Book Antiqua" w:hAnsi="Book Antiqua"/>
          <w:i/>
          <w:iCs/>
        </w:rPr>
        <w:t xml:space="preserve"> </w:t>
      </w:r>
      <w:proofErr w:type="spellStart"/>
      <w:r w:rsidRPr="000C58DA">
        <w:rPr>
          <w:rFonts w:ascii="Book Antiqua" w:hAnsi="Book Antiqua"/>
          <w:i/>
          <w:iCs/>
        </w:rPr>
        <w:t>Ther</w:t>
      </w:r>
      <w:proofErr w:type="spellEnd"/>
      <w:r w:rsidRPr="000C58DA">
        <w:rPr>
          <w:rFonts w:ascii="Book Antiqua" w:hAnsi="Book Antiqua"/>
        </w:rPr>
        <w:t xml:space="preserve"> 2018; </w:t>
      </w:r>
      <w:r w:rsidRPr="000C58DA">
        <w:rPr>
          <w:rFonts w:ascii="Book Antiqua" w:hAnsi="Book Antiqua"/>
          <w:b/>
          <w:bCs/>
        </w:rPr>
        <w:t>47</w:t>
      </w:r>
      <w:r w:rsidRPr="000C58DA">
        <w:rPr>
          <w:rFonts w:ascii="Book Antiqua" w:hAnsi="Book Antiqua"/>
        </w:rPr>
        <w:t>: 1690-1698 [PMID: 29665069 DOI: 10.1111/apt.14647]</w:t>
      </w:r>
    </w:p>
    <w:p w14:paraId="0414B773"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24 </w:t>
      </w:r>
      <w:proofErr w:type="spellStart"/>
      <w:r w:rsidRPr="000C58DA">
        <w:rPr>
          <w:rFonts w:ascii="Book Antiqua" w:hAnsi="Book Antiqua"/>
          <w:b/>
          <w:bCs/>
        </w:rPr>
        <w:t>Janjua</w:t>
      </w:r>
      <w:proofErr w:type="spellEnd"/>
      <w:r w:rsidRPr="000C58DA">
        <w:rPr>
          <w:rFonts w:ascii="Book Antiqua" w:hAnsi="Book Antiqua"/>
          <w:b/>
          <w:bCs/>
        </w:rPr>
        <w:t xml:space="preserve"> NZ</w:t>
      </w:r>
      <w:r w:rsidRPr="000C58DA">
        <w:rPr>
          <w:rFonts w:ascii="Book Antiqua" w:hAnsi="Book Antiqua"/>
        </w:rPr>
        <w:t xml:space="preserve">, </w:t>
      </w:r>
      <w:proofErr w:type="spellStart"/>
      <w:r w:rsidRPr="000C58DA">
        <w:rPr>
          <w:rFonts w:ascii="Book Antiqua" w:hAnsi="Book Antiqua"/>
        </w:rPr>
        <w:t>Kuo</w:t>
      </w:r>
      <w:proofErr w:type="spellEnd"/>
      <w:r w:rsidRPr="000C58DA">
        <w:rPr>
          <w:rFonts w:ascii="Book Antiqua" w:hAnsi="Book Antiqua"/>
        </w:rPr>
        <w:t xml:space="preserve"> M, Yu A, Alvarez M, Wong S, Cook D, Wong J, </w:t>
      </w:r>
      <w:proofErr w:type="spellStart"/>
      <w:r w:rsidRPr="000C58DA">
        <w:rPr>
          <w:rFonts w:ascii="Book Antiqua" w:hAnsi="Book Antiqua"/>
        </w:rPr>
        <w:t>Grebely</w:t>
      </w:r>
      <w:proofErr w:type="spellEnd"/>
      <w:r w:rsidRPr="000C58DA">
        <w:rPr>
          <w:rFonts w:ascii="Book Antiqua" w:hAnsi="Book Antiqua"/>
        </w:rPr>
        <w:t xml:space="preserve"> J, Butt ZA, </w:t>
      </w:r>
      <w:proofErr w:type="spellStart"/>
      <w:r w:rsidRPr="000C58DA">
        <w:rPr>
          <w:rFonts w:ascii="Book Antiqua" w:hAnsi="Book Antiqua"/>
        </w:rPr>
        <w:t>Samji</w:t>
      </w:r>
      <w:proofErr w:type="spellEnd"/>
      <w:r w:rsidRPr="000C58DA">
        <w:rPr>
          <w:rFonts w:ascii="Book Antiqua" w:hAnsi="Book Antiqua"/>
        </w:rPr>
        <w:t xml:space="preserve"> H, </w:t>
      </w:r>
      <w:proofErr w:type="spellStart"/>
      <w:r w:rsidRPr="000C58DA">
        <w:rPr>
          <w:rFonts w:ascii="Book Antiqua" w:hAnsi="Book Antiqua"/>
        </w:rPr>
        <w:t>Ramji</w:t>
      </w:r>
      <w:proofErr w:type="spellEnd"/>
      <w:r w:rsidRPr="000C58DA">
        <w:rPr>
          <w:rFonts w:ascii="Book Antiqua" w:hAnsi="Book Antiqua"/>
        </w:rPr>
        <w:t xml:space="preserve"> A, Tyndall M, </w:t>
      </w:r>
      <w:proofErr w:type="spellStart"/>
      <w:r w:rsidRPr="000C58DA">
        <w:rPr>
          <w:rFonts w:ascii="Book Antiqua" w:hAnsi="Book Antiqua"/>
        </w:rPr>
        <w:t>Krajden</w:t>
      </w:r>
      <w:proofErr w:type="spellEnd"/>
      <w:r w:rsidRPr="000C58DA">
        <w:rPr>
          <w:rFonts w:ascii="Book Antiqua" w:hAnsi="Book Antiqua"/>
        </w:rPr>
        <w:t xml:space="preserve"> M. The Population Level Cascade of Care for Hepatitis C in British Columbia, Canada: The BC Hepatitis Testers Cohort (BC-HTC). </w:t>
      </w:r>
      <w:proofErr w:type="spellStart"/>
      <w:r w:rsidRPr="000C58DA">
        <w:rPr>
          <w:rFonts w:ascii="Book Antiqua" w:hAnsi="Book Antiqua"/>
          <w:i/>
          <w:iCs/>
        </w:rPr>
        <w:t>EBioMedicine</w:t>
      </w:r>
      <w:proofErr w:type="spellEnd"/>
      <w:r w:rsidRPr="000C58DA">
        <w:rPr>
          <w:rFonts w:ascii="Book Antiqua" w:hAnsi="Book Antiqua"/>
        </w:rPr>
        <w:t xml:space="preserve"> 2016; </w:t>
      </w:r>
      <w:r w:rsidRPr="000C58DA">
        <w:rPr>
          <w:rFonts w:ascii="Book Antiqua" w:hAnsi="Book Antiqua"/>
          <w:b/>
          <w:bCs/>
        </w:rPr>
        <w:t>12</w:t>
      </w:r>
      <w:r w:rsidRPr="000C58DA">
        <w:rPr>
          <w:rFonts w:ascii="Book Antiqua" w:hAnsi="Book Antiqua"/>
        </w:rPr>
        <w:t>: 189-195 [PMID: 27596150 DOI: 10.1016/j.ebiom.2016.08.035]</w:t>
      </w:r>
    </w:p>
    <w:p w14:paraId="29CE622A"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25 </w:t>
      </w:r>
      <w:proofErr w:type="spellStart"/>
      <w:r w:rsidRPr="000C58DA">
        <w:rPr>
          <w:rFonts w:ascii="Book Antiqua" w:hAnsi="Book Antiqua"/>
          <w:b/>
          <w:bCs/>
        </w:rPr>
        <w:t>Yehia</w:t>
      </w:r>
      <w:proofErr w:type="spellEnd"/>
      <w:r w:rsidRPr="000C58DA">
        <w:rPr>
          <w:rFonts w:ascii="Book Antiqua" w:hAnsi="Book Antiqua"/>
          <w:b/>
          <w:bCs/>
        </w:rPr>
        <w:t xml:space="preserve"> BR</w:t>
      </w:r>
      <w:r w:rsidRPr="000C58DA">
        <w:rPr>
          <w:rFonts w:ascii="Book Antiqua" w:hAnsi="Book Antiqua"/>
        </w:rPr>
        <w:t xml:space="preserve">, </w:t>
      </w:r>
      <w:proofErr w:type="spellStart"/>
      <w:r w:rsidRPr="000C58DA">
        <w:rPr>
          <w:rFonts w:ascii="Book Antiqua" w:hAnsi="Book Antiqua"/>
        </w:rPr>
        <w:t>Schranz</w:t>
      </w:r>
      <w:proofErr w:type="spellEnd"/>
      <w:r w:rsidRPr="000C58DA">
        <w:rPr>
          <w:rFonts w:ascii="Book Antiqua" w:hAnsi="Book Antiqua"/>
        </w:rPr>
        <w:t xml:space="preserve"> AJ, </w:t>
      </w:r>
      <w:proofErr w:type="spellStart"/>
      <w:r w:rsidRPr="000C58DA">
        <w:rPr>
          <w:rFonts w:ascii="Book Antiqua" w:hAnsi="Book Antiqua"/>
        </w:rPr>
        <w:t>Umscheid</w:t>
      </w:r>
      <w:proofErr w:type="spellEnd"/>
      <w:r w:rsidRPr="000C58DA">
        <w:rPr>
          <w:rFonts w:ascii="Book Antiqua" w:hAnsi="Book Antiqua"/>
        </w:rPr>
        <w:t xml:space="preserve"> CA, Lo Re V 3rd. The treatment cascade for chronic hepatitis C virus infection in the United States: a systematic review and meta-analysis. </w:t>
      </w:r>
      <w:proofErr w:type="spellStart"/>
      <w:r w:rsidRPr="000C58DA">
        <w:rPr>
          <w:rFonts w:ascii="Book Antiqua" w:hAnsi="Book Antiqua"/>
          <w:i/>
          <w:iCs/>
        </w:rPr>
        <w:t>PLoS</w:t>
      </w:r>
      <w:proofErr w:type="spellEnd"/>
      <w:r w:rsidRPr="000C58DA">
        <w:rPr>
          <w:rFonts w:ascii="Book Antiqua" w:hAnsi="Book Antiqua"/>
          <w:i/>
          <w:iCs/>
        </w:rPr>
        <w:t xml:space="preserve"> One</w:t>
      </w:r>
      <w:r w:rsidRPr="000C58DA">
        <w:rPr>
          <w:rFonts w:ascii="Book Antiqua" w:hAnsi="Book Antiqua"/>
        </w:rPr>
        <w:t xml:space="preserve"> 2014; </w:t>
      </w:r>
      <w:r w:rsidRPr="000C58DA">
        <w:rPr>
          <w:rFonts w:ascii="Book Antiqua" w:hAnsi="Book Antiqua"/>
          <w:b/>
          <w:bCs/>
        </w:rPr>
        <w:t>9</w:t>
      </w:r>
      <w:r w:rsidRPr="000C58DA">
        <w:rPr>
          <w:rFonts w:ascii="Book Antiqua" w:hAnsi="Book Antiqua"/>
        </w:rPr>
        <w:t>: e101554 [PMID: 24988388 DOI: 10.1371/journal.pone.0101554]</w:t>
      </w:r>
    </w:p>
    <w:p w14:paraId="6D989F40"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26 </w:t>
      </w:r>
      <w:r w:rsidRPr="000C58DA">
        <w:rPr>
          <w:rFonts w:ascii="Book Antiqua" w:hAnsi="Book Antiqua"/>
          <w:b/>
          <w:bCs/>
        </w:rPr>
        <w:t>Simmons R</w:t>
      </w:r>
      <w:r w:rsidRPr="000C58DA">
        <w:rPr>
          <w:rFonts w:ascii="Book Antiqua" w:hAnsi="Book Antiqua"/>
        </w:rPr>
        <w:t xml:space="preserve">, Ireland G, Irving W, Hickman M, Sabin C, Ijaz S, Ramsay M, Lattimore S, Mandal S. Establishing the cascade of care for hepatitis C in England-benchmarking to monitor impact of direct acting antivirals. </w:t>
      </w:r>
      <w:r w:rsidRPr="000C58DA">
        <w:rPr>
          <w:rFonts w:ascii="Book Antiqua" w:hAnsi="Book Antiqua"/>
          <w:i/>
          <w:iCs/>
        </w:rPr>
        <w:t xml:space="preserve">J Viral </w:t>
      </w:r>
      <w:proofErr w:type="spellStart"/>
      <w:r w:rsidRPr="000C58DA">
        <w:rPr>
          <w:rFonts w:ascii="Book Antiqua" w:hAnsi="Book Antiqua"/>
          <w:i/>
          <w:iCs/>
        </w:rPr>
        <w:t>Hepat</w:t>
      </w:r>
      <w:proofErr w:type="spellEnd"/>
      <w:r w:rsidRPr="000C58DA">
        <w:rPr>
          <w:rFonts w:ascii="Book Antiqua" w:hAnsi="Book Antiqua"/>
        </w:rPr>
        <w:t xml:space="preserve"> 2018; </w:t>
      </w:r>
      <w:r w:rsidRPr="000C58DA">
        <w:rPr>
          <w:rFonts w:ascii="Book Antiqua" w:hAnsi="Book Antiqua"/>
          <w:b/>
          <w:bCs/>
        </w:rPr>
        <w:t>25</w:t>
      </w:r>
      <w:r w:rsidRPr="000C58DA">
        <w:rPr>
          <w:rFonts w:ascii="Book Antiqua" w:hAnsi="Book Antiqua"/>
        </w:rPr>
        <w:t>: 482-490 [PMID: 29239130 DOI: 10.1111/jvh.12844]</w:t>
      </w:r>
    </w:p>
    <w:p w14:paraId="13224AB8"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lastRenderedPageBreak/>
        <w:t xml:space="preserve">27 </w:t>
      </w:r>
      <w:proofErr w:type="spellStart"/>
      <w:r w:rsidRPr="000C58DA">
        <w:rPr>
          <w:rFonts w:ascii="Book Antiqua" w:hAnsi="Book Antiqua"/>
          <w:b/>
          <w:bCs/>
        </w:rPr>
        <w:t>Cachay</w:t>
      </w:r>
      <w:proofErr w:type="spellEnd"/>
      <w:r w:rsidRPr="000C58DA">
        <w:rPr>
          <w:rFonts w:ascii="Book Antiqua" w:hAnsi="Book Antiqua"/>
          <w:b/>
          <w:bCs/>
        </w:rPr>
        <w:t xml:space="preserve"> ER</w:t>
      </w:r>
      <w:r w:rsidRPr="000C58DA">
        <w:rPr>
          <w:rFonts w:ascii="Book Antiqua" w:hAnsi="Book Antiqua"/>
        </w:rPr>
        <w:t xml:space="preserve">, Hill L, </w:t>
      </w:r>
      <w:proofErr w:type="spellStart"/>
      <w:r w:rsidRPr="000C58DA">
        <w:rPr>
          <w:rFonts w:ascii="Book Antiqua" w:hAnsi="Book Antiqua"/>
        </w:rPr>
        <w:t>Wyles</w:t>
      </w:r>
      <w:proofErr w:type="spellEnd"/>
      <w:r w:rsidRPr="000C58DA">
        <w:rPr>
          <w:rFonts w:ascii="Book Antiqua" w:hAnsi="Book Antiqua"/>
        </w:rPr>
        <w:t xml:space="preserve"> D, Colwell B, Ballard C, </w:t>
      </w:r>
      <w:proofErr w:type="spellStart"/>
      <w:r w:rsidRPr="000C58DA">
        <w:rPr>
          <w:rFonts w:ascii="Book Antiqua" w:hAnsi="Book Antiqua"/>
        </w:rPr>
        <w:t>Torriani</w:t>
      </w:r>
      <w:proofErr w:type="spellEnd"/>
      <w:r w:rsidRPr="000C58DA">
        <w:rPr>
          <w:rFonts w:ascii="Book Antiqua" w:hAnsi="Book Antiqua"/>
        </w:rPr>
        <w:t xml:space="preserve"> F, Mathews WC. The hepatitis C cascade of care among HIV infected patients: a call to address ongoing barriers to care. </w:t>
      </w:r>
      <w:proofErr w:type="spellStart"/>
      <w:r w:rsidRPr="000C58DA">
        <w:rPr>
          <w:rFonts w:ascii="Book Antiqua" w:hAnsi="Book Antiqua"/>
          <w:i/>
          <w:iCs/>
        </w:rPr>
        <w:t>PLoS</w:t>
      </w:r>
      <w:proofErr w:type="spellEnd"/>
      <w:r w:rsidRPr="000C58DA">
        <w:rPr>
          <w:rFonts w:ascii="Book Antiqua" w:hAnsi="Book Antiqua"/>
          <w:i/>
          <w:iCs/>
        </w:rPr>
        <w:t xml:space="preserve"> One</w:t>
      </w:r>
      <w:r w:rsidRPr="000C58DA">
        <w:rPr>
          <w:rFonts w:ascii="Book Antiqua" w:hAnsi="Book Antiqua"/>
        </w:rPr>
        <w:t xml:space="preserve"> 2014; </w:t>
      </w:r>
      <w:r w:rsidRPr="000C58DA">
        <w:rPr>
          <w:rFonts w:ascii="Book Antiqua" w:hAnsi="Book Antiqua"/>
          <w:b/>
          <w:bCs/>
        </w:rPr>
        <w:t>9</w:t>
      </w:r>
      <w:r w:rsidRPr="000C58DA">
        <w:rPr>
          <w:rFonts w:ascii="Book Antiqua" w:hAnsi="Book Antiqua"/>
        </w:rPr>
        <w:t>: e102883 [PMID: 25036553 DOI: 10.1371/journal.pone.0102883]</w:t>
      </w:r>
    </w:p>
    <w:p w14:paraId="2599410C"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28 </w:t>
      </w:r>
      <w:r w:rsidRPr="000C58DA">
        <w:rPr>
          <w:rFonts w:ascii="Book Antiqua" w:hAnsi="Book Antiqua"/>
          <w:b/>
          <w:bCs/>
        </w:rPr>
        <w:t>Zuckerman A</w:t>
      </w:r>
      <w:r w:rsidRPr="000C58DA">
        <w:rPr>
          <w:rFonts w:ascii="Book Antiqua" w:hAnsi="Book Antiqua"/>
        </w:rPr>
        <w:t xml:space="preserve">, Douglas A, Nwosu S, Choi L, Chastain C. Increasing success and evolving barriers in the hepatitis C cascade of care during the direct acting antiviral era. </w:t>
      </w:r>
      <w:proofErr w:type="spellStart"/>
      <w:r w:rsidRPr="000C58DA">
        <w:rPr>
          <w:rFonts w:ascii="Book Antiqua" w:hAnsi="Book Antiqua"/>
          <w:i/>
          <w:iCs/>
        </w:rPr>
        <w:t>PLoS</w:t>
      </w:r>
      <w:proofErr w:type="spellEnd"/>
      <w:r w:rsidRPr="000C58DA">
        <w:rPr>
          <w:rFonts w:ascii="Book Antiqua" w:hAnsi="Book Antiqua"/>
          <w:i/>
          <w:iCs/>
        </w:rPr>
        <w:t xml:space="preserve"> One</w:t>
      </w:r>
      <w:r w:rsidRPr="000C58DA">
        <w:rPr>
          <w:rFonts w:ascii="Book Antiqua" w:hAnsi="Book Antiqua"/>
        </w:rPr>
        <w:t xml:space="preserve"> 2018; </w:t>
      </w:r>
      <w:r w:rsidRPr="000C58DA">
        <w:rPr>
          <w:rFonts w:ascii="Book Antiqua" w:hAnsi="Book Antiqua"/>
          <w:b/>
          <w:bCs/>
        </w:rPr>
        <w:t>13</w:t>
      </w:r>
      <w:r w:rsidRPr="000C58DA">
        <w:rPr>
          <w:rFonts w:ascii="Book Antiqua" w:hAnsi="Book Antiqua"/>
        </w:rPr>
        <w:t>: e0199174 [PMID: 29912944 DOI: 10.1371/journal.pone.0199174]</w:t>
      </w:r>
    </w:p>
    <w:p w14:paraId="036138CA"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29 </w:t>
      </w:r>
      <w:r w:rsidRPr="000C58DA">
        <w:rPr>
          <w:rFonts w:ascii="Book Antiqua" w:hAnsi="Book Antiqua"/>
          <w:b/>
          <w:bCs/>
        </w:rPr>
        <w:t>Lazarus JV</w:t>
      </w:r>
      <w:r w:rsidRPr="000C58DA">
        <w:rPr>
          <w:rFonts w:ascii="Book Antiqua" w:hAnsi="Book Antiqua"/>
        </w:rPr>
        <w:t xml:space="preserve">, </w:t>
      </w:r>
      <w:proofErr w:type="spellStart"/>
      <w:r w:rsidRPr="000C58DA">
        <w:rPr>
          <w:rFonts w:ascii="Book Antiqua" w:hAnsi="Book Antiqua"/>
        </w:rPr>
        <w:t>Safreed</w:t>
      </w:r>
      <w:proofErr w:type="spellEnd"/>
      <w:r w:rsidRPr="000C58DA">
        <w:rPr>
          <w:rFonts w:ascii="Book Antiqua" w:hAnsi="Book Antiqua"/>
        </w:rPr>
        <w:t xml:space="preserve">-Harmon K, </w:t>
      </w:r>
      <w:proofErr w:type="spellStart"/>
      <w:r w:rsidRPr="000C58DA">
        <w:rPr>
          <w:rFonts w:ascii="Book Antiqua" w:hAnsi="Book Antiqua"/>
        </w:rPr>
        <w:t>Thursz</w:t>
      </w:r>
      <w:proofErr w:type="spellEnd"/>
      <w:r w:rsidRPr="000C58DA">
        <w:rPr>
          <w:rFonts w:ascii="Book Antiqua" w:hAnsi="Book Antiqua"/>
        </w:rPr>
        <w:t xml:space="preserve"> MR, Dillon JF, El-</w:t>
      </w:r>
      <w:proofErr w:type="spellStart"/>
      <w:r w:rsidRPr="000C58DA">
        <w:rPr>
          <w:rFonts w:ascii="Book Antiqua" w:hAnsi="Book Antiqua"/>
        </w:rPr>
        <w:t>Sayed</w:t>
      </w:r>
      <w:proofErr w:type="spellEnd"/>
      <w:r w:rsidRPr="000C58DA">
        <w:rPr>
          <w:rFonts w:ascii="Book Antiqua" w:hAnsi="Book Antiqua"/>
        </w:rPr>
        <w:t xml:space="preserve"> MH, </w:t>
      </w:r>
      <w:proofErr w:type="spellStart"/>
      <w:r w:rsidRPr="000C58DA">
        <w:rPr>
          <w:rFonts w:ascii="Book Antiqua" w:hAnsi="Book Antiqua"/>
        </w:rPr>
        <w:t>Elsharkawy</w:t>
      </w:r>
      <w:proofErr w:type="spellEnd"/>
      <w:r w:rsidRPr="000C58DA">
        <w:rPr>
          <w:rFonts w:ascii="Book Antiqua" w:hAnsi="Book Antiqua"/>
        </w:rPr>
        <w:t xml:space="preserve"> AM, </w:t>
      </w:r>
      <w:proofErr w:type="spellStart"/>
      <w:r w:rsidRPr="000C58DA">
        <w:rPr>
          <w:rFonts w:ascii="Book Antiqua" w:hAnsi="Book Antiqua"/>
        </w:rPr>
        <w:t>Hatzakis</w:t>
      </w:r>
      <w:proofErr w:type="spellEnd"/>
      <w:r w:rsidRPr="000C58DA">
        <w:rPr>
          <w:rFonts w:ascii="Book Antiqua" w:hAnsi="Book Antiqua"/>
        </w:rPr>
        <w:t xml:space="preserve"> A, </w:t>
      </w:r>
      <w:proofErr w:type="spellStart"/>
      <w:r w:rsidRPr="000C58DA">
        <w:rPr>
          <w:rFonts w:ascii="Book Antiqua" w:hAnsi="Book Antiqua"/>
        </w:rPr>
        <w:t>Jadoul</w:t>
      </w:r>
      <w:proofErr w:type="spellEnd"/>
      <w:r w:rsidRPr="000C58DA">
        <w:rPr>
          <w:rFonts w:ascii="Book Antiqua" w:hAnsi="Book Antiqua"/>
        </w:rPr>
        <w:t xml:space="preserve"> M, </w:t>
      </w:r>
      <w:proofErr w:type="spellStart"/>
      <w:r w:rsidRPr="000C58DA">
        <w:rPr>
          <w:rFonts w:ascii="Book Antiqua" w:hAnsi="Book Antiqua"/>
        </w:rPr>
        <w:t>Prestileo</w:t>
      </w:r>
      <w:proofErr w:type="spellEnd"/>
      <w:r w:rsidRPr="000C58DA">
        <w:rPr>
          <w:rFonts w:ascii="Book Antiqua" w:hAnsi="Book Antiqua"/>
        </w:rPr>
        <w:t xml:space="preserve"> T, </w:t>
      </w:r>
      <w:proofErr w:type="spellStart"/>
      <w:r w:rsidRPr="000C58DA">
        <w:rPr>
          <w:rFonts w:ascii="Book Antiqua" w:hAnsi="Book Antiqua"/>
        </w:rPr>
        <w:t>Razavi</w:t>
      </w:r>
      <w:proofErr w:type="spellEnd"/>
      <w:r w:rsidRPr="000C58DA">
        <w:rPr>
          <w:rFonts w:ascii="Book Antiqua" w:hAnsi="Book Antiqua"/>
        </w:rPr>
        <w:t xml:space="preserve"> H, </w:t>
      </w:r>
      <w:proofErr w:type="spellStart"/>
      <w:r w:rsidRPr="000C58DA">
        <w:rPr>
          <w:rFonts w:ascii="Book Antiqua" w:hAnsi="Book Antiqua"/>
        </w:rPr>
        <w:t>Rockstroh</w:t>
      </w:r>
      <w:proofErr w:type="spellEnd"/>
      <w:r w:rsidRPr="000C58DA">
        <w:rPr>
          <w:rFonts w:ascii="Book Antiqua" w:hAnsi="Book Antiqua"/>
        </w:rPr>
        <w:t xml:space="preserve"> JK, </w:t>
      </w:r>
      <w:proofErr w:type="spellStart"/>
      <w:r w:rsidRPr="000C58DA">
        <w:rPr>
          <w:rFonts w:ascii="Book Antiqua" w:hAnsi="Book Antiqua"/>
        </w:rPr>
        <w:t>Wiktor</w:t>
      </w:r>
      <w:proofErr w:type="spellEnd"/>
      <w:r w:rsidRPr="000C58DA">
        <w:rPr>
          <w:rFonts w:ascii="Book Antiqua" w:hAnsi="Book Antiqua"/>
        </w:rPr>
        <w:t xml:space="preserve"> SZ, Colombo M. The Micro-Elimination Approach to Eliminating Hepatitis C: Strategic and Operational Considerations. </w:t>
      </w:r>
      <w:r w:rsidRPr="000C58DA">
        <w:rPr>
          <w:rFonts w:ascii="Book Antiqua" w:hAnsi="Book Antiqua"/>
          <w:i/>
          <w:iCs/>
        </w:rPr>
        <w:t>Semin Liver Dis</w:t>
      </w:r>
      <w:r w:rsidRPr="000C58DA">
        <w:rPr>
          <w:rFonts w:ascii="Book Antiqua" w:hAnsi="Book Antiqua"/>
        </w:rPr>
        <w:t xml:space="preserve"> 2018; </w:t>
      </w:r>
      <w:r w:rsidRPr="000C58DA">
        <w:rPr>
          <w:rFonts w:ascii="Book Antiqua" w:hAnsi="Book Antiqua"/>
          <w:b/>
          <w:bCs/>
        </w:rPr>
        <w:t>38</w:t>
      </w:r>
      <w:r w:rsidRPr="000C58DA">
        <w:rPr>
          <w:rFonts w:ascii="Book Antiqua" w:hAnsi="Book Antiqua"/>
        </w:rPr>
        <w:t>: 181-192 [PMID: 29986353 DOI: 10.1055/s-0038-1666841]</w:t>
      </w:r>
    </w:p>
    <w:p w14:paraId="43CC3F2D"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30 </w:t>
      </w:r>
      <w:proofErr w:type="spellStart"/>
      <w:r w:rsidRPr="000C58DA">
        <w:rPr>
          <w:rFonts w:ascii="Book Antiqua" w:hAnsi="Book Antiqua"/>
          <w:b/>
          <w:bCs/>
        </w:rPr>
        <w:t>Busschots</w:t>
      </w:r>
      <w:proofErr w:type="spellEnd"/>
      <w:r w:rsidRPr="000C58DA">
        <w:rPr>
          <w:rFonts w:ascii="Book Antiqua" w:hAnsi="Book Antiqua"/>
          <w:b/>
          <w:bCs/>
        </w:rPr>
        <w:t xml:space="preserve"> D</w:t>
      </w:r>
      <w:r w:rsidRPr="000C58DA">
        <w:rPr>
          <w:rFonts w:ascii="Book Antiqua" w:hAnsi="Book Antiqua"/>
        </w:rPr>
        <w:t xml:space="preserve">, Kremer C, </w:t>
      </w:r>
      <w:proofErr w:type="spellStart"/>
      <w:r w:rsidRPr="000C58DA">
        <w:rPr>
          <w:rFonts w:ascii="Book Antiqua" w:hAnsi="Book Antiqua"/>
        </w:rPr>
        <w:t>Koc</w:t>
      </w:r>
      <w:proofErr w:type="spellEnd"/>
      <w:r w:rsidRPr="000C58DA">
        <w:rPr>
          <w:rFonts w:ascii="Book Antiqua" w:hAnsi="Book Antiqua"/>
        </w:rPr>
        <w:t xml:space="preserve"> ÖM, </w:t>
      </w:r>
      <w:proofErr w:type="spellStart"/>
      <w:r w:rsidRPr="000C58DA">
        <w:rPr>
          <w:rFonts w:ascii="Book Antiqua" w:hAnsi="Book Antiqua"/>
        </w:rPr>
        <w:t>Heyens</w:t>
      </w:r>
      <w:proofErr w:type="spellEnd"/>
      <w:r w:rsidRPr="000C58DA">
        <w:rPr>
          <w:rFonts w:ascii="Book Antiqua" w:hAnsi="Book Antiqua"/>
        </w:rPr>
        <w:t xml:space="preserve"> L, </w:t>
      </w:r>
      <w:proofErr w:type="spellStart"/>
      <w:r w:rsidRPr="000C58DA">
        <w:rPr>
          <w:rFonts w:ascii="Book Antiqua" w:hAnsi="Book Antiqua"/>
        </w:rPr>
        <w:t>Bielen</w:t>
      </w:r>
      <w:proofErr w:type="spellEnd"/>
      <w:r w:rsidRPr="000C58DA">
        <w:rPr>
          <w:rFonts w:ascii="Book Antiqua" w:hAnsi="Book Antiqua"/>
        </w:rPr>
        <w:t xml:space="preserve"> R, </w:t>
      </w:r>
      <w:proofErr w:type="spellStart"/>
      <w:r w:rsidRPr="000C58DA">
        <w:rPr>
          <w:rFonts w:ascii="Book Antiqua" w:hAnsi="Book Antiqua"/>
        </w:rPr>
        <w:t>Apers</w:t>
      </w:r>
      <w:proofErr w:type="spellEnd"/>
      <w:r w:rsidRPr="000C58DA">
        <w:rPr>
          <w:rFonts w:ascii="Book Antiqua" w:hAnsi="Book Antiqua"/>
        </w:rPr>
        <w:t xml:space="preserve"> L, Florence E, </w:t>
      </w:r>
      <w:proofErr w:type="spellStart"/>
      <w:r w:rsidRPr="000C58DA">
        <w:rPr>
          <w:rFonts w:ascii="Book Antiqua" w:hAnsi="Book Antiqua"/>
        </w:rPr>
        <w:t>Messiaen</w:t>
      </w:r>
      <w:proofErr w:type="spellEnd"/>
      <w:r w:rsidRPr="000C58DA">
        <w:rPr>
          <w:rFonts w:ascii="Book Antiqua" w:hAnsi="Book Antiqua"/>
        </w:rPr>
        <w:t xml:space="preserve"> P, Van </w:t>
      </w:r>
      <w:proofErr w:type="spellStart"/>
      <w:r w:rsidRPr="000C58DA">
        <w:rPr>
          <w:rFonts w:ascii="Book Antiqua" w:hAnsi="Book Antiqua"/>
        </w:rPr>
        <w:t>Laethem</w:t>
      </w:r>
      <w:proofErr w:type="spellEnd"/>
      <w:r w:rsidRPr="000C58DA">
        <w:rPr>
          <w:rFonts w:ascii="Book Antiqua" w:hAnsi="Book Antiqua"/>
        </w:rPr>
        <w:t xml:space="preserve"> K, Van </w:t>
      </w:r>
      <w:proofErr w:type="spellStart"/>
      <w:r w:rsidRPr="000C58DA">
        <w:rPr>
          <w:rFonts w:ascii="Book Antiqua" w:hAnsi="Book Antiqua"/>
        </w:rPr>
        <w:t>Wijngaerden</w:t>
      </w:r>
      <w:proofErr w:type="spellEnd"/>
      <w:r w:rsidRPr="000C58DA">
        <w:rPr>
          <w:rFonts w:ascii="Book Antiqua" w:hAnsi="Book Antiqua"/>
        </w:rPr>
        <w:t xml:space="preserve"> E, </w:t>
      </w:r>
      <w:proofErr w:type="spellStart"/>
      <w:r w:rsidRPr="000C58DA">
        <w:rPr>
          <w:rFonts w:ascii="Book Antiqua" w:hAnsi="Book Antiqua"/>
        </w:rPr>
        <w:t>Nevens</w:t>
      </w:r>
      <w:proofErr w:type="spellEnd"/>
      <w:r w:rsidRPr="000C58DA">
        <w:rPr>
          <w:rFonts w:ascii="Book Antiqua" w:hAnsi="Book Antiqua"/>
        </w:rPr>
        <w:t xml:space="preserve"> F, Hens N, </w:t>
      </w:r>
      <w:proofErr w:type="spellStart"/>
      <w:r w:rsidRPr="000C58DA">
        <w:rPr>
          <w:rFonts w:ascii="Book Antiqua" w:hAnsi="Book Antiqua"/>
        </w:rPr>
        <w:t>Robaeys</w:t>
      </w:r>
      <w:proofErr w:type="spellEnd"/>
      <w:r w:rsidRPr="000C58DA">
        <w:rPr>
          <w:rFonts w:ascii="Book Antiqua" w:hAnsi="Book Antiqua"/>
        </w:rPr>
        <w:t xml:space="preserve"> G. The hepatitis C cascade of care in the Belgian HIV population: One step closer to elimination. </w:t>
      </w:r>
      <w:r w:rsidRPr="000C58DA">
        <w:rPr>
          <w:rFonts w:ascii="Book Antiqua" w:hAnsi="Book Antiqua"/>
          <w:i/>
          <w:iCs/>
        </w:rPr>
        <w:t>Int J Infect Dis</w:t>
      </w:r>
      <w:r w:rsidRPr="000C58DA">
        <w:rPr>
          <w:rFonts w:ascii="Book Antiqua" w:hAnsi="Book Antiqua"/>
        </w:rPr>
        <w:t xml:space="preserve"> 2021; </w:t>
      </w:r>
      <w:r w:rsidRPr="000C58DA">
        <w:rPr>
          <w:rFonts w:ascii="Book Antiqua" w:hAnsi="Book Antiqua"/>
          <w:b/>
          <w:bCs/>
        </w:rPr>
        <w:t>105</w:t>
      </w:r>
      <w:r w:rsidRPr="000C58DA">
        <w:rPr>
          <w:rFonts w:ascii="Book Antiqua" w:hAnsi="Book Antiqua"/>
        </w:rPr>
        <w:t>: 217-223 [PMID: 33610786 DOI: 10.1016/j.ijid.2021.02.068]</w:t>
      </w:r>
    </w:p>
    <w:p w14:paraId="0DA0781E"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31 </w:t>
      </w:r>
      <w:r w:rsidRPr="000C58DA">
        <w:rPr>
          <w:rFonts w:ascii="Book Antiqua" w:hAnsi="Book Antiqua"/>
          <w:b/>
          <w:bCs/>
        </w:rPr>
        <w:t>Bartlett SR</w:t>
      </w:r>
      <w:r w:rsidRPr="000C58DA">
        <w:rPr>
          <w:rFonts w:ascii="Book Antiqua" w:hAnsi="Book Antiqua"/>
        </w:rPr>
        <w:t xml:space="preserve">, Yu A, </w:t>
      </w:r>
      <w:proofErr w:type="spellStart"/>
      <w:r w:rsidRPr="000C58DA">
        <w:rPr>
          <w:rFonts w:ascii="Book Antiqua" w:hAnsi="Book Antiqua"/>
        </w:rPr>
        <w:t>Chapinal</w:t>
      </w:r>
      <w:proofErr w:type="spellEnd"/>
      <w:r w:rsidRPr="000C58DA">
        <w:rPr>
          <w:rFonts w:ascii="Book Antiqua" w:hAnsi="Book Antiqua"/>
        </w:rPr>
        <w:t xml:space="preserve"> N, Rossi C, Butt Z, Wong S, </w:t>
      </w:r>
      <w:proofErr w:type="spellStart"/>
      <w:r w:rsidRPr="000C58DA">
        <w:rPr>
          <w:rFonts w:ascii="Book Antiqua" w:hAnsi="Book Antiqua"/>
        </w:rPr>
        <w:t>Darvishian</w:t>
      </w:r>
      <w:proofErr w:type="spellEnd"/>
      <w:r w:rsidRPr="000C58DA">
        <w:rPr>
          <w:rFonts w:ascii="Book Antiqua" w:hAnsi="Book Antiqua"/>
        </w:rPr>
        <w:t xml:space="preserve"> M, Gilbert M, Wong J, </w:t>
      </w:r>
      <w:proofErr w:type="spellStart"/>
      <w:r w:rsidRPr="000C58DA">
        <w:rPr>
          <w:rFonts w:ascii="Book Antiqua" w:hAnsi="Book Antiqua"/>
        </w:rPr>
        <w:t>Binka</w:t>
      </w:r>
      <w:proofErr w:type="spellEnd"/>
      <w:r w:rsidRPr="000C58DA">
        <w:rPr>
          <w:rFonts w:ascii="Book Antiqua" w:hAnsi="Book Antiqua"/>
        </w:rPr>
        <w:t xml:space="preserve"> M, Alvarez M, Tyndall M, </w:t>
      </w:r>
      <w:proofErr w:type="spellStart"/>
      <w:r w:rsidRPr="000C58DA">
        <w:rPr>
          <w:rFonts w:ascii="Book Antiqua" w:hAnsi="Book Antiqua"/>
        </w:rPr>
        <w:t>Krajden</w:t>
      </w:r>
      <w:proofErr w:type="spellEnd"/>
      <w:r w:rsidRPr="000C58DA">
        <w:rPr>
          <w:rFonts w:ascii="Book Antiqua" w:hAnsi="Book Antiqua"/>
        </w:rPr>
        <w:t xml:space="preserve"> M, </w:t>
      </w:r>
      <w:proofErr w:type="spellStart"/>
      <w:r w:rsidRPr="000C58DA">
        <w:rPr>
          <w:rFonts w:ascii="Book Antiqua" w:hAnsi="Book Antiqua"/>
        </w:rPr>
        <w:t>Janjua</w:t>
      </w:r>
      <w:proofErr w:type="spellEnd"/>
      <w:r w:rsidRPr="000C58DA">
        <w:rPr>
          <w:rFonts w:ascii="Book Antiqua" w:hAnsi="Book Antiqua"/>
        </w:rPr>
        <w:t xml:space="preserve"> NZ. The population level care cascade for hepatitis C in British Columbia, Canada as of 2018: Impact of direct acting antivirals. </w:t>
      </w:r>
      <w:r w:rsidRPr="000C58DA">
        <w:rPr>
          <w:rFonts w:ascii="Book Antiqua" w:hAnsi="Book Antiqua"/>
          <w:i/>
          <w:iCs/>
        </w:rPr>
        <w:t>Liver Int</w:t>
      </w:r>
      <w:r w:rsidRPr="000C58DA">
        <w:rPr>
          <w:rFonts w:ascii="Book Antiqua" w:hAnsi="Book Antiqua"/>
        </w:rPr>
        <w:t xml:space="preserve"> 2019; </w:t>
      </w:r>
      <w:r w:rsidRPr="000C58DA">
        <w:rPr>
          <w:rFonts w:ascii="Book Antiqua" w:hAnsi="Book Antiqua"/>
          <w:b/>
          <w:bCs/>
        </w:rPr>
        <w:t>39</w:t>
      </w:r>
      <w:r w:rsidRPr="000C58DA">
        <w:rPr>
          <w:rFonts w:ascii="Book Antiqua" w:hAnsi="Book Antiqua"/>
        </w:rPr>
        <w:t>: 2261-2272 [PMID: 31444846 DOI: 10.1111/liv.14227]</w:t>
      </w:r>
    </w:p>
    <w:p w14:paraId="602CD769"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32 </w:t>
      </w:r>
      <w:r w:rsidRPr="000C58DA">
        <w:rPr>
          <w:rFonts w:ascii="Book Antiqua" w:hAnsi="Book Antiqua"/>
          <w:b/>
          <w:bCs/>
        </w:rPr>
        <w:t>Sacks-Davis R</w:t>
      </w:r>
      <w:r w:rsidRPr="000C58DA">
        <w:rPr>
          <w:rFonts w:ascii="Book Antiqua" w:hAnsi="Book Antiqua"/>
        </w:rPr>
        <w:t xml:space="preserve">, Doyle JS, Rauch A, </w:t>
      </w:r>
      <w:proofErr w:type="spellStart"/>
      <w:r w:rsidRPr="000C58DA">
        <w:rPr>
          <w:rFonts w:ascii="Book Antiqua" w:hAnsi="Book Antiqua"/>
        </w:rPr>
        <w:t>Beguelin</w:t>
      </w:r>
      <w:proofErr w:type="spellEnd"/>
      <w:r w:rsidRPr="000C58DA">
        <w:rPr>
          <w:rFonts w:ascii="Book Antiqua" w:hAnsi="Book Antiqua"/>
        </w:rPr>
        <w:t xml:space="preserve"> C, </w:t>
      </w:r>
      <w:proofErr w:type="spellStart"/>
      <w:r w:rsidRPr="000C58DA">
        <w:rPr>
          <w:rFonts w:ascii="Book Antiqua" w:hAnsi="Book Antiqua"/>
        </w:rPr>
        <w:t>Pedrana</w:t>
      </w:r>
      <w:proofErr w:type="spellEnd"/>
      <w:r w:rsidRPr="000C58DA">
        <w:rPr>
          <w:rFonts w:ascii="Book Antiqua" w:hAnsi="Book Antiqua"/>
        </w:rPr>
        <w:t xml:space="preserve"> AE, Matthews GV, </w:t>
      </w:r>
      <w:proofErr w:type="spellStart"/>
      <w:r w:rsidRPr="000C58DA">
        <w:rPr>
          <w:rFonts w:ascii="Book Antiqua" w:hAnsi="Book Antiqua"/>
        </w:rPr>
        <w:t>Prins</w:t>
      </w:r>
      <w:proofErr w:type="spellEnd"/>
      <w:r w:rsidRPr="000C58DA">
        <w:rPr>
          <w:rFonts w:ascii="Book Antiqua" w:hAnsi="Book Antiqua"/>
        </w:rPr>
        <w:t xml:space="preserve"> M, van der </w:t>
      </w:r>
      <w:proofErr w:type="spellStart"/>
      <w:r w:rsidRPr="000C58DA">
        <w:rPr>
          <w:rFonts w:ascii="Book Antiqua" w:hAnsi="Book Antiqua"/>
        </w:rPr>
        <w:t>Valk</w:t>
      </w:r>
      <w:proofErr w:type="spellEnd"/>
      <w:r w:rsidRPr="000C58DA">
        <w:rPr>
          <w:rFonts w:ascii="Book Antiqua" w:hAnsi="Book Antiqua"/>
        </w:rPr>
        <w:t xml:space="preserve"> M, Klein MB, Saeed S, Lacombe K, </w:t>
      </w:r>
      <w:proofErr w:type="spellStart"/>
      <w:r w:rsidRPr="000C58DA">
        <w:rPr>
          <w:rFonts w:ascii="Book Antiqua" w:hAnsi="Book Antiqua"/>
        </w:rPr>
        <w:t>Chkhartishvili</w:t>
      </w:r>
      <w:proofErr w:type="spellEnd"/>
      <w:r w:rsidRPr="000C58DA">
        <w:rPr>
          <w:rFonts w:ascii="Book Antiqua" w:hAnsi="Book Antiqua"/>
        </w:rPr>
        <w:t xml:space="preserve"> N, </w:t>
      </w:r>
      <w:proofErr w:type="spellStart"/>
      <w:r w:rsidRPr="000C58DA">
        <w:rPr>
          <w:rFonts w:ascii="Book Antiqua" w:hAnsi="Book Antiqua"/>
        </w:rPr>
        <w:t>Altice</w:t>
      </w:r>
      <w:proofErr w:type="spellEnd"/>
      <w:r w:rsidRPr="000C58DA">
        <w:rPr>
          <w:rFonts w:ascii="Book Antiqua" w:hAnsi="Book Antiqua"/>
        </w:rPr>
        <w:t xml:space="preserve"> FL, </w:t>
      </w:r>
      <w:proofErr w:type="spellStart"/>
      <w:r w:rsidRPr="000C58DA">
        <w:rPr>
          <w:rFonts w:ascii="Book Antiqua" w:hAnsi="Book Antiqua"/>
        </w:rPr>
        <w:t>Hellard</w:t>
      </w:r>
      <w:proofErr w:type="spellEnd"/>
      <w:r w:rsidRPr="000C58DA">
        <w:rPr>
          <w:rFonts w:ascii="Book Antiqua" w:hAnsi="Book Antiqua"/>
        </w:rPr>
        <w:t xml:space="preserve"> ME. Linkage and retention in HCV care for HIV-infected populations: early data from the DAA era. </w:t>
      </w:r>
      <w:r w:rsidRPr="000C58DA">
        <w:rPr>
          <w:rFonts w:ascii="Book Antiqua" w:hAnsi="Book Antiqua"/>
          <w:i/>
          <w:iCs/>
        </w:rPr>
        <w:t>J Int AIDS Soc</w:t>
      </w:r>
      <w:r w:rsidRPr="000C58DA">
        <w:rPr>
          <w:rFonts w:ascii="Book Antiqua" w:hAnsi="Book Antiqua"/>
        </w:rPr>
        <w:t xml:space="preserve"> 2018; </w:t>
      </w:r>
      <w:r w:rsidRPr="000C58DA">
        <w:rPr>
          <w:rFonts w:ascii="Book Antiqua" w:hAnsi="Book Antiqua"/>
          <w:b/>
          <w:bCs/>
        </w:rPr>
        <w:t>21 Suppl 2</w:t>
      </w:r>
      <w:r w:rsidRPr="000C58DA">
        <w:rPr>
          <w:rFonts w:ascii="Book Antiqua" w:hAnsi="Book Antiqua"/>
        </w:rPr>
        <w:t>: e25051 [PMID: 29633559 DOI: 10.1002/jia2.25051]</w:t>
      </w:r>
    </w:p>
    <w:p w14:paraId="3350C00C"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33 </w:t>
      </w:r>
      <w:proofErr w:type="spellStart"/>
      <w:r w:rsidRPr="000C58DA">
        <w:rPr>
          <w:rFonts w:ascii="Book Antiqua" w:hAnsi="Book Antiqua"/>
          <w:b/>
          <w:bCs/>
        </w:rPr>
        <w:t>Béguelin</w:t>
      </w:r>
      <w:proofErr w:type="spellEnd"/>
      <w:r w:rsidRPr="000C58DA">
        <w:rPr>
          <w:rFonts w:ascii="Book Antiqua" w:hAnsi="Book Antiqua"/>
          <w:b/>
          <w:bCs/>
        </w:rPr>
        <w:t xml:space="preserve"> C</w:t>
      </w:r>
      <w:r w:rsidRPr="000C58DA">
        <w:rPr>
          <w:rFonts w:ascii="Book Antiqua" w:hAnsi="Book Antiqua"/>
        </w:rPr>
        <w:t xml:space="preserve">, </w:t>
      </w:r>
      <w:proofErr w:type="spellStart"/>
      <w:r w:rsidRPr="000C58DA">
        <w:rPr>
          <w:rFonts w:ascii="Book Antiqua" w:hAnsi="Book Antiqua"/>
        </w:rPr>
        <w:t>Suter</w:t>
      </w:r>
      <w:proofErr w:type="spellEnd"/>
      <w:r w:rsidRPr="000C58DA">
        <w:rPr>
          <w:rFonts w:ascii="Book Antiqua" w:hAnsi="Book Antiqua"/>
        </w:rPr>
        <w:t xml:space="preserve"> A, </w:t>
      </w:r>
      <w:proofErr w:type="spellStart"/>
      <w:r w:rsidRPr="000C58DA">
        <w:rPr>
          <w:rFonts w:ascii="Book Antiqua" w:hAnsi="Book Antiqua"/>
        </w:rPr>
        <w:t>Bernasconi</w:t>
      </w:r>
      <w:proofErr w:type="spellEnd"/>
      <w:r w:rsidRPr="000C58DA">
        <w:rPr>
          <w:rFonts w:ascii="Book Antiqua" w:hAnsi="Book Antiqua"/>
        </w:rPr>
        <w:t xml:space="preserve"> E, Fehr J, </w:t>
      </w:r>
      <w:proofErr w:type="spellStart"/>
      <w:r w:rsidRPr="000C58DA">
        <w:rPr>
          <w:rFonts w:ascii="Book Antiqua" w:hAnsi="Book Antiqua"/>
        </w:rPr>
        <w:t>Kovari</w:t>
      </w:r>
      <w:proofErr w:type="spellEnd"/>
      <w:r w:rsidRPr="000C58DA">
        <w:rPr>
          <w:rFonts w:ascii="Book Antiqua" w:hAnsi="Book Antiqua"/>
        </w:rPr>
        <w:t xml:space="preserve"> H, Bucher HC, </w:t>
      </w:r>
      <w:proofErr w:type="spellStart"/>
      <w:r w:rsidRPr="000C58DA">
        <w:rPr>
          <w:rFonts w:ascii="Book Antiqua" w:hAnsi="Book Antiqua"/>
        </w:rPr>
        <w:t>Stoeckle</w:t>
      </w:r>
      <w:proofErr w:type="spellEnd"/>
      <w:r w:rsidRPr="000C58DA">
        <w:rPr>
          <w:rFonts w:ascii="Book Antiqua" w:hAnsi="Book Antiqua"/>
        </w:rPr>
        <w:t xml:space="preserve"> M, </w:t>
      </w:r>
      <w:proofErr w:type="spellStart"/>
      <w:r w:rsidRPr="000C58DA">
        <w:rPr>
          <w:rFonts w:ascii="Book Antiqua" w:hAnsi="Book Antiqua"/>
        </w:rPr>
        <w:t>Cavassini</w:t>
      </w:r>
      <w:proofErr w:type="spellEnd"/>
      <w:r w:rsidRPr="000C58DA">
        <w:rPr>
          <w:rFonts w:ascii="Book Antiqua" w:hAnsi="Book Antiqua"/>
        </w:rPr>
        <w:t xml:space="preserve"> M, </w:t>
      </w:r>
      <w:proofErr w:type="spellStart"/>
      <w:r w:rsidRPr="000C58DA">
        <w:rPr>
          <w:rFonts w:ascii="Book Antiqua" w:hAnsi="Book Antiqua"/>
        </w:rPr>
        <w:t>Rougemont</w:t>
      </w:r>
      <w:proofErr w:type="spellEnd"/>
      <w:r w:rsidRPr="000C58DA">
        <w:rPr>
          <w:rFonts w:ascii="Book Antiqua" w:hAnsi="Book Antiqua"/>
        </w:rPr>
        <w:t xml:space="preserve"> M, </w:t>
      </w:r>
      <w:proofErr w:type="spellStart"/>
      <w:r w:rsidRPr="000C58DA">
        <w:rPr>
          <w:rFonts w:ascii="Book Antiqua" w:hAnsi="Book Antiqua"/>
        </w:rPr>
        <w:t>Schmid</w:t>
      </w:r>
      <w:proofErr w:type="spellEnd"/>
      <w:r w:rsidRPr="000C58DA">
        <w:rPr>
          <w:rFonts w:ascii="Book Antiqua" w:hAnsi="Book Antiqua"/>
        </w:rPr>
        <w:t xml:space="preserve"> P, </w:t>
      </w:r>
      <w:proofErr w:type="spellStart"/>
      <w:r w:rsidRPr="000C58DA">
        <w:rPr>
          <w:rFonts w:ascii="Book Antiqua" w:hAnsi="Book Antiqua"/>
        </w:rPr>
        <w:t>Wandeler</w:t>
      </w:r>
      <w:proofErr w:type="spellEnd"/>
      <w:r w:rsidRPr="000C58DA">
        <w:rPr>
          <w:rFonts w:ascii="Book Antiqua" w:hAnsi="Book Antiqua"/>
        </w:rPr>
        <w:t xml:space="preserve"> G, Rauch A; Swiss HIV Cohort Study. Trends in HCV treatment uptake, efficacy and impact on liver fibrosis in the Swiss HIV Cohort Study. </w:t>
      </w:r>
      <w:r w:rsidRPr="000C58DA">
        <w:rPr>
          <w:rFonts w:ascii="Book Antiqua" w:hAnsi="Book Antiqua"/>
          <w:i/>
          <w:iCs/>
        </w:rPr>
        <w:t>Liver Int</w:t>
      </w:r>
      <w:r w:rsidRPr="000C58DA">
        <w:rPr>
          <w:rFonts w:ascii="Book Antiqua" w:hAnsi="Book Antiqua"/>
        </w:rPr>
        <w:t xml:space="preserve"> 2018; </w:t>
      </w:r>
      <w:r w:rsidRPr="000C58DA">
        <w:rPr>
          <w:rFonts w:ascii="Book Antiqua" w:hAnsi="Book Antiqua"/>
          <w:b/>
          <w:bCs/>
        </w:rPr>
        <w:t>38</w:t>
      </w:r>
      <w:r w:rsidRPr="000C58DA">
        <w:rPr>
          <w:rFonts w:ascii="Book Antiqua" w:hAnsi="Book Antiqua"/>
        </w:rPr>
        <w:t>: 424-431 [PMID: 28741901 DOI: 10.1111/liv.13528]</w:t>
      </w:r>
    </w:p>
    <w:p w14:paraId="3BE44B3A"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lastRenderedPageBreak/>
        <w:t xml:space="preserve">34 </w:t>
      </w:r>
      <w:proofErr w:type="spellStart"/>
      <w:r w:rsidRPr="000C58DA">
        <w:rPr>
          <w:rFonts w:ascii="Book Antiqua" w:hAnsi="Book Antiqua"/>
          <w:b/>
          <w:bCs/>
        </w:rPr>
        <w:t>Iversen</w:t>
      </w:r>
      <w:proofErr w:type="spellEnd"/>
      <w:r w:rsidRPr="000C58DA">
        <w:rPr>
          <w:rFonts w:ascii="Book Antiqua" w:hAnsi="Book Antiqua"/>
          <w:b/>
          <w:bCs/>
        </w:rPr>
        <w:t xml:space="preserve"> J</w:t>
      </w:r>
      <w:r w:rsidRPr="000C58DA">
        <w:rPr>
          <w:rFonts w:ascii="Book Antiqua" w:hAnsi="Book Antiqua"/>
        </w:rPr>
        <w:t xml:space="preserve">, </w:t>
      </w:r>
      <w:proofErr w:type="spellStart"/>
      <w:r w:rsidRPr="000C58DA">
        <w:rPr>
          <w:rFonts w:ascii="Book Antiqua" w:hAnsi="Book Antiqua"/>
        </w:rPr>
        <w:t>Grebely</w:t>
      </w:r>
      <w:proofErr w:type="spellEnd"/>
      <w:r w:rsidRPr="000C58DA">
        <w:rPr>
          <w:rFonts w:ascii="Book Antiqua" w:hAnsi="Book Antiqua"/>
        </w:rPr>
        <w:t xml:space="preserve"> J, Catlett B, Cunningham P, Dore GJ, Maher L. Estimating the cascade of hepatitis C testing, care and treatment among people who inject drugs in Australia. </w:t>
      </w:r>
      <w:r w:rsidRPr="000C58DA">
        <w:rPr>
          <w:rFonts w:ascii="Book Antiqua" w:hAnsi="Book Antiqua"/>
          <w:i/>
          <w:iCs/>
        </w:rPr>
        <w:t>Int J Drug Policy</w:t>
      </w:r>
      <w:r w:rsidRPr="000C58DA">
        <w:rPr>
          <w:rFonts w:ascii="Book Antiqua" w:hAnsi="Book Antiqua"/>
        </w:rPr>
        <w:t xml:space="preserve"> 2017; </w:t>
      </w:r>
      <w:r w:rsidRPr="000C58DA">
        <w:rPr>
          <w:rFonts w:ascii="Book Antiqua" w:hAnsi="Book Antiqua"/>
          <w:b/>
          <w:bCs/>
        </w:rPr>
        <w:t>47</w:t>
      </w:r>
      <w:r w:rsidRPr="000C58DA">
        <w:rPr>
          <w:rFonts w:ascii="Book Antiqua" w:hAnsi="Book Antiqua"/>
        </w:rPr>
        <w:t>: 77-85 [PMID: 28578863 DOI: 10.1016/j.drugpo.2017.05.022]</w:t>
      </w:r>
    </w:p>
    <w:p w14:paraId="4026B2C2"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35 </w:t>
      </w:r>
      <w:r w:rsidRPr="000C58DA">
        <w:rPr>
          <w:rFonts w:ascii="Book Antiqua" w:hAnsi="Book Antiqua"/>
          <w:b/>
          <w:bCs/>
        </w:rPr>
        <w:t>Morris MD</w:t>
      </w:r>
      <w:r w:rsidRPr="000C58DA">
        <w:rPr>
          <w:rFonts w:ascii="Book Antiqua" w:hAnsi="Book Antiqua"/>
        </w:rPr>
        <w:t xml:space="preserve">, </w:t>
      </w:r>
      <w:proofErr w:type="spellStart"/>
      <w:r w:rsidRPr="000C58DA">
        <w:rPr>
          <w:rFonts w:ascii="Book Antiqua" w:hAnsi="Book Antiqua"/>
        </w:rPr>
        <w:t>Mirzazadeh</w:t>
      </w:r>
      <w:proofErr w:type="spellEnd"/>
      <w:r w:rsidRPr="000C58DA">
        <w:rPr>
          <w:rFonts w:ascii="Book Antiqua" w:hAnsi="Book Antiqua"/>
        </w:rPr>
        <w:t xml:space="preserve"> A, Evans JL, Briceno A, Coffin P, Hahn JA, Page KA. Treatment cascade for hepatitis C virus in young adult people who inject drugs in San Francisco: Low number treated. </w:t>
      </w:r>
      <w:r w:rsidRPr="000C58DA">
        <w:rPr>
          <w:rFonts w:ascii="Book Antiqua" w:hAnsi="Book Antiqua"/>
          <w:i/>
          <w:iCs/>
        </w:rPr>
        <w:t>Drug Alcohol Depend</w:t>
      </w:r>
      <w:r w:rsidRPr="000C58DA">
        <w:rPr>
          <w:rFonts w:ascii="Book Antiqua" w:hAnsi="Book Antiqua"/>
        </w:rPr>
        <w:t xml:space="preserve"> 2019; </w:t>
      </w:r>
      <w:r w:rsidRPr="000C58DA">
        <w:rPr>
          <w:rFonts w:ascii="Book Antiqua" w:hAnsi="Book Antiqua"/>
          <w:b/>
          <w:bCs/>
        </w:rPr>
        <w:t>198</w:t>
      </w:r>
      <w:r w:rsidRPr="000C58DA">
        <w:rPr>
          <w:rFonts w:ascii="Book Antiqua" w:hAnsi="Book Antiqua"/>
        </w:rPr>
        <w:t>: 133-135 [PMID: 30921649 DOI: 10.1016/j.drugalcdep.2019.02.008]</w:t>
      </w:r>
    </w:p>
    <w:p w14:paraId="27A48948"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36 </w:t>
      </w:r>
      <w:r w:rsidRPr="000C58DA">
        <w:rPr>
          <w:rFonts w:ascii="Book Antiqua" w:hAnsi="Book Antiqua"/>
          <w:b/>
          <w:bCs/>
        </w:rPr>
        <w:t>Ireland G</w:t>
      </w:r>
      <w:r w:rsidRPr="000C58DA">
        <w:rPr>
          <w:rFonts w:ascii="Book Antiqua" w:hAnsi="Book Antiqua"/>
        </w:rPr>
        <w:t xml:space="preserve">, Simmons R, Hickman M, Eastwood B, Ramsay M, Mandal S. Mapping the hepatitis C cascade of care in people attending drug treatment services in England: A data linkage study. </w:t>
      </w:r>
      <w:r w:rsidRPr="000C58DA">
        <w:rPr>
          <w:rFonts w:ascii="Book Antiqua" w:hAnsi="Book Antiqua"/>
          <w:i/>
          <w:iCs/>
        </w:rPr>
        <w:t>Int J Drug Policy</w:t>
      </w:r>
      <w:r w:rsidRPr="000C58DA">
        <w:rPr>
          <w:rFonts w:ascii="Book Antiqua" w:hAnsi="Book Antiqua"/>
        </w:rPr>
        <w:t xml:space="preserve"> 2019; </w:t>
      </w:r>
      <w:r w:rsidRPr="000C58DA">
        <w:rPr>
          <w:rFonts w:ascii="Book Antiqua" w:hAnsi="Book Antiqua"/>
          <w:b/>
          <w:bCs/>
        </w:rPr>
        <w:t>72</w:t>
      </w:r>
      <w:r w:rsidRPr="000C58DA">
        <w:rPr>
          <w:rFonts w:ascii="Book Antiqua" w:hAnsi="Book Antiqua"/>
        </w:rPr>
        <w:t>: 55-60 [PMID: 31257040 DOI: 10.1016/j.drugpo.2019.06.006]</w:t>
      </w:r>
    </w:p>
    <w:p w14:paraId="6E334999"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37 </w:t>
      </w:r>
      <w:proofErr w:type="spellStart"/>
      <w:r w:rsidRPr="000C58DA">
        <w:rPr>
          <w:rFonts w:ascii="Book Antiqua" w:hAnsi="Book Antiqua"/>
          <w:b/>
          <w:bCs/>
        </w:rPr>
        <w:t>Newsum</w:t>
      </w:r>
      <w:proofErr w:type="spellEnd"/>
      <w:r w:rsidRPr="000C58DA">
        <w:rPr>
          <w:rFonts w:ascii="Book Antiqua" w:hAnsi="Book Antiqua"/>
          <w:b/>
          <w:bCs/>
        </w:rPr>
        <w:t xml:space="preserve"> AM</w:t>
      </w:r>
      <w:r w:rsidRPr="000C58DA">
        <w:rPr>
          <w:rFonts w:ascii="Book Antiqua" w:hAnsi="Book Antiqua"/>
        </w:rPr>
        <w:t xml:space="preserve">, </w:t>
      </w:r>
      <w:proofErr w:type="spellStart"/>
      <w:r w:rsidRPr="000C58DA">
        <w:rPr>
          <w:rFonts w:ascii="Book Antiqua" w:hAnsi="Book Antiqua"/>
        </w:rPr>
        <w:t>Matser</w:t>
      </w:r>
      <w:proofErr w:type="spellEnd"/>
      <w:r w:rsidRPr="000C58DA">
        <w:rPr>
          <w:rFonts w:ascii="Book Antiqua" w:hAnsi="Book Antiqua"/>
        </w:rPr>
        <w:t xml:space="preserve"> A, </w:t>
      </w:r>
      <w:proofErr w:type="spellStart"/>
      <w:r w:rsidRPr="000C58DA">
        <w:rPr>
          <w:rFonts w:ascii="Book Antiqua" w:hAnsi="Book Antiqua"/>
        </w:rPr>
        <w:t>Schinkel</w:t>
      </w:r>
      <w:proofErr w:type="spellEnd"/>
      <w:r w:rsidRPr="000C58DA">
        <w:rPr>
          <w:rFonts w:ascii="Book Antiqua" w:hAnsi="Book Antiqua"/>
        </w:rPr>
        <w:t xml:space="preserve"> J, van der </w:t>
      </w:r>
      <w:proofErr w:type="spellStart"/>
      <w:r w:rsidRPr="000C58DA">
        <w:rPr>
          <w:rFonts w:ascii="Book Antiqua" w:hAnsi="Book Antiqua"/>
        </w:rPr>
        <w:t>Valk</w:t>
      </w:r>
      <w:proofErr w:type="spellEnd"/>
      <w:r w:rsidRPr="000C58DA">
        <w:rPr>
          <w:rFonts w:ascii="Book Antiqua" w:hAnsi="Book Antiqua"/>
        </w:rPr>
        <w:t xml:space="preserve"> M, Brinkman K, van </w:t>
      </w:r>
      <w:proofErr w:type="spellStart"/>
      <w:r w:rsidRPr="000C58DA">
        <w:rPr>
          <w:rFonts w:ascii="Book Antiqua" w:hAnsi="Book Antiqua"/>
        </w:rPr>
        <w:t>Eeden</w:t>
      </w:r>
      <w:proofErr w:type="spellEnd"/>
      <w:r w:rsidRPr="000C58DA">
        <w:rPr>
          <w:rFonts w:ascii="Book Antiqua" w:hAnsi="Book Antiqua"/>
        </w:rPr>
        <w:t xml:space="preserve"> A, </w:t>
      </w:r>
      <w:proofErr w:type="spellStart"/>
      <w:r w:rsidRPr="000C58DA">
        <w:rPr>
          <w:rFonts w:ascii="Book Antiqua" w:hAnsi="Book Antiqua"/>
        </w:rPr>
        <w:t>Lauw</w:t>
      </w:r>
      <w:proofErr w:type="spellEnd"/>
      <w:r w:rsidRPr="000C58DA">
        <w:rPr>
          <w:rFonts w:ascii="Book Antiqua" w:hAnsi="Book Antiqua"/>
        </w:rPr>
        <w:t xml:space="preserve"> FN, </w:t>
      </w:r>
      <w:proofErr w:type="spellStart"/>
      <w:r w:rsidRPr="000C58DA">
        <w:rPr>
          <w:rFonts w:ascii="Book Antiqua" w:hAnsi="Book Antiqua"/>
        </w:rPr>
        <w:t>Rijnders</w:t>
      </w:r>
      <w:proofErr w:type="spellEnd"/>
      <w:r w:rsidRPr="000C58DA">
        <w:rPr>
          <w:rFonts w:ascii="Book Antiqua" w:hAnsi="Book Antiqua"/>
        </w:rPr>
        <w:t xml:space="preserve"> BJA, van de </w:t>
      </w:r>
      <w:proofErr w:type="spellStart"/>
      <w:r w:rsidRPr="000C58DA">
        <w:rPr>
          <w:rFonts w:ascii="Book Antiqua" w:hAnsi="Book Antiqua"/>
        </w:rPr>
        <w:t>Laar</w:t>
      </w:r>
      <w:proofErr w:type="spellEnd"/>
      <w:r w:rsidRPr="000C58DA">
        <w:rPr>
          <w:rFonts w:ascii="Book Antiqua" w:hAnsi="Book Antiqua"/>
        </w:rPr>
        <w:t xml:space="preserve"> TJW, van de Kerkhof M, Smit C, Boyd A, </w:t>
      </w:r>
      <w:proofErr w:type="spellStart"/>
      <w:r w:rsidRPr="000C58DA">
        <w:rPr>
          <w:rFonts w:ascii="Book Antiqua" w:hAnsi="Book Antiqua"/>
        </w:rPr>
        <w:t>Arends</w:t>
      </w:r>
      <w:proofErr w:type="spellEnd"/>
      <w:r w:rsidRPr="000C58DA">
        <w:rPr>
          <w:rFonts w:ascii="Book Antiqua" w:hAnsi="Book Antiqua"/>
        </w:rPr>
        <w:t xml:space="preserve"> JE, </w:t>
      </w:r>
      <w:proofErr w:type="spellStart"/>
      <w:r w:rsidRPr="000C58DA">
        <w:rPr>
          <w:rFonts w:ascii="Book Antiqua" w:hAnsi="Book Antiqua"/>
        </w:rPr>
        <w:t>Prins</w:t>
      </w:r>
      <w:proofErr w:type="spellEnd"/>
      <w:r w:rsidRPr="000C58DA">
        <w:rPr>
          <w:rFonts w:ascii="Book Antiqua" w:hAnsi="Book Antiqua"/>
        </w:rPr>
        <w:t xml:space="preserve"> M; MSM Observational Study of Acute Infection with hepatitis C (MOSAIC) study group. Incidence of HCV Reinfection </w:t>
      </w:r>
      <w:proofErr w:type="gramStart"/>
      <w:r w:rsidRPr="000C58DA">
        <w:rPr>
          <w:rFonts w:ascii="Book Antiqua" w:hAnsi="Book Antiqua"/>
        </w:rPr>
        <w:t>Among</w:t>
      </w:r>
      <w:proofErr w:type="gramEnd"/>
      <w:r w:rsidRPr="000C58DA">
        <w:rPr>
          <w:rFonts w:ascii="Book Antiqua" w:hAnsi="Book Antiqua"/>
        </w:rPr>
        <w:t xml:space="preserve"> HIV-Positive MSM and Its Association With Sexual Risk Behavior: A Longitudinal Analysis. </w:t>
      </w:r>
      <w:r w:rsidRPr="000C58DA">
        <w:rPr>
          <w:rFonts w:ascii="Book Antiqua" w:hAnsi="Book Antiqua"/>
          <w:i/>
          <w:iCs/>
        </w:rPr>
        <w:t>Clin Infect Dis</w:t>
      </w:r>
      <w:r w:rsidRPr="000C58DA">
        <w:rPr>
          <w:rFonts w:ascii="Book Antiqua" w:hAnsi="Book Antiqua"/>
        </w:rPr>
        <w:t xml:space="preserve"> 2021; </w:t>
      </w:r>
      <w:r w:rsidRPr="000C58DA">
        <w:rPr>
          <w:rFonts w:ascii="Book Antiqua" w:hAnsi="Book Antiqua"/>
          <w:b/>
          <w:bCs/>
        </w:rPr>
        <w:t>73</w:t>
      </w:r>
      <w:r w:rsidRPr="000C58DA">
        <w:rPr>
          <w:rFonts w:ascii="Book Antiqua" w:hAnsi="Book Antiqua"/>
        </w:rPr>
        <w:t>: 460-467 [PMID: 32459339 DOI: 10.1093/</w:t>
      </w:r>
      <w:proofErr w:type="spellStart"/>
      <w:r w:rsidRPr="000C58DA">
        <w:rPr>
          <w:rFonts w:ascii="Book Antiqua" w:hAnsi="Book Antiqua"/>
        </w:rPr>
        <w:t>cid</w:t>
      </w:r>
      <w:proofErr w:type="spellEnd"/>
      <w:r w:rsidRPr="000C58DA">
        <w:rPr>
          <w:rFonts w:ascii="Book Antiqua" w:hAnsi="Book Antiqua"/>
        </w:rPr>
        <w:t>/ciaa645]</w:t>
      </w:r>
    </w:p>
    <w:p w14:paraId="409B667F"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38 </w:t>
      </w:r>
      <w:r w:rsidRPr="000C58DA">
        <w:rPr>
          <w:rFonts w:ascii="Book Antiqua" w:hAnsi="Book Antiqua"/>
          <w:b/>
          <w:bCs/>
        </w:rPr>
        <w:t>Huang MH</w:t>
      </w:r>
      <w:r w:rsidRPr="000C58DA">
        <w:rPr>
          <w:rFonts w:ascii="Book Antiqua" w:hAnsi="Book Antiqua"/>
        </w:rPr>
        <w:t xml:space="preserve">, Chang SY, Liu CH, Cheng A, Su LH, Liu WC, Su YC, Sun HY, Hung CC, Chang SC. HCV reinfections after viral clearance among HIV-positive patients with recent HCV infection in Taiwan. </w:t>
      </w:r>
      <w:r w:rsidRPr="000C58DA">
        <w:rPr>
          <w:rFonts w:ascii="Book Antiqua" w:hAnsi="Book Antiqua"/>
          <w:i/>
          <w:iCs/>
        </w:rPr>
        <w:t>Liver Int</w:t>
      </w:r>
      <w:r w:rsidRPr="000C58DA">
        <w:rPr>
          <w:rFonts w:ascii="Book Antiqua" w:hAnsi="Book Antiqua"/>
        </w:rPr>
        <w:t xml:space="preserve"> 2019; </w:t>
      </w:r>
      <w:r w:rsidRPr="000C58DA">
        <w:rPr>
          <w:rFonts w:ascii="Book Antiqua" w:hAnsi="Book Antiqua"/>
          <w:b/>
          <w:bCs/>
        </w:rPr>
        <w:t>39</w:t>
      </w:r>
      <w:r w:rsidRPr="000C58DA">
        <w:rPr>
          <w:rFonts w:ascii="Book Antiqua" w:hAnsi="Book Antiqua"/>
        </w:rPr>
        <w:t>: 1860-1867 [PMID: 31343813 DOI: 10.1111/liv.14199]</w:t>
      </w:r>
    </w:p>
    <w:p w14:paraId="24B7EFFA" w14:textId="77777777" w:rsidR="00CA0B23" w:rsidRPr="000C58DA" w:rsidRDefault="00CA0B23" w:rsidP="00206D9E">
      <w:pPr>
        <w:adjustRightInd w:val="0"/>
        <w:snapToGrid w:val="0"/>
        <w:spacing w:line="360" w:lineRule="auto"/>
        <w:jc w:val="both"/>
        <w:rPr>
          <w:rFonts w:ascii="Book Antiqua" w:hAnsi="Book Antiqua"/>
        </w:rPr>
      </w:pPr>
      <w:r w:rsidRPr="000C58DA">
        <w:rPr>
          <w:rFonts w:ascii="Book Antiqua" w:hAnsi="Book Antiqua"/>
        </w:rPr>
        <w:t xml:space="preserve">39 </w:t>
      </w:r>
      <w:proofErr w:type="spellStart"/>
      <w:r w:rsidRPr="000C58DA">
        <w:rPr>
          <w:rFonts w:ascii="Book Antiqua" w:hAnsi="Book Antiqua"/>
          <w:b/>
          <w:bCs/>
        </w:rPr>
        <w:t>Ingiliz</w:t>
      </w:r>
      <w:proofErr w:type="spellEnd"/>
      <w:r w:rsidRPr="000C58DA">
        <w:rPr>
          <w:rFonts w:ascii="Book Antiqua" w:hAnsi="Book Antiqua"/>
          <w:b/>
          <w:bCs/>
        </w:rPr>
        <w:t xml:space="preserve"> P</w:t>
      </w:r>
      <w:r w:rsidRPr="000C58DA">
        <w:rPr>
          <w:rFonts w:ascii="Book Antiqua" w:hAnsi="Book Antiqua"/>
        </w:rPr>
        <w:t xml:space="preserve">, Martin TC, Rodger A, </w:t>
      </w:r>
      <w:proofErr w:type="spellStart"/>
      <w:r w:rsidRPr="000C58DA">
        <w:rPr>
          <w:rFonts w:ascii="Book Antiqua" w:hAnsi="Book Antiqua"/>
        </w:rPr>
        <w:t>Stellbrink</w:t>
      </w:r>
      <w:proofErr w:type="spellEnd"/>
      <w:r w:rsidRPr="000C58DA">
        <w:rPr>
          <w:rFonts w:ascii="Book Antiqua" w:hAnsi="Book Antiqua"/>
        </w:rPr>
        <w:t xml:space="preserve"> HJ, </w:t>
      </w:r>
      <w:proofErr w:type="spellStart"/>
      <w:r w:rsidRPr="000C58DA">
        <w:rPr>
          <w:rFonts w:ascii="Book Antiqua" w:hAnsi="Book Antiqua"/>
        </w:rPr>
        <w:t>Mauss</w:t>
      </w:r>
      <w:proofErr w:type="spellEnd"/>
      <w:r w:rsidRPr="000C58DA">
        <w:rPr>
          <w:rFonts w:ascii="Book Antiqua" w:hAnsi="Book Antiqua"/>
        </w:rPr>
        <w:t xml:space="preserve"> S, </w:t>
      </w:r>
      <w:proofErr w:type="spellStart"/>
      <w:r w:rsidRPr="000C58DA">
        <w:rPr>
          <w:rFonts w:ascii="Book Antiqua" w:hAnsi="Book Antiqua"/>
        </w:rPr>
        <w:t>Boesecke</w:t>
      </w:r>
      <w:proofErr w:type="spellEnd"/>
      <w:r w:rsidRPr="000C58DA">
        <w:rPr>
          <w:rFonts w:ascii="Book Antiqua" w:hAnsi="Book Antiqua"/>
        </w:rPr>
        <w:t xml:space="preserve"> C, </w:t>
      </w:r>
      <w:proofErr w:type="spellStart"/>
      <w:r w:rsidRPr="000C58DA">
        <w:rPr>
          <w:rFonts w:ascii="Book Antiqua" w:hAnsi="Book Antiqua"/>
        </w:rPr>
        <w:t>Mandorfer</w:t>
      </w:r>
      <w:proofErr w:type="spellEnd"/>
      <w:r w:rsidRPr="000C58DA">
        <w:rPr>
          <w:rFonts w:ascii="Book Antiqua" w:hAnsi="Book Antiqua"/>
        </w:rPr>
        <w:t xml:space="preserve"> M, </w:t>
      </w:r>
      <w:proofErr w:type="spellStart"/>
      <w:r w:rsidRPr="000C58DA">
        <w:rPr>
          <w:rFonts w:ascii="Book Antiqua" w:hAnsi="Book Antiqua"/>
        </w:rPr>
        <w:t>Bottero</w:t>
      </w:r>
      <w:proofErr w:type="spellEnd"/>
      <w:r w:rsidRPr="000C58DA">
        <w:rPr>
          <w:rFonts w:ascii="Book Antiqua" w:hAnsi="Book Antiqua"/>
        </w:rPr>
        <w:t xml:space="preserve"> J, </w:t>
      </w:r>
      <w:proofErr w:type="spellStart"/>
      <w:r w:rsidRPr="000C58DA">
        <w:rPr>
          <w:rFonts w:ascii="Book Antiqua" w:hAnsi="Book Antiqua"/>
        </w:rPr>
        <w:t>Baumgarten</w:t>
      </w:r>
      <w:proofErr w:type="spellEnd"/>
      <w:r w:rsidRPr="000C58DA">
        <w:rPr>
          <w:rFonts w:ascii="Book Antiqua" w:hAnsi="Book Antiqua"/>
        </w:rPr>
        <w:t xml:space="preserve"> A, </w:t>
      </w:r>
      <w:proofErr w:type="spellStart"/>
      <w:r w:rsidRPr="000C58DA">
        <w:rPr>
          <w:rFonts w:ascii="Book Antiqua" w:hAnsi="Book Antiqua"/>
        </w:rPr>
        <w:t>Bhagani</w:t>
      </w:r>
      <w:proofErr w:type="spellEnd"/>
      <w:r w:rsidRPr="000C58DA">
        <w:rPr>
          <w:rFonts w:ascii="Book Antiqua" w:hAnsi="Book Antiqua"/>
        </w:rPr>
        <w:t xml:space="preserve"> S, Lacombe K, Nelson M, </w:t>
      </w:r>
      <w:proofErr w:type="spellStart"/>
      <w:r w:rsidRPr="000C58DA">
        <w:rPr>
          <w:rFonts w:ascii="Book Antiqua" w:hAnsi="Book Antiqua"/>
        </w:rPr>
        <w:t>Rockstroh</w:t>
      </w:r>
      <w:proofErr w:type="spellEnd"/>
      <w:r w:rsidRPr="000C58DA">
        <w:rPr>
          <w:rFonts w:ascii="Book Antiqua" w:hAnsi="Book Antiqua"/>
        </w:rPr>
        <w:t xml:space="preserve"> JK; NEAT study group. HCV reinfection incidence and spontaneous clearance rates in HIV-positive men who have sex with men in Western Europe. </w:t>
      </w:r>
      <w:r w:rsidRPr="000C58DA">
        <w:rPr>
          <w:rFonts w:ascii="Book Antiqua" w:hAnsi="Book Antiqua"/>
          <w:i/>
          <w:iCs/>
        </w:rPr>
        <w:t>J Hepatol</w:t>
      </w:r>
      <w:r w:rsidRPr="000C58DA">
        <w:rPr>
          <w:rFonts w:ascii="Book Antiqua" w:hAnsi="Book Antiqua"/>
        </w:rPr>
        <w:t xml:space="preserve"> 2017; </w:t>
      </w:r>
      <w:r w:rsidRPr="000C58DA">
        <w:rPr>
          <w:rFonts w:ascii="Book Antiqua" w:hAnsi="Book Antiqua"/>
          <w:b/>
          <w:bCs/>
        </w:rPr>
        <w:t>66</w:t>
      </w:r>
      <w:r w:rsidRPr="000C58DA">
        <w:rPr>
          <w:rFonts w:ascii="Book Antiqua" w:hAnsi="Book Antiqua"/>
        </w:rPr>
        <w:t>: 282-287 [PMID: 27650285 DOI: 10.1016/j.jhep.2016.09.004]</w:t>
      </w:r>
    </w:p>
    <w:bookmarkEnd w:id="10"/>
    <w:p w14:paraId="3F7E1B7E" w14:textId="77777777" w:rsidR="00CA0B23" w:rsidRPr="000C58DA" w:rsidRDefault="00CA0B23" w:rsidP="00206D9E">
      <w:pPr>
        <w:adjustRightInd w:val="0"/>
        <w:snapToGrid w:val="0"/>
        <w:spacing w:line="360" w:lineRule="auto"/>
        <w:jc w:val="both"/>
        <w:rPr>
          <w:rFonts w:ascii="Book Antiqua" w:hAnsi="Book Antiqua"/>
          <w:lang w:eastAsia="zh-CN"/>
        </w:rPr>
      </w:pPr>
    </w:p>
    <w:p w14:paraId="63F18A29" w14:textId="77777777" w:rsidR="00A77B3E" w:rsidRPr="000C58DA" w:rsidRDefault="00A77B3E" w:rsidP="00206D9E">
      <w:pPr>
        <w:adjustRightInd w:val="0"/>
        <w:snapToGrid w:val="0"/>
        <w:spacing w:line="360" w:lineRule="auto"/>
        <w:jc w:val="both"/>
        <w:rPr>
          <w:rFonts w:ascii="Book Antiqua" w:hAnsi="Book Antiqua"/>
        </w:rPr>
        <w:sectPr w:rsidR="00A77B3E" w:rsidRPr="000C58DA">
          <w:pgSz w:w="12240" w:h="15840"/>
          <w:pgMar w:top="1440" w:right="1440" w:bottom="1440" w:left="1440" w:header="720" w:footer="720" w:gutter="0"/>
          <w:cols w:space="720"/>
          <w:docGrid w:linePitch="360"/>
        </w:sectPr>
      </w:pPr>
    </w:p>
    <w:p w14:paraId="444E3B7C"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olor w:val="000000"/>
        </w:rPr>
        <w:lastRenderedPageBreak/>
        <w:t>Footnotes</w:t>
      </w:r>
    </w:p>
    <w:p w14:paraId="084CCFCE"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 xml:space="preserve">Institutional review board statement: </w:t>
      </w:r>
      <w:r w:rsidRPr="000C58DA">
        <w:rPr>
          <w:rFonts w:ascii="Book Antiqua" w:eastAsia="Book Antiqua" w:hAnsi="Book Antiqua" w:cs="Book Antiqua"/>
          <w:color w:val="000000"/>
        </w:rPr>
        <w:t>This retrospective study was approved by the Research Ethics Committee of National Taiwan University Hospital (registration number: 201605103RINC and 201605128RINC).</w:t>
      </w:r>
    </w:p>
    <w:p w14:paraId="05CCB774" w14:textId="77777777" w:rsidR="00A77B3E" w:rsidRPr="000C58DA" w:rsidRDefault="00A77B3E" w:rsidP="00206D9E">
      <w:pPr>
        <w:adjustRightInd w:val="0"/>
        <w:snapToGrid w:val="0"/>
        <w:spacing w:line="360" w:lineRule="auto"/>
        <w:jc w:val="both"/>
        <w:rPr>
          <w:rFonts w:ascii="Book Antiqua" w:hAnsi="Book Antiqua"/>
        </w:rPr>
      </w:pPr>
    </w:p>
    <w:p w14:paraId="19A697AA"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 xml:space="preserve">Informed consent statement: </w:t>
      </w:r>
      <w:r w:rsidRPr="000C58DA">
        <w:rPr>
          <w:rFonts w:ascii="Book Antiqua" w:eastAsia="Book Antiqua" w:hAnsi="Book Antiqua" w:cs="Book Antiqua"/>
          <w:color w:val="000000"/>
        </w:rPr>
        <w:t>Written informed consents were obtained from all included participants prior to study inclusion.</w:t>
      </w:r>
    </w:p>
    <w:p w14:paraId="271502EA" w14:textId="77777777" w:rsidR="00A77B3E" w:rsidRPr="000C58DA" w:rsidRDefault="00A77B3E" w:rsidP="00206D9E">
      <w:pPr>
        <w:adjustRightInd w:val="0"/>
        <w:snapToGrid w:val="0"/>
        <w:spacing w:line="360" w:lineRule="auto"/>
        <w:jc w:val="both"/>
        <w:rPr>
          <w:rFonts w:ascii="Book Antiqua" w:hAnsi="Book Antiqua"/>
        </w:rPr>
      </w:pPr>
    </w:p>
    <w:p w14:paraId="6C1DA0A6"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 xml:space="preserve">Conflict-of-interest statement: </w:t>
      </w:r>
      <w:r w:rsidR="00CA0B23" w:rsidRPr="000C58DA">
        <w:rPr>
          <w:rFonts w:ascii="Book Antiqua" w:hAnsi="Book Antiqua" w:cs="Book Antiqua"/>
          <w:color w:val="000000"/>
          <w:lang w:eastAsia="zh-CN"/>
        </w:rPr>
        <w:t>Th</w:t>
      </w:r>
      <w:r w:rsidR="00CA0B23" w:rsidRPr="000C58DA">
        <w:rPr>
          <w:rFonts w:ascii="Book Antiqua" w:eastAsia="Book Antiqua" w:hAnsi="Book Antiqua" w:cs="Book Antiqua"/>
          <w:color w:val="000000"/>
        </w:rPr>
        <w:t>e</w:t>
      </w:r>
      <w:r w:rsidRPr="000C58DA">
        <w:rPr>
          <w:rFonts w:ascii="Book Antiqua" w:eastAsia="Book Antiqua" w:hAnsi="Book Antiqua" w:cs="Book Antiqua"/>
          <w:color w:val="000000"/>
        </w:rPr>
        <w:t xml:space="preserve"> authors have no competing interest to disclose.</w:t>
      </w:r>
    </w:p>
    <w:p w14:paraId="47A8F1BF" w14:textId="77777777" w:rsidR="00A77B3E" w:rsidRPr="000C58DA" w:rsidRDefault="00A77B3E" w:rsidP="00206D9E">
      <w:pPr>
        <w:adjustRightInd w:val="0"/>
        <w:snapToGrid w:val="0"/>
        <w:spacing w:line="360" w:lineRule="auto"/>
        <w:jc w:val="both"/>
        <w:rPr>
          <w:rFonts w:ascii="Book Antiqua" w:hAnsi="Book Antiqua"/>
        </w:rPr>
      </w:pPr>
    </w:p>
    <w:p w14:paraId="374F0687"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 xml:space="preserve">Data sharing statement: </w:t>
      </w:r>
      <w:r w:rsidRPr="000C58DA">
        <w:rPr>
          <w:rFonts w:ascii="Book Antiqua" w:eastAsia="Book Antiqua" w:hAnsi="Book Antiqua" w:cs="Book Antiqua"/>
          <w:color w:val="000000"/>
        </w:rPr>
        <w:t>The datasets generated and/or analyzed during the current study are available from the corresponding author upon reasonable request.</w:t>
      </w:r>
    </w:p>
    <w:p w14:paraId="6DBA3039" w14:textId="77777777" w:rsidR="00A77B3E" w:rsidRPr="000C58DA" w:rsidRDefault="00A77B3E" w:rsidP="00206D9E">
      <w:pPr>
        <w:adjustRightInd w:val="0"/>
        <w:snapToGrid w:val="0"/>
        <w:spacing w:line="360" w:lineRule="auto"/>
        <w:jc w:val="both"/>
        <w:rPr>
          <w:rFonts w:ascii="Book Antiqua" w:hAnsi="Book Antiqua"/>
        </w:rPr>
      </w:pPr>
    </w:p>
    <w:p w14:paraId="1AD8E9FA"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bCs/>
          <w:color w:val="000000"/>
        </w:rPr>
        <w:t xml:space="preserve">Open-Access: </w:t>
      </w:r>
      <w:r w:rsidRPr="000C58D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58DA">
        <w:rPr>
          <w:rFonts w:ascii="Book Antiqua" w:eastAsia="Book Antiqua" w:hAnsi="Book Antiqua" w:cs="Book Antiqua"/>
          <w:color w:val="000000"/>
        </w:rPr>
        <w:t>NonCommercial</w:t>
      </w:r>
      <w:proofErr w:type="spellEnd"/>
      <w:r w:rsidRPr="000C58D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94EB9F" w14:textId="77777777" w:rsidR="00A77B3E" w:rsidRPr="000C58DA" w:rsidRDefault="00A77B3E" w:rsidP="00206D9E">
      <w:pPr>
        <w:adjustRightInd w:val="0"/>
        <w:snapToGrid w:val="0"/>
        <w:spacing w:line="360" w:lineRule="auto"/>
        <w:jc w:val="both"/>
        <w:rPr>
          <w:rFonts w:ascii="Book Antiqua" w:hAnsi="Book Antiqua"/>
        </w:rPr>
      </w:pPr>
    </w:p>
    <w:p w14:paraId="021FF766"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olor w:val="000000"/>
        </w:rPr>
        <w:t xml:space="preserve">Manuscript source: </w:t>
      </w:r>
      <w:r w:rsidRPr="000C58DA">
        <w:rPr>
          <w:rFonts w:ascii="Book Antiqua" w:eastAsia="Book Antiqua" w:hAnsi="Book Antiqua" w:cs="Book Antiqua"/>
          <w:color w:val="000000"/>
        </w:rPr>
        <w:t xml:space="preserve">Invited </w:t>
      </w:r>
      <w:r w:rsidR="00CA0B23" w:rsidRPr="000C58DA">
        <w:rPr>
          <w:rFonts w:ascii="Book Antiqua" w:eastAsia="Book Antiqua" w:hAnsi="Book Antiqua" w:cs="Book Antiqua"/>
          <w:color w:val="000000"/>
        </w:rPr>
        <w:t>ma</w:t>
      </w:r>
      <w:r w:rsidRPr="000C58DA">
        <w:rPr>
          <w:rFonts w:ascii="Book Antiqua" w:eastAsia="Book Antiqua" w:hAnsi="Book Antiqua" w:cs="Book Antiqua"/>
          <w:color w:val="000000"/>
        </w:rPr>
        <w:t>nuscript</w:t>
      </w:r>
    </w:p>
    <w:p w14:paraId="1F62C638" w14:textId="77777777" w:rsidR="00A77B3E" w:rsidRPr="000C58DA" w:rsidRDefault="00A77B3E" w:rsidP="00206D9E">
      <w:pPr>
        <w:adjustRightInd w:val="0"/>
        <w:snapToGrid w:val="0"/>
        <w:spacing w:line="360" w:lineRule="auto"/>
        <w:jc w:val="both"/>
        <w:rPr>
          <w:rFonts w:ascii="Book Antiqua" w:hAnsi="Book Antiqua"/>
        </w:rPr>
      </w:pPr>
    </w:p>
    <w:p w14:paraId="2B5B14BC"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olor w:val="000000"/>
        </w:rPr>
        <w:t xml:space="preserve">Peer-review started: </w:t>
      </w:r>
      <w:r w:rsidRPr="000C58DA">
        <w:rPr>
          <w:rFonts w:ascii="Book Antiqua" w:eastAsia="Book Antiqua" w:hAnsi="Book Antiqua" w:cs="Book Antiqua"/>
          <w:color w:val="000000"/>
        </w:rPr>
        <w:t>April 5, 2021</w:t>
      </w:r>
    </w:p>
    <w:p w14:paraId="6037383A"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olor w:val="000000"/>
        </w:rPr>
        <w:t xml:space="preserve">First decision: </w:t>
      </w:r>
      <w:r w:rsidRPr="000C58DA">
        <w:rPr>
          <w:rFonts w:ascii="Book Antiqua" w:eastAsia="Book Antiqua" w:hAnsi="Book Antiqua" w:cs="Book Antiqua"/>
          <w:color w:val="000000"/>
        </w:rPr>
        <w:t>July 3, 2021</w:t>
      </w:r>
    </w:p>
    <w:p w14:paraId="4174F14C" w14:textId="5E0EE4E4"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olor w:val="000000"/>
        </w:rPr>
        <w:t xml:space="preserve">Article in press: </w:t>
      </w:r>
      <w:r w:rsidR="00170192" w:rsidRPr="000C58DA">
        <w:rPr>
          <w:rFonts w:ascii="Book Antiqua" w:eastAsia="宋体" w:hAnsi="Book Antiqua" w:hint="eastAsia"/>
          <w:color w:val="000000" w:themeColor="text1"/>
        </w:rPr>
        <w:t>S</w:t>
      </w:r>
      <w:r w:rsidR="00170192" w:rsidRPr="000C58DA">
        <w:rPr>
          <w:rFonts w:ascii="Book Antiqua" w:eastAsia="宋体" w:hAnsi="Book Antiqua" w:hint="eastAsia"/>
          <w:color w:val="000000" w:themeColor="text1"/>
          <w:lang w:eastAsia="zh-CN"/>
        </w:rPr>
        <w:t>e</w:t>
      </w:r>
      <w:r w:rsidR="00170192" w:rsidRPr="000C58DA">
        <w:rPr>
          <w:rFonts w:ascii="Book Antiqua" w:eastAsia="宋体" w:hAnsi="Book Antiqua"/>
          <w:color w:val="000000" w:themeColor="text1"/>
        </w:rPr>
        <w:t>ptember 2, 2021</w:t>
      </w:r>
    </w:p>
    <w:p w14:paraId="3E59BD7C" w14:textId="77777777" w:rsidR="00A77B3E" w:rsidRPr="000C58DA" w:rsidRDefault="00A77B3E" w:rsidP="00206D9E">
      <w:pPr>
        <w:adjustRightInd w:val="0"/>
        <w:snapToGrid w:val="0"/>
        <w:spacing w:line="360" w:lineRule="auto"/>
        <w:jc w:val="both"/>
        <w:rPr>
          <w:rFonts w:ascii="Book Antiqua" w:hAnsi="Book Antiqua"/>
        </w:rPr>
      </w:pPr>
    </w:p>
    <w:p w14:paraId="13C725D3" w14:textId="7E82B36E"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olor w:val="000000"/>
        </w:rPr>
        <w:t xml:space="preserve">Specialty type: </w:t>
      </w:r>
      <w:r w:rsidR="00206D9E" w:rsidRPr="000C58DA">
        <w:rPr>
          <w:rFonts w:ascii="Book Antiqua" w:eastAsia="Book Antiqua" w:hAnsi="Book Antiqua" w:cs="Book Antiqua"/>
          <w:color w:val="000000"/>
        </w:rPr>
        <w:t>Gastroenterology and hepatology</w:t>
      </w:r>
    </w:p>
    <w:p w14:paraId="5A02D915"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olor w:val="000000"/>
        </w:rPr>
        <w:t xml:space="preserve">Country/Territory of origin: </w:t>
      </w:r>
      <w:r w:rsidRPr="000C58DA">
        <w:rPr>
          <w:rFonts w:ascii="Book Antiqua" w:eastAsia="Book Antiqua" w:hAnsi="Book Antiqua" w:cs="Book Antiqua"/>
          <w:color w:val="000000"/>
        </w:rPr>
        <w:t>Taiwan</w:t>
      </w:r>
    </w:p>
    <w:p w14:paraId="3A4ED4C5"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b/>
          <w:color w:val="000000"/>
        </w:rPr>
        <w:lastRenderedPageBreak/>
        <w:t>Peer-review report’s scientific quality classification</w:t>
      </w:r>
    </w:p>
    <w:p w14:paraId="7D4550BF"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Grade A (Excellent): 0</w:t>
      </w:r>
    </w:p>
    <w:p w14:paraId="67379EA7"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Grade B (Very good): 0</w:t>
      </w:r>
    </w:p>
    <w:p w14:paraId="5BCE62D4" w14:textId="5C094342"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Grade C (Good): C, C</w:t>
      </w:r>
      <w:r w:rsidR="00206D9E" w:rsidRPr="000C58DA">
        <w:rPr>
          <w:rFonts w:ascii="Book Antiqua" w:eastAsia="Book Antiqua" w:hAnsi="Book Antiqua" w:cs="Book Antiqua"/>
          <w:color w:val="000000"/>
        </w:rPr>
        <w:t>, C</w:t>
      </w:r>
    </w:p>
    <w:p w14:paraId="17B24A04"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Grade D (Fair): 0</w:t>
      </w:r>
    </w:p>
    <w:p w14:paraId="2DCE3D9E" w14:textId="77777777" w:rsidR="00A77B3E" w:rsidRPr="000C58DA" w:rsidRDefault="009B7C34" w:rsidP="00206D9E">
      <w:pPr>
        <w:adjustRightInd w:val="0"/>
        <w:snapToGrid w:val="0"/>
        <w:spacing w:line="360" w:lineRule="auto"/>
        <w:jc w:val="both"/>
        <w:rPr>
          <w:rFonts w:ascii="Book Antiqua" w:hAnsi="Book Antiqua"/>
        </w:rPr>
      </w:pPr>
      <w:r w:rsidRPr="000C58DA">
        <w:rPr>
          <w:rFonts w:ascii="Book Antiqua" w:eastAsia="Book Antiqua" w:hAnsi="Book Antiqua" w:cs="Book Antiqua"/>
          <w:color w:val="000000"/>
        </w:rPr>
        <w:t>Grade E (Poor): 0</w:t>
      </w:r>
    </w:p>
    <w:p w14:paraId="5C1E98C9" w14:textId="77777777" w:rsidR="00A77B3E" w:rsidRPr="000C58DA" w:rsidRDefault="00A77B3E" w:rsidP="00206D9E">
      <w:pPr>
        <w:adjustRightInd w:val="0"/>
        <w:snapToGrid w:val="0"/>
        <w:spacing w:line="360" w:lineRule="auto"/>
        <w:jc w:val="both"/>
        <w:rPr>
          <w:rFonts w:ascii="Book Antiqua" w:hAnsi="Book Antiqua"/>
        </w:rPr>
      </w:pPr>
    </w:p>
    <w:p w14:paraId="6956CAED" w14:textId="215B37F1" w:rsidR="00A77B3E" w:rsidRPr="000C58DA" w:rsidRDefault="009B7C34" w:rsidP="00206D9E">
      <w:pPr>
        <w:adjustRightInd w:val="0"/>
        <w:snapToGrid w:val="0"/>
        <w:spacing w:line="360" w:lineRule="auto"/>
        <w:jc w:val="both"/>
        <w:rPr>
          <w:rFonts w:ascii="Book Antiqua" w:eastAsia="Book Antiqua" w:hAnsi="Book Antiqua" w:cs="Book Antiqua"/>
          <w:color w:val="000000"/>
        </w:rPr>
      </w:pPr>
      <w:r w:rsidRPr="000C58DA">
        <w:rPr>
          <w:rFonts w:ascii="Book Antiqua" w:eastAsia="Book Antiqua" w:hAnsi="Book Antiqua" w:cs="Book Antiqua"/>
          <w:b/>
          <w:color w:val="000000"/>
        </w:rPr>
        <w:t xml:space="preserve">P-Reviewer: </w:t>
      </w:r>
      <w:r w:rsidRPr="000C58DA">
        <w:rPr>
          <w:rFonts w:ascii="Book Antiqua" w:eastAsia="Book Antiqua" w:hAnsi="Book Antiqua" w:cs="Book Antiqua"/>
          <w:color w:val="000000"/>
        </w:rPr>
        <w:t xml:space="preserve">Mohamed SY, </w:t>
      </w:r>
      <w:proofErr w:type="spellStart"/>
      <w:r w:rsidRPr="000C58DA">
        <w:rPr>
          <w:rFonts w:ascii="Book Antiqua" w:eastAsia="Book Antiqua" w:hAnsi="Book Antiqua" w:cs="Book Antiqua"/>
          <w:color w:val="000000"/>
        </w:rPr>
        <w:t>Zarębska-Michaluk</w:t>
      </w:r>
      <w:proofErr w:type="spellEnd"/>
      <w:r w:rsidRPr="000C58DA">
        <w:rPr>
          <w:rFonts w:ascii="Book Antiqua" w:eastAsia="Book Antiqua" w:hAnsi="Book Antiqua" w:cs="Book Antiqua"/>
          <w:color w:val="000000"/>
        </w:rPr>
        <w:t xml:space="preserve"> D</w:t>
      </w:r>
      <w:r w:rsidRPr="000C58DA">
        <w:rPr>
          <w:rFonts w:ascii="Book Antiqua" w:eastAsia="Book Antiqua" w:hAnsi="Book Antiqua" w:cs="Book Antiqua"/>
          <w:b/>
          <w:color w:val="000000"/>
        </w:rPr>
        <w:t xml:space="preserve"> S-Editor: </w:t>
      </w:r>
      <w:r w:rsidR="00206D9E" w:rsidRPr="000C58DA">
        <w:rPr>
          <w:rFonts w:ascii="Book Antiqua" w:eastAsia="Book Antiqua" w:hAnsi="Book Antiqua" w:cs="Book Antiqua"/>
          <w:color w:val="000000"/>
        </w:rPr>
        <w:t>Ma YJ</w:t>
      </w:r>
      <w:r w:rsidRPr="000C58DA">
        <w:rPr>
          <w:rFonts w:ascii="Book Antiqua" w:eastAsia="Book Antiqua" w:hAnsi="Book Antiqua" w:cs="Book Antiqua"/>
          <w:b/>
          <w:color w:val="000000"/>
        </w:rPr>
        <w:t xml:space="preserve"> L-Editor: </w:t>
      </w:r>
      <w:r w:rsidR="00170192" w:rsidRPr="000C58DA">
        <w:rPr>
          <w:rFonts w:ascii="Book Antiqua" w:eastAsia="Book Antiqua" w:hAnsi="Book Antiqua" w:cs="Book Antiqua" w:hint="eastAsia"/>
          <w:color w:val="000000"/>
        </w:rPr>
        <w:t>A</w:t>
      </w:r>
      <w:r w:rsidRPr="000C58DA">
        <w:rPr>
          <w:rFonts w:ascii="Book Antiqua" w:eastAsia="Book Antiqua" w:hAnsi="Book Antiqua" w:cs="Book Antiqua"/>
          <w:color w:val="000000"/>
        </w:rPr>
        <w:t xml:space="preserve"> </w:t>
      </w:r>
      <w:r w:rsidRPr="000C58DA">
        <w:rPr>
          <w:rFonts w:ascii="Book Antiqua" w:eastAsia="Book Antiqua" w:hAnsi="Book Antiqua" w:cs="Book Antiqua"/>
          <w:b/>
          <w:color w:val="000000"/>
        </w:rPr>
        <w:t xml:space="preserve">P-Editor: </w:t>
      </w:r>
      <w:r w:rsidR="00170192" w:rsidRPr="000C58DA">
        <w:rPr>
          <w:rFonts w:ascii="Book Antiqua" w:eastAsia="Book Antiqua" w:hAnsi="Book Antiqua" w:cs="Book Antiqua" w:hint="eastAsia"/>
          <w:color w:val="000000"/>
        </w:rPr>
        <w:t>Wu</w:t>
      </w:r>
      <w:r w:rsidR="00170192" w:rsidRPr="000C58DA">
        <w:rPr>
          <w:rFonts w:ascii="Book Antiqua" w:eastAsia="Book Antiqua" w:hAnsi="Book Antiqua" w:cs="Book Antiqua"/>
          <w:color w:val="000000"/>
        </w:rPr>
        <w:t xml:space="preserve"> </w:t>
      </w:r>
      <w:r w:rsidR="00170192" w:rsidRPr="000C58DA">
        <w:rPr>
          <w:rFonts w:ascii="Book Antiqua" w:eastAsia="Book Antiqua" w:hAnsi="Book Antiqua" w:cs="Book Antiqua" w:hint="eastAsia"/>
          <w:color w:val="000000"/>
        </w:rPr>
        <w:t>RR</w:t>
      </w:r>
    </w:p>
    <w:p w14:paraId="1CD82E50" w14:textId="2A4D0F75" w:rsidR="00170192" w:rsidRPr="000C58DA" w:rsidRDefault="00170192" w:rsidP="00206D9E">
      <w:pPr>
        <w:adjustRightInd w:val="0"/>
        <w:snapToGrid w:val="0"/>
        <w:spacing w:line="360" w:lineRule="auto"/>
        <w:jc w:val="both"/>
        <w:rPr>
          <w:rFonts w:ascii="Book Antiqua" w:hAnsi="Book Antiqua"/>
        </w:rPr>
        <w:sectPr w:rsidR="00170192" w:rsidRPr="000C58DA">
          <w:pgSz w:w="12240" w:h="15840"/>
          <w:pgMar w:top="1440" w:right="1440" w:bottom="1440" w:left="1440" w:header="720" w:footer="720" w:gutter="0"/>
          <w:cols w:space="720"/>
          <w:docGrid w:linePitch="360"/>
        </w:sectPr>
      </w:pPr>
    </w:p>
    <w:p w14:paraId="2C757DFE" w14:textId="77777777" w:rsidR="00A77B3E" w:rsidRPr="000C58DA" w:rsidRDefault="009B7C34" w:rsidP="00206D9E">
      <w:pPr>
        <w:adjustRightInd w:val="0"/>
        <w:snapToGrid w:val="0"/>
        <w:spacing w:line="360" w:lineRule="auto"/>
        <w:jc w:val="both"/>
        <w:rPr>
          <w:rFonts w:ascii="Book Antiqua" w:hAnsi="Book Antiqua" w:cs="Book Antiqua"/>
          <w:b/>
          <w:color w:val="000000"/>
          <w:lang w:eastAsia="zh-CN"/>
        </w:rPr>
      </w:pPr>
      <w:r w:rsidRPr="000C58DA">
        <w:rPr>
          <w:rFonts w:ascii="Book Antiqua" w:eastAsia="Book Antiqua" w:hAnsi="Book Antiqua" w:cs="Book Antiqua"/>
          <w:b/>
          <w:color w:val="000000"/>
        </w:rPr>
        <w:lastRenderedPageBreak/>
        <w:t>Figure Legends</w:t>
      </w:r>
    </w:p>
    <w:p w14:paraId="326F4554" w14:textId="77777777" w:rsidR="00CA0B23" w:rsidRPr="000C58DA" w:rsidRDefault="00CA0B23" w:rsidP="00206D9E">
      <w:pPr>
        <w:adjustRightInd w:val="0"/>
        <w:snapToGrid w:val="0"/>
        <w:spacing w:line="360" w:lineRule="auto"/>
        <w:jc w:val="both"/>
        <w:rPr>
          <w:rFonts w:ascii="Book Antiqua" w:hAnsi="Book Antiqua"/>
          <w:lang w:eastAsia="zh-CN"/>
        </w:rPr>
      </w:pPr>
      <w:r w:rsidRPr="000C58DA">
        <w:rPr>
          <w:rFonts w:ascii="Book Antiqua" w:hAnsi="Book Antiqua"/>
          <w:noProof/>
          <w:lang w:eastAsia="zh-CN"/>
        </w:rPr>
        <w:drawing>
          <wp:inline distT="0" distB="0" distL="0" distR="0" wp14:anchorId="27F758FA" wp14:editId="571D3733">
            <wp:extent cx="5486400" cy="34213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421380"/>
                    </a:xfrm>
                    <a:prstGeom prst="rect">
                      <a:avLst/>
                    </a:prstGeom>
                  </pic:spPr>
                </pic:pic>
              </a:graphicData>
            </a:graphic>
          </wp:inline>
        </w:drawing>
      </w:r>
    </w:p>
    <w:p w14:paraId="71C36900" w14:textId="77777777" w:rsidR="00A77B3E" w:rsidRPr="000C58DA" w:rsidRDefault="00CA0B23" w:rsidP="00206D9E">
      <w:pPr>
        <w:adjustRightInd w:val="0"/>
        <w:snapToGrid w:val="0"/>
        <w:spacing w:line="360" w:lineRule="auto"/>
        <w:jc w:val="both"/>
        <w:rPr>
          <w:rFonts w:ascii="Book Antiqua" w:hAnsi="Book Antiqua" w:cs="Book Antiqua"/>
          <w:color w:val="000000"/>
          <w:lang w:eastAsia="zh-CN"/>
        </w:rPr>
      </w:pPr>
      <w:r w:rsidRPr="000C58DA">
        <w:rPr>
          <w:rFonts w:ascii="Book Antiqua" w:eastAsia="Book Antiqua" w:hAnsi="Book Antiqua" w:cs="Book Antiqua"/>
          <w:b/>
          <w:bCs/>
          <w:color w:val="000000"/>
        </w:rPr>
        <w:t>Figure 1</w:t>
      </w:r>
      <w:r w:rsidR="009B7C34" w:rsidRPr="000C58DA">
        <w:rPr>
          <w:rFonts w:ascii="Book Antiqua" w:eastAsia="Book Antiqua" w:hAnsi="Book Antiqua" w:cs="Book Antiqua"/>
          <w:b/>
          <w:bCs/>
          <w:color w:val="000000"/>
        </w:rPr>
        <w:t xml:space="preserve"> Patient flow.</w:t>
      </w:r>
      <w:r w:rsidRPr="000C58DA">
        <w:rPr>
          <w:rFonts w:ascii="Book Antiqua" w:hAnsi="Book Antiqua" w:cs="Book Antiqua"/>
          <w:b/>
          <w:bCs/>
          <w:color w:val="000000"/>
          <w:lang w:eastAsia="zh-CN"/>
        </w:rPr>
        <w:t xml:space="preserve"> </w:t>
      </w:r>
      <w:r w:rsidR="009B7C34" w:rsidRPr="000C58DA">
        <w:rPr>
          <w:rFonts w:ascii="Book Antiqua" w:eastAsia="Book Antiqua" w:hAnsi="Book Antiqua" w:cs="Book Antiqua"/>
          <w:color w:val="000000"/>
        </w:rPr>
        <w:t xml:space="preserve">Between 2011 and 2018, 3495 people living with </w:t>
      </w:r>
      <w:r w:rsidRPr="000C58DA">
        <w:rPr>
          <w:rFonts w:ascii="Book Antiqua" w:eastAsia="Book Antiqua" w:hAnsi="Book Antiqua" w:cs="Book Antiqua"/>
          <w:color w:val="000000"/>
        </w:rPr>
        <w:t>human immunodeficiency virus (HIV)</w:t>
      </w:r>
      <w:r w:rsidR="009B7C34" w:rsidRPr="000C58DA">
        <w:rPr>
          <w:rFonts w:ascii="Book Antiqua" w:eastAsia="Book Antiqua" w:hAnsi="Book Antiqua" w:cs="Book Antiqua"/>
          <w:color w:val="000000"/>
        </w:rPr>
        <w:t xml:space="preserve"> (PLWH) had negative anti-</w:t>
      </w:r>
      <w:r w:rsidRPr="000C58DA">
        <w:rPr>
          <w:rFonts w:ascii="Book Antiqua" w:eastAsia="Book Antiqua" w:hAnsi="Book Antiqua" w:cs="Book Antiqua"/>
          <w:color w:val="000000"/>
        </w:rPr>
        <w:t>hepatitis C virus (HCV)</w:t>
      </w:r>
      <w:r w:rsidRPr="000C58DA">
        <w:rPr>
          <w:rFonts w:ascii="Book Antiqua" w:hAnsi="Book Antiqua" w:cs="Book Antiqua"/>
          <w:color w:val="000000"/>
          <w:lang w:eastAsia="zh-CN"/>
        </w:rPr>
        <w:t xml:space="preserve"> </w:t>
      </w:r>
      <w:r w:rsidR="009B7C34" w:rsidRPr="000C58DA">
        <w:rPr>
          <w:rFonts w:ascii="Book Antiqua" w:eastAsia="Book Antiqua" w:hAnsi="Book Antiqua" w:cs="Book Antiqua"/>
          <w:color w:val="000000"/>
        </w:rPr>
        <w:t>antibody tests at baseline and HCV seroconversion was detected in 294 (8.4%) PLWH. After excluding 7 PLWH who were lost to follow-up when HCV seroconversion occurred, a total of 287 PLWH were included in the analysis of the care cascade of incident HCV infections.</w:t>
      </w:r>
      <w:r w:rsidR="008A1C15" w:rsidRPr="000C58DA">
        <w:rPr>
          <w:rFonts w:ascii="Book Antiqua" w:hAnsi="Book Antiqua" w:cs="Book Antiqua"/>
          <w:color w:val="000000"/>
          <w:lang w:eastAsia="zh-CN"/>
        </w:rPr>
        <w:t xml:space="preserve"> </w:t>
      </w:r>
      <w:r w:rsidR="008A1C15" w:rsidRPr="000C58DA">
        <w:rPr>
          <w:rFonts w:ascii="Book Antiqua" w:eastAsia="Book Antiqua" w:hAnsi="Book Antiqua" w:cs="Book Antiqua"/>
          <w:color w:val="000000"/>
        </w:rPr>
        <w:t>HIV</w:t>
      </w:r>
      <w:r w:rsidR="008A1C15" w:rsidRPr="000C58DA">
        <w:rPr>
          <w:rFonts w:ascii="Book Antiqua" w:hAnsi="Book Antiqua" w:cs="Book Antiqua"/>
          <w:color w:val="000000"/>
          <w:lang w:eastAsia="zh-CN"/>
        </w:rPr>
        <w:t xml:space="preserve">: </w:t>
      </w:r>
      <w:r w:rsidR="008A1C15" w:rsidRPr="000C58DA">
        <w:rPr>
          <w:rFonts w:ascii="Book Antiqua" w:eastAsia="Book Antiqua" w:hAnsi="Book Antiqua" w:cs="Book Antiqua"/>
          <w:caps/>
          <w:color w:val="000000"/>
        </w:rPr>
        <w:t>h</w:t>
      </w:r>
      <w:r w:rsidR="008A1C15" w:rsidRPr="000C58DA">
        <w:rPr>
          <w:rFonts w:ascii="Book Antiqua" w:eastAsia="Book Antiqua" w:hAnsi="Book Antiqua" w:cs="Book Antiqua"/>
          <w:color w:val="000000"/>
        </w:rPr>
        <w:t>uman immunodeficiency virus</w:t>
      </w:r>
      <w:r w:rsidR="008A1C15" w:rsidRPr="000C58DA">
        <w:rPr>
          <w:rFonts w:ascii="Book Antiqua" w:hAnsi="Book Antiqua" w:cs="Book Antiqua"/>
          <w:color w:val="000000"/>
          <w:lang w:eastAsia="zh-CN"/>
        </w:rPr>
        <w:t xml:space="preserve">; NTUH: National Taiwan University Hospital; </w:t>
      </w:r>
      <w:r w:rsidR="008A1C15" w:rsidRPr="000C58DA">
        <w:rPr>
          <w:rFonts w:ascii="Book Antiqua" w:eastAsia="Book Antiqua" w:hAnsi="Book Antiqua" w:cs="Book Antiqua"/>
          <w:color w:val="000000"/>
        </w:rPr>
        <w:t>HCV</w:t>
      </w:r>
      <w:r w:rsidR="008A1C15" w:rsidRPr="000C58DA">
        <w:rPr>
          <w:rFonts w:ascii="Book Antiqua" w:hAnsi="Book Antiqua" w:cs="Book Antiqua"/>
          <w:color w:val="000000"/>
          <w:lang w:eastAsia="zh-CN"/>
        </w:rPr>
        <w:t xml:space="preserve">: </w:t>
      </w:r>
      <w:r w:rsidR="008A1C15" w:rsidRPr="000C58DA">
        <w:rPr>
          <w:rFonts w:ascii="Book Antiqua" w:eastAsia="Book Antiqua" w:hAnsi="Book Antiqua" w:cs="Book Antiqua"/>
          <w:caps/>
          <w:color w:val="000000"/>
        </w:rPr>
        <w:t>h</w:t>
      </w:r>
      <w:r w:rsidR="008A1C15" w:rsidRPr="000C58DA">
        <w:rPr>
          <w:rFonts w:ascii="Book Antiqua" w:eastAsia="Book Antiqua" w:hAnsi="Book Antiqua" w:cs="Book Antiqua"/>
          <w:color w:val="000000"/>
        </w:rPr>
        <w:t>epatitis C virus</w:t>
      </w:r>
      <w:r w:rsidR="008A1C15" w:rsidRPr="000C58DA">
        <w:rPr>
          <w:rFonts w:ascii="Book Antiqua" w:hAnsi="Book Antiqua" w:cs="Book Antiqua"/>
          <w:color w:val="000000"/>
          <w:lang w:eastAsia="zh-CN"/>
        </w:rPr>
        <w:t>.</w:t>
      </w:r>
    </w:p>
    <w:p w14:paraId="70A01BC2" w14:textId="77777777" w:rsidR="00CA0B23" w:rsidRPr="000C58DA" w:rsidRDefault="00CA0B23" w:rsidP="00206D9E">
      <w:pPr>
        <w:adjustRightInd w:val="0"/>
        <w:snapToGrid w:val="0"/>
        <w:spacing w:line="360" w:lineRule="auto"/>
        <w:jc w:val="both"/>
        <w:rPr>
          <w:rFonts w:ascii="Book Antiqua" w:hAnsi="Book Antiqua" w:cs="Book Antiqua"/>
          <w:color w:val="000000"/>
          <w:lang w:eastAsia="zh-CN"/>
        </w:rPr>
      </w:pPr>
    </w:p>
    <w:p w14:paraId="4955DDEF" w14:textId="77777777" w:rsidR="00CA0B23" w:rsidRPr="000C58DA" w:rsidRDefault="00E33916" w:rsidP="00206D9E">
      <w:pPr>
        <w:adjustRightInd w:val="0"/>
        <w:snapToGrid w:val="0"/>
        <w:spacing w:line="360" w:lineRule="auto"/>
        <w:jc w:val="both"/>
        <w:rPr>
          <w:rFonts w:ascii="Book Antiqua" w:hAnsi="Book Antiqua"/>
          <w:lang w:eastAsia="zh-CN"/>
        </w:rPr>
      </w:pPr>
      <w:r w:rsidRPr="000C58DA">
        <w:rPr>
          <w:rFonts w:ascii="Book Antiqua" w:hAnsi="Book Antiqua"/>
          <w:lang w:eastAsia="zh-CN"/>
        </w:rPr>
        <w:br w:type="page"/>
      </w:r>
      <w:r w:rsidRPr="000C58DA">
        <w:rPr>
          <w:rFonts w:ascii="Book Antiqua" w:hAnsi="Book Antiqua"/>
          <w:noProof/>
          <w:lang w:eastAsia="zh-CN"/>
        </w:rPr>
        <w:lastRenderedPageBreak/>
        <w:drawing>
          <wp:inline distT="0" distB="0" distL="0" distR="0" wp14:anchorId="16DB8B34" wp14:editId="7F77FE0A">
            <wp:extent cx="5486400" cy="35166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516630"/>
                    </a:xfrm>
                    <a:prstGeom prst="rect">
                      <a:avLst/>
                    </a:prstGeom>
                  </pic:spPr>
                </pic:pic>
              </a:graphicData>
            </a:graphic>
          </wp:inline>
        </w:drawing>
      </w:r>
    </w:p>
    <w:p w14:paraId="7E2FE86C" w14:textId="77777777" w:rsidR="00A77B3E" w:rsidRPr="000C58DA" w:rsidRDefault="00E33916" w:rsidP="00206D9E">
      <w:pPr>
        <w:adjustRightInd w:val="0"/>
        <w:snapToGrid w:val="0"/>
        <w:spacing w:line="360" w:lineRule="auto"/>
        <w:jc w:val="both"/>
        <w:rPr>
          <w:rFonts w:ascii="Book Antiqua" w:hAnsi="Book Antiqua" w:cs="Book Antiqua"/>
          <w:color w:val="000000"/>
          <w:lang w:eastAsia="zh-CN"/>
        </w:rPr>
      </w:pPr>
      <w:r w:rsidRPr="000C58DA">
        <w:rPr>
          <w:rFonts w:ascii="Book Antiqua" w:eastAsia="Book Antiqua" w:hAnsi="Book Antiqua" w:cs="Book Antiqua"/>
          <w:b/>
          <w:bCs/>
          <w:color w:val="000000"/>
        </w:rPr>
        <w:t>Figure 2</w:t>
      </w:r>
      <w:r w:rsidR="009B7C34" w:rsidRPr="000C58DA">
        <w:rPr>
          <w:rFonts w:ascii="Book Antiqua" w:eastAsia="Book Antiqua" w:hAnsi="Book Antiqua" w:cs="Book Antiqua"/>
          <w:b/>
          <w:bCs/>
          <w:color w:val="000000"/>
        </w:rPr>
        <w:t xml:space="preserve"> Care cascade of incident </w:t>
      </w:r>
      <w:r w:rsidRPr="000C58DA">
        <w:rPr>
          <w:rFonts w:ascii="Book Antiqua" w:eastAsia="Book Antiqua" w:hAnsi="Book Antiqua" w:cs="Book Antiqua"/>
          <w:b/>
          <w:bCs/>
          <w:color w:val="000000"/>
        </w:rPr>
        <w:t xml:space="preserve">hepatitis C virus </w:t>
      </w:r>
      <w:r w:rsidR="009B7C34" w:rsidRPr="000C58DA">
        <w:rPr>
          <w:rFonts w:ascii="Book Antiqua" w:eastAsia="Book Antiqua" w:hAnsi="Book Antiqua" w:cs="Book Antiqua"/>
          <w:b/>
          <w:bCs/>
          <w:color w:val="000000"/>
        </w:rPr>
        <w:t xml:space="preserve">infections in the </w:t>
      </w:r>
      <w:r w:rsidRPr="000C58DA">
        <w:rPr>
          <w:rFonts w:ascii="Book Antiqua" w:eastAsia="Book Antiqua" w:hAnsi="Book Antiqua" w:cs="Book Antiqua"/>
          <w:b/>
          <w:bCs/>
          <w:color w:val="000000"/>
        </w:rPr>
        <w:t xml:space="preserve">interferon </w:t>
      </w:r>
      <w:r w:rsidR="009B7C34" w:rsidRPr="000C58DA">
        <w:rPr>
          <w:rFonts w:ascii="Book Antiqua" w:eastAsia="Book Antiqua" w:hAnsi="Book Antiqua" w:cs="Book Antiqua"/>
          <w:b/>
          <w:bCs/>
          <w:color w:val="000000"/>
        </w:rPr>
        <w:t xml:space="preserve">and </w:t>
      </w:r>
      <w:r w:rsidRPr="000C58DA">
        <w:rPr>
          <w:rFonts w:ascii="Book Antiqua" w:eastAsia="Book Antiqua" w:hAnsi="Book Antiqua" w:cs="Book Antiqua"/>
          <w:b/>
          <w:bCs/>
          <w:color w:val="000000"/>
        </w:rPr>
        <w:t xml:space="preserve">direct-acting antiviral </w:t>
      </w:r>
      <w:r w:rsidR="009B7C34" w:rsidRPr="000C58DA">
        <w:rPr>
          <w:rFonts w:ascii="Book Antiqua" w:eastAsia="Book Antiqua" w:hAnsi="Book Antiqua" w:cs="Book Antiqua"/>
          <w:b/>
          <w:bCs/>
          <w:color w:val="000000"/>
        </w:rPr>
        <w:t xml:space="preserve">eras. </w:t>
      </w:r>
      <w:r w:rsidR="009B7C34" w:rsidRPr="000C58DA">
        <w:rPr>
          <w:rFonts w:ascii="Book Antiqua" w:eastAsia="Book Antiqua" w:hAnsi="Book Antiqua" w:cs="Book Antiqua"/>
          <w:color w:val="000000"/>
        </w:rPr>
        <w:t xml:space="preserve">In the </w:t>
      </w:r>
      <w:r w:rsidRPr="000C58DA">
        <w:rPr>
          <w:rFonts w:ascii="Book Antiqua" w:eastAsia="Book Antiqua" w:hAnsi="Book Antiqua" w:cs="Book Antiqua"/>
          <w:color w:val="000000"/>
        </w:rPr>
        <w:t>interferon</w:t>
      </w:r>
      <w:r w:rsidRPr="000C58DA">
        <w:rPr>
          <w:rFonts w:ascii="Book Antiqua" w:hAnsi="Book Antiqua" w:cs="Book Antiqua"/>
          <w:color w:val="000000"/>
          <w:lang w:eastAsia="zh-CN"/>
        </w:rPr>
        <w:t xml:space="preserve"> </w:t>
      </w:r>
      <w:r w:rsidR="009B7C34" w:rsidRPr="000C58DA">
        <w:rPr>
          <w:rFonts w:ascii="Book Antiqua" w:eastAsia="Book Antiqua" w:hAnsi="Book Antiqua" w:cs="Book Antiqua"/>
          <w:color w:val="000000"/>
        </w:rPr>
        <w:t xml:space="preserve">era (blue columns), 176 people living with </w:t>
      </w:r>
      <w:r w:rsidRPr="000C58DA">
        <w:rPr>
          <w:rFonts w:ascii="Book Antiqua" w:eastAsia="Book Antiqua" w:hAnsi="Book Antiqua" w:cs="Book Antiqua"/>
          <w:color w:val="000000"/>
        </w:rPr>
        <w:t xml:space="preserve">human immunodeficiency virus (HIV) </w:t>
      </w:r>
      <w:r w:rsidR="009B7C34" w:rsidRPr="000C58DA">
        <w:rPr>
          <w:rFonts w:ascii="Book Antiqua" w:eastAsia="Book Antiqua" w:hAnsi="Book Antiqua" w:cs="Book Antiqua"/>
          <w:color w:val="000000"/>
        </w:rPr>
        <w:t xml:space="preserve">(PLWH) had incident </w:t>
      </w:r>
      <w:r w:rsidRPr="000C58DA">
        <w:rPr>
          <w:rFonts w:ascii="Book Antiqua" w:eastAsia="Book Antiqua" w:hAnsi="Book Antiqua" w:cs="Book Antiqua"/>
          <w:color w:val="000000"/>
        </w:rPr>
        <w:t xml:space="preserve">hepatitis C virus </w:t>
      </w:r>
      <w:r w:rsidRPr="000C58DA">
        <w:rPr>
          <w:rFonts w:ascii="Book Antiqua" w:hAnsi="Book Antiqua" w:cs="Book Antiqua"/>
          <w:color w:val="000000"/>
          <w:lang w:eastAsia="zh-CN"/>
        </w:rPr>
        <w:t>(</w:t>
      </w:r>
      <w:r w:rsidR="009B7C34" w:rsidRPr="000C58DA">
        <w:rPr>
          <w:rFonts w:ascii="Book Antiqua" w:eastAsia="Book Antiqua" w:hAnsi="Book Antiqua" w:cs="Book Antiqua"/>
          <w:color w:val="000000"/>
        </w:rPr>
        <w:t>HCV</w:t>
      </w:r>
      <w:r w:rsidRPr="000C58DA">
        <w:rPr>
          <w:rFonts w:ascii="Book Antiqua" w:hAnsi="Book Antiqua" w:cs="Book Antiqua"/>
          <w:color w:val="000000"/>
          <w:lang w:eastAsia="zh-CN"/>
        </w:rPr>
        <w:t>)</w:t>
      </w:r>
      <w:r w:rsidR="009B7C34" w:rsidRPr="000C58DA">
        <w:rPr>
          <w:rFonts w:ascii="Book Antiqua" w:eastAsia="Book Antiqua" w:hAnsi="Book Antiqua" w:cs="Book Antiqua"/>
          <w:color w:val="000000"/>
        </w:rPr>
        <w:t xml:space="preserve"> infections by retrospective testing of all archive blood samples; 167 (94.9%) were found to have HCV seroconversion by HIV-treating physicians; and the diagnostic rate within one year after seroconversion was 69.4% (116 out of 167). Plasma HCV RNA was tested in 162 (97.0%) PLWH after seroconversion, of which 152 (93.8%) were viremic. A total of 134 (88.2%) viremic PLWH were referred to hepatology clinics; anti-HCV treatments were initiated in 131 (97.8%), and 120 (91.6% of all treated PLWH) achieved </w:t>
      </w:r>
      <w:r w:rsidRPr="000C58DA">
        <w:rPr>
          <w:rFonts w:ascii="Book Antiqua" w:eastAsia="Book Antiqua" w:hAnsi="Book Antiqua" w:cs="Book Antiqua"/>
          <w:color w:val="000000"/>
        </w:rPr>
        <w:t xml:space="preserve">sustained virologic response </w:t>
      </w:r>
      <w:r w:rsidRPr="000C58DA">
        <w:rPr>
          <w:rFonts w:ascii="Book Antiqua" w:hAnsi="Book Antiqua" w:cs="Book Antiqua"/>
          <w:color w:val="000000"/>
          <w:lang w:eastAsia="zh-CN"/>
        </w:rPr>
        <w:t>(</w:t>
      </w:r>
      <w:r w:rsidR="009B7C34" w:rsidRPr="000C58DA">
        <w:rPr>
          <w:rFonts w:ascii="Book Antiqua" w:eastAsia="Book Antiqua" w:hAnsi="Book Antiqua" w:cs="Book Antiqua"/>
          <w:color w:val="000000"/>
        </w:rPr>
        <w:t>SVR</w:t>
      </w:r>
      <w:r w:rsidRPr="000C58DA">
        <w:rPr>
          <w:rFonts w:ascii="Book Antiqua" w:hAnsi="Book Antiqua" w:cs="Book Antiqua"/>
          <w:color w:val="000000"/>
          <w:lang w:eastAsia="zh-CN"/>
        </w:rPr>
        <w:t>)</w:t>
      </w:r>
      <w:r w:rsidR="009B7C34" w:rsidRPr="000C58DA">
        <w:rPr>
          <w:rFonts w:ascii="Book Antiqua" w:eastAsia="Book Antiqua" w:hAnsi="Book Antiqua" w:cs="Book Antiqua"/>
          <w:color w:val="000000"/>
        </w:rPr>
        <w:t xml:space="preserve">. In the </w:t>
      </w:r>
      <w:r w:rsidRPr="000C58DA">
        <w:rPr>
          <w:rFonts w:ascii="Book Antiqua" w:eastAsia="Book Antiqua" w:hAnsi="Book Antiqua" w:cs="Book Antiqua"/>
          <w:color w:val="000000"/>
        </w:rPr>
        <w:t xml:space="preserve">direct-acting antiviral </w:t>
      </w:r>
      <w:r w:rsidR="009B7C34" w:rsidRPr="000C58DA">
        <w:rPr>
          <w:rFonts w:ascii="Book Antiqua" w:eastAsia="Book Antiqua" w:hAnsi="Book Antiqua" w:cs="Book Antiqua"/>
          <w:color w:val="000000"/>
        </w:rPr>
        <w:t>era (red columns), 111 PLWH had incident HCV infections; 110 (99.1%) were found to have HCV seroconversion by HIV-treating physicians; and the diagnostic rate within one year after seroconversion was 88.2% (97 out of 110). Plasma HCV RNA was detected in 108 (98.2%) PLWH after seroconversion and 99 (91.7%) were viremic. A total of 92 (92.9%) viremic PLWH received treatment assessment, anti-HCV treatments were initiated in 84 (91.3%), and 82 (97.6% of all treated patients) achieved SVR.</w:t>
      </w:r>
      <w:r w:rsidRPr="000C58DA">
        <w:rPr>
          <w:rFonts w:ascii="Book Antiqua" w:hAnsi="Book Antiqua" w:cs="Book Antiqua"/>
          <w:color w:val="000000"/>
          <w:lang w:eastAsia="zh-CN"/>
        </w:rPr>
        <w:t xml:space="preserve"> IFN: </w:t>
      </w:r>
      <w:r w:rsidRPr="000C58DA">
        <w:rPr>
          <w:rFonts w:ascii="Book Antiqua" w:hAnsi="Book Antiqua" w:cs="Book Antiqua"/>
          <w:caps/>
          <w:color w:val="000000"/>
          <w:lang w:eastAsia="zh-CN"/>
        </w:rPr>
        <w:t>i</w:t>
      </w:r>
      <w:r w:rsidRPr="000C58DA">
        <w:rPr>
          <w:rFonts w:ascii="Book Antiqua" w:hAnsi="Book Antiqua" w:cs="Book Antiqua"/>
          <w:color w:val="000000"/>
          <w:lang w:eastAsia="zh-CN"/>
        </w:rPr>
        <w:t xml:space="preserve">nterferon; DAA: </w:t>
      </w:r>
      <w:r w:rsidRPr="000C58DA">
        <w:rPr>
          <w:rFonts w:ascii="Book Antiqua" w:hAnsi="Book Antiqua" w:cs="Book Antiqua"/>
          <w:caps/>
          <w:color w:val="000000"/>
          <w:lang w:eastAsia="zh-CN"/>
        </w:rPr>
        <w:t>d</w:t>
      </w:r>
      <w:r w:rsidRPr="000C58DA">
        <w:rPr>
          <w:rFonts w:ascii="Book Antiqua" w:hAnsi="Book Antiqua" w:cs="Book Antiqua"/>
          <w:color w:val="000000"/>
          <w:lang w:eastAsia="zh-CN"/>
        </w:rPr>
        <w:t xml:space="preserve">irect-acting </w:t>
      </w:r>
      <w:r w:rsidRPr="000C58DA">
        <w:rPr>
          <w:rFonts w:ascii="Book Antiqua" w:hAnsi="Book Antiqua" w:cs="Book Antiqua"/>
          <w:color w:val="000000"/>
          <w:lang w:eastAsia="zh-CN"/>
        </w:rPr>
        <w:lastRenderedPageBreak/>
        <w:t xml:space="preserve">antiviral; </w:t>
      </w:r>
      <w:r w:rsidRPr="000C58DA">
        <w:rPr>
          <w:rFonts w:ascii="Book Antiqua" w:eastAsia="Book Antiqua" w:hAnsi="Book Antiqua" w:cs="Book Antiqua"/>
          <w:color w:val="000000"/>
        </w:rPr>
        <w:t>HCV</w:t>
      </w:r>
      <w:r w:rsidRPr="000C58DA">
        <w:rPr>
          <w:rFonts w:ascii="Book Antiqua" w:hAnsi="Book Antiqua" w:cs="Book Antiqua"/>
          <w:color w:val="000000"/>
          <w:lang w:eastAsia="zh-CN"/>
        </w:rPr>
        <w:t xml:space="preserve">: </w:t>
      </w:r>
      <w:r w:rsidRPr="000C58DA">
        <w:rPr>
          <w:rFonts w:ascii="Book Antiqua" w:eastAsia="Book Antiqua" w:hAnsi="Book Antiqua" w:cs="Book Antiqua"/>
          <w:caps/>
          <w:color w:val="000000"/>
        </w:rPr>
        <w:t>h</w:t>
      </w:r>
      <w:r w:rsidRPr="000C58DA">
        <w:rPr>
          <w:rFonts w:ascii="Book Antiqua" w:eastAsia="Book Antiqua" w:hAnsi="Book Antiqua" w:cs="Book Antiqua"/>
          <w:color w:val="000000"/>
        </w:rPr>
        <w:t>epatitis C virus</w:t>
      </w:r>
      <w:r w:rsidRPr="000C58DA">
        <w:rPr>
          <w:rFonts w:ascii="Book Antiqua" w:hAnsi="Book Antiqua" w:cs="Book Antiqua"/>
          <w:color w:val="000000"/>
          <w:lang w:eastAsia="zh-CN"/>
        </w:rPr>
        <w:t xml:space="preserve">; PLWH: </w:t>
      </w:r>
      <w:r w:rsidRPr="000C58DA">
        <w:rPr>
          <w:rFonts w:ascii="Book Antiqua" w:hAnsi="Book Antiqua" w:cs="Book Antiqua"/>
          <w:caps/>
          <w:color w:val="000000"/>
          <w:lang w:eastAsia="zh-CN"/>
        </w:rPr>
        <w:t>p</w:t>
      </w:r>
      <w:r w:rsidRPr="000C58DA">
        <w:rPr>
          <w:rFonts w:ascii="Book Antiqua" w:hAnsi="Book Antiqua" w:cs="Book Antiqua"/>
          <w:color w:val="000000"/>
          <w:lang w:eastAsia="zh-CN"/>
        </w:rPr>
        <w:t>eople living with human immunodeficiency virus.</w:t>
      </w:r>
    </w:p>
    <w:p w14:paraId="0EF465D5" w14:textId="77777777" w:rsidR="00E33916" w:rsidRPr="000C58DA" w:rsidRDefault="00E33916" w:rsidP="00206D9E">
      <w:pPr>
        <w:adjustRightInd w:val="0"/>
        <w:snapToGrid w:val="0"/>
        <w:spacing w:line="360" w:lineRule="auto"/>
        <w:jc w:val="both"/>
        <w:rPr>
          <w:rFonts w:ascii="Book Antiqua" w:hAnsi="Book Antiqua"/>
          <w:lang w:eastAsia="zh-CN"/>
        </w:rPr>
      </w:pPr>
      <w:r w:rsidRPr="000C58DA">
        <w:rPr>
          <w:rFonts w:ascii="Book Antiqua" w:hAnsi="Book Antiqua"/>
          <w:lang w:eastAsia="zh-CN"/>
        </w:rPr>
        <w:br w:type="page"/>
      </w:r>
      <w:r w:rsidRPr="000C58DA">
        <w:rPr>
          <w:rFonts w:ascii="Book Antiqua" w:hAnsi="Book Antiqua"/>
          <w:noProof/>
          <w:lang w:eastAsia="zh-CN"/>
        </w:rPr>
        <w:lastRenderedPageBreak/>
        <w:drawing>
          <wp:inline distT="0" distB="0" distL="0" distR="0" wp14:anchorId="3959AFA8" wp14:editId="40B49AC5">
            <wp:extent cx="5486400" cy="27946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794635"/>
                    </a:xfrm>
                    <a:prstGeom prst="rect">
                      <a:avLst/>
                    </a:prstGeom>
                  </pic:spPr>
                </pic:pic>
              </a:graphicData>
            </a:graphic>
          </wp:inline>
        </w:drawing>
      </w:r>
    </w:p>
    <w:p w14:paraId="50F353C0" w14:textId="77777777" w:rsidR="00E33916" w:rsidRPr="000C58DA" w:rsidRDefault="00E33916" w:rsidP="00206D9E">
      <w:pPr>
        <w:adjustRightInd w:val="0"/>
        <w:snapToGrid w:val="0"/>
        <w:spacing w:line="360" w:lineRule="auto"/>
        <w:jc w:val="both"/>
        <w:rPr>
          <w:rFonts w:ascii="Book Antiqua" w:hAnsi="Book Antiqua"/>
          <w:lang w:eastAsia="zh-CN"/>
        </w:rPr>
      </w:pPr>
    </w:p>
    <w:p w14:paraId="21E0CF82" w14:textId="77777777" w:rsidR="00A77B3E" w:rsidRPr="000C58DA" w:rsidRDefault="00E33916" w:rsidP="00206D9E">
      <w:pPr>
        <w:adjustRightInd w:val="0"/>
        <w:snapToGrid w:val="0"/>
        <w:spacing w:line="360" w:lineRule="auto"/>
        <w:jc w:val="both"/>
        <w:rPr>
          <w:rFonts w:ascii="Book Antiqua" w:hAnsi="Book Antiqua"/>
          <w:lang w:eastAsia="zh-CN"/>
        </w:rPr>
      </w:pPr>
      <w:r w:rsidRPr="000C58DA">
        <w:rPr>
          <w:rFonts w:ascii="Book Antiqua" w:eastAsia="Book Antiqua" w:hAnsi="Book Antiqua" w:cs="Book Antiqua"/>
          <w:b/>
          <w:bCs/>
          <w:color w:val="000000"/>
        </w:rPr>
        <w:t>Figure 3</w:t>
      </w:r>
      <w:r w:rsidR="009B7C34" w:rsidRPr="000C58DA">
        <w:rPr>
          <w:rFonts w:ascii="Book Antiqua" w:eastAsia="Book Antiqua" w:hAnsi="Book Antiqua" w:cs="Book Antiqua"/>
          <w:b/>
          <w:bCs/>
          <w:color w:val="000000"/>
        </w:rPr>
        <w:t xml:space="preserve"> Intervals between steps of the care cascade of incident </w:t>
      </w:r>
      <w:r w:rsidRPr="000C58DA">
        <w:rPr>
          <w:rFonts w:ascii="Book Antiqua" w:eastAsia="Book Antiqua" w:hAnsi="Book Antiqua" w:cs="Book Antiqua"/>
          <w:b/>
          <w:bCs/>
          <w:color w:val="000000"/>
        </w:rPr>
        <w:t xml:space="preserve">hepatitis C virus </w:t>
      </w:r>
      <w:r w:rsidR="009B7C34" w:rsidRPr="000C58DA">
        <w:rPr>
          <w:rFonts w:ascii="Book Antiqua" w:eastAsia="Book Antiqua" w:hAnsi="Book Antiqua" w:cs="Book Antiqua"/>
          <w:b/>
          <w:bCs/>
          <w:color w:val="000000"/>
        </w:rPr>
        <w:t>infections</w:t>
      </w:r>
      <w:r w:rsidRPr="000C58DA">
        <w:rPr>
          <w:rFonts w:ascii="Book Antiqua" w:hAnsi="Book Antiqua" w:cs="Book Antiqua"/>
          <w:b/>
          <w:bCs/>
          <w:color w:val="000000"/>
          <w:lang w:eastAsia="zh-CN"/>
        </w:rPr>
        <w:t xml:space="preserve">. </w:t>
      </w:r>
      <w:r w:rsidR="009B7C34" w:rsidRPr="000C58DA">
        <w:rPr>
          <w:rFonts w:ascii="Book Antiqua" w:eastAsia="Book Antiqua" w:hAnsi="Book Antiqua" w:cs="Book Antiqua"/>
          <w:color w:val="000000"/>
        </w:rPr>
        <w:t>A: Demonstration of the intervals between each step of the care cascade</w:t>
      </w:r>
      <w:r w:rsidRPr="000C58DA">
        <w:rPr>
          <w:rFonts w:ascii="Book Antiqua" w:hAnsi="Book Antiqua" w:cs="Book Antiqua"/>
          <w:color w:val="000000"/>
          <w:lang w:eastAsia="zh-CN"/>
        </w:rPr>
        <w:t xml:space="preserve">; </w:t>
      </w:r>
      <w:r w:rsidR="009B7C34" w:rsidRPr="000C58DA">
        <w:rPr>
          <w:rFonts w:ascii="Book Antiqua" w:eastAsia="Book Antiqua" w:hAnsi="Book Antiqua" w:cs="Book Antiqua"/>
          <w:color w:val="000000"/>
        </w:rPr>
        <w:t xml:space="preserve">B: In all included people living with </w:t>
      </w:r>
      <w:r w:rsidRPr="000C58DA">
        <w:rPr>
          <w:rFonts w:ascii="Book Antiqua" w:eastAsia="Book Antiqua" w:hAnsi="Book Antiqua" w:cs="Book Antiqua"/>
          <w:color w:val="000000"/>
        </w:rPr>
        <w:t>human immunodeficiency virus</w:t>
      </w:r>
      <w:r w:rsidRPr="000C58DA">
        <w:rPr>
          <w:rFonts w:ascii="Book Antiqua" w:hAnsi="Book Antiqua" w:cs="Book Antiqua"/>
          <w:color w:val="000000"/>
          <w:lang w:eastAsia="zh-CN"/>
        </w:rPr>
        <w:t xml:space="preserve"> (HIV) </w:t>
      </w:r>
      <w:r w:rsidR="009B7C34" w:rsidRPr="000C58DA">
        <w:rPr>
          <w:rFonts w:ascii="Book Antiqua" w:eastAsia="Book Antiqua" w:hAnsi="Book Antiqua" w:cs="Book Antiqua"/>
          <w:color w:val="000000"/>
        </w:rPr>
        <w:t xml:space="preserve">(PLWH), the median interval from seroconversion to detection of </w:t>
      </w:r>
      <w:r w:rsidRPr="000C58DA">
        <w:rPr>
          <w:rFonts w:ascii="Book Antiqua" w:eastAsia="Book Antiqua" w:hAnsi="Book Antiqua" w:cs="Book Antiqua"/>
          <w:color w:val="000000"/>
        </w:rPr>
        <w:t xml:space="preserve">hepatitis C virus </w:t>
      </w:r>
      <w:r w:rsidRPr="000C58DA">
        <w:rPr>
          <w:rFonts w:ascii="Book Antiqua" w:hAnsi="Book Antiqua" w:cs="Book Antiqua"/>
          <w:color w:val="000000"/>
          <w:lang w:eastAsia="zh-CN"/>
        </w:rPr>
        <w:t>(</w:t>
      </w:r>
      <w:r w:rsidRPr="000C58DA">
        <w:rPr>
          <w:rFonts w:ascii="Book Antiqua" w:eastAsia="Book Antiqua" w:hAnsi="Book Antiqua" w:cs="Book Antiqua"/>
          <w:color w:val="000000"/>
        </w:rPr>
        <w:t>HCV</w:t>
      </w:r>
      <w:r w:rsidRPr="000C58DA">
        <w:rPr>
          <w:rFonts w:ascii="Book Antiqua" w:hAnsi="Book Antiqua" w:cs="Book Antiqua"/>
          <w:color w:val="000000"/>
          <w:lang w:eastAsia="zh-CN"/>
        </w:rPr>
        <w:t>)</w:t>
      </w:r>
      <w:r w:rsidRPr="000C58DA">
        <w:rPr>
          <w:rFonts w:ascii="Book Antiqua" w:eastAsia="Book Antiqua" w:hAnsi="Book Antiqua" w:cs="Book Antiqua"/>
          <w:color w:val="000000"/>
        </w:rPr>
        <w:t xml:space="preserve"> </w:t>
      </w:r>
      <w:r w:rsidR="009B7C34" w:rsidRPr="000C58DA">
        <w:rPr>
          <w:rFonts w:ascii="Book Antiqua" w:eastAsia="Book Antiqua" w:hAnsi="Book Antiqua" w:cs="Book Antiqua"/>
          <w:color w:val="000000"/>
        </w:rPr>
        <w:t xml:space="preserve">seropositivity by HIV-treating physicians was 130 days, which was significantly shorter in the </w:t>
      </w:r>
      <w:r w:rsidRPr="000C58DA">
        <w:rPr>
          <w:rFonts w:ascii="Book Antiqua" w:eastAsia="Book Antiqua" w:hAnsi="Book Antiqua" w:cs="Book Antiqua"/>
          <w:color w:val="000000"/>
        </w:rPr>
        <w:t xml:space="preserve">direct-acting antiviral </w:t>
      </w:r>
      <w:r w:rsidRPr="000C58DA">
        <w:rPr>
          <w:rFonts w:ascii="Book Antiqua" w:hAnsi="Book Antiqua" w:cs="Book Antiqua"/>
          <w:color w:val="000000"/>
          <w:lang w:eastAsia="zh-CN"/>
        </w:rPr>
        <w:t>(</w:t>
      </w:r>
      <w:r w:rsidR="009B7C34" w:rsidRPr="000C58DA">
        <w:rPr>
          <w:rFonts w:ascii="Book Antiqua" w:eastAsia="Book Antiqua" w:hAnsi="Book Antiqua" w:cs="Book Antiqua"/>
          <w:color w:val="000000"/>
        </w:rPr>
        <w:t>DAA</w:t>
      </w:r>
      <w:r w:rsidRPr="000C58DA">
        <w:rPr>
          <w:rFonts w:ascii="Book Antiqua" w:hAnsi="Book Antiqua" w:cs="Book Antiqua"/>
          <w:color w:val="000000"/>
          <w:lang w:eastAsia="zh-CN"/>
        </w:rPr>
        <w:t>)</w:t>
      </w:r>
      <w:r w:rsidR="009B7C34" w:rsidRPr="000C58DA">
        <w:rPr>
          <w:rFonts w:ascii="Book Antiqua" w:eastAsia="Book Antiqua" w:hAnsi="Book Antiqua" w:cs="Book Antiqua"/>
          <w:color w:val="000000"/>
        </w:rPr>
        <w:t xml:space="preserve"> era (median 92 d) than that in the </w:t>
      </w:r>
      <w:r w:rsidRPr="000C58DA">
        <w:rPr>
          <w:rFonts w:ascii="Book Antiqua" w:eastAsia="Book Antiqua" w:hAnsi="Book Antiqua" w:cs="Book Antiqua"/>
          <w:color w:val="000000"/>
        </w:rPr>
        <w:t xml:space="preserve">interferon (IFN) </w:t>
      </w:r>
      <w:r w:rsidR="009B7C34" w:rsidRPr="000C58DA">
        <w:rPr>
          <w:rFonts w:ascii="Book Antiqua" w:eastAsia="Book Antiqua" w:hAnsi="Book Antiqua" w:cs="Book Antiqua"/>
          <w:color w:val="000000"/>
        </w:rPr>
        <w:t>era (median 179 d) (</w:t>
      </w:r>
      <w:r w:rsidR="009B7C34" w:rsidRPr="000C58DA">
        <w:rPr>
          <w:rFonts w:ascii="Book Antiqua" w:eastAsia="Book Antiqua" w:hAnsi="Book Antiqua" w:cs="Book Antiqua"/>
          <w:i/>
          <w:iCs/>
          <w:color w:val="000000"/>
        </w:rPr>
        <w:t>P</w:t>
      </w:r>
      <w:r w:rsidR="009B7C34" w:rsidRPr="000C58DA">
        <w:rPr>
          <w:rFonts w:ascii="Book Antiqua" w:eastAsia="Book Antiqua" w:hAnsi="Book Antiqua" w:cs="Book Antiqua"/>
          <w:color w:val="000000"/>
        </w:rPr>
        <w:t xml:space="preserve"> &lt; 0.001). In the IFN era, the median interval from detection of HCV seropositivity to HCV RNA testing was 21 d, that from RNA testing to referral to treatment assessment was 26 d, and that from assessment to treatment initiation was 35 d. In the DAA era, the median interval from detection of HCV seropositivity to HCV RNA testing was 12 d, that from RNA testing to referral to treatment assessment was 81 d, and that from assessment to treatment initiation was 42 d. The differences in the intervals after antibody diagnosis were not statistically significant between PLWH included in the IFN era and those in the DAA era.</w:t>
      </w:r>
      <w:r w:rsidRPr="000C58DA">
        <w:rPr>
          <w:rFonts w:ascii="Book Antiqua" w:hAnsi="Book Antiqua" w:cs="Book Antiqua"/>
          <w:color w:val="000000"/>
          <w:lang w:eastAsia="zh-CN"/>
        </w:rPr>
        <w:t xml:space="preserve"> HCV: </w:t>
      </w:r>
      <w:r w:rsidRPr="000C58DA">
        <w:rPr>
          <w:rFonts w:ascii="Book Antiqua" w:hAnsi="Book Antiqua" w:cs="Book Antiqua"/>
          <w:caps/>
          <w:color w:val="000000"/>
          <w:lang w:eastAsia="zh-CN"/>
        </w:rPr>
        <w:t>h</w:t>
      </w:r>
      <w:r w:rsidRPr="000C58DA">
        <w:rPr>
          <w:rFonts w:ascii="Book Antiqua" w:hAnsi="Book Antiqua" w:cs="Book Antiqua"/>
          <w:color w:val="000000"/>
          <w:lang w:eastAsia="zh-CN"/>
        </w:rPr>
        <w:t xml:space="preserve">epatitis C virus; IFN: </w:t>
      </w:r>
      <w:r w:rsidRPr="000C58DA">
        <w:rPr>
          <w:rFonts w:ascii="Book Antiqua" w:hAnsi="Book Antiqua" w:cs="Book Antiqua"/>
          <w:caps/>
          <w:color w:val="000000"/>
          <w:lang w:eastAsia="zh-CN"/>
        </w:rPr>
        <w:t>i</w:t>
      </w:r>
      <w:r w:rsidRPr="000C58DA">
        <w:rPr>
          <w:rFonts w:ascii="Book Antiqua" w:hAnsi="Book Antiqua" w:cs="Book Antiqua"/>
          <w:color w:val="000000"/>
          <w:lang w:eastAsia="zh-CN"/>
        </w:rPr>
        <w:t xml:space="preserve">nterferon; DAA: </w:t>
      </w:r>
      <w:r w:rsidRPr="000C58DA">
        <w:rPr>
          <w:rFonts w:ascii="Book Antiqua" w:hAnsi="Book Antiqua" w:cs="Book Antiqua"/>
          <w:caps/>
          <w:color w:val="000000"/>
          <w:lang w:eastAsia="zh-CN"/>
        </w:rPr>
        <w:t>d</w:t>
      </w:r>
      <w:r w:rsidRPr="000C58DA">
        <w:rPr>
          <w:rFonts w:ascii="Book Antiqua" w:hAnsi="Book Antiqua" w:cs="Book Antiqua"/>
          <w:color w:val="000000"/>
          <w:lang w:eastAsia="zh-CN"/>
        </w:rPr>
        <w:t>irect-acting antiviral.</w:t>
      </w:r>
    </w:p>
    <w:p w14:paraId="48857123" w14:textId="77777777" w:rsidR="00A77B3E" w:rsidRPr="000C58DA" w:rsidRDefault="00E33916" w:rsidP="00206D9E">
      <w:pPr>
        <w:adjustRightInd w:val="0"/>
        <w:snapToGrid w:val="0"/>
        <w:spacing w:line="360" w:lineRule="auto"/>
        <w:jc w:val="both"/>
        <w:rPr>
          <w:rFonts w:ascii="Book Antiqua" w:hAnsi="Book Antiqua"/>
        </w:rPr>
      </w:pPr>
      <w:r w:rsidRPr="000C58DA">
        <w:rPr>
          <w:rFonts w:ascii="Book Antiqua" w:hAnsi="Book Antiqua"/>
        </w:rPr>
        <w:br w:type="page"/>
      </w:r>
      <w:r w:rsidRPr="000C58DA">
        <w:rPr>
          <w:rFonts w:ascii="Book Antiqua" w:hAnsi="Book Antiqua"/>
          <w:noProof/>
          <w:lang w:eastAsia="zh-CN"/>
        </w:rPr>
        <w:lastRenderedPageBreak/>
        <w:drawing>
          <wp:inline distT="0" distB="0" distL="0" distR="0" wp14:anchorId="6BA25021" wp14:editId="4CE8F6A7">
            <wp:extent cx="5486400" cy="36074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607435"/>
                    </a:xfrm>
                    <a:prstGeom prst="rect">
                      <a:avLst/>
                    </a:prstGeom>
                  </pic:spPr>
                </pic:pic>
              </a:graphicData>
            </a:graphic>
          </wp:inline>
        </w:drawing>
      </w:r>
    </w:p>
    <w:p w14:paraId="42522D6C" w14:textId="77777777" w:rsidR="00A77B3E" w:rsidRPr="000C58DA" w:rsidRDefault="00E33916" w:rsidP="00206D9E">
      <w:pPr>
        <w:adjustRightInd w:val="0"/>
        <w:snapToGrid w:val="0"/>
        <w:spacing w:line="360" w:lineRule="auto"/>
        <w:jc w:val="both"/>
        <w:rPr>
          <w:rFonts w:ascii="Book Antiqua" w:hAnsi="Book Antiqua" w:cs="Book Antiqua"/>
          <w:color w:val="000000"/>
          <w:lang w:eastAsia="zh-CN"/>
        </w:rPr>
      </w:pPr>
      <w:r w:rsidRPr="000C58DA">
        <w:rPr>
          <w:rFonts w:ascii="Book Antiqua" w:eastAsia="Book Antiqua" w:hAnsi="Book Antiqua" w:cs="Book Antiqua"/>
          <w:b/>
          <w:bCs/>
          <w:color w:val="000000"/>
        </w:rPr>
        <w:t>Figure 4</w:t>
      </w:r>
      <w:r w:rsidR="009B7C34" w:rsidRPr="000C58DA">
        <w:rPr>
          <w:rFonts w:ascii="Book Antiqua" w:eastAsia="Book Antiqua" w:hAnsi="Book Antiqua" w:cs="Book Antiqua"/>
          <w:b/>
          <w:bCs/>
          <w:color w:val="000000"/>
        </w:rPr>
        <w:t xml:space="preserve"> </w:t>
      </w:r>
      <w:r w:rsidRPr="000C58DA">
        <w:rPr>
          <w:rFonts w:ascii="Book Antiqua" w:eastAsia="Book Antiqua" w:hAnsi="Book Antiqua" w:cs="Book Antiqua"/>
          <w:b/>
          <w:bCs/>
          <w:caps/>
          <w:color w:val="000000"/>
        </w:rPr>
        <w:t>h</w:t>
      </w:r>
      <w:r w:rsidRPr="000C58DA">
        <w:rPr>
          <w:rFonts w:ascii="Book Antiqua" w:eastAsia="Book Antiqua" w:hAnsi="Book Antiqua" w:cs="Book Antiqua"/>
          <w:b/>
          <w:bCs/>
          <w:color w:val="000000"/>
        </w:rPr>
        <w:t xml:space="preserve">epatitis C virus </w:t>
      </w:r>
      <w:r w:rsidR="009B7C34" w:rsidRPr="000C58DA">
        <w:rPr>
          <w:rFonts w:ascii="Book Antiqua" w:eastAsia="Book Antiqua" w:hAnsi="Book Antiqua" w:cs="Book Antiqua"/>
          <w:b/>
          <w:bCs/>
          <w:color w:val="000000"/>
        </w:rPr>
        <w:t>treatment uptake by year from 2011 to 2019.</w:t>
      </w:r>
      <w:r w:rsidRPr="000C58DA">
        <w:rPr>
          <w:rFonts w:ascii="Book Antiqua" w:hAnsi="Book Antiqua" w:cs="Book Antiqua"/>
          <w:b/>
          <w:bCs/>
          <w:color w:val="000000"/>
          <w:lang w:eastAsia="zh-CN"/>
        </w:rPr>
        <w:t xml:space="preserve"> </w:t>
      </w:r>
      <w:r w:rsidR="009B7C34" w:rsidRPr="000C58DA">
        <w:rPr>
          <w:rFonts w:ascii="Book Antiqua" w:eastAsia="Book Antiqua" w:hAnsi="Book Antiqua" w:cs="Book Antiqua"/>
          <w:color w:val="000000"/>
        </w:rPr>
        <w:t xml:space="preserve">The annual numbers of people living with </w:t>
      </w:r>
      <w:r w:rsidRPr="000C58DA">
        <w:rPr>
          <w:rFonts w:ascii="Book Antiqua" w:eastAsia="Book Antiqua" w:hAnsi="Book Antiqua" w:cs="Book Antiqua"/>
          <w:color w:val="000000"/>
        </w:rPr>
        <w:t>human immunodeficiency virus</w:t>
      </w:r>
      <w:r w:rsidRPr="000C58DA">
        <w:rPr>
          <w:rFonts w:ascii="Book Antiqua" w:hAnsi="Book Antiqua" w:cs="Book Antiqua"/>
          <w:color w:val="000000"/>
          <w:lang w:eastAsia="zh-CN"/>
        </w:rPr>
        <w:t xml:space="preserve"> </w:t>
      </w:r>
      <w:r w:rsidR="009B7C34" w:rsidRPr="000C58DA">
        <w:rPr>
          <w:rFonts w:ascii="Book Antiqua" w:eastAsia="Book Antiqua" w:hAnsi="Book Antiqua" w:cs="Book Antiqua"/>
          <w:color w:val="000000"/>
        </w:rPr>
        <w:t xml:space="preserve">(PLWH) who received </w:t>
      </w:r>
      <w:r w:rsidRPr="000C58DA">
        <w:rPr>
          <w:rFonts w:ascii="Book Antiqua" w:eastAsia="Book Antiqua" w:hAnsi="Book Antiqua" w:cs="Book Antiqua"/>
          <w:color w:val="000000"/>
        </w:rPr>
        <w:t>interferon</w:t>
      </w:r>
      <w:r w:rsidR="009B7C34" w:rsidRPr="000C58DA">
        <w:rPr>
          <w:rFonts w:ascii="Book Antiqua" w:eastAsia="Book Antiqua" w:hAnsi="Book Antiqua" w:cs="Book Antiqua"/>
          <w:color w:val="000000"/>
        </w:rPr>
        <w:t xml:space="preserve">-based therapy were unchanged from 2012 to 2016. With the introduction of direct-acting antivirals (DAAs) since 2016, the number of PLWH receiving DAAs increased annually, especially in 2019, when the restrictions on the DAA reimbursement were lifted and all </w:t>
      </w:r>
      <w:r w:rsidR="00040C32" w:rsidRPr="000C58DA">
        <w:rPr>
          <w:rFonts w:ascii="Book Antiqua" w:eastAsia="Book Antiqua" w:hAnsi="Book Antiqua" w:cs="Book Antiqua"/>
          <w:color w:val="000000"/>
        </w:rPr>
        <w:t xml:space="preserve">hepatitis C virus </w:t>
      </w:r>
      <w:r w:rsidR="009B7C34" w:rsidRPr="000C58DA">
        <w:rPr>
          <w:rFonts w:ascii="Book Antiqua" w:eastAsia="Book Antiqua" w:hAnsi="Book Antiqua" w:cs="Book Antiqua"/>
          <w:color w:val="000000"/>
        </w:rPr>
        <w:t xml:space="preserve">viremic patients could be treated with DAAs. </w:t>
      </w:r>
      <w:r w:rsidRPr="000C58DA">
        <w:rPr>
          <w:rFonts w:ascii="Book Antiqua" w:hAnsi="Book Antiqua" w:cs="Book Antiqua"/>
          <w:color w:val="000000"/>
          <w:lang w:eastAsia="zh-CN"/>
        </w:rPr>
        <w:t xml:space="preserve">DAA: </w:t>
      </w:r>
      <w:r w:rsidRPr="000C58DA">
        <w:rPr>
          <w:rFonts w:ascii="Book Antiqua" w:hAnsi="Book Antiqua" w:cs="Book Antiqua"/>
          <w:caps/>
          <w:color w:val="000000"/>
          <w:lang w:eastAsia="zh-CN"/>
        </w:rPr>
        <w:t>d</w:t>
      </w:r>
      <w:r w:rsidRPr="000C58DA">
        <w:rPr>
          <w:rFonts w:ascii="Book Antiqua" w:hAnsi="Book Antiqua" w:cs="Book Antiqua"/>
          <w:color w:val="000000"/>
          <w:lang w:eastAsia="zh-CN"/>
        </w:rPr>
        <w:t xml:space="preserve">irect-acting antiviral; </w:t>
      </w:r>
      <w:r w:rsidRPr="000C58DA">
        <w:rPr>
          <w:rFonts w:ascii="Book Antiqua" w:eastAsia="Book Antiqua" w:hAnsi="Book Antiqua" w:cs="Book Antiqua"/>
          <w:color w:val="000000"/>
        </w:rPr>
        <w:t>IFN</w:t>
      </w:r>
      <w:r w:rsidRPr="000C58DA">
        <w:rPr>
          <w:rFonts w:ascii="Book Antiqua" w:hAnsi="Book Antiqua" w:cs="Book Antiqua"/>
          <w:color w:val="000000"/>
          <w:lang w:eastAsia="zh-CN"/>
        </w:rPr>
        <w:t xml:space="preserve">: </w:t>
      </w:r>
      <w:r w:rsidRPr="000C58DA">
        <w:rPr>
          <w:rFonts w:ascii="Book Antiqua" w:eastAsia="Book Antiqua" w:hAnsi="Book Antiqua" w:cs="Book Antiqua"/>
          <w:caps/>
          <w:color w:val="000000"/>
        </w:rPr>
        <w:t>i</w:t>
      </w:r>
      <w:r w:rsidRPr="000C58DA">
        <w:rPr>
          <w:rFonts w:ascii="Book Antiqua" w:eastAsia="Book Antiqua" w:hAnsi="Book Antiqua" w:cs="Book Antiqua"/>
          <w:color w:val="000000"/>
        </w:rPr>
        <w:t>nterferon</w:t>
      </w:r>
      <w:r w:rsidRPr="000C58DA">
        <w:rPr>
          <w:rFonts w:ascii="Book Antiqua" w:hAnsi="Book Antiqua" w:cs="Book Antiqua"/>
          <w:color w:val="000000"/>
          <w:lang w:eastAsia="zh-CN"/>
        </w:rPr>
        <w:t>.</w:t>
      </w:r>
    </w:p>
    <w:p w14:paraId="65A55CAD" w14:textId="77777777" w:rsidR="00040C32" w:rsidRPr="000C58DA" w:rsidRDefault="00040C32" w:rsidP="00206D9E">
      <w:pPr>
        <w:adjustRightInd w:val="0"/>
        <w:snapToGrid w:val="0"/>
        <w:spacing w:line="360" w:lineRule="auto"/>
        <w:jc w:val="both"/>
        <w:rPr>
          <w:rFonts w:ascii="Book Antiqua" w:hAnsi="Book Antiqua" w:cs="Book Antiqua"/>
          <w:b/>
          <w:color w:val="000000"/>
          <w:lang w:eastAsia="zh-CN"/>
        </w:rPr>
      </w:pPr>
      <w:r w:rsidRPr="000C58DA">
        <w:rPr>
          <w:rFonts w:ascii="Book Antiqua" w:hAnsi="Book Antiqua" w:cs="Book Antiqua"/>
          <w:color w:val="000000"/>
          <w:lang w:eastAsia="zh-CN"/>
        </w:rPr>
        <w:br w:type="page"/>
      </w:r>
      <w:r w:rsidRPr="000C58DA">
        <w:rPr>
          <w:rFonts w:ascii="Book Antiqua" w:hAnsi="Book Antiqua" w:cs="Book Antiqua"/>
          <w:b/>
          <w:color w:val="000000"/>
          <w:lang w:eastAsia="zh-CN"/>
        </w:rPr>
        <w:lastRenderedPageBreak/>
        <w:t>Table 1 Clinical characteristics of people living with human immunodeficiency virus who had incident hepatitis C virus infection from 2011 to 2018</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3841"/>
      </w:tblGrid>
      <w:tr w:rsidR="00040C32" w:rsidRPr="000C58DA" w14:paraId="53396F5F" w14:textId="77777777" w:rsidTr="00040C32">
        <w:trPr>
          <w:trHeight w:val="364"/>
        </w:trPr>
        <w:tc>
          <w:tcPr>
            <w:tcW w:w="5735" w:type="dxa"/>
            <w:tcBorders>
              <w:top w:val="single" w:sz="4" w:space="0" w:color="auto"/>
              <w:bottom w:val="single" w:sz="4" w:space="0" w:color="auto"/>
            </w:tcBorders>
            <w:vAlign w:val="center"/>
          </w:tcPr>
          <w:p w14:paraId="13E14DE3" w14:textId="77777777" w:rsidR="00040C32" w:rsidRPr="000C58DA" w:rsidRDefault="00040C32" w:rsidP="00206D9E">
            <w:pPr>
              <w:adjustRightInd w:val="0"/>
              <w:snapToGrid w:val="0"/>
              <w:spacing w:line="360" w:lineRule="auto"/>
              <w:jc w:val="both"/>
              <w:rPr>
                <w:rFonts w:ascii="Book Antiqua" w:hAnsi="Book Antiqua" w:cstheme="majorHAnsi"/>
                <w:b/>
                <w:bCs/>
              </w:rPr>
            </w:pPr>
            <w:r w:rsidRPr="000C58DA">
              <w:rPr>
                <w:rFonts w:ascii="Book Antiqua" w:hAnsi="Book Antiqua" w:cstheme="majorHAnsi"/>
                <w:b/>
                <w:bCs/>
                <w:color w:val="000000" w:themeColor="text1"/>
              </w:rPr>
              <w:t>Clinical characteristics</w:t>
            </w:r>
          </w:p>
        </w:tc>
        <w:tc>
          <w:tcPr>
            <w:tcW w:w="3841" w:type="dxa"/>
            <w:tcBorders>
              <w:top w:val="single" w:sz="4" w:space="0" w:color="auto"/>
              <w:bottom w:val="single" w:sz="4" w:space="0" w:color="auto"/>
            </w:tcBorders>
            <w:vAlign w:val="center"/>
          </w:tcPr>
          <w:p w14:paraId="4575CCAA" w14:textId="77777777" w:rsidR="00040C32" w:rsidRPr="000C58DA" w:rsidRDefault="00040C32" w:rsidP="00206D9E">
            <w:pPr>
              <w:adjustRightInd w:val="0"/>
              <w:snapToGrid w:val="0"/>
              <w:spacing w:line="360" w:lineRule="auto"/>
              <w:jc w:val="both"/>
              <w:rPr>
                <w:rFonts w:ascii="Book Antiqua" w:hAnsi="Book Antiqua" w:cstheme="majorHAnsi"/>
                <w:b/>
                <w:bCs/>
              </w:rPr>
            </w:pPr>
            <w:r w:rsidRPr="000C58DA">
              <w:rPr>
                <w:rFonts w:ascii="Book Antiqua" w:hAnsi="Book Antiqua" w:cstheme="majorHAnsi"/>
                <w:b/>
                <w:bCs/>
                <w:i/>
                <w:iCs/>
                <w:color w:val="000000" w:themeColor="text1"/>
              </w:rPr>
              <w:t>n</w:t>
            </w:r>
            <w:r w:rsidRPr="000C58DA">
              <w:rPr>
                <w:rFonts w:ascii="Book Antiqua" w:hAnsi="Book Antiqua" w:cstheme="majorHAnsi"/>
                <w:b/>
                <w:bCs/>
                <w:color w:val="000000" w:themeColor="text1"/>
              </w:rPr>
              <w:t xml:space="preserve"> = 287</w:t>
            </w:r>
          </w:p>
        </w:tc>
      </w:tr>
      <w:tr w:rsidR="00040C32" w:rsidRPr="000C58DA" w14:paraId="72B200FA" w14:textId="77777777" w:rsidTr="00040C32">
        <w:trPr>
          <w:trHeight w:val="364"/>
        </w:trPr>
        <w:tc>
          <w:tcPr>
            <w:tcW w:w="5735" w:type="dxa"/>
            <w:tcBorders>
              <w:top w:val="single" w:sz="4" w:space="0" w:color="auto"/>
            </w:tcBorders>
            <w:vAlign w:val="center"/>
          </w:tcPr>
          <w:p w14:paraId="5D7272A4" w14:textId="77777777" w:rsidR="00040C32" w:rsidRPr="000C58DA" w:rsidRDefault="00040C32" w:rsidP="00206D9E">
            <w:pPr>
              <w:adjustRightInd w:val="0"/>
              <w:snapToGrid w:val="0"/>
              <w:spacing w:line="360" w:lineRule="auto"/>
              <w:jc w:val="both"/>
              <w:rPr>
                <w:rFonts w:ascii="Book Antiqua" w:eastAsia="宋体" w:hAnsi="Book Antiqua" w:cstheme="majorHAnsi"/>
                <w:color w:val="000000" w:themeColor="text1"/>
                <w:lang w:eastAsia="zh-CN"/>
              </w:rPr>
            </w:pPr>
            <w:r w:rsidRPr="000C58DA">
              <w:rPr>
                <w:rFonts w:ascii="Book Antiqua" w:hAnsi="Book Antiqua" w:cstheme="majorHAnsi"/>
                <w:color w:val="000000" w:themeColor="text1"/>
              </w:rPr>
              <w:t>Age, mean</w:t>
            </w:r>
            <w:r w:rsidRPr="000C58DA">
              <w:rPr>
                <w:rFonts w:ascii="Book Antiqua" w:eastAsia="宋体" w:hAnsi="Book Antiqua" w:cstheme="majorHAnsi"/>
                <w:color w:val="000000" w:themeColor="text1"/>
                <w:lang w:eastAsia="zh-CN"/>
              </w:rPr>
              <w:t xml:space="preserve"> </w:t>
            </w:r>
            <w:r w:rsidRPr="000C58DA">
              <w:rPr>
                <w:rFonts w:ascii="Book Antiqua" w:hAnsi="Book Antiqua" w:cstheme="majorHAnsi"/>
                <w:color w:val="000000" w:themeColor="text1"/>
              </w:rPr>
              <w:t>±</w:t>
            </w:r>
            <w:r w:rsidRPr="000C58DA">
              <w:rPr>
                <w:rFonts w:ascii="Book Antiqua" w:eastAsia="宋体" w:hAnsi="Book Antiqua" w:cstheme="majorHAnsi"/>
                <w:color w:val="000000" w:themeColor="text1"/>
                <w:lang w:eastAsia="zh-CN"/>
              </w:rPr>
              <w:t xml:space="preserve"> </w:t>
            </w:r>
            <w:r w:rsidRPr="000C58DA">
              <w:rPr>
                <w:rFonts w:ascii="Book Antiqua" w:hAnsi="Book Antiqua" w:cstheme="majorHAnsi"/>
                <w:color w:val="000000" w:themeColor="text1"/>
              </w:rPr>
              <w:t xml:space="preserve">SD, </w:t>
            </w:r>
            <w:proofErr w:type="spellStart"/>
            <w:r w:rsidRPr="000C58DA">
              <w:rPr>
                <w:rFonts w:ascii="Book Antiqua" w:hAnsi="Book Antiqua" w:cstheme="majorHAnsi"/>
                <w:color w:val="000000" w:themeColor="text1"/>
              </w:rPr>
              <w:t>yr</w:t>
            </w:r>
            <w:proofErr w:type="spellEnd"/>
          </w:p>
        </w:tc>
        <w:tc>
          <w:tcPr>
            <w:tcW w:w="3841" w:type="dxa"/>
            <w:tcBorders>
              <w:top w:val="single" w:sz="4" w:space="0" w:color="auto"/>
            </w:tcBorders>
            <w:vAlign w:val="center"/>
          </w:tcPr>
          <w:p w14:paraId="0AA4E356" w14:textId="77777777" w:rsidR="00040C32" w:rsidRPr="000C58DA" w:rsidRDefault="00040C32" w:rsidP="00206D9E">
            <w:pPr>
              <w:adjustRightInd w:val="0"/>
              <w:snapToGrid w:val="0"/>
              <w:spacing w:line="360" w:lineRule="auto"/>
              <w:jc w:val="both"/>
              <w:rPr>
                <w:rFonts w:ascii="Book Antiqua" w:eastAsia="宋体" w:hAnsi="Book Antiqua" w:cstheme="majorHAnsi"/>
                <w:lang w:eastAsia="zh-CN"/>
              </w:rPr>
            </w:pPr>
            <w:r w:rsidRPr="000C58DA">
              <w:rPr>
                <w:rFonts w:ascii="Book Antiqua" w:hAnsi="Book Antiqua" w:cstheme="majorHAnsi"/>
              </w:rPr>
              <w:t xml:space="preserve">34.5 </w:t>
            </w:r>
            <w:r w:rsidRPr="000C58DA">
              <w:rPr>
                <w:rFonts w:ascii="Book Antiqua" w:hAnsi="Book Antiqua" w:cstheme="majorHAnsi"/>
                <w:color w:val="000000" w:themeColor="text1"/>
              </w:rPr>
              <w:t>±</w:t>
            </w:r>
            <w:r w:rsidRPr="000C58DA">
              <w:rPr>
                <w:rFonts w:ascii="Book Antiqua" w:eastAsia="宋体" w:hAnsi="Book Antiqua" w:cstheme="majorHAnsi"/>
                <w:color w:val="000000" w:themeColor="text1"/>
                <w:lang w:eastAsia="zh-CN"/>
              </w:rPr>
              <w:t xml:space="preserve"> </w:t>
            </w:r>
            <w:r w:rsidRPr="000C58DA">
              <w:rPr>
                <w:rFonts w:ascii="Book Antiqua" w:hAnsi="Book Antiqua" w:cstheme="majorHAnsi"/>
              </w:rPr>
              <w:t>7.6</w:t>
            </w:r>
          </w:p>
        </w:tc>
      </w:tr>
      <w:tr w:rsidR="00040C32" w:rsidRPr="000C58DA" w14:paraId="6C59FDB9" w14:textId="77777777" w:rsidTr="00040C32">
        <w:trPr>
          <w:trHeight w:val="364"/>
        </w:trPr>
        <w:tc>
          <w:tcPr>
            <w:tcW w:w="5735" w:type="dxa"/>
            <w:vAlign w:val="center"/>
          </w:tcPr>
          <w:p w14:paraId="31DC7381"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 xml:space="preserve">Male sex, </w:t>
            </w:r>
            <w:r w:rsidRPr="000C58DA">
              <w:rPr>
                <w:rFonts w:ascii="Book Antiqua" w:hAnsi="Book Antiqua" w:cstheme="majorHAnsi"/>
                <w:i/>
                <w:color w:val="000000" w:themeColor="text1"/>
              </w:rPr>
              <w:t>n</w:t>
            </w:r>
            <w:r w:rsidRPr="000C58DA">
              <w:rPr>
                <w:rFonts w:ascii="Book Antiqua" w:hAnsi="Book Antiqua" w:cstheme="majorHAnsi"/>
                <w:color w:val="000000" w:themeColor="text1"/>
              </w:rPr>
              <w:t xml:space="preserve"> (%)</w:t>
            </w:r>
          </w:p>
        </w:tc>
        <w:tc>
          <w:tcPr>
            <w:tcW w:w="3841" w:type="dxa"/>
            <w:vAlign w:val="center"/>
          </w:tcPr>
          <w:p w14:paraId="7147D8ED"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287 (100)</w:t>
            </w:r>
          </w:p>
        </w:tc>
      </w:tr>
      <w:tr w:rsidR="00040C32" w:rsidRPr="000C58DA" w14:paraId="6BBBF89B" w14:textId="77777777" w:rsidTr="00040C32">
        <w:trPr>
          <w:trHeight w:val="364"/>
        </w:trPr>
        <w:tc>
          <w:tcPr>
            <w:tcW w:w="5735" w:type="dxa"/>
            <w:vAlign w:val="center"/>
          </w:tcPr>
          <w:p w14:paraId="53678556"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 xml:space="preserve">Risk group, </w:t>
            </w:r>
            <w:r w:rsidRPr="000C58DA">
              <w:rPr>
                <w:rFonts w:ascii="Book Antiqua" w:hAnsi="Book Antiqua" w:cstheme="majorHAnsi"/>
                <w:i/>
                <w:color w:val="000000" w:themeColor="text1"/>
              </w:rPr>
              <w:t>n</w:t>
            </w:r>
            <w:r w:rsidRPr="000C58DA">
              <w:rPr>
                <w:rFonts w:ascii="Book Antiqua" w:hAnsi="Book Antiqua" w:cstheme="majorHAnsi"/>
                <w:color w:val="000000" w:themeColor="text1"/>
              </w:rPr>
              <w:t xml:space="preserve"> (%)</w:t>
            </w:r>
          </w:p>
        </w:tc>
        <w:tc>
          <w:tcPr>
            <w:tcW w:w="3841" w:type="dxa"/>
            <w:vAlign w:val="center"/>
          </w:tcPr>
          <w:p w14:paraId="45731A12" w14:textId="77777777" w:rsidR="00040C32" w:rsidRPr="000C58DA" w:rsidRDefault="00040C32" w:rsidP="00206D9E">
            <w:pPr>
              <w:adjustRightInd w:val="0"/>
              <w:snapToGrid w:val="0"/>
              <w:spacing w:line="360" w:lineRule="auto"/>
              <w:jc w:val="both"/>
              <w:rPr>
                <w:rFonts w:ascii="Book Antiqua" w:hAnsi="Book Antiqua" w:cstheme="majorHAnsi"/>
              </w:rPr>
            </w:pPr>
          </w:p>
        </w:tc>
      </w:tr>
      <w:tr w:rsidR="00040C32" w:rsidRPr="000C58DA" w14:paraId="0796BBC2" w14:textId="77777777" w:rsidTr="00040C32">
        <w:trPr>
          <w:trHeight w:val="364"/>
        </w:trPr>
        <w:tc>
          <w:tcPr>
            <w:tcW w:w="5735" w:type="dxa"/>
            <w:vAlign w:val="center"/>
          </w:tcPr>
          <w:p w14:paraId="253D4ADF"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Men who have sex with men</w:t>
            </w:r>
          </w:p>
        </w:tc>
        <w:tc>
          <w:tcPr>
            <w:tcW w:w="3841" w:type="dxa"/>
            <w:vAlign w:val="center"/>
          </w:tcPr>
          <w:p w14:paraId="3B6E0A87"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265 (92.3)</w:t>
            </w:r>
          </w:p>
        </w:tc>
      </w:tr>
      <w:tr w:rsidR="00040C32" w:rsidRPr="000C58DA" w14:paraId="65A5BB31" w14:textId="77777777" w:rsidTr="00040C32">
        <w:trPr>
          <w:trHeight w:val="364"/>
        </w:trPr>
        <w:tc>
          <w:tcPr>
            <w:tcW w:w="5735" w:type="dxa"/>
            <w:vAlign w:val="center"/>
          </w:tcPr>
          <w:p w14:paraId="3CADA55E"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Heterosexuals</w:t>
            </w:r>
          </w:p>
        </w:tc>
        <w:tc>
          <w:tcPr>
            <w:tcW w:w="3841" w:type="dxa"/>
            <w:vAlign w:val="center"/>
          </w:tcPr>
          <w:p w14:paraId="6CADE136"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5 (1.8)</w:t>
            </w:r>
          </w:p>
        </w:tc>
      </w:tr>
      <w:tr w:rsidR="00040C32" w:rsidRPr="000C58DA" w14:paraId="2817B83F" w14:textId="77777777" w:rsidTr="00040C32">
        <w:trPr>
          <w:trHeight w:val="364"/>
        </w:trPr>
        <w:tc>
          <w:tcPr>
            <w:tcW w:w="5735" w:type="dxa"/>
            <w:vAlign w:val="center"/>
          </w:tcPr>
          <w:p w14:paraId="220B3A44"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color w:val="000000" w:themeColor="text1"/>
              </w:rPr>
              <w:t>Injecting drug users</w:t>
            </w:r>
          </w:p>
        </w:tc>
        <w:tc>
          <w:tcPr>
            <w:tcW w:w="3841" w:type="dxa"/>
            <w:vAlign w:val="center"/>
          </w:tcPr>
          <w:p w14:paraId="23C71906"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4 (1.4)</w:t>
            </w:r>
          </w:p>
        </w:tc>
      </w:tr>
      <w:tr w:rsidR="00040C32" w:rsidRPr="000C58DA" w14:paraId="19B6FED7" w14:textId="77777777" w:rsidTr="00040C32">
        <w:trPr>
          <w:trHeight w:val="364"/>
        </w:trPr>
        <w:tc>
          <w:tcPr>
            <w:tcW w:w="5735" w:type="dxa"/>
            <w:vAlign w:val="center"/>
          </w:tcPr>
          <w:p w14:paraId="31042427"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color w:val="000000" w:themeColor="text1"/>
              </w:rPr>
              <w:t>Unknown</w:t>
            </w:r>
          </w:p>
        </w:tc>
        <w:tc>
          <w:tcPr>
            <w:tcW w:w="3841" w:type="dxa"/>
            <w:vAlign w:val="center"/>
          </w:tcPr>
          <w:p w14:paraId="06EBA8CA"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13 (4.5)</w:t>
            </w:r>
          </w:p>
        </w:tc>
      </w:tr>
      <w:tr w:rsidR="00040C32" w:rsidRPr="000C58DA" w14:paraId="7BB3AA6B" w14:textId="77777777" w:rsidTr="00040C32">
        <w:trPr>
          <w:trHeight w:val="364"/>
        </w:trPr>
        <w:tc>
          <w:tcPr>
            <w:tcW w:w="5735" w:type="dxa"/>
            <w:vAlign w:val="center"/>
          </w:tcPr>
          <w:p w14:paraId="1C5B2D17"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color w:val="000000" w:themeColor="text1"/>
              </w:rPr>
              <w:t>HIV PVL, mean</w:t>
            </w:r>
            <w:r w:rsidRPr="000C58DA">
              <w:rPr>
                <w:rFonts w:ascii="Book Antiqua" w:eastAsia="宋体" w:hAnsi="Book Antiqua" w:cstheme="majorHAnsi"/>
                <w:color w:val="000000" w:themeColor="text1"/>
                <w:lang w:eastAsia="zh-CN"/>
              </w:rPr>
              <w:t xml:space="preserve"> </w:t>
            </w:r>
            <w:r w:rsidRPr="000C58DA">
              <w:rPr>
                <w:rFonts w:ascii="Book Antiqua" w:hAnsi="Book Antiqua" w:cstheme="majorHAnsi"/>
                <w:color w:val="000000" w:themeColor="text1"/>
              </w:rPr>
              <w:t>±</w:t>
            </w:r>
            <w:r w:rsidRPr="000C58DA">
              <w:rPr>
                <w:rFonts w:ascii="Book Antiqua" w:eastAsia="宋体" w:hAnsi="Book Antiqua" w:cstheme="majorHAnsi"/>
                <w:color w:val="000000" w:themeColor="text1"/>
                <w:lang w:eastAsia="zh-CN"/>
              </w:rPr>
              <w:t xml:space="preserve"> </w:t>
            </w:r>
            <w:r w:rsidRPr="000C58DA">
              <w:rPr>
                <w:rFonts w:ascii="Book Antiqua" w:hAnsi="Book Antiqua" w:cstheme="majorHAnsi"/>
                <w:color w:val="000000" w:themeColor="text1"/>
              </w:rPr>
              <w:t>SD, log</w:t>
            </w:r>
            <w:r w:rsidRPr="000C58DA">
              <w:rPr>
                <w:rFonts w:ascii="Book Antiqua" w:hAnsi="Book Antiqua" w:cstheme="majorHAnsi"/>
                <w:color w:val="000000" w:themeColor="text1"/>
                <w:vertAlign w:val="subscript"/>
              </w:rPr>
              <w:t>10</w:t>
            </w:r>
            <w:r w:rsidRPr="000C58DA">
              <w:rPr>
                <w:rFonts w:ascii="Book Antiqua" w:hAnsi="Book Antiqua" w:cstheme="majorHAnsi"/>
                <w:color w:val="000000" w:themeColor="text1"/>
              </w:rPr>
              <w:t xml:space="preserve"> copies/mL</w:t>
            </w:r>
          </w:p>
        </w:tc>
        <w:tc>
          <w:tcPr>
            <w:tcW w:w="3841" w:type="dxa"/>
            <w:vAlign w:val="center"/>
          </w:tcPr>
          <w:p w14:paraId="70DD7A8F" w14:textId="77777777" w:rsidR="00040C32" w:rsidRPr="000C58DA" w:rsidRDefault="00040C32" w:rsidP="00206D9E">
            <w:pPr>
              <w:adjustRightInd w:val="0"/>
              <w:snapToGrid w:val="0"/>
              <w:spacing w:line="360" w:lineRule="auto"/>
              <w:jc w:val="both"/>
              <w:rPr>
                <w:rFonts w:ascii="Book Antiqua" w:eastAsia="宋体" w:hAnsi="Book Antiqua" w:cstheme="majorHAnsi"/>
                <w:lang w:eastAsia="zh-CN"/>
              </w:rPr>
            </w:pPr>
            <w:r w:rsidRPr="000C58DA">
              <w:rPr>
                <w:rFonts w:ascii="Book Antiqua" w:hAnsi="Book Antiqua" w:cstheme="majorHAnsi"/>
              </w:rPr>
              <w:t xml:space="preserve">1.72 </w:t>
            </w:r>
            <w:r w:rsidRPr="000C58DA">
              <w:rPr>
                <w:rFonts w:ascii="Book Antiqua" w:hAnsi="Book Antiqua" w:cstheme="majorHAnsi"/>
                <w:color w:val="000000" w:themeColor="text1"/>
              </w:rPr>
              <w:t>±</w:t>
            </w:r>
            <w:r w:rsidRPr="000C58DA">
              <w:rPr>
                <w:rFonts w:ascii="Book Antiqua" w:eastAsia="宋体" w:hAnsi="Book Antiqua" w:cstheme="majorHAnsi"/>
                <w:color w:val="000000" w:themeColor="text1"/>
                <w:lang w:eastAsia="zh-CN"/>
              </w:rPr>
              <w:t xml:space="preserve"> </w:t>
            </w:r>
            <w:r w:rsidRPr="000C58DA">
              <w:rPr>
                <w:rFonts w:ascii="Book Antiqua" w:hAnsi="Book Antiqua" w:cstheme="majorHAnsi"/>
              </w:rPr>
              <w:t>1.09</w:t>
            </w:r>
          </w:p>
        </w:tc>
      </w:tr>
      <w:tr w:rsidR="00040C32" w:rsidRPr="000C58DA" w14:paraId="14C9E353" w14:textId="77777777" w:rsidTr="00040C32">
        <w:trPr>
          <w:trHeight w:val="364"/>
        </w:trPr>
        <w:tc>
          <w:tcPr>
            <w:tcW w:w="5735" w:type="dxa"/>
            <w:vAlign w:val="center"/>
          </w:tcPr>
          <w:p w14:paraId="369DCF6C"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color w:val="000000" w:themeColor="text1"/>
              </w:rPr>
              <w:t>CD4 count, mean</w:t>
            </w:r>
            <w:r w:rsidRPr="000C58DA">
              <w:rPr>
                <w:rFonts w:ascii="Book Antiqua" w:eastAsia="宋体" w:hAnsi="Book Antiqua" w:cstheme="majorHAnsi"/>
                <w:color w:val="000000" w:themeColor="text1"/>
                <w:lang w:eastAsia="zh-CN"/>
              </w:rPr>
              <w:t xml:space="preserve"> </w:t>
            </w:r>
            <w:r w:rsidRPr="000C58DA">
              <w:rPr>
                <w:rFonts w:ascii="Book Antiqua" w:hAnsi="Book Antiqua" w:cstheme="majorHAnsi"/>
                <w:color w:val="000000" w:themeColor="text1"/>
              </w:rPr>
              <w:t>±</w:t>
            </w:r>
            <w:r w:rsidRPr="000C58DA">
              <w:rPr>
                <w:rFonts w:ascii="Book Antiqua" w:eastAsia="宋体" w:hAnsi="Book Antiqua" w:cstheme="majorHAnsi"/>
                <w:color w:val="000000" w:themeColor="text1"/>
                <w:lang w:eastAsia="zh-CN"/>
              </w:rPr>
              <w:t xml:space="preserve"> </w:t>
            </w:r>
            <w:r w:rsidRPr="000C58DA">
              <w:rPr>
                <w:rFonts w:ascii="Book Antiqua" w:hAnsi="Book Antiqua" w:cstheme="majorHAnsi"/>
                <w:color w:val="000000" w:themeColor="text1"/>
              </w:rPr>
              <w:t>SD, cells/mm</w:t>
            </w:r>
            <w:r w:rsidRPr="000C58DA">
              <w:rPr>
                <w:rFonts w:ascii="Book Antiqua" w:hAnsi="Book Antiqua" w:cstheme="majorHAnsi"/>
                <w:color w:val="000000" w:themeColor="text1"/>
                <w:vertAlign w:val="superscript"/>
              </w:rPr>
              <w:t>3</w:t>
            </w:r>
          </w:p>
        </w:tc>
        <w:tc>
          <w:tcPr>
            <w:tcW w:w="3841" w:type="dxa"/>
            <w:vAlign w:val="center"/>
          </w:tcPr>
          <w:p w14:paraId="5F2B2226" w14:textId="77777777" w:rsidR="00040C32" w:rsidRPr="000C58DA" w:rsidRDefault="00040C32" w:rsidP="00206D9E">
            <w:pPr>
              <w:adjustRightInd w:val="0"/>
              <w:snapToGrid w:val="0"/>
              <w:spacing w:line="360" w:lineRule="auto"/>
              <w:jc w:val="both"/>
              <w:rPr>
                <w:rFonts w:ascii="Book Antiqua" w:eastAsia="宋体" w:hAnsi="Book Antiqua" w:cstheme="majorHAnsi"/>
                <w:lang w:eastAsia="zh-CN"/>
              </w:rPr>
            </w:pPr>
            <w:r w:rsidRPr="000C58DA">
              <w:rPr>
                <w:rFonts w:ascii="Book Antiqua" w:hAnsi="Book Antiqua" w:cstheme="majorHAnsi"/>
              </w:rPr>
              <w:t xml:space="preserve">597.7 </w:t>
            </w:r>
            <w:r w:rsidRPr="000C58DA">
              <w:rPr>
                <w:rFonts w:ascii="Book Antiqua" w:hAnsi="Book Antiqua" w:cstheme="majorHAnsi"/>
                <w:color w:val="000000" w:themeColor="text1"/>
              </w:rPr>
              <w:t>±</w:t>
            </w:r>
            <w:r w:rsidRPr="000C58DA">
              <w:rPr>
                <w:rFonts w:ascii="Book Antiqua" w:eastAsia="宋体" w:hAnsi="Book Antiqua" w:cstheme="majorHAnsi"/>
                <w:color w:val="000000" w:themeColor="text1"/>
                <w:lang w:eastAsia="zh-CN"/>
              </w:rPr>
              <w:t xml:space="preserve"> </w:t>
            </w:r>
            <w:r w:rsidRPr="000C58DA">
              <w:rPr>
                <w:rFonts w:ascii="Book Antiqua" w:hAnsi="Book Antiqua" w:cstheme="majorHAnsi"/>
              </w:rPr>
              <w:t>251.1</w:t>
            </w:r>
          </w:p>
        </w:tc>
      </w:tr>
      <w:tr w:rsidR="00040C32" w:rsidRPr="000C58DA" w14:paraId="1648E98A" w14:textId="77777777" w:rsidTr="00040C32">
        <w:trPr>
          <w:trHeight w:val="364"/>
        </w:trPr>
        <w:tc>
          <w:tcPr>
            <w:tcW w:w="5735" w:type="dxa"/>
            <w:vAlign w:val="center"/>
          </w:tcPr>
          <w:p w14:paraId="2022A0A0"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color w:val="000000" w:themeColor="text1"/>
              </w:rPr>
              <w:t xml:space="preserve">HBsAg-positive, </w:t>
            </w:r>
            <w:r w:rsidRPr="000C58DA">
              <w:rPr>
                <w:rFonts w:ascii="Book Antiqua" w:hAnsi="Book Antiqua" w:cstheme="majorHAnsi"/>
                <w:i/>
                <w:color w:val="000000" w:themeColor="text1"/>
              </w:rPr>
              <w:t>n</w:t>
            </w:r>
            <w:r w:rsidRPr="000C58DA">
              <w:rPr>
                <w:rFonts w:ascii="Book Antiqua" w:hAnsi="Book Antiqua" w:cstheme="majorHAnsi"/>
                <w:color w:val="000000" w:themeColor="text1"/>
              </w:rPr>
              <w:t xml:space="preserve"> (%)</w:t>
            </w:r>
          </w:p>
        </w:tc>
        <w:tc>
          <w:tcPr>
            <w:tcW w:w="3841" w:type="dxa"/>
            <w:vAlign w:val="center"/>
          </w:tcPr>
          <w:p w14:paraId="6B78D9D0"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42 (14.9)</w:t>
            </w:r>
          </w:p>
        </w:tc>
      </w:tr>
      <w:tr w:rsidR="00040C32" w:rsidRPr="000C58DA" w14:paraId="0F9CAA77" w14:textId="77777777" w:rsidTr="00040C32">
        <w:trPr>
          <w:trHeight w:val="364"/>
        </w:trPr>
        <w:tc>
          <w:tcPr>
            <w:tcW w:w="5735" w:type="dxa"/>
            <w:vAlign w:val="center"/>
          </w:tcPr>
          <w:p w14:paraId="0634190B"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color w:val="000000" w:themeColor="text1"/>
              </w:rPr>
              <w:t xml:space="preserve">Syphilis, </w:t>
            </w:r>
            <w:r w:rsidRPr="000C58DA">
              <w:rPr>
                <w:rFonts w:ascii="Book Antiqua" w:hAnsi="Book Antiqua" w:cstheme="majorHAnsi"/>
                <w:i/>
                <w:color w:val="000000" w:themeColor="text1"/>
              </w:rPr>
              <w:t>n</w:t>
            </w:r>
            <w:r w:rsidRPr="000C58DA">
              <w:rPr>
                <w:rFonts w:ascii="Book Antiqua" w:hAnsi="Book Antiqua" w:cstheme="majorHAnsi"/>
                <w:color w:val="000000" w:themeColor="text1"/>
              </w:rPr>
              <w:t xml:space="preserve"> (%)</w:t>
            </w:r>
          </w:p>
        </w:tc>
        <w:tc>
          <w:tcPr>
            <w:tcW w:w="3841" w:type="dxa"/>
            <w:vAlign w:val="center"/>
          </w:tcPr>
          <w:p w14:paraId="17B18088"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256 (89.2)</w:t>
            </w:r>
          </w:p>
        </w:tc>
      </w:tr>
      <w:tr w:rsidR="00040C32" w:rsidRPr="000C58DA" w14:paraId="7CACEE68" w14:textId="77777777" w:rsidTr="00040C32">
        <w:trPr>
          <w:trHeight w:val="364"/>
        </w:trPr>
        <w:tc>
          <w:tcPr>
            <w:tcW w:w="5735" w:type="dxa"/>
            <w:vAlign w:val="center"/>
          </w:tcPr>
          <w:p w14:paraId="08444E88"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color w:val="000000" w:themeColor="text1"/>
              </w:rPr>
              <w:t>Plasma HCV RNA, mean</w:t>
            </w:r>
            <w:r w:rsidRPr="000C58DA">
              <w:rPr>
                <w:rFonts w:ascii="Book Antiqua" w:eastAsia="宋体" w:hAnsi="Book Antiqua" w:cstheme="majorHAnsi"/>
                <w:color w:val="000000" w:themeColor="text1"/>
                <w:lang w:eastAsia="zh-CN"/>
              </w:rPr>
              <w:t xml:space="preserve"> </w:t>
            </w:r>
            <w:r w:rsidRPr="000C58DA">
              <w:rPr>
                <w:rFonts w:ascii="Book Antiqua" w:hAnsi="Book Antiqua" w:cstheme="majorHAnsi"/>
                <w:color w:val="000000" w:themeColor="text1"/>
              </w:rPr>
              <w:t>±</w:t>
            </w:r>
            <w:r w:rsidRPr="000C58DA">
              <w:rPr>
                <w:rFonts w:ascii="Book Antiqua" w:eastAsia="宋体" w:hAnsi="Book Antiqua" w:cstheme="majorHAnsi"/>
                <w:color w:val="000000" w:themeColor="text1"/>
                <w:lang w:eastAsia="zh-CN"/>
              </w:rPr>
              <w:t xml:space="preserve"> </w:t>
            </w:r>
            <w:r w:rsidRPr="000C58DA">
              <w:rPr>
                <w:rFonts w:ascii="Book Antiqua" w:hAnsi="Book Antiqua" w:cstheme="majorHAnsi"/>
                <w:color w:val="000000" w:themeColor="text1"/>
              </w:rPr>
              <w:t>SD</w:t>
            </w:r>
            <w:r w:rsidRPr="000C58DA">
              <w:rPr>
                <w:rFonts w:ascii="Book Antiqua" w:hAnsi="Book Antiqua" w:cstheme="majorHAnsi"/>
                <w:color w:val="000000" w:themeColor="text1"/>
                <w:lang w:val="es-ES"/>
              </w:rPr>
              <w:t>, log</w:t>
            </w:r>
            <w:r w:rsidRPr="000C58DA">
              <w:rPr>
                <w:rFonts w:ascii="Book Antiqua" w:hAnsi="Book Antiqua" w:cstheme="majorHAnsi"/>
                <w:color w:val="000000" w:themeColor="text1"/>
                <w:vertAlign w:val="subscript"/>
                <w:lang w:val="es-ES"/>
              </w:rPr>
              <w:t>10</w:t>
            </w:r>
            <w:r w:rsidRPr="000C58DA">
              <w:rPr>
                <w:rFonts w:ascii="Book Antiqua" w:hAnsi="Book Antiqua" w:cstheme="majorHAnsi"/>
                <w:color w:val="000000" w:themeColor="text1"/>
                <w:lang w:val="es-ES"/>
              </w:rPr>
              <w:t xml:space="preserve"> copies/mL</w:t>
            </w:r>
          </w:p>
        </w:tc>
        <w:tc>
          <w:tcPr>
            <w:tcW w:w="3841" w:type="dxa"/>
            <w:vAlign w:val="center"/>
          </w:tcPr>
          <w:p w14:paraId="3F856CD5"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 xml:space="preserve">5.72 </w:t>
            </w:r>
            <w:r w:rsidRPr="000C58DA">
              <w:rPr>
                <w:rFonts w:ascii="Book Antiqua" w:hAnsi="Book Antiqua" w:cstheme="majorHAnsi"/>
                <w:color w:val="000000" w:themeColor="text1"/>
              </w:rPr>
              <w:t>±</w:t>
            </w:r>
            <w:r w:rsidRPr="000C58DA">
              <w:rPr>
                <w:rFonts w:ascii="Book Antiqua" w:eastAsia="宋体" w:hAnsi="Book Antiqua" w:cstheme="majorHAnsi"/>
                <w:color w:val="000000" w:themeColor="text1"/>
                <w:lang w:eastAsia="zh-CN"/>
              </w:rPr>
              <w:t xml:space="preserve"> </w:t>
            </w:r>
            <w:r w:rsidRPr="000C58DA">
              <w:rPr>
                <w:rFonts w:ascii="Book Antiqua" w:hAnsi="Book Antiqua" w:cstheme="majorHAnsi"/>
              </w:rPr>
              <w:t>1.50)</w:t>
            </w:r>
          </w:p>
        </w:tc>
      </w:tr>
      <w:tr w:rsidR="00040C32" w:rsidRPr="000C58DA" w14:paraId="53DA3EAB" w14:textId="77777777" w:rsidTr="00040C32">
        <w:trPr>
          <w:trHeight w:val="364"/>
        </w:trPr>
        <w:tc>
          <w:tcPr>
            <w:tcW w:w="5735" w:type="dxa"/>
            <w:vAlign w:val="center"/>
          </w:tcPr>
          <w:p w14:paraId="1143137B"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 xml:space="preserve">HCV genotype, </w:t>
            </w:r>
            <w:r w:rsidRPr="000C58DA">
              <w:rPr>
                <w:rFonts w:ascii="Book Antiqua" w:hAnsi="Book Antiqua" w:cstheme="majorHAnsi"/>
                <w:i/>
                <w:color w:val="000000" w:themeColor="text1"/>
              </w:rPr>
              <w:t>n</w:t>
            </w:r>
            <w:r w:rsidRPr="000C58DA">
              <w:rPr>
                <w:rFonts w:ascii="Book Antiqua" w:hAnsi="Book Antiqua" w:cstheme="majorHAnsi"/>
                <w:color w:val="000000" w:themeColor="text1"/>
              </w:rPr>
              <w:t xml:space="preserve"> (%)</w:t>
            </w:r>
          </w:p>
        </w:tc>
        <w:tc>
          <w:tcPr>
            <w:tcW w:w="3841" w:type="dxa"/>
            <w:vAlign w:val="center"/>
          </w:tcPr>
          <w:p w14:paraId="554F075C" w14:textId="77777777" w:rsidR="00040C32" w:rsidRPr="000C58DA" w:rsidRDefault="00040C32" w:rsidP="00206D9E">
            <w:pPr>
              <w:adjustRightInd w:val="0"/>
              <w:snapToGrid w:val="0"/>
              <w:spacing w:line="360" w:lineRule="auto"/>
              <w:jc w:val="both"/>
              <w:rPr>
                <w:rFonts w:ascii="Book Antiqua" w:hAnsi="Book Antiqua" w:cstheme="majorHAnsi"/>
              </w:rPr>
            </w:pPr>
          </w:p>
        </w:tc>
      </w:tr>
      <w:tr w:rsidR="00040C32" w:rsidRPr="000C58DA" w14:paraId="05161752" w14:textId="77777777" w:rsidTr="00040C32">
        <w:trPr>
          <w:trHeight w:val="364"/>
        </w:trPr>
        <w:tc>
          <w:tcPr>
            <w:tcW w:w="5735" w:type="dxa"/>
            <w:vAlign w:val="center"/>
          </w:tcPr>
          <w:p w14:paraId="76A315B0"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 xml:space="preserve">1a </w:t>
            </w:r>
          </w:p>
        </w:tc>
        <w:tc>
          <w:tcPr>
            <w:tcW w:w="3841" w:type="dxa"/>
            <w:vAlign w:val="center"/>
          </w:tcPr>
          <w:p w14:paraId="6983EC88"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22 (7.7)</w:t>
            </w:r>
          </w:p>
        </w:tc>
      </w:tr>
      <w:tr w:rsidR="00040C32" w:rsidRPr="000C58DA" w14:paraId="59475E9D" w14:textId="77777777" w:rsidTr="00040C32">
        <w:trPr>
          <w:trHeight w:val="364"/>
        </w:trPr>
        <w:tc>
          <w:tcPr>
            <w:tcW w:w="5735" w:type="dxa"/>
            <w:vAlign w:val="center"/>
          </w:tcPr>
          <w:p w14:paraId="3B894635"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1b</w:t>
            </w:r>
          </w:p>
        </w:tc>
        <w:tc>
          <w:tcPr>
            <w:tcW w:w="3841" w:type="dxa"/>
            <w:vAlign w:val="center"/>
          </w:tcPr>
          <w:p w14:paraId="1C57398C"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84 (29.3)</w:t>
            </w:r>
          </w:p>
        </w:tc>
      </w:tr>
      <w:tr w:rsidR="00040C32" w:rsidRPr="000C58DA" w14:paraId="72479F81" w14:textId="77777777" w:rsidTr="00040C32">
        <w:trPr>
          <w:trHeight w:val="364"/>
        </w:trPr>
        <w:tc>
          <w:tcPr>
            <w:tcW w:w="5735" w:type="dxa"/>
            <w:vAlign w:val="center"/>
          </w:tcPr>
          <w:p w14:paraId="22059410"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2a</w:t>
            </w:r>
          </w:p>
        </w:tc>
        <w:tc>
          <w:tcPr>
            <w:tcW w:w="3841" w:type="dxa"/>
            <w:vAlign w:val="center"/>
          </w:tcPr>
          <w:p w14:paraId="4B0DFA49"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119 (41.5)</w:t>
            </w:r>
          </w:p>
        </w:tc>
      </w:tr>
      <w:tr w:rsidR="00040C32" w:rsidRPr="000C58DA" w14:paraId="3E1451EA" w14:textId="77777777" w:rsidTr="00040C32">
        <w:trPr>
          <w:trHeight w:val="364"/>
        </w:trPr>
        <w:tc>
          <w:tcPr>
            <w:tcW w:w="5735" w:type="dxa"/>
            <w:vAlign w:val="center"/>
          </w:tcPr>
          <w:p w14:paraId="40BF01AA"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3</w:t>
            </w:r>
          </w:p>
        </w:tc>
        <w:tc>
          <w:tcPr>
            <w:tcW w:w="3841" w:type="dxa"/>
            <w:vAlign w:val="center"/>
          </w:tcPr>
          <w:p w14:paraId="7AAF9C83"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6 (2.1)</w:t>
            </w:r>
          </w:p>
        </w:tc>
      </w:tr>
      <w:tr w:rsidR="00040C32" w:rsidRPr="000C58DA" w14:paraId="1D9C6780" w14:textId="77777777" w:rsidTr="00040C32">
        <w:trPr>
          <w:trHeight w:val="364"/>
        </w:trPr>
        <w:tc>
          <w:tcPr>
            <w:tcW w:w="5735" w:type="dxa"/>
            <w:vAlign w:val="center"/>
          </w:tcPr>
          <w:p w14:paraId="2C974F75"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6</w:t>
            </w:r>
          </w:p>
        </w:tc>
        <w:tc>
          <w:tcPr>
            <w:tcW w:w="3841" w:type="dxa"/>
            <w:vAlign w:val="center"/>
          </w:tcPr>
          <w:p w14:paraId="43CFFFFD"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34 (11.8)</w:t>
            </w:r>
          </w:p>
        </w:tc>
      </w:tr>
      <w:tr w:rsidR="00040C32" w:rsidRPr="000C58DA" w14:paraId="6BBC5F60" w14:textId="77777777" w:rsidTr="00040C32">
        <w:trPr>
          <w:trHeight w:val="364"/>
        </w:trPr>
        <w:tc>
          <w:tcPr>
            <w:tcW w:w="5735" w:type="dxa"/>
            <w:vAlign w:val="center"/>
          </w:tcPr>
          <w:p w14:paraId="143B6422"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Mixed genotype 1b+2</w:t>
            </w:r>
          </w:p>
        </w:tc>
        <w:tc>
          <w:tcPr>
            <w:tcW w:w="3841" w:type="dxa"/>
            <w:vAlign w:val="center"/>
          </w:tcPr>
          <w:p w14:paraId="457D1C88"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3 (1.0)</w:t>
            </w:r>
          </w:p>
        </w:tc>
      </w:tr>
      <w:tr w:rsidR="00040C32" w:rsidRPr="000C58DA" w14:paraId="54277269" w14:textId="77777777" w:rsidTr="00040C32">
        <w:trPr>
          <w:trHeight w:val="364"/>
        </w:trPr>
        <w:tc>
          <w:tcPr>
            <w:tcW w:w="5735" w:type="dxa"/>
            <w:vAlign w:val="center"/>
          </w:tcPr>
          <w:p w14:paraId="34A3DB24"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No data</w:t>
            </w:r>
          </w:p>
        </w:tc>
        <w:tc>
          <w:tcPr>
            <w:tcW w:w="3841" w:type="dxa"/>
            <w:vAlign w:val="center"/>
          </w:tcPr>
          <w:p w14:paraId="0D1AB1E6"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19 (6.6)</w:t>
            </w:r>
          </w:p>
        </w:tc>
      </w:tr>
      <w:tr w:rsidR="00040C32" w:rsidRPr="000C58DA" w14:paraId="27F5548D" w14:textId="77777777" w:rsidTr="00040C32">
        <w:trPr>
          <w:trHeight w:val="364"/>
        </w:trPr>
        <w:tc>
          <w:tcPr>
            <w:tcW w:w="5735" w:type="dxa"/>
            <w:vAlign w:val="center"/>
          </w:tcPr>
          <w:p w14:paraId="085D0648"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 xml:space="preserve">Year of seroconversion, </w:t>
            </w:r>
            <w:r w:rsidRPr="000C58DA">
              <w:rPr>
                <w:rFonts w:ascii="Book Antiqua" w:hAnsi="Book Antiqua" w:cstheme="majorHAnsi"/>
                <w:i/>
                <w:color w:val="000000" w:themeColor="text1"/>
              </w:rPr>
              <w:t>n</w:t>
            </w:r>
            <w:r w:rsidRPr="000C58DA">
              <w:rPr>
                <w:rFonts w:ascii="Book Antiqua" w:hAnsi="Book Antiqua" w:cstheme="majorHAnsi"/>
                <w:color w:val="000000" w:themeColor="text1"/>
              </w:rPr>
              <w:t xml:space="preserve"> (%)</w:t>
            </w:r>
          </w:p>
        </w:tc>
        <w:tc>
          <w:tcPr>
            <w:tcW w:w="3841" w:type="dxa"/>
            <w:vAlign w:val="center"/>
          </w:tcPr>
          <w:p w14:paraId="73C6AD5A" w14:textId="77777777" w:rsidR="00040C32" w:rsidRPr="000C58DA" w:rsidRDefault="00040C32" w:rsidP="00206D9E">
            <w:pPr>
              <w:adjustRightInd w:val="0"/>
              <w:snapToGrid w:val="0"/>
              <w:spacing w:line="360" w:lineRule="auto"/>
              <w:jc w:val="both"/>
              <w:rPr>
                <w:rFonts w:ascii="Book Antiqua" w:hAnsi="Book Antiqua" w:cstheme="majorHAnsi"/>
              </w:rPr>
            </w:pPr>
          </w:p>
        </w:tc>
      </w:tr>
      <w:tr w:rsidR="00040C32" w:rsidRPr="000C58DA" w14:paraId="108E5F56" w14:textId="77777777" w:rsidTr="00040C32">
        <w:trPr>
          <w:trHeight w:val="364"/>
        </w:trPr>
        <w:tc>
          <w:tcPr>
            <w:tcW w:w="5735" w:type="dxa"/>
            <w:vAlign w:val="center"/>
          </w:tcPr>
          <w:p w14:paraId="09B96CA2"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2011</w:t>
            </w:r>
          </w:p>
        </w:tc>
        <w:tc>
          <w:tcPr>
            <w:tcW w:w="3841" w:type="dxa"/>
            <w:vAlign w:val="center"/>
          </w:tcPr>
          <w:p w14:paraId="29893A4D"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23 (8.0)</w:t>
            </w:r>
          </w:p>
        </w:tc>
      </w:tr>
      <w:tr w:rsidR="00040C32" w:rsidRPr="000C58DA" w14:paraId="72020BD4" w14:textId="77777777" w:rsidTr="00040C32">
        <w:trPr>
          <w:trHeight w:val="364"/>
        </w:trPr>
        <w:tc>
          <w:tcPr>
            <w:tcW w:w="5735" w:type="dxa"/>
            <w:vAlign w:val="center"/>
          </w:tcPr>
          <w:p w14:paraId="40EC2508"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2012</w:t>
            </w:r>
          </w:p>
        </w:tc>
        <w:tc>
          <w:tcPr>
            <w:tcW w:w="3841" w:type="dxa"/>
            <w:vAlign w:val="center"/>
          </w:tcPr>
          <w:p w14:paraId="3E5585FD"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28 (9.8)</w:t>
            </w:r>
          </w:p>
        </w:tc>
      </w:tr>
      <w:tr w:rsidR="00040C32" w:rsidRPr="000C58DA" w14:paraId="42373B18" w14:textId="77777777" w:rsidTr="00040C32">
        <w:trPr>
          <w:trHeight w:val="364"/>
        </w:trPr>
        <w:tc>
          <w:tcPr>
            <w:tcW w:w="5735" w:type="dxa"/>
            <w:vAlign w:val="center"/>
          </w:tcPr>
          <w:p w14:paraId="538CCAD0"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2013</w:t>
            </w:r>
          </w:p>
        </w:tc>
        <w:tc>
          <w:tcPr>
            <w:tcW w:w="3841" w:type="dxa"/>
            <w:vAlign w:val="center"/>
          </w:tcPr>
          <w:p w14:paraId="5B4D5EB5"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27 (9.4)</w:t>
            </w:r>
          </w:p>
        </w:tc>
      </w:tr>
      <w:tr w:rsidR="00040C32" w:rsidRPr="000C58DA" w14:paraId="169E93FD" w14:textId="77777777" w:rsidTr="00040C32">
        <w:trPr>
          <w:trHeight w:val="364"/>
        </w:trPr>
        <w:tc>
          <w:tcPr>
            <w:tcW w:w="5735" w:type="dxa"/>
            <w:vAlign w:val="center"/>
          </w:tcPr>
          <w:p w14:paraId="5BE2CC6D"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2014</w:t>
            </w:r>
          </w:p>
        </w:tc>
        <w:tc>
          <w:tcPr>
            <w:tcW w:w="3841" w:type="dxa"/>
            <w:vAlign w:val="center"/>
          </w:tcPr>
          <w:p w14:paraId="26C96118"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24 (8.4)</w:t>
            </w:r>
          </w:p>
        </w:tc>
      </w:tr>
      <w:tr w:rsidR="00040C32" w:rsidRPr="000C58DA" w14:paraId="699816C6" w14:textId="77777777" w:rsidTr="00040C32">
        <w:trPr>
          <w:trHeight w:val="364"/>
        </w:trPr>
        <w:tc>
          <w:tcPr>
            <w:tcW w:w="5735" w:type="dxa"/>
            <w:vAlign w:val="center"/>
          </w:tcPr>
          <w:p w14:paraId="5CA00236"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2015</w:t>
            </w:r>
          </w:p>
        </w:tc>
        <w:tc>
          <w:tcPr>
            <w:tcW w:w="3841" w:type="dxa"/>
            <w:vAlign w:val="center"/>
          </w:tcPr>
          <w:p w14:paraId="0181BF64"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31 (10.8)</w:t>
            </w:r>
          </w:p>
        </w:tc>
      </w:tr>
      <w:tr w:rsidR="00040C32" w:rsidRPr="000C58DA" w14:paraId="0D24F096" w14:textId="77777777" w:rsidTr="00040C32">
        <w:trPr>
          <w:trHeight w:val="364"/>
        </w:trPr>
        <w:tc>
          <w:tcPr>
            <w:tcW w:w="5735" w:type="dxa"/>
            <w:vAlign w:val="center"/>
          </w:tcPr>
          <w:p w14:paraId="0AAE93A9"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lastRenderedPageBreak/>
              <w:t>2016</w:t>
            </w:r>
          </w:p>
        </w:tc>
        <w:tc>
          <w:tcPr>
            <w:tcW w:w="3841" w:type="dxa"/>
            <w:vAlign w:val="center"/>
          </w:tcPr>
          <w:p w14:paraId="66635E48"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43 (14.9)</w:t>
            </w:r>
          </w:p>
        </w:tc>
      </w:tr>
      <w:tr w:rsidR="00040C32" w:rsidRPr="000C58DA" w14:paraId="6966BE01" w14:textId="77777777" w:rsidTr="00040C32">
        <w:trPr>
          <w:trHeight w:val="364"/>
        </w:trPr>
        <w:tc>
          <w:tcPr>
            <w:tcW w:w="5735" w:type="dxa"/>
            <w:vAlign w:val="center"/>
          </w:tcPr>
          <w:p w14:paraId="5D2E6AB4"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2017</w:t>
            </w:r>
          </w:p>
        </w:tc>
        <w:tc>
          <w:tcPr>
            <w:tcW w:w="3841" w:type="dxa"/>
            <w:vAlign w:val="center"/>
          </w:tcPr>
          <w:p w14:paraId="58C06EC7"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54 (18.8)</w:t>
            </w:r>
          </w:p>
        </w:tc>
      </w:tr>
      <w:tr w:rsidR="00040C32" w:rsidRPr="000C58DA" w14:paraId="18C381B2" w14:textId="77777777" w:rsidTr="00040C32">
        <w:trPr>
          <w:trHeight w:val="364"/>
        </w:trPr>
        <w:tc>
          <w:tcPr>
            <w:tcW w:w="5735" w:type="dxa"/>
            <w:tcBorders>
              <w:bottom w:val="single" w:sz="4" w:space="0" w:color="auto"/>
            </w:tcBorders>
            <w:vAlign w:val="center"/>
          </w:tcPr>
          <w:p w14:paraId="259413EB" w14:textId="77777777" w:rsidR="00040C32" w:rsidRPr="000C58DA" w:rsidRDefault="00040C32" w:rsidP="00206D9E">
            <w:pPr>
              <w:adjustRightInd w:val="0"/>
              <w:snapToGrid w:val="0"/>
              <w:spacing w:line="360" w:lineRule="auto"/>
              <w:jc w:val="both"/>
              <w:rPr>
                <w:rFonts w:ascii="Book Antiqua" w:hAnsi="Book Antiqua" w:cstheme="majorHAnsi"/>
                <w:color w:val="000000" w:themeColor="text1"/>
              </w:rPr>
            </w:pPr>
            <w:r w:rsidRPr="000C58DA">
              <w:rPr>
                <w:rFonts w:ascii="Book Antiqua" w:hAnsi="Book Antiqua" w:cstheme="majorHAnsi"/>
                <w:color w:val="000000" w:themeColor="text1"/>
              </w:rPr>
              <w:t>2018</w:t>
            </w:r>
          </w:p>
        </w:tc>
        <w:tc>
          <w:tcPr>
            <w:tcW w:w="3841" w:type="dxa"/>
            <w:tcBorders>
              <w:bottom w:val="single" w:sz="4" w:space="0" w:color="auto"/>
            </w:tcBorders>
            <w:vAlign w:val="center"/>
          </w:tcPr>
          <w:p w14:paraId="3CCCD2E5" w14:textId="77777777" w:rsidR="00040C32" w:rsidRPr="000C58DA" w:rsidRDefault="00040C32" w:rsidP="00206D9E">
            <w:pPr>
              <w:adjustRightInd w:val="0"/>
              <w:snapToGrid w:val="0"/>
              <w:spacing w:line="360" w:lineRule="auto"/>
              <w:jc w:val="both"/>
              <w:rPr>
                <w:rFonts w:ascii="Book Antiqua" w:hAnsi="Book Antiqua" w:cstheme="majorHAnsi"/>
              </w:rPr>
            </w:pPr>
            <w:r w:rsidRPr="000C58DA">
              <w:rPr>
                <w:rFonts w:ascii="Book Antiqua" w:hAnsi="Book Antiqua" w:cstheme="majorHAnsi"/>
              </w:rPr>
              <w:t>57 (19.9)</w:t>
            </w:r>
          </w:p>
        </w:tc>
      </w:tr>
    </w:tbl>
    <w:p w14:paraId="1F534FB9" w14:textId="77777777" w:rsidR="00040C32" w:rsidRPr="000C58DA" w:rsidRDefault="00040C32" w:rsidP="00206D9E">
      <w:pPr>
        <w:adjustRightInd w:val="0"/>
        <w:snapToGrid w:val="0"/>
        <w:spacing w:line="360" w:lineRule="auto"/>
        <w:jc w:val="both"/>
        <w:rPr>
          <w:rFonts w:ascii="Book Antiqua" w:eastAsia="宋体" w:hAnsi="Book Antiqua"/>
          <w:lang w:eastAsia="zh-CN"/>
        </w:rPr>
      </w:pPr>
      <w:r w:rsidRPr="000C58DA">
        <w:rPr>
          <w:rFonts w:ascii="Book Antiqua" w:hAnsi="Book Antiqua"/>
        </w:rPr>
        <w:t>HBsAg</w:t>
      </w:r>
      <w:r w:rsidRPr="000C58DA">
        <w:rPr>
          <w:rFonts w:ascii="Book Antiqua" w:eastAsia="宋体" w:hAnsi="Book Antiqua"/>
          <w:lang w:eastAsia="zh-CN"/>
        </w:rPr>
        <w:t>:</w:t>
      </w:r>
      <w:r w:rsidRPr="000C58DA">
        <w:rPr>
          <w:rFonts w:ascii="Book Antiqua" w:hAnsi="Book Antiqua"/>
        </w:rPr>
        <w:t xml:space="preserve"> Hepatitis B surface antigen; HCV</w:t>
      </w:r>
      <w:r w:rsidRPr="000C58DA">
        <w:rPr>
          <w:rFonts w:ascii="Book Antiqua" w:eastAsia="宋体" w:hAnsi="Book Antiqua"/>
          <w:lang w:eastAsia="zh-CN"/>
        </w:rPr>
        <w:t>:</w:t>
      </w:r>
      <w:r w:rsidRPr="000C58DA">
        <w:rPr>
          <w:rFonts w:ascii="Book Antiqua" w:hAnsi="Book Antiqua"/>
        </w:rPr>
        <w:t xml:space="preserve"> Hepatitis C virus; HIV</w:t>
      </w:r>
      <w:r w:rsidRPr="000C58DA">
        <w:rPr>
          <w:rFonts w:ascii="Book Antiqua" w:eastAsia="宋体" w:hAnsi="Book Antiqua"/>
          <w:lang w:eastAsia="zh-CN"/>
        </w:rPr>
        <w:t>:</w:t>
      </w:r>
      <w:r w:rsidRPr="000C58DA">
        <w:rPr>
          <w:rFonts w:ascii="Book Antiqua" w:hAnsi="Book Antiqua"/>
        </w:rPr>
        <w:t xml:space="preserve"> Human immunodeficiency virus; PVL</w:t>
      </w:r>
      <w:r w:rsidRPr="000C58DA">
        <w:rPr>
          <w:rFonts w:ascii="Book Antiqua" w:eastAsia="宋体" w:hAnsi="Book Antiqua"/>
          <w:lang w:eastAsia="zh-CN"/>
        </w:rPr>
        <w:t>:</w:t>
      </w:r>
      <w:r w:rsidRPr="000C58DA">
        <w:rPr>
          <w:rFonts w:ascii="Book Antiqua" w:hAnsi="Book Antiqua"/>
        </w:rPr>
        <w:t xml:space="preserve"> Plasma viral load; RNA</w:t>
      </w:r>
      <w:r w:rsidRPr="000C58DA">
        <w:rPr>
          <w:rFonts w:ascii="Book Antiqua" w:eastAsia="宋体" w:hAnsi="Book Antiqua"/>
          <w:lang w:eastAsia="zh-CN"/>
        </w:rPr>
        <w:t>:</w:t>
      </w:r>
      <w:r w:rsidRPr="000C58DA">
        <w:rPr>
          <w:rFonts w:ascii="Book Antiqua" w:hAnsi="Book Antiqua"/>
        </w:rPr>
        <w:t xml:space="preserve"> Ribonucleic acid</w:t>
      </w:r>
      <w:r w:rsidRPr="000C58DA">
        <w:rPr>
          <w:rFonts w:ascii="Book Antiqua" w:eastAsia="宋体" w:hAnsi="Book Antiqua"/>
          <w:lang w:eastAsia="zh-CN"/>
        </w:rPr>
        <w:t>.</w:t>
      </w:r>
    </w:p>
    <w:p w14:paraId="5A263FAD" w14:textId="77777777" w:rsidR="00040C32" w:rsidRPr="000C58DA" w:rsidRDefault="00040C32" w:rsidP="00206D9E">
      <w:pPr>
        <w:adjustRightInd w:val="0"/>
        <w:snapToGrid w:val="0"/>
        <w:spacing w:line="360" w:lineRule="auto"/>
        <w:jc w:val="both"/>
        <w:rPr>
          <w:rFonts w:ascii="Book Antiqua" w:hAnsi="Book Antiqua" w:cstheme="minorHAnsi"/>
          <w:b/>
        </w:rPr>
      </w:pPr>
      <w:r w:rsidRPr="000C58DA">
        <w:rPr>
          <w:rFonts w:ascii="Book Antiqua" w:hAnsi="Book Antiqua"/>
          <w:lang w:eastAsia="zh-CN"/>
        </w:rPr>
        <w:br w:type="page"/>
      </w:r>
      <w:r w:rsidRPr="000C58DA">
        <w:rPr>
          <w:rFonts w:ascii="Book Antiqua" w:hAnsi="Book Antiqua" w:cstheme="minorHAnsi"/>
          <w:b/>
        </w:rPr>
        <w:lastRenderedPageBreak/>
        <w:t xml:space="preserve">Table 2 Care cascade of incident hepatitis C infections among people living with </w:t>
      </w:r>
      <w:r w:rsidRPr="000C58DA">
        <w:rPr>
          <w:rFonts w:ascii="Book Antiqua" w:hAnsi="Book Antiqua" w:cs="Book Antiqua"/>
          <w:b/>
          <w:color w:val="000000"/>
          <w:lang w:eastAsia="zh-CN"/>
        </w:rPr>
        <w:t>human immunodeficiency virus</w:t>
      </w:r>
      <w:r w:rsidRPr="000C58DA">
        <w:rPr>
          <w:rFonts w:ascii="Book Antiqua" w:hAnsi="Book Antiqua" w:cstheme="minorHAnsi"/>
          <w:b/>
        </w:rPr>
        <w:t xml:space="preserve"> in the </w:t>
      </w:r>
      <w:r w:rsidRPr="000C58DA">
        <w:rPr>
          <w:rFonts w:ascii="Book Antiqua" w:eastAsia="Book Antiqua" w:hAnsi="Book Antiqua" w:cs="Book Antiqua"/>
          <w:b/>
          <w:color w:val="000000"/>
        </w:rPr>
        <w:t>interferon</w:t>
      </w:r>
      <w:r w:rsidRPr="000C58DA">
        <w:rPr>
          <w:rFonts w:ascii="Book Antiqua" w:hAnsi="Book Antiqua" w:cstheme="minorHAnsi"/>
          <w:b/>
        </w:rPr>
        <w:t xml:space="preserve"> and </w:t>
      </w:r>
      <w:r w:rsidRPr="000C58DA">
        <w:rPr>
          <w:rFonts w:ascii="Book Antiqua" w:hAnsi="Book Antiqua" w:cs="Book Antiqua"/>
          <w:b/>
          <w:color w:val="000000"/>
          <w:lang w:eastAsia="zh-CN"/>
        </w:rPr>
        <w:t>direct-acting antiviral</w:t>
      </w:r>
      <w:r w:rsidRPr="000C58DA">
        <w:rPr>
          <w:rFonts w:ascii="Book Antiqua" w:hAnsi="Book Antiqua" w:cstheme="minorHAnsi"/>
          <w:b/>
        </w:rPr>
        <w:t xml:space="preserve"> eras</w:t>
      </w:r>
    </w:p>
    <w:tbl>
      <w:tblPr>
        <w:tblStyle w:val="a4"/>
        <w:tblW w:w="9639" w:type="dxa"/>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701"/>
        <w:gridCol w:w="1842"/>
        <w:gridCol w:w="1701"/>
        <w:gridCol w:w="1134"/>
      </w:tblGrid>
      <w:tr w:rsidR="007D7519" w:rsidRPr="000C58DA" w14:paraId="0C6F6712" w14:textId="77777777" w:rsidTr="00A002F3">
        <w:trPr>
          <w:trHeight w:val="429"/>
        </w:trPr>
        <w:tc>
          <w:tcPr>
            <w:tcW w:w="3261" w:type="dxa"/>
            <w:vMerge w:val="restart"/>
            <w:tcBorders>
              <w:top w:val="single" w:sz="4" w:space="0" w:color="auto"/>
              <w:bottom w:val="nil"/>
            </w:tcBorders>
          </w:tcPr>
          <w:p w14:paraId="0865B707" w14:textId="77777777" w:rsidR="007D7519" w:rsidRPr="000C58DA" w:rsidRDefault="007D7519" w:rsidP="007D7519">
            <w:pPr>
              <w:adjustRightInd w:val="0"/>
              <w:snapToGrid w:val="0"/>
              <w:spacing w:line="360" w:lineRule="auto"/>
              <w:jc w:val="both"/>
              <w:rPr>
                <w:rFonts w:ascii="Book Antiqua" w:hAnsi="Book Antiqua"/>
                <w:b/>
              </w:rPr>
            </w:pPr>
          </w:p>
        </w:tc>
        <w:tc>
          <w:tcPr>
            <w:tcW w:w="1701" w:type="dxa"/>
            <w:vMerge w:val="restart"/>
            <w:tcBorders>
              <w:top w:val="single" w:sz="4" w:space="0" w:color="auto"/>
              <w:bottom w:val="single" w:sz="4" w:space="0" w:color="auto"/>
            </w:tcBorders>
          </w:tcPr>
          <w:p w14:paraId="2A6C0937" w14:textId="77777777" w:rsidR="007D7519" w:rsidRPr="000C58DA" w:rsidRDefault="007D7519" w:rsidP="007D7519">
            <w:pPr>
              <w:adjustRightInd w:val="0"/>
              <w:snapToGrid w:val="0"/>
              <w:spacing w:line="360" w:lineRule="auto"/>
              <w:jc w:val="both"/>
              <w:rPr>
                <w:rFonts w:ascii="Book Antiqua" w:eastAsia="宋体" w:hAnsi="Book Antiqua"/>
                <w:b/>
                <w:lang w:eastAsia="zh-CN"/>
              </w:rPr>
            </w:pPr>
            <w:r w:rsidRPr="000C58DA">
              <w:rPr>
                <w:rFonts w:ascii="Book Antiqua" w:hAnsi="Book Antiqua"/>
                <w:b/>
              </w:rPr>
              <w:t>Total</w:t>
            </w:r>
            <w:r w:rsidRPr="000C58DA">
              <w:rPr>
                <w:rFonts w:ascii="Book Antiqua" w:eastAsia="宋体" w:hAnsi="Book Antiqua"/>
                <w:b/>
                <w:lang w:eastAsia="zh-CN"/>
              </w:rPr>
              <w:t xml:space="preserve"> </w:t>
            </w:r>
          </w:p>
          <w:p w14:paraId="412B3F97" w14:textId="6FA3624E" w:rsidR="007D7519" w:rsidRPr="000C58DA" w:rsidRDefault="007D7519" w:rsidP="007D7519">
            <w:pPr>
              <w:adjustRightInd w:val="0"/>
              <w:snapToGrid w:val="0"/>
              <w:spacing w:line="360" w:lineRule="auto"/>
              <w:jc w:val="both"/>
              <w:rPr>
                <w:rFonts w:ascii="Book Antiqua" w:hAnsi="Book Antiqua"/>
                <w:b/>
                <w:i/>
                <w:iCs/>
              </w:rPr>
            </w:pPr>
            <w:r w:rsidRPr="000C58DA">
              <w:rPr>
                <w:rFonts w:ascii="Book Antiqua" w:hAnsi="Book Antiqua"/>
                <w:b/>
              </w:rPr>
              <w:t>2011-2018</w:t>
            </w:r>
            <w:r w:rsidR="00E415EB" w:rsidRPr="000C58DA">
              <w:rPr>
                <w:rFonts w:ascii="Book Antiqua" w:hAnsi="Book Antiqua" w:hint="eastAsia"/>
                <w:b/>
                <w:lang w:eastAsia="zh-CN"/>
              </w:rPr>
              <w:t>,</w:t>
            </w:r>
            <w:r w:rsidR="00E415EB" w:rsidRPr="000C58DA">
              <w:rPr>
                <w:rFonts w:ascii="Book Antiqua" w:hAnsi="Book Antiqua"/>
                <w:b/>
                <w:i/>
                <w:iCs/>
              </w:rPr>
              <w:t xml:space="preserve"> </w:t>
            </w:r>
            <w:r w:rsidRPr="000C58DA">
              <w:rPr>
                <w:rFonts w:ascii="Book Antiqua" w:hAnsi="Book Antiqua"/>
                <w:b/>
                <w:i/>
                <w:iCs/>
              </w:rPr>
              <w:t>n</w:t>
            </w:r>
            <w:r w:rsidRPr="000C58DA">
              <w:rPr>
                <w:rFonts w:ascii="Book Antiqua" w:hAnsi="Book Antiqua"/>
                <w:b/>
              </w:rPr>
              <w:t xml:space="preserve"> = 287</w:t>
            </w:r>
          </w:p>
        </w:tc>
        <w:tc>
          <w:tcPr>
            <w:tcW w:w="3543" w:type="dxa"/>
            <w:gridSpan w:val="2"/>
            <w:tcBorders>
              <w:top w:val="single" w:sz="4" w:space="0" w:color="auto"/>
              <w:bottom w:val="single" w:sz="4" w:space="0" w:color="auto"/>
            </w:tcBorders>
          </w:tcPr>
          <w:p w14:paraId="3333589A" w14:textId="77777777" w:rsidR="007D7519" w:rsidRPr="000C58DA" w:rsidRDefault="007D7519" w:rsidP="007D7519">
            <w:pPr>
              <w:adjustRightInd w:val="0"/>
              <w:snapToGrid w:val="0"/>
              <w:spacing w:line="360" w:lineRule="auto"/>
              <w:jc w:val="both"/>
              <w:rPr>
                <w:rFonts w:ascii="Book Antiqua" w:hAnsi="Book Antiqua"/>
                <w:b/>
              </w:rPr>
            </w:pPr>
            <w:r w:rsidRPr="000C58DA">
              <w:rPr>
                <w:rFonts w:ascii="Book Antiqua" w:hAnsi="Book Antiqua"/>
                <w:b/>
              </w:rPr>
              <w:t>Seroconversion in</w:t>
            </w:r>
          </w:p>
        </w:tc>
        <w:tc>
          <w:tcPr>
            <w:tcW w:w="1134" w:type="dxa"/>
            <w:vMerge w:val="restart"/>
            <w:tcBorders>
              <w:top w:val="single" w:sz="4" w:space="0" w:color="auto"/>
              <w:bottom w:val="nil"/>
            </w:tcBorders>
          </w:tcPr>
          <w:p w14:paraId="53DAD021" w14:textId="77777777" w:rsidR="007D7519" w:rsidRPr="000C58DA" w:rsidRDefault="007D7519" w:rsidP="007D7519">
            <w:pPr>
              <w:adjustRightInd w:val="0"/>
              <w:snapToGrid w:val="0"/>
              <w:spacing w:line="360" w:lineRule="auto"/>
              <w:jc w:val="both"/>
              <w:rPr>
                <w:rFonts w:ascii="Book Antiqua" w:hAnsi="Book Antiqua"/>
                <w:b/>
              </w:rPr>
            </w:pPr>
            <w:r w:rsidRPr="000C58DA">
              <w:rPr>
                <w:rFonts w:ascii="Book Antiqua" w:hAnsi="Book Antiqua"/>
                <w:b/>
                <w:i/>
                <w:iCs/>
              </w:rPr>
              <w:t>P</w:t>
            </w:r>
            <w:r w:rsidRPr="000C58DA">
              <w:rPr>
                <w:rFonts w:ascii="Book Antiqua" w:hAnsi="Book Antiqua"/>
                <w:b/>
              </w:rPr>
              <w:t xml:space="preserve"> value</w:t>
            </w:r>
          </w:p>
        </w:tc>
      </w:tr>
      <w:tr w:rsidR="007D7519" w:rsidRPr="000C58DA" w14:paraId="15987444" w14:textId="77777777" w:rsidTr="00A002F3">
        <w:trPr>
          <w:trHeight w:val="1306"/>
        </w:trPr>
        <w:tc>
          <w:tcPr>
            <w:tcW w:w="3261" w:type="dxa"/>
            <w:vMerge/>
            <w:tcBorders>
              <w:top w:val="nil"/>
              <w:bottom w:val="single" w:sz="4" w:space="0" w:color="auto"/>
            </w:tcBorders>
          </w:tcPr>
          <w:p w14:paraId="28D1D24A" w14:textId="77777777" w:rsidR="007D7519" w:rsidRPr="000C58DA" w:rsidRDefault="007D7519" w:rsidP="00206D9E">
            <w:pPr>
              <w:adjustRightInd w:val="0"/>
              <w:snapToGrid w:val="0"/>
              <w:spacing w:line="360" w:lineRule="auto"/>
              <w:jc w:val="both"/>
              <w:rPr>
                <w:rFonts w:ascii="Book Antiqua" w:hAnsi="Book Antiqua"/>
                <w:b/>
              </w:rPr>
            </w:pPr>
          </w:p>
        </w:tc>
        <w:tc>
          <w:tcPr>
            <w:tcW w:w="1701" w:type="dxa"/>
            <w:vMerge/>
            <w:tcBorders>
              <w:top w:val="nil"/>
              <w:bottom w:val="single" w:sz="4" w:space="0" w:color="auto"/>
            </w:tcBorders>
          </w:tcPr>
          <w:p w14:paraId="147D35EE" w14:textId="77777777" w:rsidR="007D7519" w:rsidRPr="000C58DA" w:rsidRDefault="007D7519" w:rsidP="00206D9E">
            <w:pPr>
              <w:adjustRightInd w:val="0"/>
              <w:snapToGrid w:val="0"/>
              <w:spacing w:line="360" w:lineRule="auto"/>
              <w:jc w:val="both"/>
              <w:rPr>
                <w:rFonts w:ascii="Book Antiqua" w:hAnsi="Book Antiqua"/>
                <w:b/>
              </w:rPr>
            </w:pPr>
          </w:p>
        </w:tc>
        <w:tc>
          <w:tcPr>
            <w:tcW w:w="1842" w:type="dxa"/>
            <w:tcBorders>
              <w:top w:val="single" w:sz="4" w:space="0" w:color="auto"/>
              <w:bottom w:val="single" w:sz="4" w:space="0" w:color="auto"/>
            </w:tcBorders>
          </w:tcPr>
          <w:p w14:paraId="228AA528" w14:textId="4784E0FF" w:rsidR="007D7519" w:rsidRPr="000C58DA" w:rsidRDefault="007D7519" w:rsidP="00206D9E">
            <w:pPr>
              <w:adjustRightInd w:val="0"/>
              <w:snapToGrid w:val="0"/>
              <w:spacing w:line="360" w:lineRule="auto"/>
              <w:jc w:val="both"/>
              <w:rPr>
                <w:rFonts w:ascii="Book Antiqua" w:hAnsi="Book Antiqua"/>
                <w:b/>
                <w:i/>
                <w:iCs/>
              </w:rPr>
            </w:pPr>
            <w:r w:rsidRPr="000C58DA">
              <w:rPr>
                <w:rFonts w:ascii="Book Antiqua" w:hAnsi="Book Antiqua"/>
                <w:b/>
              </w:rPr>
              <w:t>2011-2016</w:t>
            </w:r>
            <w:r w:rsidRPr="000C58DA">
              <w:rPr>
                <w:rFonts w:ascii="Book Antiqua" w:eastAsia="宋体" w:hAnsi="Book Antiqua"/>
                <w:b/>
                <w:lang w:eastAsia="zh-CN"/>
              </w:rPr>
              <w:t xml:space="preserve"> </w:t>
            </w:r>
            <w:r w:rsidRPr="000C58DA">
              <w:rPr>
                <w:rFonts w:ascii="Book Antiqua" w:hAnsi="Book Antiqua"/>
                <w:b/>
              </w:rPr>
              <w:t>IFN era</w:t>
            </w:r>
            <w:r w:rsidR="00E415EB" w:rsidRPr="000C58DA">
              <w:rPr>
                <w:rFonts w:ascii="Book Antiqua" w:hAnsi="Book Antiqua" w:hint="eastAsia"/>
                <w:b/>
                <w:lang w:eastAsia="zh-CN"/>
              </w:rPr>
              <w:t>,</w:t>
            </w:r>
            <w:r w:rsidR="00E415EB" w:rsidRPr="000C58DA">
              <w:rPr>
                <w:rFonts w:ascii="Book Antiqua" w:hAnsi="Book Antiqua"/>
                <w:b/>
                <w:i/>
                <w:iCs/>
              </w:rPr>
              <w:t xml:space="preserve"> </w:t>
            </w:r>
            <w:r w:rsidRPr="000C58DA">
              <w:rPr>
                <w:rFonts w:ascii="Book Antiqua" w:hAnsi="Book Antiqua"/>
                <w:b/>
                <w:i/>
                <w:iCs/>
              </w:rPr>
              <w:t>n</w:t>
            </w:r>
            <w:r w:rsidRPr="000C58DA">
              <w:rPr>
                <w:rFonts w:ascii="Book Antiqua" w:hAnsi="Book Antiqua"/>
                <w:b/>
              </w:rPr>
              <w:t xml:space="preserve"> = 176</w:t>
            </w:r>
          </w:p>
        </w:tc>
        <w:tc>
          <w:tcPr>
            <w:tcW w:w="1701" w:type="dxa"/>
            <w:tcBorders>
              <w:top w:val="single" w:sz="4" w:space="0" w:color="auto"/>
              <w:bottom w:val="single" w:sz="4" w:space="0" w:color="auto"/>
            </w:tcBorders>
          </w:tcPr>
          <w:p w14:paraId="3BEEC420" w14:textId="77777777" w:rsidR="007D7519" w:rsidRPr="000C58DA" w:rsidRDefault="007D7519" w:rsidP="00206D9E">
            <w:pPr>
              <w:adjustRightInd w:val="0"/>
              <w:snapToGrid w:val="0"/>
              <w:spacing w:line="360" w:lineRule="auto"/>
              <w:jc w:val="both"/>
              <w:rPr>
                <w:rFonts w:ascii="Book Antiqua" w:hAnsi="Book Antiqua"/>
                <w:b/>
              </w:rPr>
            </w:pPr>
            <w:r w:rsidRPr="000C58DA">
              <w:rPr>
                <w:rFonts w:ascii="Book Antiqua" w:hAnsi="Book Antiqua"/>
                <w:b/>
              </w:rPr>
              <w:t>2017-2018</w:t>
            </w:r>
          </w:p>
          <w:p w14:paraId="51E6DC3C" w14:textId="30D18CF3" w:rsidR="007D7519" w:rsidRPr="000C58DA" w:rsidRDefault="007D7519" w:rsidP="00E415EB">
            <w:pPr>
              <w:adjustRightInd w:val="0"/>
              <w:snapToGrid w:val="0"/>
              <w:spacing w:line="360" w:lineRule="auto"/>
              <w:ind w:firstLineChars="100" w:firstLine="241"/>
              <w:jc w:val="both"/>
              <w:rPr>
                <w:rFonts w:ascii="Book Antiqua" w:hAnsi="Book Antiqua"/>
                <w:b/>
                <w:i/>
                <w:iCs/>
              </w:rPr>
            </w:pPr>
            <w:r w:rsidRPr="000C58DA">
              <w:rPr>
                <w:rFonts w:ascii="Book Antiqua" w:hAnsi="Book Antiqua"/>
                <w:b/>
              </w:rPr>
              <w:t>DAA era</w:t>
            </w:r>
            <w:r w:rsidR="00E415EB" w:rsidRPr="000C58DA">
              <w:rPr>
                <w:rFonts w:ascii="Book Antiqua" w:hAnsi="Book Antiqua"/>
                <w:b/>
              </w:rPr>
              <w:t xml:space="preserve">, </w:t>
            </w:r>
            <w:r w:rsidRPr="000C58DA">
              <w:rPr>
                <w:rFonts w:ascii="Book Antiqua" w:hAnsi="Book Antiqua"/>
                <w:b/>
                <w:i/>
                <w:iCs/>
              </w:rPr>
              <w:t>n</w:t>
            </w:r>
            <w:r w:rsidRPr="000C58DA">
              <w:rPr>
                <w:rFonts w:ascii="Book Antiqua" w:hAnsi="Book Antiqua"/>
                <w:b/>
              </w:rPr>
              <w:t xml:space="preserve"> = 111</w:t>
            </w:r>
          </w:p>
        </w:tc>
        <w:tc>
          <w:tcPr>
            <w:tcW w:w="1134" w:type="dxa"/>
            <w:vMerge/>
            <w:tcBorders>
              <w:top w:val="nil"/>
              <w:bottom w:val="single" w:sz="4" w:space="0" w:color="auto"/>
            </w:tcBorders>
          </w:tcPr>
          <w:p w14:paraId="209BD71F" w14:textId="77777777" w:rsidR="007D7519" w:rsidRPr="000C58DA" w:rsidRDefault="007D7519" w:rsidP="00206D9E">
            <w:pPr>
              <w:adjustRightInd w:val="0"/>
              <w:snapToGrid w:val="0"/>
              <w:spacing w:line="360" w:lineRule="auto"/>
              <w:jc w:val="both"/>
              <w:rPr>
                <w:rFonts w:ascii="Book Antiqua" w:hAnsi="Book Antiqua"/>
                <w:b/>
              </w:rPr>
            </w:pPr>
          </w:p>
        </w:tc>
      </w:tr>
      <w:tr w:rsidR="00040C32" w:rsidRPr="000C58DA" w14:paraId="6462FD68" w14:textId="77777777" w:rsidTr="007D7519">
        <w:trPr>
          <w:trHeight w:val="727"/>
        </w:trPr>
        <w:tc>
          <w:tcPr>
            <w:tcW w:w="3261" w:type="dxa"/>
            <w:tcBorders>
              <w:top w:val="single" w:sz="4" w:space="0" w:color="auto"/>
              <w:bottom w:val="nil"/>
            </w:tcBorders>
          </w:tcPr>
          <w:p w14:paraId="5C16B95F" w14:textId="77777777" w:rsidR="00040C32" w:rsidRPr="000C58DA" w:rsidRDefault="00040C32" w:rsidP="00206D9E">
            <w:pPr>
              <w:adjustRightInd w:val="0"/>
              <w:snapToGrid w:val="0"/>
              <w:spacing w:line="360" w:lineRule="auto"/>
              <w:jc w:val="both"/>
              <w:rPr>
                <w:rFonts w:ascii="Book Antiqua" w:eastAsia="宋体" w:hAnsi="Book Antiqua"/>
                <w:lang w:eastAsia="zh-CN"/>
              </w:rPr>
            </w:pPr>
            <w:r w:rsidRPr="000C58DA">
              <w:rPr>
                <w:rFonts w:ascii="Book Antiqua" w:hAnsi="Book Antiqua"/>
              </w:rPr>
              <w:t xml:space="preserve">Antibody detected, </w:t>
            </w:r>
            <w:r w:rsidRPr="000C58DA">
              <w:rPr>
                <w:rFonts w:ascii="Book Antiqua" w:hAnsi="Book Antiqua"/>
                <w:i/>
              </w:rPr>
              <w:t>n</w:t>
            </w:r>
            <w:r w:rsidRPr="000C58DA">
              <w:rPr>
                <w:rFonts w:ascii="Book Antiqua" w:hAnsi="Book Antiqua"/>
              </w:rPr>
              <w:t xml:space="preserve"> (%)</w:t>
            </w:r>
            <w:r w:rsidRPr="000C58DA">
              <w:rPr>
                <w:rFonts w:ascii="Book Antiqua" w:eastAsia="宋体" w:hAnsi="Book Antiqua"/>
                <w:vertAlign w:val="superscript"/>
                <w:lang w:eastAsia="zh-CN"/>
              </w:rPr>
              <w:t>1</w:t>
            </w:r>
          </w:p>
        </w:tc>
        <w:tc>
          <w:tcPr>
            <w:tcW w:w="1701" w:type="dxa"/>
            <w:tcBorders>
              <w:top w:val="single" w:sz="4" w:space="0" w:color="auto"/>
              <w:bottom w:val="nil"/>
            </w:tcBorders>
          </w:tcPr>
          <w:p w14:paraId="6ED24EDF"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277 (96.5)</w:t>
            </w:r>
          </w:p>
        </w:tc>
        <w:tc>
          <w:tcPr>
            <w:tcW w:w="1842" w:type="dxa"/>
            <w:tcBorders>
              <w:top w:val="single" w:sz="4" w:space="0" w:color="auto"/>
              <w:bottom w:val="nil"/>
            </w:tcBorders>
          </w:tcPr>
          <w:p w14:paraId="1528A74B"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167 (94.9)</w:t>
            </w:r>
          </w:p>
        </w:tc>
        <w:tc>
          <w:tcPr>
            <w:tcW w:w="1701" w:type="dxa"/>
            <w:tcBorders>
              <w:top w:val="single" w:sz="4" w:space="0" w:color="auto"/>
              <w:bottom w:val="nil"/>
            </w:tcBorders>
          </w:tcPr>
          <w:p w14:paraId="53A69979"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110 (99.1)</w:t>
            </w:r>
          </w:p>
        </w:tc>
        <w:tc>
          <w:tcPr>
            <w:tcW w:w="1134" w:type="dxa"/>
            <w:tcBorders>
              <w:top w:val="single" w:sz="4" w:space="0" w:color="auto"/>
              <w:bottom w:val="nil"/>
            </w:tcBorders>
          </w:tcPr>
          <w:p w14:paraId="395A9DC2"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0.09</w:t>
            </w:r>
          </w:p>
        </w:tc>
      </w:tr>
      <w:tr w:rsidR="00040C32" w:rsidRPr="000C58DA" w14:paraId="4CA7BDB5" w14:textId="77777777" w:rsidTr="00653480">
        <w:trPr>
          <w:trHeight w:val="363"/>
        </w:trPr>
        <w:tc>
          <w:tcPr>
            <w:tcW w:w="3261" w:type="dxa"/>
            <w:tcBorders>
              <w:top w:val="nil"/>
            </w:tcBorders>
          </w:tcPr>
          <w:p w14:paraId="44A06821"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 xml:space="preserve">HCV RNA tested, </w:t>
            </w:r>
            <w:r w:rsidRPr="000C58DA">
              <w:rPr>
                <w:rFonts w:ascii="Book Antiqua" w:hAnsi="Book Antiqua"/>
                <w:i/>
              </w:rPr>
              <w:t>n</w:t>
            </w:r>
            <w:r w:rsidRPr="000C58DA">
              <w:rPr>
                <w:rFonts w:ascii="Book Antiqua" w:hAnsi="Book Antiqua"/>
              </w:rPr>
              <w:t xml:space="preserve"> (%)</w:t>
            </w:r>
            <w:r w:rsidRPr="000C58DA">
              <w:rPr>
                <w:rFonts w:ascii="Book Antiqua" w:eastAsia="宋体" w:hAnsi="Book Antiqua"/>
                <w:vertAlign w:val="superscript"/>
                <w:lang w:eastAsia="zh-CN"/>
              </w:rPr>
              <w:t>1</w:t>
            </w:r>
          </w:p>
        </w:tc>
        <w:tc>
          <w:tcPr>
            <w:tcW w:w="1701" w:type="dxa"/>
            <w:tcBorders>
              <w:top w:val="nil"/>
            </w:tcBorders>
          </w:tcPr>
          <w:p w14:paraId="58C7A2A9"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270 (97.5)</w:t>
            </w:r>
          </w:p>
        </w:tc>
        <w:tc>
          <w:tcPr>
            <w:tcW w:w="1842" w:type="dxa"/>
            <w:tcBorders>
              <w:top w:val="nil"/>
            </w:tcBorders>
          </w:tcPr>
          <w:p w14:paraId="7DB82414"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162 (97.0)</w:t>
            </w:r>
          </w:p>
        </w:tc>
        <w:tc>
          <w:tcPr>
            <w:tcW w:w="1701" w:type="dxa"/>
            <w:tcBorders>
              <w:top w:val="nil"/>
            </w:tcBorders>
          </w:tcPr>
          <w:p w14:paraId="1C4D08AE"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108 (98.2)</w:t>
            </w:r>
          </w:p>
        </w:tc>
        <w:tc>
          <w:tcPr>
            <w:tcW w:w="1134" w:type="dxa"/>
            <w:tcBorders>
              <w:top w:val="nil"/>
            </w:tcBorders>
          </w:tcPr>
          <w:p w14:paraId="5252C6F6"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0.08</w:t>
            </w:r>
          </w:p>
        </w:tc>
      </w:tr>
      <w:tr w:rsidR="00040C32" w:rsidRPr="000C58DA" w14:paraId="14BE16D3" w14:textId="77777777" w:rsidTr="00653480">
        <w:trPr>
          <w:trHeight w:val="727"/>
        </w:trPr>
        <w:tc>
          <w:tcPr>
            <w:tcW w:w="3261" w:type="dxa"/>
          </w:tcPr>
          <w:p w14:paraId="5A25A9A3"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 xml:space="preserve">HCV RNA positivity, </w:t>
            </w:r>
            <w:r w:rsidRPr="000C58DA">
              <w:rPr>
                <w:rFonts w:ascii="Book Antiqua" w:hAnsi="Book Antiqua"/>
                <w:i/>
              </w:rPr>
              <w:t>n</w:t>
            </w:r>
            <w:r w:rsidRPr="000C58DA">
              <w:rPr>
                <w:rFonts w:ascii="Book Antiqua" w:hAnsi="Book Antiqua"/>
              </w:rPr>
              <w:t xml:space="preserve"> (%)</w:t>
            </w:r>
            <w:r w:rsidRPr="000C58DA">
              <w:rPr>
                <w:rFonts w:ascii="Book Antiqua" w:eastAsia="宋体" w:hAnsi="Book Antiqua"/>
                <w:vertAlign w:val="superscript"/>
                <w:lang w:eastAsia="zh-CN"/>
              </w:rPr>
              <w:t>1</w:t>
            </w:r>
          </w:p>
        </w:tc>
        <w:tc>
          <w:tcPr>
            <w:tcW w:w="1701" w:type="dxa"/>
          </w:tcPr>
          <w:p w14:paraId="71E9A6BB"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251 (93.0)</w:t>
            </w:r>
          </w:p>
        </w:tc>
        <w:tc>
          <w:tcPr>
            <w:tcW w:w="1842" w:type="dxa"/>
          </w:tcPr>
          <w:p w14:paraId="2BAE4FF1"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152 (93.8)</w:t>
            </w:r>
          </w:p>
        </w:tc>
        <w:tc>
          <w:tcPr>
            <w:tcW w:w="1701" w:type="dxa"/>
          </w:tcPr>
          <w:p w14:paraId="593D9BB4"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99 (91.7)</w:t>
            </w:r>
          </w:p>
        </w:tc>
        <w:tc>
          <w:tcPr>
            <w:tcW w:w="1134" w:type="dxa"/>
          </w:tcPr>
          <w:p w14:paraId="2B8B2959"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0.48</w:t>
            </w:r>
          </w:p>
        </w:tc>
      </w:tr>
      <w:tr w:rsidR="00040C32" w:rsidRPr="000C58DA" w14:paraId="473B5CF1" w14:textId="77777777" w:rsidTr="00653480">
        <w:trPr>
          <w:trHeight w:val="727"/>
        </w:trPr>
        <w:tc>
          <w:tcPr>
            <w:tcW w:w="3261" w:type="dxa"/>
          </w:tcPr>
          <w:p w14:paraId="5B7E47CF"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 xml:space="preserve">Referred to treatment assessment, </w:t>
            </w:r>
            <w:r w:rsidRPr="000C58DA">
              <w:rPr>
                <w:rFonts w:ascii="Book Antiqua" w:hAnsi="Book Antiqua"/>
                <w:i/>
              </w:rPr>
              <w:t>n</w:t>
            </w:r>
            <w:r w:rsidRPr="000C58DA">
              <w:rPr>
                <w:rFonts w:ascii="Book Antiqua" w:hAnsi="Book Antiqua"/>
              </w:rPr>
              <w:t xml:space="preserve"> (%)</w:t>
            </w:r>
            <w:r w:rsidRPr="000C58DA">
              <w:rPr>
                <w:rFonts w:ascii="Book Antiqua" w:eastAsia="宋体" w:hAnsi="Book Antiqua"/>
                <w:vertAlign w:val="superscript"/>
                <w:lang w:eastAsia="zh-CN"/>
              </w:rPr>
              <w:t>1</w:t>
            </w:r>
          </w:p>
        </w:tc>
        <w:tc>
          <w:tcPr>
            <w:tcW w:w="1701" w:type="dxa"/>
          </w:tcPr>
          <w:p w14:paraId="1695C205"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226 (90.0)</w:t>
            </w:r>
          </w:p>
        </w:tc>
        <w:tc>
          <w:tcPr>
            <w:tcW w:w="1842" w:type="dxa"/>
          </w:tcPr>
          <w:p w14:paraId="0A40E9ED"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134 (88.2)</w:t>
            </w:r>
          </w:p>
        </w:tc>
        <w:tc>
          <w:tcPr>
            <w:tcW w:w="1701" w:type="dxa"/>
          </w:tcPr>
          <w:p w14:paraId="775ACDBC"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92 (92.9)</w:t>
            </w:r>
          </w:p>
        </w:tc>
        <w:tc>
          <w:tcPr>
            <w:tcW w:w="1134" w:type="dxa"/>
          </w:tcPr>
          <w:p w14:paraId="71939EAE"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0.17</w:t>
            </w:r>
          </w:p>
        </w:tc>
      </w:tr>
      <w:tr w:rsidR="00040C32" w:rsidRPr="000C58DA" w14:paraId="14F30BD0" w14:textId="77777777" w:rsidTr="00653480">
        <w:trPr>
          <w:trHeight w:val="727"/>
        </w:trPr>
        <w:tc>
          <w:tcPr>
            <w:tcW w:w="3261" w:type="dxa"/>
          </w:tcPr>
          <w:p w14:paraId="4B695A66"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 xml:space="preserve">Treatment initiated, </w:t>
            </w:r>
            <w:r w:rsidRPr="000C58DA">
              <w:rPr>
                <w:rFonts w:ascii="Book Antiqua" w:hAnsi="Book Antiqua"/>
                <w:i/>
              </w:rPr>
              <w:t>n</w:t>
            </w:r>
            <w:r w:rsidRPr="000C58DA">
              <w:rPr>
                <w:rFonts w:ascii="Book Antiqua" w:hAnsi="Book Antiqua"/>
              </w:rPr>
              <w:t xml:space="preserve"> (%)</w:t>
            </w:r>
            <w:r w:rsidRPr="000C58DA">
              <w:rPr>
                <w:rFonts w:ascii="Book Antiqua" w:eastAsia="宋体" w:hAnsi="Book Antiqua"/>
                <w:vertAlign w:val="superscript"/>
                <w:lang w:eastAsia="zh-CN"/>
              </w:rPr>
              <w:t>1</w:t>
            </w:r>
          </w:p>
        </w:tc>
        <w:tc>
          <w:tcPr>
            <w:tcW w:w="1701" w:type="dxa"/>
          </w:tcPr>
          <w:p w14:paraId="23BDD485"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215 (95.1)</w:t>
            </w:r>
          </w:p>
        </w:tc>
        <w:tc>
          <w:tcPr>
            <w:tcW w:w="1842" w:type="dxa"/>
          </w:tcPr>
          <w:p w14:paraId="448EC783"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131 (97.8)</w:t>
            </w:r>
          </w:p>
        </w:tc>
        <w:tc>
          <w:tcPr>
            <w:tcW w:w="1701" w:type="dxa"/>
          </w:tcPr>
          <w:p w14:paraId="3488B439"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84 (91.3)</w:t>
            </w:r>
          </w:p>
        </w:tc>
        <w:tc>
          <w:tcPr>
            <w:tcW w:w="1134" w:type="dxa"/>
          </w:tcPr>
          <w:p w14:paraId="7B76BB0E"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0.81</w:t>
            </w:r>
          </w:p>
        </w:tc>
      </w:tr>
      <w:tr w:rsidR="00040C32" w:rsidRPr="000C58DA" w14:paraId="1E58C48C" w14:textId="77777777" w:rsidTr="00653480">
        <w:trPr>
          <w:trHeight w:val="363"/>
        </w:trPr>
        <w:tc>
          <w:tcPr>
            <w:tcW w:w="3261" w:type="dxa"/>
          </w:tcPr>
          <w:p w14:paraId="4B18EAA0"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 xml:space="preserve">SVR achieved, </w:t>
            </w:r>
            <w:r w:rsidRPr="000C58DA">
              <w:rPr>
                <w:rFonts w:ascii="Book Antiqua" w:hAnsi="Book Antiqua"/>
                <w:i/>
              </w:rPr>
              <w:t>n</w:t>
            </w:r>
            <w:r w:rsidRPr="000C58DA">
              <w:rPr>
                <w:rFonts w:ascii="Book Antiqua" w:hAnsi="Book Antiqua"/>
              </w:rPr>
              <w:t xml:space="preserve"> (%)</w:t>
            </w:r>
            <w:r w:rsidRPr="000C58DA">
              <w:rPr>
                <w:rFonts w:ascii="Book Antiqua" w:eastAsia="宋体" w:hAnsi="Book Antiqua"/>
                <w:vertAlign w:val="superscript"/>
                <w:lang w:eastAsia="zh-CN"/>
              </w:rPr>
              <w:t>1</w:t>
            </w:r>
          </w:p>
        </w:tc>
        <w:tc>
          <w:tcPr>
            <w:tcW w:w="1701" w:type="dxa"/>
          </w:tcPr>
          <w:p w14:paraId="15EDE195"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202 (94)</w:t>
            </w:r>
          </w:p>
        </w:tc>
        <w:tc>
          <w:tcPr>
            <w:tcW w:w="1842" w:type="dxa"/>
          </w:tcPr>
          <w:p w14:paraId="61F3C25B"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120 (91.6)</w:t>
            </w:r>
          </w:p>
        </w:tc>
        <w:tc>
          <w:tcPr>
            <w:tcW w:w="1701" w:type="dxa"/>
          </w:tcPr>
          <w:p w14:paraId="5F7403DC"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82 (97.6)</w:t>
            </w:r>
          </w:p>
        </w:tc>
        <w:tc>
          <w:tcPr>
            <w:tcW w:w="1134" w:type="dxa"/>
          </w:tcPr>
          <w:p w14:paraId="00C4F0DB"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0.19</w:t>
            </w:r>
          </w:p>
        </w:tc>
      </w:tr>
      <w:tr w:rsidR="00040C32" w:rsidRPr="000C58DA" w14:paraId="10C900D0" w14:textId="77777777" w:rsidTr="00653480">
        <w:trPr>
          <w:trHeight w:val="363"/>
        </w:trPr>
        <w:tc>
          <w:tcPr>
            <w:tcW w:w="9639" w:type="dxa"/>
            <w:gridSpan w:val="5"/>
            <w:shd w:val="clear" w:color="auto" w:fill="auto"/>
          </w:tcPr>
          <w:p w14:paraId="4E78F12C"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Interval between each step, median days (IQR)</w:t>
            </w:r>
          </w:p>
        </w:tc>
      </w:tr>
      <w:tr w:rsidR="00040C32" w:rsidRPr="000C58DA" w14:paraId="3F93FD5D" w14:textId="77777777" w:rsidTr="00653480">
        <w:trPr>
          <w:trHeight w:val="727"/>
        </w:trPr>
        <w:tc>
          <w:tcPr>
            <w:tcW w:w="3261" w:type="dxa"/>
            <w:shd w:val="clear" w:color="auto" w:fill="auto"/>
          </w:tcPr>
          <w:p w14:paraId="0A30E2DD"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Seroconversion to antibody detected</w:t>
            </w:r>
          </w:p>
        </w:tc>
        <w:tc>
          <w:tcPr>
            <w:tcW w:w="1701" w:type="dxa"/>
            <w:shd w:val="clear" w:color="auto" w:fill="auto"/>
            <w:vAlign w:val="center"/>
          </w:tcPr>
          <w:p w14:paraId="107BEDB6"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130 (80-295)</w:t>
            </w:r>
          </w:p>
        </w:tc>
        <w:tc>
          <w:tcPr>
            <w:tcW w:w="1842" w:type="dxa"/>
            <w:shd w:val="clear" w:color="auto" w:fill="auto"/>
            <w:vAlign w:val="center"/>
          </w:tcPr>
          <w:p w14:paraId="7D5B2625"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179 (87-434)</w:t>
            </w:r>
          </w:p>
        </w:tc>
        <w:tc>
          <w:tcPr>
            <w:tcW w:w="1701" w:type="dxa"/>
            <w:shd w:val="clear" w:color="auto" w:fill="auto"/>
            <w:vAlign w:val="center"/>
          </w:tcPr>
          <w:p w14:paraId="2CD36123"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92 (57-173)</w:t>
            </w:r>
          </w:p>
        </w:tc>
        <w:tc>
          <w:tcPr>
            <w:tcW w:w="1134" w:type="dxa"/>
            <w:shd w:val="clear" w:color="auto" w:fill="auto"/>
            <w:vAlign w:val="center"/>
          </w:tcPr>
          <w:p w14:paraId="444253C1"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&lt;</w:t>
            </w:r>
            <w:r w:rsidRPr="000C58DA">
              <w:rPr>
                <w:rFonts w:ascii="Book Antiqua" w:eastAsia="宋体" w:hAnsi="Book Antiqua"/>
                <w:lang w:eastAsia="zh-CN"/>
              </w:rPr>
              <w:t xml:space="preserve"> </w:t>
            </w:r>
            <w:r w:rsidRPr="000C58DA">
              <w:rPr>
                <w:rFonts w:ascii="Book Antiqua" w:hAnsi="Book Antiqua"/>
              </w:rPr>
              <w:t>0.001</w:t>
            </w:r>
          </w:p>
        </w:tc>
      </w:tr>
      <w:tr w:rsidR="00040C32" w:rsidRPr="000C58DA" w14:paraId="674FCDE6" w14:textId="77777777" w:rsidTr="00653480">
        <w:trPr>
          <w:trHeight w:val="727"/>
        </w:trPr>
        <w:tc>
          <w:tcPr>
            <w:tcW w:w="3261" w:type="dxa"/>
            <w:shd w:val="clear" w:color="auto" w:fill="auto"/>
          </w:tcPr>
          <w:p w14:paraId="2B6BA1FE"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Antibody detected to HCV RNA tested</w:t>
            </w:r>
          </w:p>
        </w:tc>
        <w:tc>
          <w:tcPr>
            <w:tcW w:w="1701" w:type="dxa"/>
            <w:shd w:val="clear" w:color="auto" w:fill="auto"/>
            <w:vAlign w:val="center"/>
          </w:tcPr>
          <w:p w14:paraId="5B325281"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19 (6-81)</w:t>
            </w:r>
          </w:p>
        </w:tc>
        <w:tc>
          <w:tcPr>
            <w:tcW w:w="1842" w:type="dxa"/>
            <w:shd w:val="clear" w:color="auto" w:fill="auto"/>
            <w:vAlign w:val="center"/>
          </w:tcPr>
          <w:p w14:paraId="349418C6"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21 (6-93)</w:t>
            </w:r>
          </w:p>
        </w:tc>
        <w:tc>
          <w:tcPr>
            <w:tcW w:w="1701" w:type="dxa"/>
            <w:shd w:val="clear" w:color="auto" w:fill="auto"/>
            <w:vAlign w:val="center"/>
          </w:tcPr>
          <w:p w14:paraId="30872BB6"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12 (6-68)</w:t>
            </w:r>
          </w:p>
        </w:tc>
        <w:tc>
          <w:tcPr>
            <w:tcW w:w="1134" w:type="dxa"/>
            <w:shd w:val="clear" w:color="auto" w:fill="auto"/>
            <w:vAlign w:val="center"/>
          </w:tcPr>
          <w:p w14:paraId="4CA4BF68"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0.19</w:t>
            </w:r>
          </w:p>
        </w:tc>
      </w:tr>
      <w:tr w:rsidR="00040C32" w:rsidRPr="000C58DA" w14:paraId="69216A35" w14:textId="77777777" w:rsidTr="00653480">
        <w:trPr>
          <w:trHeight w:val="727"/>
        </w:trPr>
        <w:tc>
          <w:tcPr>
            <w:tcW w:w="3261" w:type="dxa"/>
            <w:shd w:val="clear" w:color="auto" w:fill="auto"/>
          </w:tcPr>
          <w:p w14:paraId="7B9AD794"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HCV RNA tested to treatment assessment</w:t>
            </w:r>
          </w:p>
        </w:tc>
        <w:tc>
          <w:tcPr>
            <w:tcW w:w="1701" w:type="dxa"/>
            <w:shd w:val="clear" w:color="auto" w:fill="auto"/>
            <w:vAlign w:val="center"/>
          </w:tcPr>
          <w:p w14:paraId="7E4D3F99"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43 (11-181)</w:t>
            </w:r>
          </w:p>
        </w:tc>
        <w:tc>
          <w:tcPr>
            <w:tcW w:w="1842" w:type="dxa"/>
            <w:shd w:val="clear" w:color="auto" w:fill="auto"/>
            <w:vAlign w:val="center"/>
          </w:tcPr>
          <w:p w14:paraId="748DD414"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26 (7-208)</w:t>
            </w:r>
          </w:p>
        </w:tc>
        <w:tc>
          <w:tcPr>
            <w:tcW w:w="1701" w:type="dxa"/>
            <w:shd w:val="clear" w:color="auto" w:fill="auto"/>
            <w:vAlign w:val="center"/>
          </w:tcPr>
          <w:p w14:paraId="000DFB15"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81 (14-169)</w:t>
            </w:r>
          </w:p>
        </w:tc>
        <w:tc>
          <w:tcPr>
            <w:tcW w:w="1134" w:type="dxa"/>
            <w:shd w:val="clear" w:color="auto" w:fill="auto"/>
            <w:vAlign w:val="center"/>
          </w:tcPr>
          <w:p w14:paraId="3365F2D3"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0.25</w:t>
            </w:r>
          </w:p>
        </w:tc>
      </w:tr>
      <w:tr w:rsidR="00040C32" w:rsidRPr="000C58DA" w14:paraId="219EE76F" w14:textId="77777777" w:rsidTr="00653480">
        <w:trPr>
          <w:trHeight w:val="727"/>
        </w:trPr>
        <w:tc>
          <w:tcPr>
            <w:tcW w:w="3261" w:type="dxa"/>
            <w:shd w:val="clear" w:color="auto" w:fill="auto"/>
          </w:tcPr>
          <w:p w14:paraId="41F46DC3"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Treatment assessment to treatment initiation</w:t>
            </w:r>
          </w:p>
        </w:tc>
        <w:tc>
          <w:tcPr>
            <w:tcW w:w="1701" w:type="dxa"/>
            <w:shd w:val="clear" w:color="auto" w:fill="auto"/>
            <w:vAlign w:val="center"/>
          </w:tcPr>
          <w:p w14:paraId="5923AB01"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36 (21-90)</w:t>
            </w:r>
          </w:p>
        </w:tc>
        <w:tc>
          <w:tcPr>
            <w:tcW w:w="1842" w:type="dxa"/>
            <w:shd w:val="clear" w:color="auto" w:fill="auto"/>
            <w:vAlign w:val="center"/>
          </w:tcPr>
          <w:p w14:paraId="4864250C"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35 (27-90)</w:t>
            </w:r>
          </w:p>
        </w:tc>
        <w:tc>
          <w:tcPr>
            <w:tcW w:w="1701" w:type="dxa"/>
            <w:shd w:val="clear" w:color="auto" w:fill="auto"/>
            <w:vAlign w:val="center"/>
          </w:tcPr>
          <w:p w14:paraId="44EE157A"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42 (18-84)</w:t>
            </w:r>
          </w:p>
        </w:tc>
        <w:tc>
          <w:tcPr>
            <w:tcW w:w="1134" w:type="dxa"/>
            <w:shd w:val="clear" w:color="auto" w:fill="auto"/>
            <w:vAlign w:val="center"/>
          </w:tcPr>
          <w:p w14:paraId="7CBAB42C"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0.55</w:t>
            </w:r>
          </w:p>
        </w:tc>
      </w:tr>
      <w:tr w:rsidR="00040C32" w:rsidRPr="000C58DA" w14:paraId="498943F7" w14:textId="77777777" w:rsidTr="00653480">
        <w:trPr>
          <w:trHeight w:val="727"/>
        </w:trPr>
        <w:tc>
          <w:tcPr>
            <w:tcW w:w="3261" w:type="dxa"/>
            <w:shd w:val="clear" w:color="auto" w:fill="auto"/>
          </w:tcPr>
          <w:p w14:paraId="68215315" w14:textId="77777777" w:rsidR="00040C32" w:rsidRPr="000C58DA" w:rsidRDefault="00040C32" w:rsidP="00206D9E">
            <w:pPr>
              <w:adjustRightInd w:val="0"/>
              <w:snapToGrid w:val="0"/>
              <w:spacing w:line="360" w:lineRule="auto"/>
              <w:jc w:val="both"/>
              <w:rPr>
                <w:rFonts w:ascii="Book Antiqua" w:eastAsia="宋体" w:hAnsi="Book Antiqua"/>
                <w:lang w:eastAsia="zh-CN"/>
              </w:rPr>
            </w:pPr>
            <w:r w:rsidRPr="000C58DA">
              <w:rPr>
                <w:rFonts w:ascii="Book Antiqua" w:hAnsi="Book Antiqua"/>
              </w:rPr>
              <w:t>Duration of viremia</w:t>
            </w:r>
            <w:r w:rsidRPr="000C58DA">
              <w:rPr>
                <w:rFonts w:ascii="Book Antiqua" w:eastAsia="宋体" w:hAnsi="Book Antiqua"/>
                <w:color w:val="000000"/>
                <w:shd w:val="clear" w:color="auto" w:fill="FFFFFF"/>
                <w:vertAlign w:val="superscript"/>
                <w:lang w:eastAsia="zh-CN"/>
              </w:rPr>
              <w:t>2</w:t>
            </w:r>
          </w:p>
        </w:tc>
        <w:tc>
          <w:tcPr>
            <w:tcW w:w="1701" w:type="dxa"/>
            <w:shd w:val="clear" w:color="auto" w:fill="auto"/>
            <w:vAlign w:val="center"/>
          </w:tcPr>
          <w:p w14:paraId="617D2A96"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502 (325-945)</w:t>
            </w:r>
          </w:p>
        </w:tc>
        <w:tc>
          <w:tcPr>
            <w:tcW w:w="1842" w:type="dxa"/>
            <w:shd w:val="clear" w:color="auto" w:fill="auto"/>
            <w:vAlign w:val="center"/>
          </w:tcPr>
          <w:p w14:paraId="19D7B428"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735 (391-1447)</w:t>
            </w:r>
          </w:p>
        </w:tc>
        <w:tc>
          <w:tcPr>
            <w:tcW w:w="1701" w:type="dxa"/>
            <w:shd w:val="clear" w:color="auto" w:fill="auto"/>
            <w:vAlign w:val="center"/>
          </w:tcPr>
          <w:p w14:paraId="03271915"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380 (274-554)</w:t>
            </w:r>
          </w:p>
        </w:tc>
        <w:tc>
          <w:tcPr>
            <w:tcW w:w="1134" w:type="dxa"/>
            <w:shd w:val="clear" w:color="auto" w:fill="auto"/>
            <w:vAlign w:val="center"/>
          </w:tcPr>
          <w:p w14:paraId="0DF9F719"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&lt; 0.001</w:t>
            </w:r>
          </w:p>
        </w:tc>
      </w:tr>
      <w:tr w:rsidR="00040C32" w:rsidRPr="000C58DA" w14:paraId="5EF3299A" w14:textId="77777777" w:rsidTr="00653480">
        <w:trPr>
          <w:trHeight w:val="727"/>
        </w:trPr>
        <w:tc>
          <w:tcPr>
            <w:tcW w:w="3261" w:type="dxa"/>
            <w:shd w:val="clear" w:color="auto" w:fill="auto"/>
          </w:tcPr>
          <w:p w14:paraId="320128F5"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Events of STIs during HCV viremia</w:t>
            </w:r>
          </w:p>
        </w:tc>
        <w:tc>
          <w:tcPr>
            <w:tcW w:w="1701" w:type="dxa"/>
            <w:shd w:val="clear" w:color="auto" w:fill="auto"/>
            <w:vAlign w:val="center"/>
          </w:tcPr>
          <w:p w14:paraId="718D0AC1"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220</w:t>
            </w:r>
          </w:p>
        </w:tc>
        <w:tc>
          <w:tcPr>
            <w:tcW w:w="1842" w:type="dxa"/>
            <w:vAlign w:val="center"/>
          </w:tcPr>
          <w:p w14:paraId="4AE28074"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165</w:t>
            </w:r>
          </w:p>
        </w:tc>
        <w:tc>
          <w:tcPr>
            <w:tcW w:w="1701" w:type="dxa"/>
            <w:vAlign w:val="center"/>
          </w:tcPr>
          <w:p w14:paraId="6E66C32C"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55</w:t>
            </w:r>
          </w:p>
        </w:tc>
        <w:tc>
          <w:tcPr>
            <w:tcW w:w="1134" w:type="dxa"/>
            <w:vAlign w:val="center"/>
          </w:tcPr>
          <w:p w14:paraId="775A5170"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&lt;</w:t>
            </w:r>
            <w:r w:rsidRPr="000C58DA">
              <w:rPr>
                <w:rFonts w:ascii="Book Antiqua" w:eastAsia="宋体" w:hAnsi="Book Antiqua"/>
                <w:lang w:eastAsia="zh-CN"/>
              </w:rPr>
              <w:t xml:space="preserve"> </w:t>
            </w:r>
            <w:r w:rsidRPr="000C58DA">
              <w:rPr>
                <w:rFonts w:ascii="Book Antiqua" w:hAnsi="Book Antiqua"/>
              </w:rPr>
              <w:t>0.001</w:t>
            </w:r>
          </w:p>
        </w:tc>
      </w:tr>
      <w:tr w:rsidR="00040C32" w:rsidRPr="000C58DA" w14:paraId="0FDB3E15" w14:textId="77777777" w:rsidTr="00653480">
        <w:trPr>
          <w:trHeight w:val="1091"/>
        </w:trPr>
        <w:tc>
          <w:tcPr>
            <w:tcW w:w="3261" w:type="dxa"/>
            <w:shd w:val="clear" w:color="auto" w:fill="auto"/>
          </w:tcPr>
          <w:p w14:paraId="318FD2C9"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lastRenderedPageBreak/>
              <w:t xml:space="preserve">Incidence rate of STIs during HCV viremia, </w:t>
            </w:r>
          </w:p>
          <w:p w14:paraId="75963AB0"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(per 100-PYFU)</w:t>
            </w:r>
          </w:p>
        </w:tc>
        <w:tc>
          <w:tcPr>
            <w:tcW w:w="1701" w:type="dxa"/>
            <w:shd w:val="clear" w:color="auto" w:fill="auto"/>
            <w:vAlign w:val="center"/>
          </w:tcPr>
          <w:p w14:paraId="1F5671B1"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41.0</w:t>
            </w:r>
          </w:p>
        </w:tc>
        <w:tc>
          <w:tcPr>
            <w:tcW w:w="1842" w:type="dxa"/>
            <w:vAlign w:val="center"/>
          </w:tcPr>
          <w:p w14:paraId="5254619A"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38.5</w:t>
            </w:r>
          </w:p>
        </w:tc>
        <w:tc>
          <w:tcPr>
            <w:tcW w:w="1701" w:type="dxa"/>
            <w:vAlign w:val="center"/>
          </w:tcPr>
          <w:p w14:paraId="0A3123AB"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50.5</w:t>
            </w:r>
          </w:p>
        </w:tc>
        <w:tc>
          <w:tcPr>
            <w:tcW w:w="1134" w:type="dxa"/>
            <w:vAlign w:val="center"/>
          </w:tcPr>
          <w:p w14:paraId="1A321EFB" w14:textId="77777777" w:rsidR="00040C32" w:rsidRPr="000C58DA" w:rsidRDefault="00040C32" w:rsidP="00206D9E">
            <w:pPr>
              <w:adjustRightInd w:val="0"/>
              <w:snapToGrid w:val="0"/>
              <w:spacing w:line="360" w:lineRule="auto"/>
              <w:jc w:val="both"/>
              <w:rPr>
                <w:rFonts w:ascii="Book Antiqua" w:hAnsi="Book Antiqua"/>
              </w:rPr>
            </w:pPr>
            <w:r w:rsidRPr="000C58DA">
              <w:rPr>
                <w:rFonts w:ascii="Book Antiqua" w:hAnsi="Book Antiqua"/>
              </w:rPr>
              <w:t xml:space="preserve">0.09 </w:t>
            </w:r>
          </w:p>
        </w:tc>
      </w:tr>
    </w:tbl>
    <w:p w14:paraId="6BC75A75" w14:textId="77777777" w:rsidR="00C92DA4" w:rsidRPr="000C58DA" w:rsidRDefault="00040C32" w:rsidP="00206D9E">
      <w:pPr>
        <w:adjustRightInd w:val="0"/>
        <w:snapToGrid w:val="0"/>
        <w:spacing w:line="360" w:lineRule="auto"/>
        <w:jc w:val="both"/>
        <w:rPr>
          <w:rFonts w:ascii="Book Antiqua" w:eastAsia="宋体" w:hAnsi="Book Antiqua"/>
          <w:color w:val="000000"/>
          <w:shd w:val="clear" w:color="auto" w:fill="FFFFFF"/>
          <w:lang w:eastAsia="zh-CN"/>
        </w:rPr>
      </w:pPr>
      <w:r w:rsidRPr="000C58DA">
        <w:rPr>
          <w:rFonts w:ascii="Book Antiqua" w:eastAsia="宋体" w:hAnsi="Book Antiqua"/>
          <w:vertAlign w:val="superscript"/>
          <w:lang w:eastAsia="zh-CN"/>
        </w:rPr>
        <w:t>1</w:t>
      </w:r>
      <w:r w:rsidRPr="000C58DA">
        <w:rPr>
          <w:rFonts w:ascii="Book Antiqua" w:hAnsi="Book Antiqua"/>
        </w:rPr>
        <w:t>Percentage that moved from the previous step to current step of care cascade.</w:t>
      </w:r>
      <w:r w:rsidRPr="000C58DA">
        <w:rPr>
          <w:rFonts w:ascii="Book Antiqua" w:eastAsia="宋体" w:hAnsi="Book Antiqua"/>
          <w:color w:val="000000"/>
          <w:shd w:val="clear" w:color="auto" w:fill="FFFFFF"/>
          <w:lang w:eastAsia="zh-CN"/>
        </w:rPr>
        <w:t xml:space="preserve"> </w:t>
      </w:r>
    </w:p>
    <w:p w14:paraId="68E95643" w14:textId="4FA26DA3" w:rsidR="00A65891" w:rsidRDefault="00040C32" w:rsidP="00206D9E">
      <w:pPr>
        <w:adjustRightInd w:val="0"/>
        <w:snapToGrid w:val="0"/>
        <w:spacing w:line="360" w:lineRule="auto"/>
        <w:jc w:val="both"/>
        <w:rPr>
          <w:rFonts w:ascii="Book Antiqua" w:eastAsia="宋体" w:hAnsi="Book Antiqua"/>
          <w:lang w:eastAsia="zh-CN"/>
        </w:rPr>
      </w:pPr>
      <w:r w:rsidRPr="000C58DA">
        <w:rPr>
          <w:rFonts w:ascii="Book Antiqua" w:eastAsia="宋体" w:hAnsi="Book Antiqua"/>
          <w:color w:val="000000"/>
          <w:shd w:val="clear" w:color="auto" w:fill="FFFFFF"/>
          <w:vertAlign w:val="superscript"/>
          <w:lang w:eastAsia="zh-CN"/>
        </w:rPr>
        <w:t>2</w:t>
      </w:r>
      <w:r w:rsidRPr="000C58DA">
        <w:rPr>
          <w:rFonts w:ascii="Book Antiqua" w:hAnsi="Book Antiqua"/>
        </w:rPr>
        <w:t>From the time of seroconversion to end of treatment.</w:t>
      </w:r>
      <w:r w:rsidRPr="000C58DA">
        <w:rPr>
          <w:rFonts w:ascii="Book Antiqua" w:eastAsia="宋体" w:hAnsi="Book Antiqua"/>
          <w:lang w:eastAsia="zh-CN"/>
        </w:rPr>
        <w:t xml:space="preserve"> </w:t>
      </w:r>
      <w:r w:rsidRPr="000C58DA">
        <w:rPr>
          <w:rFonts w:ascii="Book Antiqua" w:hAnsi="Book Antiqua"/>
        </w:rPr>
        <w:t>DAA</w:t>
      </w:r>
      <w:r w:rsidRPr="000C58DA">
        <w:rPr>
          <w:rFonts w:ascii="Book Antiqua" w:eastAsia="宋体" w:hAnsi="Book Antiqua"/>
          <w:lang w:eastAsia="zh-CN"/>
        </w:rPr>
        <w:t>:</w:t>
      </w:r>
      <w:r w:rsidRPr="000C58DA">
        <w:rPr>
          <w:rFonts w:ascii="Book Antiqua" w:hAnsi="Book Antiqua"/>
        </w:rPr>
        <w:t xml:space="preserve"> Direct-acting antiviral; IFN</w:t>
      </w:r>
      <w:r w:rsidRPr="000C58DA">
        <w:rPr>
          <w:rFonts w:ascii="Book Antiqua" w:eastAsia="宋体" w:hAnsi="Book Antiqua"/>
          <w:lang w:eastAsia="zh-CN"/>
        </w:rPr>
        <w:t>:</w:t>
      </w:r>
      <w:r w:rsidRPr="000C58DA">
        <w:rPr>
          <w:rFonts w:ascii="Book Antiqua" w:hAnsi="Book Antiqua"/>
        </w:rPr>
        <w:t xml:space="preserve"> Interferon; IQR</w:t>
      </w:r>
      <w:r w:rsidRPr="000C58DA">
        <w:rPr>
          <w:rFonts w:ascii="Book Antiqua" w:eastAsia="宋体" w:hAnsi="Book Antiqua"/>
          <w:lang w:eastAsia="zh-CN"/>
        </w:rPr>
        <w:t>;</w:t>
      </w:r>
      <w:r w:rsidRPr="000C58DA">
        <w:rPr>
          <w:rFonts w:ascii="Book Antiqua" w:hAnsi="Book Antiqua"/>
        </w:rPr>
        <w:t xml:space="preserve"> Interquartile range; PYFU</w:t>
      </w:r>
      <w:r w:rsidRPr="000C58DA">
        <w:rPr>
          <w:rFonts w:ascii="Book Antiqua" w:eastAsia="宋体" w:hAnsi="Book Antiqua"/>
          <w:lang w:eastAsia="zh-CN"/>
        </w:rPr>
        <w:t>:</w:t>
      </w:r>
      <w:r w:rsidRPr="000C58DA">
        <w:rPr>
          <w:rFonts w:ascii="Book Antiqua" w:hAnsi="Book Antiqua"/>
        </w:rPr>
        <w:t xml:space="preserve"> Person-years of follow-up; STIs</w:t>
      </w:r>
      <w:r w:rsidRPr="000C58DA">
        <w:rPr>
          <w:rFonts w:ascii="Book Antiqua" w:eastAsia="宋体" w:hAnsi="Book Antiqua"/>
          <w:lang w:eastAsia="zh-CN"/>
        </w:rPr>
        <w:t>:</w:t>
      </w:r>
      <w:r w:rsidRPr="000C58DA">
        <w:rPr>
          <w:rFonts w:ascii="Book Antiqua" w:hAnsi="Book Antiqua"/>
        </w:rPr>
        <w:t xml:space="preserve"> Sexually transmitted infections; SVR</w:t>
      </w:r>
      <w:r w:rsidRPr="000C58DA">
        <w:rPr>
          <w:rFonts w:ascii="Book Antiqua" w:eastAsia="宋体" w:hAnsi="Book Antiqua"/>
          <w:lang w:eastAsia="zh-CN"/>
        </w:rPr>
        <w:t>:</w:t>
      </w:r>
      <w:r w:rsidRPr="000C58DA">
        <w:rPr>
          <w:rFonts w:ascii="Book Antiqua" w:hAnsi="Book Antiqua"/>
        </w:rPr>
        <w:t xml:space="preserve"> Sustained </w:t>
      </w:r>
      <w:proofErr w:type="spellStart"/>
      <w:r w:rsidRPr="000C58DA">
        <w:rPr>
          <w:rFonts w:ascii="Book Antiqua" w:hAnsi="Book Antiqua"/>
        </w:rPr>
        <w:t>virologic</w:t>
      </w:r>
      <w:proofErr w:type="spellEnd"/>
      <w:r w:rsidRPr="000C58DA">
        <w:rPr>
          <w:rFonts w:ascii="Book Antiqua" w:hAnsi="Book Antiqua"/>
        </w:rPr>
        <w:t xml:space="preserve"> response</w:t>
      </w:r>
      <w:r w:rsidRPr="000C58DA">
        <w:rPr>
          <w:rFonts w:ascii="Book Antiqua" w:eastAsia="宋体" w:hAnsi="Book Antiqua"/>
          <w:lang w:eastAsia="zh-CN"/>
        </w:rPr>
        <w:t>.</w:t>
      </w:r>
    </w:p>
    <w:p w14:paraId="2554F39D" w14:textId="77777777" w:rsidR="00A65891" w:rsidRDefault="00A65891">
      <w:pPr>
        <w:rPr>
          <w:rFonts w:ascii="Book Antiqua" w:eastAsia="宋体" w:hAnsi="Book Antiqua"/>
          <w:lang w:eastAsia="zh-CN"/>
        </w:rPr>
      </w:pPr>
      <w:r>
        <w:rPr>
          <w:rFonts w:ascii="Book Antiqua" w:eastAsia="宋体" w:hAnsi="Book Antiqua"/>
          <w:lang w:eastAsia="zh-CN"/>
        </w:rPr>
        <w:br w:type="page"/>
      </w:r>
    </w:p>
    <w:p w14:paraId="78B97DAF" w14:textId="77777777" w:rsidR="00A65891" w:rsidRDefault="00A65891" w:rsidP="00A65891">
      <w:pPr>
        <w:jc w:val="center"/>
        <w:rPr>
          <w:rFonts w:ascii="Book Antiqua" w:hAnsi="Book Antiqua"/>
        </w:rPr>
      </w:pPr>
    </w:p>
    <w:p w14:paraId="7F1790DD" w14:textId="77777777" w:rsidR="00A65891" w:rsidRDefault="00A65891" w:rsidP="00A65891">
      <w:pPr>
        <w:jc w:val="center"/>
        <w:rPr>
          <w:rFonts w:ascii="Book Antiqua" w:hAnsi="Book Antiqua"/>
        </w:rPr>
      </w:pPr>
    </w:p>
    <w:p w14:paraId="461D7CE0" w14:textId="77777777" w:rsidR="00A65891" w:rsidRDefault="00A65891" w:rsidP="00A65891">
      <w:pPr>
        <w:jc w:val="center"/>
        <w:rPr>
          <w:rFonts w:ascii="Book Antiqua" w:hAnsi="Book Antiqua"/>
        </w:rPr>
      </w:pPr>
    </w:p>
    <w:p w14:paraId="744C6A53" w14:textId="77777777" w:rsidR="00A65891" w:rsidRDefault="00A65891" w:rsidP="00A65891">
      <w:pPr>
        <w:jc w:val="center"/>
        <w:rPr>
          <w:rFonts w:ascii="Book Antiqua" w:hAnsi="Book Antiqua"/>
        </w:rPr>
      </w:pPr>
    </w:p>
    <w:p w14:paraId="3297E0E6" w14:textId="77777777" w:rsidR="00A65891" w:rsidRDefault="00A65891" w:rsidP="00A65891">
      <w:pPr>
        <w:jc w:val="center"/>
        <w:rPr>
          <w:rFonts w:ascii="Book Antiqua" w:hAnsi="Book Antiqua"/>
        </w:rPr>
      </w:pPr>
    </w:p>
    <w:p w14:paraId="079B9CDE" w14:textId="3E8CB069" w:rsidR="00A65891" w:rsidRDefault="00A65891" w:rsidP="00A65891">
      <w:pPr>
        <w:jc w:val="center"/>
        <w:rPr>
          <w:rFonts w:ascii="Book Antiqua" w:hAnsi="Book Antiqua"/>
        </w:rPr>
      </w:pPr>
      <w:r>
        <w:rPr>
          <w:rFonts w:ascii="Book Antiqua" w:hAnsi="Book Antiqua"/>
          <w:noProof/>
          <w:lang w:eastAsia="zh-CN"/>
        </w:rPr>
        <w:drawing>
          <wp:inline distT="0" distB="0" distL="0" distR="0" wp14:anchorId="30AB2784" wp14:editId="7045BDBB">
            <wp:extent cx="2497455" cy="1437005"/>
            <wp:effectExtent l="0" t="0" r="0" b="0"/>
            <wp:docPr id="6" name="图片 6"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77DDA4CC" w14:textId="77777777" w:rsidR="00A65891" w:rsidRDefault="00A65891" w:rsidP="00A65891">
      <w:pPr>
        <w:jc w:val="center"/>
        <w:rPr>
          <w:rFonts w:ascii="Book Antiqua" w:hAnsi="Book Antiqua"/>
        </w:rPr>
      </w:pPr>
    </w:p>
    <w:p w14:paraId="0D081023" w14:textId="77777777" w:rsidR="00A65891" w:rsidRDefault="00A65891" w:rsidP="00A6589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95FC318" w14:textId="77777777" w:rsidR="00A65891" w:rsidRDefault="00A65891" w:rsidP="00A6589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9CC21EC" w14:textId="77777777" w:rsidR="00A65891" w:rsidRDefault="00A65891" w:rsidP="00A6589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73E2908" w14:textId="77777777" w:rsidR="00A65891" w:rsidRDefault="00A65891" w:rsidP="00A6589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6B910FD" w14:textId="77777777" w:rsidR="00A65891" w:rsidRDefault="00A65891" w:rsidP="00A6589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CDA822" w14:textId="77777777" w:rsidR="00A65891" w:rsidRDefault="00A65891" w:rsidP="00A6589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0B7DB3F" w14:textId="77777777" w:rsidR="00A65891" w:rsidRDefault="00A65891" w:rsidP="00A65891">
      <w:pPr>
        <w:jc w:val="center"/>
        <w:rPr>
          <w:rFonts w:ascii="Book Antiqua" w:hAnsi="Book Antiqua"/>
        </w:rPr>
      </w:pPr>
    </w:p>
    <w:p w14:paraId="1862D0E3" w14:textId="77777777" w:rsidR="00A65891" w:rsidRDefault="00A65891" w:rsidP="00A65891">
      <w:pPr>
        <w:jc w:val="center"/>
        <w:rPr>
          <w:rFonts w:ascii="Book Antiqua" w:hAnsi="Book Antiqua"/>
        </w:rPr>
      </w:pPr>
    </w:p>
    <w:p w14:paraId="21F45581" w14:textId="77777777" w:rsidR="00A65891" w:rsidRDefault="00A65891" w:rsidP="00A65891">
      <w:pPr>
        <w:jc w:val="center"/>
        <w:rPr>
          <w:rFonts w:ascii="Book Antiqua" w:hAnsi="Book Antiqua"/>
        </w:rPr>
      </w:pPr>
    </w:p>
    <w:p w14:paraId="358102D1" w14:textId="24D968C2" w:rsidR="00A65891" w:rsidRDefault="00A65891" w:rsidP="00A65891">
      <w:pPr>
        <w:jc w:val="center"/>
        <w:rPr>
          <w:rFonts w:ascii="Book Antiqua" w:hAnsi="Book Antiqua"/>
        </w:rPr>
      </w:pPr>
      <w:r>
        <w:rPr>
          <w:rFonts w:ascii="Book Antiqua" w:hAnsi="Book Antiqua"/>
          <w:noProof/>
          <w:lang w:eastAsia="zh-CN"/>
        </w:rPr>
        <w:drawing>
          <wp:inline distT="0" distB="0" distL="0" distR="0" wp14:anchorId="3117CA52" wp14:editId="4BA8C6A4">
            <wp:extent cx="1444625" cy="1437005"/>
            <wp:effectExtent l="0" t="0" r="3175" b="0"/>
            <wp:docPr id="5" name="图片 5"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3155D44F" w14:textId="77777777" w:rsidR="00A65891" w:rsidRDefault="00A65891" w:rsidP="00A65891">
      <w:pPr>
        <w:jc w:val="center"/>
        <w:rPr>
          <w:rFonts w:ascii="Book Antiqua" w:hAnsi="Book Antiqua"/>
        </w:rPr>
      </w:pPr>
    </w:p>
    <w:p w14:paraId="44BEA002" w14:textId="77777777" w:rsidR="00A65891" w:rsidRDefault="00A65891" w:rsidP="00A65891">
      <w:pPr>
        <w:jc w:val="center"/>
        <w:rPr>
          <w:rFonts w:ascii="Book Antiqua" w:hAnsi="Book Antiqua"/>
        </w:rPr>
      </w:pPr>
    </w:p>
    <w:p w14:paraId="600D473D" w14:textId="77777777" w:rsidR="00A65891" w:rsidRDefault="00A65891" w:rsidP="00A65891">
      <w:pPr>
        <w:jc w:val="center"/>
        <w:rPr>
          <w:rFonts w:ascii="Book Antiqua" w:hAnsi="Book Antiqua"/>
        </w:rPr>
      </w:pPr>
    </w:p>
    <w:p w14:paraId="7872D92E" w14:textId="77777777" w:rsidR="00A65891" w:rsidRDefault="00A65891" w:rsidP="00A65891">
      <w:pPr>
        <w:jc w:val="center"/>
        <w:rPr>
          <w:rFonts w:ascii="Book Antiqua" w:hAnsi="Book Antiqua"/>
        </w:rPr>
      </w:pPr>
    </w:p>
    <w:p w14:paraId="6902BABC" w14:textId="77777777" w:rsidR="00A65891" w:rsidRDefault="00A65891" w:rsidP="00A65891">
      <w:pPr>
        <w:jc w:val="center"/>
        <w:rPr>
          <w:rFonts w:ascii="Book Antiqua" w:hAnsi="Book Antiqua"/>
        </w:rPr>
      </w:pPr>
    </w:p>
    <w:p w14:paraId="28C2B642" w14:textId="77777777" w:rsidR="00A65891" w:rsidRDefault="00A65891" w:rsidP="00A65891">
      <w:pPr>
        <w:jc w:val="center"/>
        <w:rPr>
          <w:rFonts w:ascii="Book Antiqua" w:hAnsi="Book Antiqua"/>
        </w:rPr>
      </w:pPr>
    </w:p>
    <w:p w14:paraId="50D6D466" w14:textId="77777777" w:rsidR="00A65891" w:rsidRDefault="00A65891" w:rsidP="00A65891">
      <w:pPr>
        <w:jc w:val="center"/>
        <w:rPr>
          <w:rFonts w:ascii="Book Antiqua" w:hAnsi="Book Antiqua"/>
        </w:rPr>
      </w:pPr>
    </w:p>
    <w:p w14:paraId="5C9F1F66" w14:textId="77777777" w:rsidR="00A65891" w:rsidRDefault="00A65891" w:rsidP="00A65891">
      <w:pPr>
        <w:jc w:val="center"/>
        <w:rPr>
          <w:rFonts w:ascii="Book Antiqua" w:hAnsi="Book Antiqua"/>
        </w:rPr>
      </w:pPr>
    </w:p>
    <w:p w14:paraId="5F847DCB" w14:textId="77777777" w:rsidR="00A65891" w:rsidRDefault="00A65891" w:rsidP="00A65891">
      <w:pPr>
        <w:jc w:val="center"/>
        <w:rPr>
          <w:rFonts w:ascii="Book Antiqua" w:hAnsi="Book Antiqua"/>
        </w:rPr>
      </w:pPr>
    </w:p>
    <w:p w14:paraId="78DACA9B" w14:textId="77777777" w:rsidR="00A65891" w:rsidRDefault="00A65891" w:rsidP="00A65891">
      <w:pPr>
        <w:jc w:val="right"/>
        <w:rPr>
          <w:rFonts w:ascii="Book Antiqua" w:hAnsi="Book Antiqua"/>
          <w:color w:val="000000" w:themeColor="text1"/>
        </w:rPr>
      </w:pPr>
    </w:p>
    <w:p w14:paraId="7C9B91CB" w14:textId="77777777" w:rsidR="00A65891" w:rsidRDefault="00A65891" w:rsidP="00A6589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A9F2FBD" w14:textId="77777777" w:rsidR="00040C32" w:rsidRPr="00A65891" w:rsidRDefault="00040C32" w:rsidP="00206D9E">
      <w:pPr>
        <w:adjustRightInd w:val="0"/>
        <w:snapToGrid w:val="0"/>
        <w:spacing w:line="360" w:lineRule="auto"/>
        <w:jc w:val="both"/>
        <w:rPr>
          <w:rFonts w:ascii="Book Antiqua" w:eastAsia="宋体" w:hAnsi="Book Antiqua"/>
          <w:color w:val="000000"/>
          <w:shd w:val="clear" w:color="auto" w:fill="FFFFFF"/>
          <w:lang w:eastAsia="zh-CN"/>
        </w:rPr>
      </w:pPr>
    </w:p>
    <w:sectPr w:rsidR="00040C32" w:rsidRPr="00A65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F8403" w14:textId="77777777" w:rsidR="00425DD7" w:rsidRDefault="00425DD7" w:rsidP="00040C32">
      <w:r>
        <w:separator/>
      </w:r>
    </w:p>
  </w:endnote>
  <w:endnote w:type="continuationSeparator" w:id="0">
    <w:p w14:paraId="7D14E489" w14:textId="77777777" w:rsidR="00425DD7" w:rsidRDefault="00425DD7" w:rsidP="0004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77994"/>
      <w:docPartObj>
        <w:docPartGallery w:val="Page Numbers (Bottom of Page)"/>
        <w:docPartUnique/>
      </w:docPartObj>
    </w:sdtPr>
    <w:sdtEndPr/>
    <w:sdtContent>
      <w:sdt>
        <w:sdtPr>
          <w:id w:val="98381352"/>
          <w:docPartObj>
            <w:docPartGallery w:val="Page Numbers (Top of Page)"/>
            <w:docPartUnique/>
          </w:docPartObj>
        </w:sdtPr>
        <w:sdtEndPr/>
        <w:sdtContent>
          <w:p w14:paraId="3DF4D1E2" w14:textId="77777777" w:rsidR="00040C32" w:rsidRDefault="00040C32" w:rsidP="00040C32">
            <w:pPr>
              <w:pStyle w:val="a6"/>
              <w:jc w:val="right"/>
            </w:pPr>
            <w:r w:rsidRPr="00040C32">
              <w:rPr>
                <w:rFonts w:ascii="Book Antiqua" w:hAnsi="Book Antiqua"/>
                <w:sz w:val="24"/>
                <w:szCs w:val="24"/>
                <w:lang w:val="zh-CN" w:eastAsia="zh-CN"/>
              </w:rPr>
              <w:t xml:space="preserve"> </w:t>
            </w:r>
            <w:r w:rsidRPr="00040C32">
              <w:rPr>
                <w:rFonts w:ascii="Book Antiqua" w:hAnsi="Book Antiqua"/>
                <w:b/>
                <w:bCs/>
                <w:sz w:val="24"/>
                <w:szCs w:val="24"/>
              </w:rPr>
              <w:fldChar w:fldCharType="begin"/>
            </w:r>
            <w:r w:rsidRPr="00040C32">
              <w:rPr>
                <w:rFonts w:ascii="Book Antiqua" w:hAnsi="Book Antiqua"/>
                <w:b/>
                <w:bCs/>
                <w:sz w:val="24"/>
                <w:szCs w:val="24"/>
              </w:rPr>
              <w:instrText>PAGE</w:instrText>
            </w:r>
            <w:r w:rsidRPr="00040C32">
              <w:rPr>
                <w:rFonts w:ascii="Book Antiqua" w:hAnsi="Book Antiqua"/>
                <w:b/>
                <w:bCs/>
                <w:sz w:val="24"/>
                <w:szCs w:val="24"/>
              </w:rPr>
              <w:fldChar w:fldCharType="separate"/>
            </w:r>
            <w:r w:rsidR="0063563B">
              <w:rPr>
                <w:rFonts w:ascii="Book Antiqua" w:hAnsi="Book Antiqua"/>
                <w:b/>
                <w:bCs/>
                <w:noProof/>
                <w:sz w:val="24"/>
                <w:szCs w:val="24"/>
              </w:rPr>
              <w:t>4</w:t>
            </w:r>
            <w:r w:rsidRPr="00040C32">
              <w:rPr>
                <w:rFonts w:ascii="Book Antiqua" w:hAnsi="Book Antiqua"/>
                <w:b/>
                <w:bCs/>
                <w:sz w:val="24"/>
                <w:szCs w:val="24"/>
              </w:rPr>
              <w:fldChar w:fldCharType="end"/>
            </w:r>
            <w:r w:rsidRPr="00040C32">
              <w:rPr>
                <w:rFonts w:ascii="Book Antiqua" w:hAnsi="Book Antiqua"/>
                <w:sz w:val="24"/>
                <w:szCs w:val="24"/>
                <w:lang w:val="zh-CN" w:eastAsia="zh-CN"/>
              </w:rPr>
              <w:t xml:space="preserve"> / </w:t>
            </w:r>
            <w:r w:rsidRPr="00040C32">
              <w:rPr>
                <w:rFonts w:ascii="Book Antiqua" w:hAnsi="Book Antiqua"/>
                <w:b/>
                <w:bCs/>
                <w:sz w:val="24"/>
                <w:szCs w:val="24"/>
              </w:rPr>
              <w:fldChar w:fldCharType="begin"/>
            </w:r>
            <w:r w:rsidRPr="00040C32">
              <w:rPr>
                <w:rFonts w:ascii="Book Antiqua" w:hAnsi="Book Antiqua"/>
                <w:b/>
                <w:bCs/>
                <w:sz w:val="24"/>
                <w:szCs w:val="24"/>
              </w:rPr>
              <w:instrText>NUMPAGES</w:instrText>
            </w:r>
            <w:r w:rsidRPr="00040C32">
              <w:rPr>
                <w:rFonts w:ascii="Book Antiqua" w:hAnsi="Book Antiqua"/>
                <w:b/>
                <w:bCs/>
                <w:sz w:val="24"/>
                <w:szCs w:val="24"/>
              </w:rPr>
              <w:fldChar w:fldCharType="separate"/>
            </w:r>
            <w:r w:rsidR="0063563B">
              <w:rPr>
                <w:rFonts w:ascii="Book Antiqua" w:hAnsi="Book Antiqua"/>
                <w:b/>
                <w:bCs/>
                <w:noProof/>
                <w:sz w:val="24"/>
                <w:szCs w:val="24"/>
              </w:rPr>
              <w:t>34</w:t>
            </w:r>
            <w:r w:rsidRPr="00040C32">
              <w:rPr>
                <w:rFonts w:ascii="Book Antiqua" w:hAnsi="Book Antiqua"/>
                <w:b/>
                <w:bCs/>
                <w:sz w:val="24"/>
                <w:szCs w:val="24"/>
              </w:rPr>
              <w:fldChar w:fldCharType="end"/>
            </w:r>
          </w:p>
        </w:sdtContent>
      </w:sdt>
    </w:sdtContent>
  </w:sdt>
  <w:p w14:paraId="74249EF2" w14:textId="77777777" w:rsidR="00040C32" w:rsidRDefault="00040C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04B57" w14:textId="77777777" w:rsidR="00425DD7" w:rsidRDefault="00425DD7" w:rsidP="00040C32">
      <w:r>
        <w:separator/>
      </w:r>
    </w:p>
  </w:footnote>
  <w:footnote w:type="continuationSeparator" w:id="0">
    <w:p w14:paraId="5620CF1C" w14:textId="77777777" w:rsidR="00425DD7" w:rsidRDefault="00425DD7" w:rsidP="00040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2D6"/>
    <w:rsid w:val="0003676A"/>
    <w:rsid w:val="00040C32"/>
    <w:rsid w:val="000555FC"/>
    <w:rsid w:val="000C58DA"/>
    <w:rsid w:val="000E2E2E"/>
    <w:rsid w:val="00170192"/>
    <w:rsid w:val="00204FC7"/>
    <w:rsid w:val="00206D9E"/>
    <w:rsid w:val="00260D6C"/>
    <w:rsid w:val="00263D7B"/>
    <w:rsid w:val="002D367D"/>
    <w:rsid w:val="00307361"/>
    <w:rsid w:val="00347E84"/>
    <w:rsid w:val="00366478"/>
    <w:rsid w:val="003A3B08"/>
    <w:rsid w:val="003F70F6"/>
    <w:rsid w:val="00405950"/>
    <w:rsid w:val="00425DD7"/>
    <w:rsid w:val="00435D77"/>
    <w:rsid w:val="005218D4"/>
    <w:rsid w:val="005255CF"/>
    <w:rsid w:val="005736CB"/>
    <w:rsid w:val="005D1B82"/>
    <w:rsid w:val="0063563B"/>
    <w:rsid w:val="00652F11"/>
    <w:rsid w:val="00733712"/>
    <w:rsid w:val="00776CF1"/>
    <w:rsid w:val="007D65F7"/>
    <w:rsid w:val="007D7519"/>
    <w:rsid w:val="008256B5"/>
    <w:rsid w:val="008319C8"/>
    <w:rsid w:val="008A1C15"/>
    <w:rsid w:val="008E7AFF"/>
    <w:rsid w:val="009862E4"/>
    <w:rsid w:val="009B7C34"/>
    <w:rsid w:val="009C34D3"/>
    <w:rsid w:val="00A002F3"/>
    <w:rsid w:val="00A3725F"/>
    <w:rsid w:val="00A65891"/>
    <w:rsid w:val="00A77B3E"/>
    <w:rsid w:val="00A80DB3"/>
    <w:rsid w:val="00AA7CE3"/>
    <w:rsid w:val="00AB6A1D"/>
    <w:rsid w:val="00B478BE"/>
    <w:rsid w:val="00B83321"/>
    <w:rsid w:val="00BA50B8"/>
    <w:rsid w:val="00BC4B77"/>
    <w:rsid w:val="00C17A61"/>
    <w:rsid w:val="00C271C7"/>
    <w:rsid w:val="00C92DA4"/>
    <w:rsid w:val="00CA0B23"/>
    <w:rsid w:val="00CA2A55"/>
    <w:rsid w:val="00CC7A47"/>
    <w:rsid w:val="00D5003B"/>
    <w:rsid w:val="00D801B1"/>
    <w:rsid w:val="00E33916"/>
    <w:rsid w:val="00E415EB"/>
    <w:rsid w:val="00EE5AE7"/>
    <w:rsid w:val="00F52EC1"/>
    <w:rsid w:val="00F740E8"/>
    <w:rsid w:val="00FF1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5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A0B23"/>
    <w:rPr>
      <w:sz w:val="18"/>
      <w:szCs w:val="18"/>
    </w:rPr>
  </w:style>
  <w:style w:type="character" w:customStyle="1" w:styleId="Char">
    <w:name w:val="批注框文本 Char"/>
    <w:basedOn w:val="a0"/>
    <w:link w:val="a3"/>
    <w:rsid w:val="00CA0B23"/>
    <w:rPr>
      <w:sz w:val="18"/>
      <w:szCs w:val="18"/>
    </w:rPr>
  </w:style>
  <w:style w:type="table" w:styleId="a4">
    <w:name w:val="Table Grid"/>
    <w:basedOn w:val="a1"/>
    <w:uiPriority w:val="39"/>
    <w:rsid w:val="00040C32"/>
    <w:rPr>
      <w:rFonts w:asciiTheme="minorHAnsi" w:hAnsiTheme="minorHAnsi" w:cstheme="minorBid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040C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40C32"/>
    <w:rPr>
      <w:sz w:val="18"/>
      <w:szCs w:val="18"/>
    </w:rPr>
  </w:style>
  <w:style w:type="paragraph" w:styleId="a6">
    <w:name w:val="footer"/>
    <w:basedOn w:val="a"/>
    <w:link w:val="Char1"/>
    <w:uiPriority w:val="99"/>
    <w:rsid w:val="00040C32"/>
    <w:pPr>
      <w:tabs>
        <w:tab w:val="center" w:pos="4153"/>
        <w:tab w:val="right" w:pos="8306"/>
      </w:tabs>
      <w:snapToGrid w:val="0"/>
    </w:pPr>
    <w:rPr>
      <w:sz w:val="18"/>
      <w:szCs w:val="18"/>
    </w:rPr>
  </w:style>
  <w:style w:type="character" w:customStyle="1" w:styleId="Char1">
    <w:name w:val="页脚 Char"/>
    <w:basedOn w:val="a0"/>
    <w:link w:val="a6"/>
    <w:uiPriority w:val="99"/>
    <w:rsid w:val="00040C32"/>
    <w:rPr>
      <w:sz w:val="18"/>
      <w:szCs w:val="18"/>
    </w:rPr>
  </w:style>
  <w:style w:type="character" w:styleId="a7">
    <w:name w:val="Hyperlink"/>
    <w:basedOn w:val="a0"/>
    <w:unhideWhenUsed/>
    <w:rsid w:val="00A658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A0B23"/>
    <w:rPr>
      <w:sz w:val="18"/>
      <w:szCs w:val="18"/>
    </w:rPr>
  </w:style>
  <w:style w:type="character" w:customStyle="1" w:styleId="Char">
    <w:name w:val="批注框文本 Char"/>
    <w:basedOn w:val="a0"/>
    <w:link w:val="a3"/>
    <w:rsid w:val="00CA0B23"/>
    <w:rPr>
      <w:sz w:val="18"/>
      <w:szCs w:val="18"/>
    </w:rPr>
  </w:style>
  <w:style w:type="table" w:styleId="a4">
    <w:name w:val="Table Grid"/>
    <w:basedOn w:val="a1"/>
    <w:uiPriority w:val="39"/>
    <w:rsid w:val="00040C32"/>
    <w:rPr>
      <w:rFonts w:asciiTheme="minorHAnsi" w:hAnsiTheme="minorHAnsi" w:cstheme="minorBid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040C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40C32"/>
    <w:rPr>
      <w:sz w:val="18"/>
      <w:szCs w:val="18"/>
    </w:rPr>
  </w:style>
  <w:style w:type="paragraph" w:styleId="a6">
    <w:name w:val="footer"/>
    <w:basedOn w:val="a"/>
    <w:link w:val="Char1"/>
    <w:uiPriority w:val="99"/>
    <w:rsid w:val="00040C32"/>
    <w:pPr>
      <w:tabs>
        <w:tab w:val="center" w:pos="4153"/>
        <w:tab w:val="right" w:pos="8306"/>
      </w:tabs>
      <w:snapToGrid w:val="0"/>
    </w:pPr>
    <w:rPr>
      <w:sz w:val="18"/>
      <w:szCs w:val="18"/>
    </w:rPr>
  </w:style>
  <w:style w:type="character" w:customStyle="1" w:styleId="Char1">
    <w:name w:val="页脚 Char"/>
    <w:basedOn w:val="a0"/>
    <w:link w:val="a6"/>
    <w:uiPriority w:val="99"/>
    <w:rsid w:val="00040C32"/>
    <w:rPr>
      <w:sz w:val="18"/>
      <w:szCs w:val="18"/>
    </w:rPr>
  </w:style>
  <w:style w:type="character" w:styleId="a7">
    <w:name w:val="Hyperlink"/>
    <w:basedOn w:val="a0"/>
    <w:unhideWhenUsed/>
    <w:rsid w:val="00A65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5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7465</Words>
  <Characters>42552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ruirui Wu</dc:creator>
  <cp:lastModifiedBy>HP</cp:lastModifiedBy>
  <cp:revision>7</cp:revision>
  <dcterms:created xsi:type="dcterms:W3CDTF">2021-09-26T13:46:00Z</dcterms:created>
  <dcterms:modified xsi:type="dcterms:W3CDTF">2021-09-28T13:15:00Z</dcterms:modified>
</cp:coreProperties>
</file>