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67A2"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67799C7"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66798</w:t>
      </w:r>
    </w:p>
    <w:p w14:paraId="25533EA9"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597AB4C" w14:textId="77777777" w:rsidR="005D7EB8" w:rsidRDefault="005D7EB8">
      <w:pPr>
        <w:adjustRightInd w:val="0"/>
        <w:snapToGrid w:val="0"/>
        <w:spacing w:line="360" w:lineRule="auto"/>
        <w:jc w:val="both"/>
        <w:rPr>
          <w:rFonts w:ascii="Book Antiqua" w:hAnsi="Book Antiqua"/>
        </w:rPr>
      </w:pPr>
    </w:p>
    <w:p w14:paraId="2693242E"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Spontaneous resolution of gallbladder hematoma in blunt traumatic injury: A case report</w:t>
      </w:r>
    </w:p>
    <w:p w14:paraId="75DFBA92" w14:textId="77777777" w:rsidR="005D7EB8" w:rsidRDefault="005D7EB8">
      <w:pPr>
        <w:adjustRightInd w:val="0"/>
        <w:snapToGrid w:val="0"/>
        <w:spacing w:line="360" w:lineRule="auto"/>
        <w:jc w:val="both"/>
        <w:rPr>
          <w:rFonts w:ascii="Book Antiqua" w:hAnsi="Book Antiqua"/>
        </w:rPr>
      </w:pPr>
    </w:p>
    <w:p w14:paraId="23056648" w14:textId="77777777" w:rsidR="005D7EB8" w:rsidRDefault="004E0531">
      <w:pPr>
        <w:adjustRightInd w:val="0"/>
        <w:snapToGrid w:val="0"/>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Jang H </w:t>
      </w:r>
      <w:r>
        <w:rPr>
          <w:rFonts w:ascii="Book Antiqua" w:hAnsi="Book Antiqua" w:cs="Book Antiqua"/>
          <w:i/>
          <w:iCs/>
          <w:color w:val="000000"/>
          <w:lang w:eastAsia="zh-CN"/>
        </w:rPr>
        <w:t>et al</w:t>
      </w:r>
      <w:r>
        <w:rPr>
          <w:rFonts w:ascii="Book Antiqua" w:hAnsi="Book Antiqua" w:cs="Book Antiqua"/>
          <w:color w:val="000000"/>
          <w:lang w:eastAsia="zh-CN"/>
        </w:rPr>
        <w:t>.</w:t>
      </w:r>
      <w:bookmarkStart w:id="0" w:name="OLE_LINK1"/>
      <w:r>
        <w:rPr>
          <w:rFonts w:ascii="Book Antiqua" w:hAnsi="Book Antiqua" w:cs="Book Antiqua"/>
          <w:color w:val="000000"/>
          <w:lang w:eastAsia="zh-CN"/>
        </w:rPr>
        <w:t xml:space="preserve"> </w:t>
      </w:r>
      <w:r>
        <w:rPr>
          <w:rFonts w:ascii="Book Antiqua" w:eastAsia="Book Antiqua" w:hAnsi="Book Antiqua" w:cs="Book Antiqua"/>
          <w:color w:val="000000"/>
        </w:rPr>
        <w:t>Spontaneous resolution of gallbladder hematoma</w:t>
      </w:r>
      <w:bookmarkEnd w:id="0"/>
    </w:p>
    <w:p w14:paraId="213199B9" w14:textId="77777777" w:rsidR="005D7EB8" w:rsidRDefault="005D7EB8">
      <w:pPr>
        <w:adjustRightInd w:val="0"/>
        <w:snapToGrid w:val="0"/>
        <w:spacing w:line="360" w:lineRule="auto"/>
        <w:jc w:val="both"/>
        <w:rPr>
          <w:rFonts w:ascii="Book Antiqua" w:hAnsi="Book Antiqua"/>
        </w:rPr>
      </w:pPr>
    </w:p>
    <w:p w14:paraId="06E2FF37"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Hyunseok Jang, Chang-Hwan Park, Yunchul Park, Euisung Jeong, Naa Lee, Jungchul Kim, Younggoun Jo</w:t>
      </w:r>
    </w:p>
    <w:p w14:paraId="4D658C83" w14:textId="77777777" w:rsidR="005D7EB8" w:rsidRDefault="005D7EB8">
      <w:pPr>
        <w:adjustRightInd w:val="0"/>
        <w:snapToGrid w:val="0"/>
        <w:spacing w:line="360" w:lineRule="auto"/>
        <w:jc w:val="both"/>
        <w:rPr>
          <w:rFonts w:ascii="Book Antiqua" w:hAnsi="Book Antiqua"/>
        </w:rPr>
      </w:pPr>
    </w:p>
    <w:p w14:paraId="4BCC6BE2"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Hyunseok Jang, Yunchul Park, Euisung Jeong, Naa Lee, Jungchul Kim, Younggoun Jo, </w:t>
      </w:r>
      <w:r>
        <w:rPr>
          <w:rFonts w:ascii="Book Antiqua" w:eastAsia="Book Antiqua" w:hAnsi="Book Antiqua" w:cs="Book Antiqua"/>
          <w:color w:val="000000"/>
        </w:rPr>
        <w:t>Division of Trauma, Department of Surgery, Chonnam National University Medical School and Hospital, Dong-gu 61469, Gwangju, South Korea</w:t>
      </w:r>
    </w:p>
    <w:p w14:paraId="7C53A553" w14:textId="77777777" w:rsidR="005D7EB8" w:rsidRDefault="005D7EB8">
      <w:pPr>
        <w:adjustRightInd w:val="0"/>
        <w:snapToGrid w:val="0"/>
        <w:spacing w:line="360" w:lineRule="auto"/>
        <w:jc w:val="both"/>
        <w:rPr>
          <w:rFonts w:ascii="Book Antiqua" w:hAnsi="Book Antiqua"/>
        </w:rPr>
      </w:pPr>
    </w:p>
    <w:p w14:paraId="2FFA5465"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Chang-Hwan Park, </w:t>
      </w:r>
      <w:r>
        <w:rPr>
          <w:rFonts w:ascii="Book Antiqua" w:eastAsia="Book Antiqua" w:hAnsi="Book Antiqua" w:cs="Book Antiqua"/>
          <w:color w:val="000000"/>
        </w:rPr>
        <w:t>Department of Internal Medicine, Chonnam National University Medical School and Hospital, Dong-gu 61469, Gwangju, South Korea</w:t>
      </w:r>
    </w:p>
    <w:p w14:paraId="31846841" w14:textId="77777777" w:rsidR="005D7EB8" w:rsidRDefault="005D7EB8">
      <w:pPr>
        <w:adjustRightInd w:val="0"/>
        <w:snapToGrid w:val="0"/>
        <w:spacing w:line="360" w:lineRule="auto"/>
        <w:jc w:val="both"/>
        <w:rPr>
          <w:rFonts w:ascii="Book Antiqua" w:hAnsi="Book Antiqua"/>
        </w:rPr>
      </w:pPr>
    </w:p>
    <w:p w14:paraId="3FA05CFB" w14:textId="39CBB2FB"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Jang H and Jo Y wrote the manuscript and Jeong E </w:t>
      </w:r>
      <w:r w:rsidR="00D163DA">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the figures; Park CH and Park Y were the patient’s physicians; Lee N contributed to the discussion and interpretation of this manuscript; Kim J made the critical revision; all authors have read and approved the </w:t>
      </w:r>
      <w:r w:rsidR="00D163DA">
        <w:rPr>
          <w:rFonts w:ascii="Book Antiqua" w:eastAsia="Book Antiqua" w:hAnsi="Book Antiqua" w:cs="Book Antiqua"/>
          <w:color w:val="000000"/>
        </w:rPr>
        <w:t xml:space="preserve">final version of the </w:t>
      </w:r>
      <w:r>
        <w:rPr>
          <w:rFonts w:ascii="Book Antiqua" w:eastAsia="Book Antiqua" w:hAnsi="Book Antiqua" w:cs="Book Antiqua"/>
          <w:color w:val="000000"/>
        </w:rPr>
        <w:t>manuscript.</w:t>
      </w:r>
    </w:p>
    <w:p w14:paraId="061BDB16" w14:textId="77777777" w:rsidR="005D7EB8" w:rsidRDefault="005D7EB8">
      <w:pPr>
        <w:adjustRightInd w:val="0"/>
        <w:snapToGrid w:val="0"/>
        <w:spacing w:line="360" w:lineRule="auto"/>
        <w:jc w:val="both"/>
        <w:rPr>
          <w:rFonts w:ascii="Book Antiqua" w:hAnsi="Book Antiqua"/>
        </w:rPr>
      </w:pPr>
    </w:p>
    <w:p w14:paraId="75B07C8F"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Younggoun Jo, MD, Assistant Professor, </w:t>
      </w:r>
      <w:r>
        <w:rPr>
          <w:rFonts w:ascii="Book Antiqua" w:eastAsia="Book Antiqua" w:hAnsi="Book Antiqua" w:cs="Book Antiqua"/>
          <w:color w:val="000000"/>
        </w:rPr>
        <w:t xml:space="preserve">Division of Trauma, Department of Surgery, Chonnam National University Medical School and Hospital, </w:t>
      </w:r>
      <w:r>
        <w:rPr>
          <w:rFonts w:ascii="Book Antiqua" w:eastAsia="SimSun" w:hAnsi="Book Antiqua" w:cs="Book Antiqua" w:hint="eastAsia"/>
          <w:color w:val="000000"/>
          <w:lang w:eastAsia="zh-CN"/>
        </w:rPr>
        <w:t xml:space="preserve">42 </w:t>
      </w:r>
      <w:r>
        <w:rPr>
          <w:rFonts w:ascii="Book Antiqua" w:eastAsia="Book Antiqua" w:hAnsi="Book Antiqua" w:cs="Book Antiqua" w:hint="eastAsia"/>
          <w:color w:val="000000"/>
        </w:rPr>
        <w:t>Jebong-r</w:t>
      </w:r>
      <w:r>
        <w:rPr>
          <w:rFonts w:ascii="Book Antiqua" w:eastAsia="SimSun" w:hAnsi="Book Antiqua" w:cs="Book Antiqua" w:hint="eastAsia"/>
          <w:color w:val="000000"/>
          <w:lang w:eastAsia="zh-CN"/>
        </w:rPr>
        <w:t xml:space="preserve">o, </w:t>
      </w:r>
      <w:r>
        <w:rPr>
          <w:rFonts w:ascii="Book Antiqua" w:eastAsia="Book Antiqua" w:hAnsi="Book Antiqua" w:cs="Book Antiqua"/>
          <w:color w:val="000000"/>
        </w:rPr>
        <w:t>Dong-gu 61469, Gwangju, South Korea. thinkjo@hanmail.net</w:t>
      </w:r>
    </w:p>
    <w:p w14:paraId="0EA7622E" w14:textId="77777777" w:rsidR="005D7EB8" w:rsidRDefault="005D7EB8">
      <w:pPr>
        <w:adjustRightInd w:val="0"/>
        <w:snapToGrid w:val="0"/>
        <w:spacing w:line="360" w:lineRule="auto"/>
        <w:jc w:val="both"/>
        <w:rPr>
          <w:rFonts w:ascii="Book Antiqua" w:hAnsi="Book Antiqua"/>
        </w:rPr>
      </w:pPr>
    </w:p>
    <w:p w14:paraId="466E254D"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2021</w:t>
      </w:r>
    </w:p>
    <w:p w14:paraId="0A99C35B"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12, 2021</w:t>
      </w:r>
    </w:p>
    <w:p w14:paraId="47E83F5E" w14:textId="41A2AA89"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bookmarkStart w:id="1" w:name="OLE_LINK15"/>
      <w:bookmarkStart w:id="2" w:name="OLE_LINK33"/>
      <w:bookmarkStart w:id="3" w:name="OLE_LINK48"/>
      <w:r w:rsidR="00346724">
        <w:rPr>
          <w:rFonts w:ascii="Book Antiqua" w:eastAsia="SimSun" w:hAnsi="Book Antiqua" w:hint="eastAsia"/>
          <w:color w:val="000000" w:themeColor="text1"/>
        </w:rPr>
        <w:t>Au</w:t>
      </w:r>
      <w:r w:rsidR="00346724">
        <w:rPr>
          <w:rFonts w:ascii="Book Antiqua" w:eastAsia="SimSun" w:hAnsi="Book Antiqua"/>
          <w:color w:val="000000" w:themeColor="text1"/>
        </w:rPr>
        <w:t>gust</w:t>
      </w:r>
      <w:r w:rsidR="00346724" w:rsidRPr="00F06907">
        <w:rPr>
          <w:rFonts w:ascii="Book Antiqua" w:eastAsia="SimSun" w:hAnsi="Book Antiqua"/>
          <w:color w:val="000000" w:themeColor="text1"/>
        </w:rPr>
        <w:t xml:space="preserve"> </w:t>
      </w:r>
      <w:r w:rsidR="00346724">
        <w:rPr>
          <w:rFonts w:ascii="Book Antiqua" w:eastAsia="SimSun" w:hAnsi="Book Antiqua"/>
          <w:color w:val="000000" w:themeColor="text1"/>
        </w:rPr>
        <w:t>5</w:t>
      </w:r>
      <w:r w:rsidR="00346724" w:rsidRPr="00F06907">
        <w:rPr>
          <w:rFonts w:ascii="Book Antiqua" w:eastAsia="SimSun" w:hAnsi="Book Antiqua"/>
          <w:color w:val="000000" w:themeColor="text1"/>
        </w:rPr>
        <w:t>, 2021</w:t>
      </w:r>
      <w:bookmarkEnd w:id="1"/>
      <w:bookmarkEnd w:id="2"/>
      <w:bookmarkEnd w:id="3"/>
    </w:p>
    <w:p w14:paraId="33D3D3AA"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FAFE75A" w14:textId="77777777" w:rsidR="00D163DA" w:rsidRDefault="00D163DA">
      <w:pPr>
        <w:adjustRightInd w:val="0"/>
        <w:snapToGrid w:val="0"/>
        <w:spacing w:line="360" w:lineRule="auto"/>
        <w:jc w:val="both"/>
        <w:rPr>
          <w:rFonts w:ascii="Book Antiqua" w:eastAsia="Book Antiqua" w:hAnsi="Book Antiqua" w:cs="Book Antiqua"/>
          <w:b/>
          <w:color w:val="000000"/>
        </w:rPr>
      </w:pPr>
    </w:p>
    <w:p w14:paraId="2626B789" w14:textId="59DDB44D" w:rsidR="005D7EB8" w:rsidRDefault="00D163DA">
      <w:pPr>
        <w:adjustRightInd w:val="0"/>
        <w:snapToGrid w:val="0"/>
        <w:spacing w:line="360" w:lineRule="auto"/>
        <w:jc w:val="both"/>
        <w:rPr>
          <w:rFonts w:ascii="Book Antiqua" w:hAnsi="Book Antiqua"/>
        </w:rPr>
      </w:pPr>
      <w:r>
        <w:rPr>
          <w:rFonts w:ascii="Book Antiqua" w:eastAsia="Book Antiqua" w:hAnsi="Book Antiqua" w:cs="Book Antiqua"/>
          <w:b/>
          <w:color w:val="000000"/>
        </w:rPr>
        <w:t>ABSTRACT</w:t>
      </w:r>
    </w:p>
    <w:p w14:paraId="365BD45E" w14:textId="77777777" w:rsidR="005D7EB8" w:rsidRPr="007A713F" w:rsidRDefault="004E0531">
      <w:pPr>
        <w:adjustRightInd w:val="0"/>
        <w:snapToGrid w:val="0"/>
        <w:spacing w:line="360" w:lineRule="auto"/>
        <w:jc w:val="both"/>
        <w:rPr>
          <w:rFonts w:ascii="Book Antiqua" w:hAnsi="Book Antiqua"/>
          <w:b/>
          <w:bCs/>
          <w:i/>
          <w:iCs/>
        </w:rPr>
      </w:pPr>
      <w:r w:rsidRPr="007A713F">
        <w:rPr>
          <w:rFonts w:ascii="Book Antiqua" w:eastAsia="Book Antiqua" w:hAnsi="Book Antiqua" w:cs="Book Antiqua"/>
          <w:b/>
          <w:bCs/>
          <w:i/>
          <w:iCs/>
          <w:color w:val="000000"/>
        </w:rPr>
        <w:t>BACKGROUND</w:t>
      </w:r>
    </w:p>
    <w:p w14:paraId="7BEEEC91" w14:textId="569E0D62"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We report a case of intragallbladder hematoma and biliary tract obstruction caused by blunt gallbladder injury. We report that the patient was safely treated by conservative treatment after the obstruction was resolved by endoscopic retrograde cholangiopancreatography</w:t>
      </w:r>
      <w:r w:rsidR="00D163DA">
        <w:rPr>
          <w:rFonts w:ascii="Book Antiqua" w:eastAsia="Book Antiqua" w:hAnsi="Book Antiqua" w:cs="Book Antiqua"/>
          <w:color w:val="000000"/>
        </w:rPr>
        <w:t xml:space="preserve"> (ERCP)</w:t>
      </w:r>
      <w:r>
        <w:rPr>
          <w:rFonts w:ascii="Book Antiqua" w:eastAsia="Book Antiqua" w:hAnsi="Book Antiqua" w:cs="Book Antiqua"/>
          <w:color w:val="000000"/>
        </w:rPr>
        <w:t>.</w:t>
      </w:r>
    </w:p>
    <w:p w14:paraId="17F66F63" w14:textId="77777777" w:rsidR="005D7EB8" w:rsidRDefault="005D7EB8">
      <w:pPr>
        <w:adjustRightInd w:val="0"/>
        <w:snapToGrid w:val="0"/>
        <w:spacing w:line="360" w:lineRule="auto"/>
        <w:jc w:val="both"/>
        <w:rPr>
          <w:rFonts w:ascii="Book Antiqua" w:hAnsi="Book Antiqua"/>
        </w:rPr>
      </w:pPr>
    </w:p>
    <w:p w14:paraId="641BF46A" w14:textId="77777777" w:rsidR="005D7EB8" w:rsidRPr="007A713F" w:rsidRDefault="004E0531">
      <w:pPr>
        <w:adjustRightInd w:val="0"/>
        <w:snapToGrid w:val="0"/>
        <w:spacing w:line="360" w:lineRule="auto"/>
        <w:jc w:val="both"/>
        <w:rPr>
          <w:rFonts w:ascii="Book Antiqua" w:hAnsi="Book Antiqua"/>
          <w:b/>
          <w:bCs/>
          <w:i/>
          <w:iCs/>
        </w:rPr>
      </w:pPr>
      <w:r w:rsidRPr="007A713F">
        <w:rPr>
          <w:rFonts w:ascii="Book Antiqua" w:eastAsia="Book Antiqua" w:hAnsi="Book Antiqua" w:cs="Book Antiqua"/>
          <w:b/>
          <w:bCs/>
          <w:i/>
          <w:iCs/>
          <w:color w:val="000000"/>
        </w:rPr>
        <w:t>CASE SUMMARY</w:t>
      </w:r>
    </w:p>
    <w:p w14:paraId="1F7C8357" w14:textId="071DA5C8"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 67-year-old man was admitted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emergency department due to complaints of right-sided abdominal pain that started 2 d prior. Four days prior to presentation, the patient had slipped, fallen and struck his abdomen on a motorcycle handle. His initial vital signs were stable. On physical examination, he showed right upper quadrant pain and Murphy’s sign, with decreased bowel sounds. Additionally, he had had a poor appetite for 4 d. He had been on aspirin for 2 years due to underlying hypertension. Initial simple radiography revealed a slight ileus. The laboratory findings were as follows: </w:t>
      </w:r>
      <w:r w:rsidR="00D163DA">
        <w:rPr>
          <w:rFonts w:ascii="Book Antiqua" w:eastAsia="Book Antiqua" w:hAnsi="Book Antiqua" w:cs="Book Antiqua"/>
          <w:color w:val="000000"/>
        </w:rPr>
        <w:t xml:space="preserve">white </w:t>
      </w:r>
      <w:r>
        <w:rPr>
          <w:rFonts w:ascii="Book Antiqua" w:eastAsia="Book Antiqua" w:hAnsi="Book Antiqua" w:cs="Book Antiqua"/>
          <w:color w:val="000000"/>
        </w:rPr>
        <w:t>blood cell count, 15.5 × 10</w:t>
      </w:r>
      <w:r>
        <w:rPr>
          <w:rFonts w:ascii="Book Antiqua" w:eastAsia="Book Antiqua" w:hAnsi="Book Antiqua" w:cs="Book Antiqua"/>
          <w:color w:val="000000"/>
          <w:vertAlign w:val="superscript"/>
        </w:rPr>
        <w:t>3</w:t>
      </w:r>
      <w:r>
        <w:rPr>
          <w:rFonts w:ascii="Book Antiqua" w:eastAsia="Book Antiqua" w:hAnsi="Book Antiqua" w:cs="Book Antiqua"/>
          <w:color w:val="000000"/>
        </w:rPr>
        <w:t>/µL (</w:t>
      </w:r>
      <w:r w:rsidR="007A713F">
        <w:rPr>
          <w:rFonts w:ascii="Book Antiqua" w:eastAsia="Book Antiqua" w:hAnsi="Book Antiqua" w:cs="Book Antiqua"/>
          <w:color w:val="000000"/>
        </w:rPr>
        <w:t xml:space="preserve">normal range </w:t>
      </w:r>
      <w:r>
        <w:rPr>
          <w:rFonts w:ascii="Book Antiqua" w:eastAsia="Book Antiqua" w:hAnsi="Book Antiqua" w:cs="Book Antiqua"/>
          <w:color w:val="000000"/>
        </w:rPr>
        <w:t>4.8</w:t>
      </w:r>
      <w:r w:rsidR="00D163DA">
        <w:rPr>
          <w:rFonts w:ascii="Book Antiqua" w:eastAsia="Book Antiqua" w:hAnsi="Book Antiqua" w:cs="Book Antiqua"/>
          <w:color w:val="000000"/>
        </w:rPr>
        <w:t xml:space="preserve"> × 10</w:t>
      </w:r>
      <w:r w:rsidR="00D163DA">
        <w:rPr>
          <w:rFonts w:ascii="Book Antiqua" w:eastAsia="Book Antiqua" w:hAnsi="Book Antiqua" w:cs="Book Antiqua"/>
          <w:color w:val="000000"/>
          <w:vertAlign w:val="superscript"/>
        </w:rPr>
        <w:t>3</w:t>
      </w:r>
      <w:r>
        <w:rPr>
          <w:rFonts w:ascii="Book Antiqua" w:eastAsia="Book Antiqua" w:hAnsi="Book Antiqua" w:cs="Book Antiqua"/>
          <w:color w:val="000000"/>
        </w:rPr>
        <w:t>–10.8</w:t>
      </w:r>
      <w:r w:rsidR="00D163DA">
        <w:rPr>
          <w:rFonts w:ascii="Book Antiqua" w:eastAsia="Book Antiqua" w:hAnsi="Book Antiqua" w:cs="Book Antiqua"/>
          <w:color w:val="000000"/>
        </w:rPr>
        <w:t xml:space="preserve"> × 10</w:t>
      </w:r>
      <w:r w:rsidR="00D163DA">
        <w:rPr>
          <w:rFonts w:ascii="Book Antiqua" w:eastAsia="Book Antiqua" w:hAnsi="Book Antiqua" w:cs="Book Antiqua"/>
          <w:color w:val="000000"/>
          <w:vertAlign w:val="superscript"/>
        </w:rPr>
        <w:t>3</w:t>
      </w:r>
      <w:r>
        <w:rPr>
          <w:rFonts w:ascii="Book Antiqua" w:eastAsia="Book Antiqua" w:hAnsi="Book Antiqua" w:cs="Book Antiqua"/>
          <w:color w:val="000000"/>
        </w:rPr>
        <w:t>); hemoglobin, 9.4 g/dL; aspartate aminotransferase/alanine transferase, 423/348</w:t>
      </w:r>
      <w:r w:rsidR="00D27C47">
        <w:rPr>
          <w:rFonts w:ascii="Book Antiqua" w:eastAsia="Book Antiqua" w:hAnsi="Book Antiqua" w:cs="Book Antiqua"/>
          <w:color w:val="000000"/>
        </w:rPr>
        <w:t xml:space="preserve"> </w:t>
      </w:r>
      <w:r w:rsidR="007A713F">
        <w:rPr>
          <w:rFonts w:ascii="Book Antiqua" w:eastAsia="Book Antiqua" w:hAnsi="Book Antiqua" w:cs="Book Antiqua"/>
          <w:color w:val="000000"/>
        </w:rPr>
        <w:t>U</w:t>
      </w:r>
      <w:r w:rsidR="00D27C47">
        <w:rPr>
          <w:rFonts w:ascii="Book Antiqua" w:eastAsia="Book Antiqua" w:hAnsi="Book Antiqua" w:cs="Book Antiqua"/>
          <w:color w:val="000000"/>
        </w:rPr>
        <w:t>/L</w:t>
      </w:r>
      <w:r>
        <w:rPr>
          <w:rFonts w:ascii="Book Antiqua" w:eastAsia="Book Antiqua" w:hAnsi="Book Antiqua" w:cs="Book Antiqua"/>
          <w:color w:val="000000"/>
        </w:rPr>
        <w:t xml:space="preserve">; total bilirubin/direct bilirubin, 4.45/3.26 mg/dL; </w:t>
      </w:r>
      <w:r w:rsidR="00D163DA">
        <w:rPr>
          <w:rFonts w:ascii="Book Antiqua" w:eastAsia="Book Antiqua" w:hAnsi="Book Antiqua" w:cs="Book Antiqua"/>
          <w:color w:val="000000"/>
        </w:rPr>
        <w:sym w:font="Symbol" w:char="F067"/>
      </w:r>
      <w:r w:rsidR="00D163DA">
        <w:rPr>
          <w:rFonts w:ascii="Book Antiqua" w:eastAsia="Book Antiqua" w:hAnsi="Book Antiqua" w:cs="Book Antiqua"/>
          <w:color w:val="000000"/>
        </w:rPr>
        <w:t xml:space="preserve">-GTP </w:t>
      </w:r>
      <w:r>
        <w:rPr>
          <w:rFonts w:ascii="Book Antiqua" w:eastAsia="Book Antiqua" w:hAnsi="Book Antiqua" w:cs="Book Antiqua"/>
          <w:color w:val="000000"/>
        </w:rPr>
        <w:t>, 639</w:t>
      </w:r>
      <w:r w:rsidR="00D27C47" w:rsidRPr="00D27C47">
        <w:rPr>
          <w:rFonts w:ascii="Book Antiqua" w:eastAsia="Book Antiqua" w:hAnsi="Book Antiqua" w:cs="Book Antiqua"/>
          <w:color w:val="000000"/>
        </w:rPr>
        <w:t xml:space="preserve"> </w:t>
      </w:r>
      <w:r w:rsidR="007A713F">
        <w:rPr>
          <w:rFonts w:ascii="Book Antiqua" w:eastAsia="Book Antiqua" w:hAnsi="Book Antiqua" w:cs="Book Antiqua"/>
          <w:color w:val="000000"/>
        </w:rPr>
        <w:t>U</w:t>
      </w:r>
      <w:r w:rsidR="00D27C47">
        <w:rPr>
          <w:rFonts w:ascii="Book Antiqua" w:eastAsia="Book Antiqua" w:hAnsi="Book Antiqua" w:cs="Book Antiqua"/>
          <w:color w:val="000000"/>
        </w:rPr>
        <w:t>/L</w:t>
      </w:r>
      <w:r>
        <w:rPr>
          <w:rFonts w:ascii="Book Antiqua" w:eastAsia="Book Antiqua" w:hAnsi="Book Antiqua" w:cs="Book Antiqua"/>
          <w:color w:val="000000"/>
        </w:rPr>
        <w:t xml:space="preserve"> (</w:t>
      </w:r>
      <w:r w:rsidR="007A713F">
        <w:rPr>
          <w:rFonts w:ascii="Book Antiqua" w:eastAsia="Book Antiqua" w:hAnsi="Book Antiqua" w:cs="Book Antiqua"/>
          <w:color w:val="000000"/>
        </w:rPr>
        <w:t xml:space="preserve">normal range </w:t>
      </w:r>
      <w:r>
        <w:rPr>
          <w:rFonts w:ascii="Book Antiqua" w:eastAsia="Book Antiqua" w:hAnsi="Book Antiqua" w:cs="Book Antiqua"/>
          <w:color w:val="000000"/>
        </w:rPr>
        <w:t>5–61</w:t>
      </w:r>
      <w:r w:rsidR="007A713F">
        <w:rPr>
          <w:rFonts w:ascii="Book Antiqua" w:eastAsia="Book Antiqua" w:hAnsi="Book Antiqua" w:cs="Book Antiqua"/>
          <w:color w:val="000000"/>
        </w:rPr>
        <w:t xml:space="preserve"> U/L</w:t>
      </w:r>
      <w:r>
        <w:rPr>
          <w:rFonts w:ascii="Book Antiqua" w:eastAsia="Book Antiqua" w:hAnsi="Book Antiqua" w:cs="Book Antiqua"/>
          <w:color w:val="000000"/>
        </w:rPr>
        <w:t>); and C-reactive protein, 12.32 mg/dL (0–0.3). Abdominal computed tomography showed a distended gallbladder with edematous wall change and a 55 mm × 40 mm hematoma. Dilatation was observed in both the intrahepatic and common bile duct areas. Antibiotic treatment was initiated, and ERCP was performed, with hemobilia found during treatment. After cannulation, the patient’s symptoms were relieved, and after conservative management, the patient was discharged with no further complications. After 1-month follow-up, the gallbladder hematoma was completely resolved.</w:t>
      </w:r>
    </w:p>
    <w:p w14:paraId="06C76B9D" w14:textId="77777777" w:rsidR="005D7EB8" w:rsidRDefault="005D7EB8">
      <w:pPr>
        <w:adjustRightInd w:val="0"/>
        <w:snapToGrid w:val="0"/>
        <w:spacing w:line="360" w:lineRule="auto"/>
        <w:ind w:firstLine="120"/>
        <w:jc w:val="both"/>
        <w:rPr>
          <w:rFonts w:ascii="Book Antiqua" w:hAnsi="Book Antiqua"/>
        </w:rPr>
      </w:pPr>
    </w:p>
    <w:p w14:paraId="2B7812B2" w14:textId="77777777" w:rsidR="005D7EB8" w:rsidRPr="007A713F" w:rsidRDefault="004E0531">
      <w:pPr>
        <w:adjustRightInd w:val="0"/>
        <w:snapToGrid w:val="0"/>
        <w:spacing w:line="360" w:lineRule="auto"/>
        <w:jc w:val="both"/>
        <w:rPr>
          <w:rFonts w:ascii="Book Antiqua" w:hAnsi="Book Antiqua"/>
          <w:b/>
          <w:bCs/>
          <w:i/>
          <w:iCs/>
        </w:rPr>
      </w:pPr>
      <w:r w:rsidRPr="007A713F">
        <w:rPr>
          <w:rFonts w:ascii="Book Antiqua" w:eastAsia="Book Antiqua" w:hAnsi="Book Antiqua" w:cs="Book Antiqua"/>
          <w:b/>
          <w:bCs/>
          <w:i/>
          <w:iCs/>
          <w:color w:val="000000"/>
        </w:rPr>
        <w:t>CONCLUSION</w:t>
      </w:r>
    </w:p>
    <w:p w14:paraId="3871F408" w14:textId="176D9B56"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In the case of traumatic injury to the gallbladder, conservative treatment is feasible even in the presence of hematoma.</w:t>
      </w:r>
    </w:p>
    <w:p w14:paraId="06ABA7AF" w14:textId="77777777" w:rsidR="005D7EB8" w:rsidRDefault="005D7EB8">
      <w:pPr>
        <w:adjustRightInd w:val="0"/>
        <w:snapToGrid w:val="0"/>
        <w:spacing w:line="360" w:lineRule="auto"/>
        <w:ind w:firstLine="120"/>
        <w:jc w:val="both"/>
        <w:rPr>
          <w:rFonts w:ascii="Book Antiqua" w:hAnsi="Book Antiqua"/>
        </w:rPr>
      </w:pPr>
    </w:p>
    <w:p w14:paraId="024C90B6" w14:textId="1CABBBA9" w:rsidR="005D7EB8" w:rsidRPr="00D27C47"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t>
      </w:r>
      <w:r w:rsidR="00D163DA">
        <w:rPr>
          <w:rFonts w:ascii="Book Antiqua" w:eastAsia="Book Antiqua" w:hAnsi="Book Antiqua" w:cs="Book Antiqua"/>
          <w:b/>
          <w:bCs/>
          <w:color w:val="000000"/>
        </w:rPr>
        <w:t>words</w:t>
      </w:r>
      <w:r>
        <w:rPr>
          <w:rFonts w:ascii="Book Antiqua" w:eastAsia="Book Antiqua" w:hAnsi="Book Antiqua" w:cs="Book Antiqua"/>
          <w:b/>
          <w:bCs/>
          <w:color w:val="000000"/>
        </w:rPr>
        <w:t xml:space="preserve">: </w:t>
      </w:r>
      <w:r w:rsidR="00D27C47" w:rsidRPr="00D27C47">
        <w:rPr>
          <w:rFonts w:ascii="Book Antiqua" w:eastAsia="Book Antiqua" w:hAnsi="Book Antiqua" w:cs="Book Antiqua"/>
          <w:color w:val="000000"/>
        </w:rPr>
        <w:t xml:space="preserve"> </w:t>
      </w:r>
      <w:r w:rsidR="00D27C47" w:rsidRPr="007A713F">
        <w:rPr>
          <w:rFonts w:ascii="Book Antiqua" w:eastAsia="Malgun Gothic" w:hAnsi="Book Antiqua" w:cs="Malgun Gothic"/>
          <w:color w:val="000000"/>
          <w:lang w:eastAsia="ko-KR"/>
        </w:rPr>
        <w:t>Gallbladder</w:t>
      </w:r>
      <w:r w:rsidR="007A713F">
        <w:rPr>
          <w:rFonts w:ascii="Book Antiqua" w:eastAsia="Malgun Gothic" w:hAnsi="Book Antiqua" w:cs="Malgun Gothic"/>
          <w:color w:val="000000"/>
          <w:lang w:eastAsia="ko-KR"/>
        </w:rPr>
        <w:t>;</w:t>
      </w:r>
      <w:r w:rsidR="00D27C47" w:rsidRPr="007A713F">
        <w:rPr>
          <w:rFonts w:ascii="Book Antiqua" w:eastAsia="Malgun Gothic" w:hAnsi="Book Antiqua" w:cs="Malgun Gothic"/>
          <w:color w:val="000000"/>
          <w:lang w:eastAsia="ko-KR"/>
        </w:rPr>
        <w:t xml:space="preserve"> Trauma</w:t>
      </w:r>
      <w:r w:rsidR="007A713F">
        <w:rPr>
          <w:rFonts w:ascii="Book Antiqua" w:eastAsia="Malgun Gothic" w:hAnsi="Book Antiqua" w:cs="Malgun Gothic"/>
          <w:color w:val="000000"/>
          <w:lang w:eastAsia="ko-KR"/>
        </w:rPr>
        <w:t>;</w:t>
      </w:r>
      <w:r w:rsidR="00D27C47" w:rsidRPr="007A713F">
        <w:rPr>
          <w:rFonts w:ascii="Book Antiqua" w:eastAsia="Malgun Gothic" w:hAnsi="Book Antiqua" w:cs="Malgun Gothic"/>
          <w:color w:val="000000"/>
          <w:lang w:eastAsia="ko-KR"/>
        </w:rPr>
        <w:t xml:space="preserve"> Abdomnial injuries, Blunt injuries</w:t>
      </w:r>
      <w:r w:rsidR="007A713F">
        <w:rPr>
          <w:rFonts w:ascii="Book Antiqua" w:eastAsia="Malgun Gothic" w:hAnsi="Book Antiqua" w:cs="Malgun Gothic"/>
          <w:color w:val="000000"/>
          <w:lang w:eastAsia="ko-KR"/>
        </w:rPr>
        <w:t>;</w:t>
      </w:r>
      <w:r w:rsidR="00D27C47" w:rsidRPr="007A713F">
        <w:rPr>
          <w:rFonts w:ascii="Book Antiqua" w:eastAsia="Malgun Gothic" w:hAnsi="Book Antiqua" w:cs="Malgun Gothic"/>
          <w:color w:val="000000"/>
          <w:lang w:eastAsia="ko-KR"/>
        </w:rPr>
        <w:t xml:space="preserve"> Cholecystitis</w:t>
      </w:r>
      <w:r w:rsidR="007A713F">
        <w:rPr>
          <w:rFonts w:ascii="Book Antiqua" w:eastAsia="Malgun Gothic" w:hAnsi="Book Antiqua" w:cs="Malgun Gothic"/>
          <w:color w:val="000000"/>
          <w:lang w:eastAsia="ko-KR"/>
        </w:rPr>
        <w:t>;</w:t>
      </w:r>
      <w:r w:rsidR="00D27C47" w:rsidRPr="007A713F">
        <w:rPr>
          <w:rFonts w:ascii="Book Antiqua" w:eastAsia="Malgun Gothic" w:hAnsi="Book Antiqua" w:cs="Malgun Gothic"/>
          <w:color w:val="000000"/>
          <w:lang w:eastAsia="ko-KR"/>
        </w:rPr>
        <w:t xml:space="preserve"> Gallstone</w:t>
      </w:r>
      <w:r w:rsidR="007A713F">
        <w:rPr>
          <w:rFonts w:ascii="Book Antiqua" w:eastAsia="Malgun Gothic" w:hAnsi="Book Antiqua" w:cs="Malgun Gothic"/>
          <w:color w:val="000000"/>
          <w:lang w:eastAsia="ko-KR"/>
        </w:rPr>
        <w:t>;</w:t>
      </w:r>
      <w:r w:rsidR="00D27C47" w:rsidRPr="007A713F">
        <w:rPr>
          <w:rFonts w:ascii="Book Antiqua" w:eastAsia="Malgun Gothic" w:hAnsi="Book Antiqua" w:cs="Malgun Gothic"/>
          <w:color w:val="000000"/>
          <w:lang w:eastAsia="ko-KR"/>
        </w:rPr>
        <w:t xml:space="preserve"> Case report</w:t>
      </w:r>
    </w:p>
    <w:p w14:paraId="4E584911" w14:textId="77777777" w:rsidR="005D7EB8" w:rsidRDefault="005D7EB8">
      <w:pPr>
        <w:adjustRightInd w:val="0"/>
        <w:snapToGrid w:val="0"/>
        <w:spacing w:line="360" w:lineRule="auto"/>
        <w:jc w:val="both"/>
        <w:rPr>
          <w:rFonts w:ascii="Book Antiqua" w:hAnsi="Book Antiqua"/>
        </w:rPr>
      </w:pPr>
    </w:p>
    <w:p w14:paraId="2BF7FECD"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Jang H, Park CH, Park Y, Jeong E, Lee N, Kim J, Jo Y. Spontaneous resolution of gallbladder hematoma in blunt traumatic injury: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3F6BEFC" w14:textId="77777777" w:rsidR="005D7EB8" w:rsidRDefault="005D7EB8">
      <w:pPr>
        <w:adjustRightInd w:val="0"/>
        <w:snapToGrid w:val="0"/>
        <w:spacing w:line="360" w:lineRule="auto"/>
        <w:jc w:val="both"/>
        <w:rPr>
          <w:rFonts w:ascii="Book Antiqua" w:hAnsi="Book Antiqua"/>
        </w:rPr>
      </w:pPr>
    </w:p>
    <w:p w14:paraId="0C09B273" w14:textId="59ABB09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w:t>
      </w:r>
      <w:r w:rsidR="00D163DA">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Intragallbladder hematoma is a rare event in trauma. Most of the hematomas in the gallbladder and blunt traumatic injury of the gallbladder itself can lead to complications such as delayed perforation, gallstone formation due to clot retention, and hemorrhagic cholecystitis. </w:t>
      </w:r>
      <w:r w:rsidR="00D163DA">
        <w:rPr>
          <w:rFonts w:ascii="Book Antiqua" w:eastAsia="Book Antiqua" w:hAnsi="Book Antiqua" w:cs="Book Antiqua"/>
          <w:color w:val="000000"/>
        </w:rPr>
        <w:t>I</w:t>
      </w:r>
      <w:r>
        <w:rPr>
          <w:rFonts w:ascii="Book Antiqua" w:eastAsia="Book Antiqua" w:hAnsi="Book Antiqua" w:cs="Book Antiqua"/>
          <w:color w:val="000000"/>
        </w:rPr>
        <w:t xml:space="preserve">n most cases, these gallbladder hematomas require cholecystectomy or external drainage. However, such as in our case, after endoscopic retrograde cholangiopancreatography was </w:t>
      </w:r>
      <w:r w:rsidR="00D163DA">
        <w:rPr>
          <w:rFonts w:ascii="Book Antiqua" w:eastAsia="Book Antiqua" w:hAnsi="Book Antiqua" w:cs="Book Antiqua"/>
          <w:color w:val="000000"/>
        </w:rPr>
        <w:t xml:space="preserve">performed </w:t>
      </w:r>
      <w:r>
        <w:rPr>
          <w:rFonts w:ascii="Book Antiqua" w:eastAsia="Book Antiqua" w:hAnsi="Book Antiqua" w:cs="Book Antiqua"/>
          <w:color w:val="000000"/>
        </w:rPr>
        <w:t>and retention of the tract was resolved, conservative treatment should be considered as a treatment option if the laboratory test results show improvement, and the patient shows a favorable clinical course.</w:t>
      </w:r>
    </w:p>
    <w:p w14:paraId="6B0FA4A4" w14:textId="77777777" w:rsidR="005D7EB8" w:rsidRDefault="005D7EB8">
      <w:pPr>
        <w:adjustRightInd w:val="0"/>
        <w:snapToGrid w:val="0"/>
        <w:spacing w:line="360" w:lineRule="auto"/>
        <w:jc w:val="both"/>
        <w:rPr>
          <w:rFonts w:ascii="Book Antiqua" w:hAnsi="Book Antiqua"/>
        </w:rPr>
      </w:pPr>
    </w:p>
    <w:p w14:paraId="522C10A0"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INTRODUCTION</w:t>
      </w:r>
    </w:p>
    <w:p w14:paraId="7F86BD70" w14:textId="5BF72118"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Intragallbladder hematoma is a rare event in trauma. Most hematomas of the gallbladder, as well as blunt traumatic injury of the gallbladder itself, can lead to complications such as delayed perforation, gallstone formation due to clot retention, and hemorrhagic cholecystitis. Therefore, in most cases, these gallbladder hematomas require cholecystectomy or external drainage. Here, we report a case of intragallbladder hematoma and biliary tract obstruction caused by blunt gallbladder injury. Despite the large hematoma </w:t>
      </w:r>
      <w:r w:rsidR="00D163DA">
        <w:rPr>
          <w:rFonts w:ascii="Book Antiqua" w:eastAsia="Book Antiqua" w:hAnsi="Book Antiqua" w:cs="Book Antiqua"/>
          <w:color w:val="000000"/>
        </w:rPr>
        <w:t>causing</w:t>
      </w:r>
      <w:r>
        <w:rPr>
          <w:rFonts w:ascii="Book Antiqua" w:eastAsia="Book Antiqua" w:hAnsi="Book Antiqua" w:cs="Book Antiqua"/>
          <w:color w:val="000000"/>
        </w:rPr>
        <w:t xml:space="preserve"> form</w:t>
      </w:r>
      <w:r w:rsidR="00D163DA">
        <w:rPr>
          <w:rFonts w:ascii="Book Antiqua" w:eastAsia="Book Antiqua" w:hAnsi="Book Antiqua" w:cs="Book Antiqua"/>
          <w:color w:val="000000"/>
        </w:rPr>
        <w:t>ation</w:t>
      </w:r>
      <w:r>
        <w:rPr>
          <w:rFonts w:ascii="Book Antiqua" w:eastAsia="Book Antiqua" w:hAnsi="Book Antiqua" w:cs="Book Antiqua"/>
          <w:color w:val="000000"/>
        </w:rPr>
        <w:t xml:space="preserve"> of gallbladder stones and prominent symptoms, the obstruction was removed, and there was spontaneous resolution of the hematoma. We </w:t>
      </w:r>
      <w:r>
        <w:rPr>
          <w:rFonts w:ascii="Book Antiqua" w:eastAsia="Book Antiqua" w:hAnsi="Book Antiqua" w:cs="Book Antiqua"/>
          <w:color w:val="000000"/>
        </w:rPr>
        <w:lastRenderedPageBreak/>
        <w:t>show that, in the case of traumatic injury to the gallbladder, conservative treatment is feasible even in the presence of hematoma.</w:t>
      </w:r>
    </w:p>
    <w:p w14:paraId="6F1E606E" w14:textId="77777777" w:rsidR="005D7EB8" w:rsidRDefault="005D7EB8">
      <w:pPr>
        <w:adjustRightInd w:val="0"/>
        <w:snapToGrid w:val="0"/>
        <w:spacing w:line="360" w:lineRule="auto"/>
        <w:jc w:val="both"/>
        <w:rPr>
          <w:rFonts w:ascii="Book Antiqua" w:hAnsi="Book Antiqua"/>
        </w:rPr>
      </w:pPr>
    </w:p>
    <w:p w14:paraId="7B6647C8"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CASE PRESENTATION</w:t>
      </w:r>
    </w:p>
    <w:p w14:paraId="1DDCAC2F"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35C64989"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 67-year-old man was admitted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emergency department due to right-sided abdominal pain that started 2 d prior.</w:t>
      </w:r>
    </w:p>
    <w:p w14:paraId="12FFEB08" w14:textId="77777777" w:rsidR="005D7EB8" w:rsidRDefault="005D7EB8">
      <w:pPr>
        <w:adjustRightInd w:val="0"/>
        <w:snapToGrid w:val="0"/>
        <w:spacing w:line="360" w:lineRule="auto"/>
        <w:jc w:val="both"/>
        <w:rPr>
          <w:rFonts w:ascii="Book Antiqua" w:hAnsi="Book Antiqua"/>
        </w:rPr>
      </w:pPr>
    </w:p>
    <w:p w14:paraId="7EE858B6"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32A030E9"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Four days prior to presentation, the patient had slipped and fallen, striking his abdomen on a motorcycle handle. The initial vital signs were stable.</w:t>
      </w:r>
    </w:p>
    <w:p w14:paraId="4681189C" w14:textId="77777777" w:rsidR="005D7EB8" w:rsidRDefault="005D7EB8">
      <w:pPr>
        <w:adjustRightInd w:val="0"/>
        <w:snapToGrid w:val="0"/>
        <w:spacing w:line="360" w:lineRule="auto"/>
        <w:jc w:val="both"/>
        <w:rPr>
          <w:rFonts w:ascii="Book Antiqua" w:hAnsi="Book Antiqua"/>
        </w:rPr>
      </w:pPr>
    </w:p>
    <w:p w14:paraId="6199FAD4"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6B386EE7"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He had been taking aspirin for 2 years due to underlying hypertension.</w:t>
      </w:r>
    </w:p>
    <w:p w14:paraId="6F039697" w14:textId="77777777" w:rsidR="005D7EB8" w:rsidRDefault="005D7EB8">
      <w:pPr>
        <w:adjustRightInd w:val="0"/>
        <w:snapToGrid w:val="0"/>
        <w:spacing w:line="360" w:lineRule="auto"/>
        <w:jc w:val="both"/>
        <w:rPr>
          <w:rFonts w:ascii="Book Antiqua" w:hAnsi="Book Antiqua"/>
        </w:rPr>
      </w:pPr>
    </w:p>
    <w:p w14:paraId="77B516AA"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93362AD"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He had been experiencing a poor appetite for 4 d.</w:t>
      </w:r>
    </w:p>
    <w:p w14:paraId="435D8ED8" w14:textId="77777777" w:rsidR="005D7EB8" w:rsidRDefault="005D7EB8">
      <w:pPr>
        <w:adjustRightInd w:val="0"/>
        <w:snapToGrid w:val="0"/>
        <w:spacing w:line="360" w:lineRule="auto"/>
        <w:jc w:val="both"/>
        <w:rPr>
          <w:rFonts w:ascii="Book Antiqua" w:hAnsi="Book Antiqua"/>
        </w:rPr>
      </w:pPr>
    </w:p>
    <w:p w14:paraId="773DC204"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17491395"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Additionally, on physical examination, the patient showed right upper quadrant pain and Murphy’s sign, with decreased bowel sounds.</w:t>
      </w:r>
    </w:p>
    <w:p w14:paraId="698105FB" w14:textId="77777777" w:rsidR="005D7EB8" w:rsidRDefault="005D7EB8">
      <w:pPr>
        <w:adjustRightInd w:val="0"/>
        <w:snapToGrid w:val="0"/>
        <w:spacing w:line="360" w:lineRule="auto"/>
        <w:jc w:val="both"/>
        <w:rPr>
          <w:rFonts w:ascii="Book Antiqua" w:hAnsi="Book Antiqua"/>
        </w:rPr>
      </w:pPr>
    </w:p>
    <w:p w14:paraId="15CF59A2"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4EAE6176" w14:textId="0E415FD5"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The laboratory findings were as follows: white blood cell count, 15.5 × 10</w:t>
      </w:r>
      <w:r>
        <w:rPr>
          <w:rFonts w:ascii="Book Antiqua" w:eastAsia="Book Antiqua" w:hAnsi="Book Antiqua" w:cs="Book Antiqua"/>
          <w:color w:val="000000"/>
          <w:vertAlign w:val="superscript"/>
        </w:rPr>
        <w:t>3</w:t>
      </w:r>
      <w:r>
        <w:rPr>
          <w:rFonts w:ascii="Book Antiqua" w:eastAsia="Book Antiqua" w:hAnsi="Book Antiqua" w:cs="Book Antiqua"/>
          <w:color w:val="000000"/>
        </w:rPr>
        <w:t>/µL (</w:t>
      </w:r>
      <w:r w:rsidR="007A713F">
        <w:rPr>
          <w:rFonts w:ascii="Book Antiqua" w:eastAsia="Book Antiqua" w:hAnsi="Book Antiqua" w:cs="Book Antiqua"/>
          <w:color w:val="000000"/>
        </w:rPr>
        <w:t xml:space="preserve">normal range </w:t>
      </w:r>
      <w:r>
        <w:rPr>
          <w:rFonts w:ascii="Book Antiqua" w:eastAsia="Book Antiqua" w:hAnsi="Book Antiqua" w:cs="Book Antiqua"/>
          <w:color w:val="000000"/>
        </w:rPr>
        <w:t>4.8</w:t>
      </w:r>
      <w:r w:rsidR="00D163DA">
        <w:rPr>
          <w:rFonts w:ascii="Book Antiqua" w:eastAsia="Book Antiqua" w:hAnsi="Book Antiqua" w:cs="Book Antiqua"/>
          <w:color w:val="000000"/>
        </w:rPr>
        <w:t xml:space="preserve"> × 10</w:t>
      </w:r>
      <w:r w:rsidR="00D163DA">
        <w:rPr>
          <w:rFonts w:ascii="Book Antiqua" w:eastAsia="Book Antiqua" w:hAnsi="Book Antiqua" w:cs="Book Antiqua"/>
          <w:color w:val="000000"/>
          <w:vertAlign w:val="superscript"/>
        </w:rPr>
        <w:t>3</w:t>
      </w:r>
      <w:r>
        <w:rPr>
          <w:rFonts w:ascii="Book Antiqua" w:eastAsia="Book Antiqua" w:hAnsi="Book Antiqua" w:cs="Book Antiqua"/>
          <w:color w:val="000000"/>
        </w:rPr>
        <w:t>–10.8</w:t>
      </w:r>
      <w:r w:rsidR="00D163DA">
        <w:rPr>
          <w:rFonts w:ascii="Book Antiqua" w:eastAsia="Book Antiqua" w:hAnsi="Book Antiqua" w:cs="Book Antiqua"/>
          <w:color w:val="000000"/>
        </w:rPr>
        <w:t xml:space="preserve"> × 10</w:t>
      </w:r>
      <w:r w:rsidR="00D163DA">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hemoglobin, 9.4 g/dL; </w:t>
      </w:r>
      <w:r>
        <w:rPr>
          <w:rFonts w:ascii="Book Antiqua" w:eastAsia="Book Antiqua" w:hAnsi="Book Antiqua" w:cs="Book Antiqua"/>
          <w:color w:val="000000"/>
          <w:shd w:val="clear" w:color="auto" w:fill="FFFFFF"/>
        </w:rPr>
        <w:t xml:space="preserve">aspartate aminotransferase/alanine transferase, </w:t>
      </w:r>
      <w:r>
        <w:rPr>
          <w:rFonts w:ascii="Book Antiqua" w:eastAsia="Book Antiqua" w:hAnsi="Book Antiqua" w:cs="Book Antiqua"/>
          <w:color w:val="000000"/>
        </w:rPr>
        <w:t>423/348</w:t>
      </w:r>
      <w:r w:rsidR="00D27C47" w:rsidRPr="00D27C47">
        <w:rPr>
          <w:rFonts w:ascii="Book Antiqua" w:eastAsia="Book Antiqua" w:hAnsi="Book Antiqua" w:cs="Book Antiqua"/>
          <w:color w:val="000000"/>
        </w:rPr>
        <w:t xml:space="preserve"> </w:t>
      </w:r>
      <w:r w:rsidR="007A713F">
        <w:rPr>
          <w:rFonts w:ascii="Book Antiqua" w:eastAsia="Book Antiqua" w:hAnsi="Book Antiqua" w:cs="Book Antiqua"/>
          <w:color w:val="000000"/>
        </w:rPr>
        <w:t>U</w:t>
      </w:r>
      <w:r w:rsidR="00D27C47">
        <w:rPr>
          <w:rFonts w:ascii="Book Antiqua" w:eastAsia="Book Antiqua" w:hAnsi="Book Antiqua" w:cs="Book Antiqua"/>
          <w:color w:val="000000"/>
        </w:rPr>
        <w:t>/L</w:t>
      </w:r>
      <w:r>
        <w:rPr>
          <w:rFonts w:ascii="Book Antiqua" w:eastAsia="Book Antiqua" w:hAnsi="Book Antiqua" w:cs="Book Antiqua"/>
          <w:color w:val="000000"/>
        </w:rPr>
        <w:t xml:space="preserve">; total bilirubin/direct bilirubin, 4.45/3.26 mg/dL; </w:t>
      </w:r>
      <w:r w:rsidR="00D163DA">
        <w:rPr>
          <w:rFonts w:ascii="Book Antiqua" w:eastAsia="Book Antiqua" w:hAnsi="Book Antiqua" w:cs="Book Antiqua"/>
          <w:color w:val="000000"/>
        </w:rPr>
        <w:sym w:font="Symbol" w:char="F067"/>
      </w:r>
      <w:r w:rsidR="00D163DA">
        <w:rPr>
          <w:rFonts w:ascii="Book Antiqua" w:eastAsia="Book Antiqua" w:hAnsi="Book Antiqua" w:cs="Book Antiqua"/>
          <w:color w:val="000000"/>
        </w:rPr>
        <w:t>-GTP</w:t>
      </w:r>
      <w:r>
        <w:rPr>
          <w:rFonts w:ascii="Book Antiqua" w:eastAsia="Book Antiqua" w:hAnsi="Book Antiqua" w:cs="Book Antiqua"/>
          <w:color w:val="000000"/>
        </w:rPr>
        <w:t xml:space="preserve"> 639 </w:t>
      </w:r>
      <w:r w:rsidR="007A713F">
        <w:rPr>
          <w:rFonts w:ascii="Book Antiqua" w:eastAsia="Book Antiqua" w:hAnsi="Book Antiqua" w:cs="Book Antiqua"/>
          <w:color w:val="000000"/>
        </w:rPr>
        <w:t>U</w:t>
      </w:r>
      <w:r w:rsidR="00D27C47">
        <w:rPr>
          <w:rFonts w:ascii="Book Antiqua" w:eastAsia="Book Antiqua" w:hAnsi="Book Antiqua" w:cs="Book Antiqua"/>
          <w:color w:val="000000"/>
        </w:rPr>
        <w:t xml:space="preserve">/L </w:t>
      </w:r>
      <w:r>
        <w:rPr>
          <w:rFonts w:ascii="Book Antiqua" w:eastAsia="Book Antiqua" w:hAnsi="Book Antiqua" w:cs="Book Antiqua"/>
          <w:color w:val="000000"/>
        </w:rPr>
        <w:t>(</w:t>
      </w:r>
      <w:r w:rsidR="007A713F">
        <w:rPr>
          <w:rFonts w:ascii="Book Antiqua" w:eastAsia="Book Antiqua" w:hAnsi="Book Antiqua" w:cs="Book Antiqua"/>
          <w:color w:val="000000"/>
        </w:rPr>
        <w:t xml:space="preserve">normal range </w:t>
      </w:r>
      <w:r>
        <w:rPr>
          <w:rFonts w:ascii="Book Antiqua" w:eastAsia="Book Antiqua" w:hAnsi="Book Antiqua" w:cs="Book Antiqua"/>
          <w:color w:val="000000"/>
        </w:rPr>
        <w:t>5–61</w:t>
      </w:r>
      <w:r w:rsidR="007A713F">
        <w:rPr>
          <w:rFonts w:ascii="Book Antiqua" w:eastAsia="Book Antiqua" w:hAnsi="Book Antiqua" w:cs="Book Antiqua"/>
          <w:color w:val="000000"/>
        </w:rPr>
        <w:t xml:space="preserve"> U/L</w:t>
      </w:r>
      <w:r>
        <w:rPr>
          <w:rFonts w:ascii="Book Antiqua" w:eastAsia="Book Antiqua" w:hAnsi="Book Antiqua" w:cs="Book Antiqua"/>
          <w:color w:val="000000"/>
        </w:rPr>
        <w:t>); and C-reactive protein, 12.32 mg/dL (</w:t>
      </w:r>
      <w:r w:rsidR="007A713F">
        <w:rPr>
          <w:rFonts w:ascii="Book Antiqua" w:eastAsia="Book Antiqua" w:hAnsi="Book Antiqua" w:cs="Book Antiqua"/>
          <w:color w:val="000000"/>
        </w:rPr>
        <w:t xml:space="preserve">normal range </w:t>
      </w:r>
      <w:r>
        <w:rPr>
          <w:rFonts w:ascii="Book Antiqua" w:eastAsia="Book Antiqua" w:hAnsi="Book Antiqua" w:cs="Book Antiqua"/>
          <w:color w:val="000000"/>
        </w:rPr>
        <w:t>0–0.3</w:t>
      </w:r>
      <w:r w:rsidR="007A713F">
        <w:rPr>
          <w:rFonts w:ascii="Book Antiqua" w:eastAsia="Book Antiqua" w:hAnsi="Book Antiqua" w:cs="Book Antiqua"/>
          <w:color w:val="000000"/>
        </w:rPr>
        <w:t xml:space="preserve"> mg/dL</w:t>
      </w:r>
      <w:r>
        <w:rPr>
          <w:rFonts w:ascii="Book Antiqua" w:eastAsia="Book Antiqua" w:hAnsi="Book Antiqua" w:cs="Book Antiqua"/>
          <w:color w:val="000000"/>
        </w:rPr>
        <w:t>).</w:t>
      </w:r>
    </w:p>
    <w:p w14:paraId="12DDBBE5" w14:textId="77777777" w:rsidR="005D7EB8" w:rsidRDefault="005D7EB8">
      <w:pPr>
        <w:adjustRightInd w:val="0"/>
        <w:snapToGrid w:val="0"/>
        <w:spacing w:line="360" w:lineRule="auto"/>
        <w:jc w:val="both"/>
        <w:rPr>
          <w:rFonts w:ascii="Book Antiqua" w:hAnsi="Book Antiqua"/>
        </w:rPr>
      </w:pPr>
    </w:p>
    <w:p w14:paraId="5F7DF35E"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7DEE394F" w14:textId="72C2F865"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An initial simple radiography revealed a slight ileus (Figure 1). Abdominal computed tomography (CT) showed a distended gallbladder with edematous wall change and a 55 mm × 40 mm</w:t>
      </w:r>
      <w:r w:rsidR="00D163DA">
        <w:rPr>
          <w:rFonts w:ascii="Book Antiqua" w:eastAsia="Book Antiqua" w:hAnsi="Book Antiqua" w:cs="Book Antiqua"/>
          <w:color w:val="000000"/>
        </w:rPr>
        <w:t xml:space="preserve"> </w:t>
      </w:r>
      <w:r>
        <w:rPr>
          <w:rFonts w:ascii="Book Antiqua" w:eastAsia="Book Antiqua" w:hAnsi="Book Antiqua" w:cs="Book Antiqua"/>
          <w:color w:val="000000"/>
        </w:rPr>
        <w:t>hematoma.</w:t>
      </w:r>
    </w:p>
    <w:p w14:paraId="37197593" w14:textId="77777777" w:rsidR="005D7EB8" w:rsidRDefault="005D7EB8">
      <w:pPr>
        <w:adjustRightInd w:val="0"/>
        <w:snapToGrid w:val="0"/>
        <w:spacing w:line="360" w:lineRule="auto"/>
        <w:jc w:val="both"/>
        <w:rPr>
          <w:rFonts w:ascii="Book Antiqua" w:hAnsi="Book Antiqua"/>
        </w:rPr>
      </w:pPr>
    </w:p>
    <w:p w14:paraId="66C05534"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FINAL DIAGNOSIS</w:t>
      </w:r>
    </w:p>
    <w:p w14:paraId="19CF7C95" w14:textId="3CC0374C" w:rsidR="005D7EB8" w:rsidRDefault="004E0531" w:rsidP="007A713F">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 biliary colic pain, and laboratory findings showed elevations in bilirubin and liver function enzymes and a markedly increased </w:t>
      </w:r>
      <w:r>
        <w:rPr>
          <w:rStyle w:val="text-serif"/>
          <w:rFonts w:ascii="Book Antiqua" w:eastAsia="Book Antiqua" w:hAnsi="Book Antiqua" w:cs="Book Antiqua"/>
          <w:color w:val="000000"/>
        </w:rPr>
        <w:t>γ</w:t>
      </w:r>
      <w:r>
        <w:rPr>
          <w:rFonts w:ascii="Book Antiqua" w:eastAsia="Book Antiqua" w:hAnsi="Book Antiqua" w:cs="Book Antiqua"/>
          <w:color w:val="000000"/>
        </w:rPr>
        <w:t>-glutamyl transferase level. Furthermore, the intrahepatic bile duct dilatation finding on CT suggested a common bile duct obstruction.</w:t>
      </w:r>
      <w:r w:rsidR="00D163DA">
        <w:rPr>
          <w:rFonts w:ascii="Book Antiqua" w:eastAsia="Book Antiqua" w:hAnsi="Book Antiqua" w:cs="Book Antiqua"/>
          <w:color w:val="000000"/>
        </w:rPr>
        <w:t xml:space="preserve"> </w:t>
      </w:r>
      <w:r>
        <w:rPr>
          <w:rFonts w:ascii="Book Antiqua" w:eastAsia="Book Antiqua" w:hAnsi="Book Antiqua" w:cs="Book Antiqua"/>
          <w:color w:val="000000"/>
        </w:rPr>
        <w:t>Based on these findings, gallbladder hematoma (55 mm × 40 mm) with common bile duct obstruction due to traumatic injury was diagnosed.</w:t>
      </w:r>
    </w:p>
    <w:p w14:paraId="47EB139B" w14:textId="77777777" w:rsidR="005D7EB8" w:rsidRDefault="005D7EB8">
      <w:pPr>
        <w:adjustRightInd w:val="0"/>
        <w:snapToGrid w:val="0"/>
        <w:spacing w:line="360" w:lineRule="auto"/>
        <w:ind w:firstLine="480"/>
        <w:jc w:val="both"/>
        <w:rPr>
          <w:rFonts w:ascii="Book Antiqua" w:hAnsi="Book Antiqua"/>
        </w:rPr>
      </w:pPr>
    </w:p>
    <w:p w14:paraId="205BF2FC"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TREATMENT</w:t>
      </w:r>
    </w:p>
    <w:p w14:paraId="02856094" w14:textId="4AA7AA3B"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Following antibiotic treatment, we performed endoscopic retrograde cholangiopancreatography</w:t>
      </w:r>
      <w:r w:rsidR="00D163DA">
        <w:rPr>
          <w:rFonts w:ascii="Book Antiqua" w:eastAsia="Book Antiqua" w:hAnsi="Book Antiqua" w:cs="Book Antiqua"/>
          <w:color w:val="000000"/>
        </w:rPr>
        <w:t xml:space="preserve"> (ERCP)</w:t>
      </w:r>
      <w:r>
        <w:rPr>
          <w:rFonts w:ascii="Book Antiqua" w:eastAsia="Book Antiqua" w:hAnsi="Book Antiqua" w:cs="Book Antiqua"/>
          <w:color w:val="000000"/>
        </w:rPr>
        <w:t>. There was a suspicion of amorphous filling defects in the common bile duct. Hemobilia was observed on cannulation during endoscopy (Figure 2). We deployed a 5 Fr, 4-cm</w:t>
      </w:r>
      <w:r w:rsidR="00D163DA">
        <w:rPr>
          <w:rFonts w:ascii="Book Antiqua" w:eastAsia="Book Antiqua" w:hAnsi="Book Antiqua" w:cs="Book Antiqua"/>
          <w:color w:val="000000"/>
        </w:rPr>
        <w:t>,</w:t>
      </w:r>
      <w:r>
        <w:rPr>
          <w:rFonts w:ascii="Book Antiqua" w:eastAsia="Book Antiqua" w:hAnsi="Book Antiqua" w:cs="Book Antiqua"/>
          <w:color w:val="000000"/>
        </w:rPr>
        <w:t xml:space="preserve"> single-pigtail plastic stent. After stent deployment, the patient’s symptoms were slightly relieved, and the laboratory findings showed improvement. After antibiotic treatment with 2 g cefotaxime and 500 mg metronidazole every 8 h for 5 d, the patient was discharged.</w:t>
      </w:r>
    </w:p>
    <w:p w14:paraId="51D6B5A0" w14:textId="77777777" w:rsidR="005D7EB8" w:rsidRDefault="005D7EB8">
      <w:pPr>
        <w:adjustRightInd w:val="0"/>
        <w:snapToGrid w:val="0"/>
        <w:spacing w:line="360" w:lineRule="auto"/>
        <w:jc w:val="both"/>
        <w:rPr>
          <w:rFonts w:ascii="Book Antiqua" w:hAnsi="Book Antiqua"/>
        </w:rPr>
      </w:pPr>
    </w:p>
    <w:p w14:paraId="3502AD3E"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OUTCOME AND FOLLOW-UP</w:t>
      </w:r>
    </w:p>
    <w:p w14:paraId="68AF5AAD" w14:textId="42E29D12" w:rsidR="005D7EB8" w:rsidRDefault="004E0531" w:rsidP="007A713F">
      <w:pPr>
        <w:adjustRightInd w:val="0"/>
        <w:snapToGrid w:val="0"/>
        <w:spacing w:line="360" w:lineRule="auto"/>
        <w:jc w:val="both"/>
        <w:rPr>
          <w:rFonts w:ascii="Book Antiqua" w:hAnsi="Book Antiqua"/>
        </w:rPr>
      </w:pPr>
      <w:r>
        <w:rPr>
          <w:rFonts w:ascii="Book Antiqua" w:eastAsia="Book Antiqua" w:hAnsi="Book Antiqua" w:cs="Book Antiqua"/>
          <w:color w:val="000000"/>
        </w:rPr>
        <w:t>After a 1-w</w:t>
      </w:r>
      <w:r w:rsidR="00D163DA">
        <w:rPr>
          <w:rFonts w:ascii="Book Antiqua" w:eastAsia="Book Antiqua" w:hAnsi="Book Antiqua" w:cs="Book Antiqua"/>
          <w:color w:val="000000"/>
        </w:rPr>
        <w:t>ee</w:t>
      </w:r>
      <w:r>
        <w:rPr>
          <w:rFonts w:ascii="Book Antiqua" w:eastAsia="Book Antiqua" w:hAnsi="Book Antiqua" w:cs="Book Antiqua"/>
          <w:color w:val="000000"/>
        </w:rPr>
        <w:t xml:space="preserve">k interval, the patient revisited the hospital due to slight abdominal discomfort and constipation, after which he was admitted to the inpatient ward for close observation. On admission, a stool softener was administered, as stool impaction was observed on </w:t>
      </w:r>
      <w:r w:rsidR="00D163DA">
        <w:rPr>
          <w:rFonts w:ascii="Book Antiqua" w:eastAsia="Book Antiqua" w:hAnsi="Book Antiqua" w:cs="Book Antiqua"/>
          <w:color w:val="000000"/>
        </w:rPr>
        <w:t xml:space="preserve">abdominal </w:t>
      </w:r>
      <w:r>
        <w:rPr>
          <w:rFonts w:ascii="Book Antiqua" w:eastAsia="Book Antiqua" w:hAnsi="Book Antiqua" w:cs="Book Antiqua"/>
          <w:color w:val="000000"/>
        </w:rPr>
        <w:t>X-ray</w:t>
      </w:r>
      <w:r w:rsidR="00D163DA">
        <w:rPr>
          <w:rFonts w:ascii="Book Antiqua" w:eastAsia="Book Antiqua" w:hAnsi="Book Antiqua" w:cs="Book Antiqua"/>
          <w:color w:val="000000"/>
        </w:rPr>
        <w:t>s</w:t>
      </w:r>
      <w:r>
        <w:rPr>
          <w:rFonts w:ascii="Book Antiqua" w:eastAsia="Book Antiqua" w:hAnsi="Book Antiqua" w:cs="Book Antiqua"/>
          <w:color w:val="000000"/>
        </w:rPr>
        <w:t xml:space="preserve">, and the patient had constipation. The abdominal pain was relieved, and no other specific symptoms or fever developed. The laboratory findings were within the normal ranges without antibiotic treatment. In the follow-up CT performed after 10 d, hematoma and distension showed improvement, but mild edematous wall thickening of the gallbladder remained. The stent had been spontaneously removed. The patient’s course was uneventful, and he was discharged </w:t>
      </w:r>
      <w:r w:rsidR="00D163DA">
        <w:rPr>
          <w:rFonts w:ascii="Book Antiqua" w:eastAsia="Book Antiqua" w:hAnsi="Book Antiqua" w:cs="Book Antiqua"/>
          <w:color w:val="000000"/>
        </w:rPr>
        <w:t xml:space="preserve">1 </w:t>
      </w:r>
      <w:r w:rsidR="00D163DA">
        <w:rPr>
          <w:rFonts w:ascii="Book Antiqua" w:eastAsia="Book Antiqua" w:hAnsi="Book Antiqua" w:cs="Book Antiqua"/>
          <w:color w:val="000000"/>
        </w:rPr>
        <w:lastRenderedPageBreak/>
        <w:t>wk</w:t>
      </w:r>
      <w:r>
        <w:rPr>
          <w:rFonts w:ascii="Book Antiqua" w:eastAsia="Book Antiqua" w:hAnsi="Book Antiqua" w:cs="Book Antiqua"/>
          <w:color w:val="000000"/>
        </w:rPr>
        <w:t xml:space="preserve"> after CT follow-up.</w:t>
      </w:r>
      <w:r w:rsidR="00D163DA">
        <w:rPr>
          <w:rFonts w:ascii="Book Antiqua" w:eastAsia="Book Antiqua" w:hAnsi="Book Antiqua" w:cs="Book Antiqua"/>
          <w:color w:val="000000"/>
        </w:rPr>
        <w:t xml:space="preserve"> </w:t>
      </w:r>
      <w:r>
        <w:rPr>
          <w:rFonts w:ascii="Book Antiqua" w:eastAsia="Book Antiqua" w:hAnsi="Book Antiqua" w:cs="Book Antiqua"/>
          <w:color w:val="000000"/>
        </w:rPr>
        <w:t>When the patient visited our clinic for the 1-mo</w:t>
      </w:r>
      <w:r w:rsidR="00D163DA">
        <w:rPr>
          <w:rFonts w:ascii="Book Antiqua" w:eastAsia="Book Antiqua" w:hAnsi="Book Antiqua" w:cs="Book Antiqua"/>
          <w:color w:val="000000"/>
        </w:rPr>
        <w:t>nth</w:t>
      </w:r>
      <w:r>
        <w:rPr>
          <w:rFonts w:ascii="Book Antiqua" w:eastAsia="Book Antiqua" w:hAnsi="Book Antiqua" w:cs="Book Antiqua"/>
          <w:color w:val="000000"/>
        </w:rPr>
        <w:t xml:space="preserve"> follow-up, abdominal CT showed an improved hematoma and a distended gallbladder with mild edematous wall thickening (Figure 3).</w:t>
      </w:r>
    </w:p>
    <w:p w14:paraId="2A369A8E" w14:textId="77777777" w:rsidR="005D7EB8" w:rsidRDefault="005D7EB8">
      <w:pPr>
        <w:adjustRightInd w:val="0"/>
        <w:snapToGrid w:val="0"/>
        <w:spacing w:line="360" w:lineRule="auto"/>
        <w:jc w:val="both"/>
        <w:rPr>
          <w:rFonts w:ascii="Book Antiqua" w:hAnsi="Book Antiqua"/>
        </w:rPr>
      </w:pPr>
    </w:p>
    <w:p w14:paraId="0BD40F28" w14:textId="77777777" w:rsidR="005D7EB8" w:rsidRPr="00D163DA"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DISCUSSION</w:t>
      </w:r>
    </w:p>
    <w:p w14:paraId="615635A4" w14:textId="76D61F39"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Intragallbladder hematoma injury accounts for </w:t>
      </w:r>
      <w:r w:rsidR="00C2342B">
        <w:rPr>
          <w:rFonts w:ascii="Book Antiqua" w:eastAsia="Book Antiqua" w:hAnsi="Book Antiqua" w:cs="Book Antiqua"/>
          <w:color w:val="000000"/>
        </w:rPr>
        <w:t>&lt;</w:t>
      </w:r>
      <w:r>
        <w:rPr>
          <w:rFonts w:ascii="Book Antiqua" w:eastAsia="Book Antiqua" w:hAnsi="Book Antiqua" w:cs="Book Antiqua"/>
          <w:color w:val="000000"/>
        </w:rPr>
        <w:t xml:space="preserve"> 2% of blunt intra-abdominal injuries</w:t>
      </w:r>
      <w:r>
        <w:rPr>
          <w:rFonts w:ascii="Book Antiqua" w:eastAsia="Book Antiqua" w:hAnsi="Book Antiqua" w:cs="Book Antiqua"/>
          <w:color w:val="000000"/>
          <w:vertAlign w:val="superscript"/>
        </w:rPr>
        <w:t>[1,2]</w:t>
      </w:r>
      <w:r>
        <w:rPr>
          <w:rFonts w:ascii="Book Antiqua" w:eastAsia="Book Antiqua" w:hAnsi="Book Antiqua" w:cs="Book Antiqua"/>
          <w:color w:val="000000"/>
        </w:rPr>
        <w:t>. Intra-abdominal hematoma frequently occurs in patients with underlying conditions such as anticoagulation therapy, cirrhosis, renal failure, or even angiosarcoma</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in traumatic events, checking a patient’s medication history or underlying disease state is crucial</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p>
    <w:p w14:paraId="4354B2B0" w14:textId="79F585A9"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Cholecystitis symptoms such as right upper quadrant tenderness, fever, and leukocytosis might occur in blunt injury with intragallbladder hematoma. In addition, symptoms such as hematemesis, melena, and hemobilia may also occur. Most hematomas in the gallbladder lead to blood clots and obstruction of the common bile duct. This can result in cholangitis, which should be closely monitored, as a delay in diagnosing the obstruction can worsen the prognosis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t>
      </w:r>
    </w:p>
    <w:p w14:paraId="2357E92C" w14:textId="0F78C466"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Furthermore, blunt traumatic injury of the gallbladder itself can lead to other complications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such as delayed perforation, gallstone formation due to clot retention, and hemorrhagic cholecystitis. In such cases, if there is no improvement, cholecystitis requires surgery. In patients who are unstable, cholecystostomy can be an option</w:t>
      </w:r>
      <w:r>
        <w:rPr>
          <w:rFonts w:ascii="Book Antiqua" w:eastAsia="Book Antiqua" w:hAnsi="Book Antiqua" w:cs="Book Antiqua"/>
          <w:color w:val="000000"/>
          <w:vertAlign w:val="superscript"/>
        </w:rPr>
        <w:t>[5,8]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14:paraId="7E9911A6" w14:textId="77777777"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Due to concerns of delayed complications such as gallbladder necrosis or ischemia, physicians are reluctant to provide conservative treatment</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p>
    <w:p w14:paraId="5147173F" w14:textId="271325BE"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However, as in our case, after retention of the bile tract is resolved, conservative treatment should be considered as </w:t>
      </w:r>
      <w:r w:rsidR="00C2342B">
        <w:rPr>
          <w:rFonts w:ascii="Book Antiqua" w:eastAsia="Book Antiqua" w:hAnsi="Book Antiqua" w:cs="Book Antiqua"/>
          <w:color w:val="000000"/>
        </w:rPr>
        <w:t>an</w:t>
      </w:r>
      <w:r>
        <w:rPr>
          <w:rFonts w:ascii="Book Antiqua" w:eastAsia="Book Antiqua" w:hAnsi="Book Antiqua" w:cs="Book Antiqua"/>
          <w:color w:val="000000"/>
        </w:rPr>
        <w:t xml:space="preserve"> option if the laboratory test results show improvement and the patient shows a favorable clinical course.</w:t>
      </w:r>
    </w:p>
    <w:p w14:paraId="2F53B52A" w14:textId="04967F67"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decision on conservative treatment was challenging. As a surgeon, treatment by a surgical approach is a tempting method and is easily performed. However, considering the patient’s symptoms and laboratory findings, we decided to consider other treatment options. In this patient’s case, after </w:t>
      </w:r>
      <w:r w:rsidR="00C2342B">
        <w:rPr>
          <w:rFonts w:ascii="Book Antiqua" w:eastAsia="Book Antiqua" w:hAnsi="Book Antiqua" w:cs="Book Antiqua"/>
          <w:color w:val="000000"/>
        </w:rPr>
        <w:t>ERCP</w:t>
      </w:r>
      <w:r>
        <w:rPr>
          <w:rFonts w:ascii="Book Antiqua" w:eastAsia="Book Antiqua" w:hAnsi="Book Antiqua" w:cs="Book Antiqua"/>
          <w:color w:val="000000"/>
        </w:rPr>
        <w:t xml:space="preserve"> and cannulation were performed, the patient’s abdominal tenderness improved daily. Furthermore, the patient’s gallstone</w:t>
      </w:r>
      <w:r w:rsidR="00C2342B">
        <w:rPr>
          <w:rFonts w:ascii="Book Antiqua" w:eastAsia="Book Antiqua" w:hAnsi="Book Antiqua" w:cs="Book Antiqua"/>
          <w:color w:val="000000"/>
        </w:rPr>
        <w:t>s</w:t>
      </w:r>
      <w:r>
        <w:rPr>
          <w:rFonts w:ascii="Book Antiqua" w:eastAsia="Book Antiqua" w:hAnsi="Book Antiqua" w:cs="Book Antiqua"/>
          <w:color w:val="000000"/>
        </w:rPr>
        <w:t xml:space="preserve"> </w:t>
      </w:r>
      <w:r w:rsidR="00C2342B">
        <w:rPr>
          <w:rFonts w:ascii="Book Antiqua" w:eastAsia="Book Antiqua" w:hAnsi="Book Antiqua" w:cs="Book Antiqua"/>
          <w:color w:val="000000"/>
        </w:rPr>
        <w:t xml:space="preserve">were </w:t>
      </w:r>
      <w:r>
        <w:rPr>
          <w:rFonts w:ascii="Book Antiqua" w:eastAsia="Book Antiqua" w:hAnsi="Book Antiqua" w:cs="Book Antiqua"/>
          <w:color w:val="000000"/>
        </w:rPr>
        <w:lastRenderedPageBreak/>
        <w:t xml:space="preserve">spontaneously formed by hematoma, his fever was relieved, and his laboratory findings decreased to </w:t>
      </w:r>
      <w:r w:rsidR="00C2342B">
        <w:rPr>
          <w:rFonts w:ascii="Book Antiqua" w:eastAsia="Book Antiqua" w:hAnsi="Book Antiqua" w:cs="Book Antiqua"/>
          <w:color w:val="000000"/>
        </w:rPr>
        <w:t xml:space="preserve">within </w:t>
      </w:r>
      <w:r>
        <w:rPr>
          <w:rFonts w:ascii="Book Antiqua" w:eastAsia="Book Antiqua" w:hAnsi="Book Antiqua" w:cs="Book Antiqua"/>
          <w:color w:val="000000"/>
        </w:rPr>
        <w:t>the normal range</w:t>
      </w:r>
      <w:r w:rsidR="00C2342B">
        <w:rPr>
          <w:rFonts w:ascii="Book Antiqua" w:eastAsia="Book Antiqua" w:hAnsi="Book Antiqua" w:cs="Book Antiqua"/>
          <w:color w:val="000000"/>
        </w:rPr>
        <w:t>s</w:t>
      </w:r>
      <w:r>
        <w:rPr>
          <w:rFonts w:ascii="Book Antiqua" w:eastAsia="Book Antiqua" w:hAnsi="Book Antiqua" w:cs="Book Antiqua"/>
          <w:color w:val="000000"/>
        </w:rPr>
        <w:t>. With symptom improvement and no other complications, stopping antibiotics was the final consideration for treatment that was completed with a conservative approach.</w:t>
      </w:r>
    </w:p>
    <w:p w14:paraId="3959C79A" w14:textId="1A0C8099"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However, before considering conservative treatment, it is necessary to confirm whether there are other accompanying intra-abdominal injuries in the patient and whether the required treatment of such injuries is likely to prolong the hospital stay. Furthermore, in cases where gallbladder stones are present or the clinical manifestation is cholecystitis, </w:t>
      </w:r>
      <w:r w:rsidR="00C2342B">
        <w:rPr>
          <w:rFonts w:ascii="Book Antiqua" w:eastAsia="Book Antiqua" w:hAnsi="Book Antiqua" w:cs="Book Antiqua"/>
          <w:color w:val="000000"/>
        </w:rPr>
        <w:t xml:space="preserve">surgery </w:t>
      </w:r>
      <w:r>
        <w:rPr>
          <w:rFonts w:ascii="Book Antiqua" w:eastAsia="Book Antiqua" w:hAnsi="Book Antiqua" w:cs="Book Antiqua"/>
          <w:color w:val="000000"/>
        </w:rPr>
        <w:t>or cholecystostomy should be considered as treatment options. This patient’s gallbladder hematoma size gradually decreased and completely resolved after long-term follow-up. Therefore, no other interventions were needed.</w:t>
      </w:r>
    </w:p>
    <w:p w14:paraId="444B3364" w14:textId="6F1D2F48"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clinical picture of cholelithiasis and cholecystitis usually occurs in acute </w:t>
      </w:r>
      <w:r w:rsidR="00C2342B">
        <w:rPr>
          <w:rFonts w:ascii="Book Antiqua" w:eastAsia="Book Antiqua" w:hAnsi="Book Antiqua" w:cs="Book Antiqua"/>
          <w:color w:val="000000"/>
        </w:rPr>
        <w:t xml:space="preserve">or </w:t>
      </w:r>
      <w:r>
        <w:rPr>
          <w:rFonts w:ascii="Book Antiqua" w:eastAsia="Book Antiqua" w:hAnsi="Book Antiqua" w:cs="Book Antiqua"/>
          <w:color w:val="000000"/>
        </w:rPr>
        <w:t>chronic</w:t>
      </w:r>
      <w:r w:rsidR="00C2342B">
        <w:rPr>
          <w:rFonts w:ascii="Book Antiqua" w:eastAsia="Book Antiqua" w:hAnsi="Book Antiqua" w:cs="Book Antiqua"/>
          <w:color w:val="000000"/>
        </w:rPr>
        <w:t xml:space="preserve"> forms</w:t>
      </w:r>
      <w:r>
        <w:rPr>
          <w:rFonts w:ascii="Book Antiqua" w:eastAsia="Book Antiqua" w:hAnsi="Book Antiqua" w:cs="Book Antiqua"/>
          <w:color w:val="000000"/>
        </w:rPr>
        <w:t>. Acute cholecystitis usually requires treatment with antibiotics or cholecystectomy. In the case of acute cholecystitis, gallbladder resection is a common treatment of choice after diagnosis. If urgent cholecystectomy is not possible, surgery can be postponed until the acute course of symptoms is resolved. If symptoms resolve and the processes are controlled, surgery can then be selectively performed.</w:t>
      </w:r>
    </w:p>
    <w:p w14:paraId="13FF5201" w14:textId="2DCC0C63"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searched PubMed for a review of treatment options for similar cases of traumatic gallbladder hematoma. In a case reported by Nishiwaki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patient was managed conservatively over 30 d and eventually underwent cholecystectomy. In this case, the patient had liver cirrhosis and consistent anemia detected during the admission period. For further evaluation, the authors performed ultrasonography-guided aspiration. In these circumstances, continuing conservative treatment may have resulted in a fatal situation.</w:t>
      </w:r>
    </w:p>
    <w:p w14:paraId="44F9BF90" w14:textId="77777777"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When the diagnosis is unclear in isolated gallbladder injury, CT scan and cholecystectomy are considered the treatment of choice, as reported by Birn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This was supported by the postoperative diagnostic results in Birn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case of a partially avulsed gallbladder specimen that was not identified on CT. </w:t>
      </w:r>
    </w:p>
    <w:p w14:paraId="3C36D0ED" w14:textId="0803F3D5"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 blunt trauma case reported by Tudyka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hydroptic gallbladder with intraluminal hematoma and dilatation of the common bile duct was found in the patient’s </w:t>
      </w:r>
      <w:r>
        <w:rPr>
          <w:rFonts w:ascii="Book Antiqua" w:eastAsia="Book Antiqua" w:hAnsi="Book Antiqua" w:cs="Book Antiqua"/>
          <w:color w:val="000000"/>
        </w:rPr>
        <w:lastRenderedPageBreak/>
        <w:t xml:space="preserve">CT scan. Without other options, the patient underwent explorative laparotomy, and cholecystectomy was performed. There was no perforation of the resected gallbladder, and a large intraluminal hematoma was seen in the specimen. In a similar case of isolated blunt gallbladder trauma with intraluminal hemorrhage reported by Como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patient underwent laparoscopic cholecystectomy due to suspected hemorrhagic findings in the gallbladder on CT scan. Even though the patient had tenderness in the right upper quadrant of the abdomen, combined right second to fourth rib fractures and pneumothorax may have also explained their pain. As seen in our case, conservative treatment options may have been carefully considered in these two cases.</w:t>
      </w:r>
    </w:p>
    <w:p w14:paraId="1DF9F73B" w14:textId="6AE025BC" w:rsidR="005D7EB8" w:rsidRDefault="004E0531" w:rsidP="007A713F">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ERCP treatment might also cause iatrogenic complications. In a case report by Staszak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ERCP with stent placement was performed to treat hemobilia of cholangitis, and after the procedure, laparoscopic cholecystectomy was performed the following day for the treatment of combined cholecystitis. However, after these interventions, pseudoaneurysms of the posterior margins of the liver just above the gallbladder border developed. Even if this case was not caused by traumatic events, the risks of hemobilia and ERCP treatment should not be underestimated. </w:t>
      </w:r>
    </w:p>
    <w:p w14:paraId="198E51D3" w14:textId="34149DCD"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Our case showed spontaneous resolution even with the presence of a large (4 × 5 cm) gallbladder hematoma. Therefore, when symptoms occur, it is important to determine the cause of biliary colic pain before proceeding with cholecystitis treatment. In fact, in our patient, a stepladder pattern was seen on simple radiography, and physical examination showed increased bowel sounds at the time of the visit. This can be seen as a visceral pain pattern caused by blockage of the cystic duct, and the contractions were caused by the impacted stone. In most cases, the presence of blunt injury cannot rule out that of coexisting bowel injury; therefore, it is important to monitor for this type of pain.</w:t>
      </w:r>
    </w:p>
    <w:p w14:paraId="03E5D8C2" w14:textId="77777777"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If pain persists and worsens, treatment should be determined based on the development of additional cholecystitis, cholangitis, or accompanying pancreatitis.</w:t>
      </w:r>
    </w:p>
    <w:p w14:paraId="23B93A6F" w14:textId="77777777" w:rsidR="005D7EB8" w:rsidRDefault="004E0531">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this patient, the stone-like hematoma of the gallbladder spontaneously resolved; however, if it remained in the form of a gallstone after treatment, the course of the disease was monitored periodically. If there is recurrent pain in the form of biliary colic pain that leads to later inflammation, surgical treatment would have been needed.</w:t>
      </w:r>
    </w:p>
    <w:p w14:paraId="14037165" w14:textId="77777777" w:rsidR="005D7EB8" w:rsidRDefault="005D7EB8">
      <w:pPr>
        <w:adjustRightInd w:val="0"/>
        <w:snapToGrid w:val="0"/>
        <w:spacing w:line="360" w:lineRule="auto"/>
        <w:ind w:firstLine="195"/>
        <w:jc w:val="both"/>
        <w:rPr>
          <w:rFonts w:ascii="Book Antiqua" w:hAnsi="Book Antiqua"/>
        </w:rPr>
      </w:pPr>
    </w:p>
    <w:p w14:paraId="6321E497" w14:textId="77777777" w:rsidR="005D7EB8" w:rsidRPr="00B803CD" w:rsidRDefault="004E0531">
      <w:pPr>
        <w:adjustRightInd w:val="0"/>
        <w:snapToGrid w:val="0"/>
        <w:spacing w:line="360" w:lineRule="auto"/>
        <w:jc w:val="both"/>
        <w:rPr>
          <w:rFonts w:ascii="Book Antiqua" w:hAnsi="Book Antiqua"/>
        </w:rPr>
      </w:pPr>
      <w:r w:rsidRPr="007A713F">
        <w:rPr>
          <w:rFonts w:ascii="Book Antiqua" w:eastAsia="Book Antiqua" w:hAnsi="Book Antiqua" w:cs="Book Antiqua"/>
          <w:b/>
          <w:caps/>
          <w:color w:val="000000"/>
        </w:rPr>
        <w:t>CONCLUSION</w:t>
      </w:r>
    </w:p>
    <w:p w14:paraId="264B57D6"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Despite the relatively large hematoma in the form of gallbladder stones and prominent symptoms, conservative treatment may be an effective treatment option if obstruction of the bile duct is resolved.</w:t>
      </w:r>
    </w:p>
    <w:p w14:paraId="3375848F" w14:textId="77777777" w:rsidR="005D7EB8" w:rsidRDefault="005D7EB8">
      <w:pPr>
        <w:adjustRightInd w:val="0"/>
        <w:snapToGrid w:val="0"/>
        <w:spacing w:line="360" w:lineRule="auto"/>
        <w:jc w:val="both"/>
        <w:rPr>
          <w:rFonts w:ascii="Book Antiqua" w:hAnsi="Book Antiqua"/>
        </w:rPr>
      </w:pPr>
    </w:p>
    <w:p w14:paraId="3E6B374B"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32350DD1"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bookmarkStart w:id="4" w:name="OLE_LINK6"/>
      <w:r>
        <w:rPr>
          <w:rFonts w:ascii="Book Antiqua" w:hAnsi="Book Antiqua"/>
          <w:color w:val="201F35"/>
        </w:rPr>
        <w:t>1 </w:t>
      </w:r>
      <w:r>
        <w:rPr>
          <w:rFonts w:ascii="Book Antiqua" w:hAnsi="Book Antiqua"/>
          <w:b/>
          <w:bCs/>
          <w:color w:val="201F35"/>
        </w:rPr>
        <w:t>Wiener I</w:t>
      </w:r>
      <w:r>
        <w:rPr>
          <w:rFonts w:ascii="Book Antiqua" w:hAnsi="Book Antiqua"/>
          <w:color w:val="201F35"/>
        </w:rPr>
        <w:t>, Watson LC, Wolma FJ. Perforation of the gallbladder due to blunt abdominal trauma. </w:t>
      </w:r>
      <w:r>
        <w:rPr>
          <w:rFonts w:ascii="Book Antiqua" w:hAnsi="Book Antiqua"/>
          <w:i/>
          <w:iCs/>
          <w:color w:val="201F35"/>
        </w:rPr>
        <w:t>Arch Surg</w:t>
      </w:r>
      <w:r>
        <w:rPr>
          <w:rFonts w:ascii="Book Antiqua" w:hAnsi="Book Antiqua"/>
          <w:color w:val="201F35"/>
        </w:rPr>
        <w:t> 1982; </w:t>
      </w:r>
      <w:r>
        <w:rPr>
          <w:rFonts w:ascii="Book Antiqua" w:hAnsi="Book Antiqua"/>
          <w:b/>
          <w:bCs/>
          <w:color w:val="201F35"/>
        </w:rPr>
        <w:t>117</w:t>
      </w:r>
      <w:r>
        <w:rPr>
          <w:rFonts w:ascii="Book Antiqua" w:hAnsi="Book Antiqua"/>
          <w:color w:val="201F35"/>
        </w:rPr>
        <w:t>: 805-807 [PMID: 7082171 DOI: 10.1001/archsurg.1982.01380300047011]</w:t>
      </w:r>
    </w:p>
    <w:p w14:paraId="385FCF09"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2 </w:t>
      </w:r>
      <w:r>
        <w:rPr>
          <w:rFonts w:ascii="Book Antiqua" w:hAnsi="Book Antiqua"/>
          <w:b/>
          <w:bCs/>
          <w:color w:val="201F35"/>
        </w:rPr>
        <w:t>Soderstrom CA</w:t>
      </w:r>
      <w:r>
        <w:rPr>
          <w:rFonts w:ascii="Book Antiqua" w:hAnsi="Book Antiqua"/>
          <w:color w:val="201F35"/>
        </w:rPr>
        <w:t>, Maekawa K, DuPriest RW Jr, Cowley RA. Gallbladder injuries resulting from blunt abdominal trauma: an experience and review. </w:t>
      </w:r>
      <w:r>
        <w:rPr>
          <w:rFonts w:ascii="Book Antiqua" w:hAnsi="Book Antiqua"/>
          <w:i/>
          <w:iCs/>
          <w:color w:val="201F35"/>
        </w:rPr>
        <w:t>Ann Surg</w:t>
      </w:r>
      <w:r>
        <w:rPr>
          <w:rFonts w:ascii="Book Antiqua" w:hAnsi="Book Antiqua"/>
          <w:color w:val="201F35"/>
        </w:rPr>
        <w:t> 1981; </w:t>
      </w:r>
      <w:r>
        <w:rPr>
          <w:rFonts w:ascii="Book Antiqua" w:hAnsi="Book Antiqua"/>
          <w:b/>
          <w:bCs/>
          <w:color w:val="201F35"/>
        </w:rPr>
        <w:t>193</w:t>
      </w:r>
      <w:r>
        <w:rPr>
          <w:rFonts w:ascii="Book Antiqua" w:hAnsi="Book Antiqua"/>
          <w:color w:val="201F35"/>
        </w:rPr>
        <w:t>: 60-66 [PMID: 7006529 DOI: 10.1097/00000658-198101000-00010]</w:t>
      </w:r>
    </w:p>
    <w:p w14:paraId="4E966A61"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3 </w:t>
      </w:r>
      <w:r>
        <w:rPr>
          <w:rFonts w:ascii="Book Antiqua" w:hAnsi="Book Antiqua"/>
          <w:b/>
          <w:bCs/>
          <w:color w:val="201F35"/>
        </w:rPr>
        <w:t>Zhang X</w:t>
      </w:r>
      <w:r>
        <w:rPr>
          <w:rFonts w:ascii="Book Antiqua" w:hAnsi="Book Antiqua"/>
          <w:color w:val="201F35"/>
        </w:rPr>
        <w:t>, Zhang C, Huang H, Wang J, Zhang Y, Hu Q. Hemorrhagic cholecystitis with rare imaging presentation: a case report and a lesson learned from neglected medication history of NSAIDs. </w:t>
      </w:r>
      <w:r>
        <w:rPr>
          <w:rFonts w:ascii="Book Antiqua" w:hAnsi="Book Antiqua"/>
          <w:i/>
          <w:iCs/>
          <w:color w:val="201F35"/>
        </w:rPr>
        <w:t>BMC Gastroenterol</w:t>
      </w:r>
      <w:r>
        <w:rPr>
          <w:rFonts w:ascii="Book Antiqua" w:hAnsi="Book Antiqua"/>
          <w:color w:val="201F35"/>
        </w:rPr>
        <w:t> 2020; </w:t>
      </w:r>
      <w:r>
        <w:rPr>
          <w:rFonts w:ascii="Book Antiqua" w:hAnsi="Book Antiqua"/>
          <w:b/>
          <w:bCs/>
          <w:color w:val="201F35"/>
        </w:rPr>
        <w:t>20</w:t>
      </w:r>
      <w:r>
        <w:rPr>
          <w:rFonts w:ascii="Book Antiqua" w:hAnsi="Book Antiqua"/>
          <w:color w:val="201F35"/>
        </w:rPr>
        <w:t>: 172 [PMID: 32503437 DOI: 10.1186/s12876-020-01312-0]</w:t>
      </w:r>
    </w:p>
    <w:p w14:paraId="7B7BEA78"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4 </w:t>
      </w:r>
      <w:r>
        <w:rPr>
          <w:rFonts w:ascii="Book Antiqua" w:hAnsi="Book Antiqua"/>
          <w:b/>
          <w:bCs/>
          <w:color w:val="201F35"/>
        </w:rPr>
        <w:t>McFadden DW</w:t>
      </w:r>
      <w:r>
        <w:rPr>
          <w:rFonts w:ascii="Book Antiqua" w:hAnsi="Book Antiqua"/>
          <w:color w:val="201F35"/>
        </w:rPr>
        <w:t>, Smith GW. Hemodialysis-associated hemorrhagic cholecystitis. </w:t>
      </w:r>
      <w:r>
        <w:rPr>
          <w:rFonts w:ascii="Book Antiqua" w:hAnsi="Book Antiqua"/>
          <w:i/>
          <w:iCs/>
          <w:color w:val="201F35"/>
        </w:rPr>
        <w:t>Am J Gastroenterol</w:t>
      </w:r>
      <w:r>
        <w:rPr>
          <w:rFonts w:ascii="Book Antiqua" w:hAnsi="Book Antiqua"/>
          <w:color w:val="201F35"/>
        </w:rPr>
        <w:t> 1987; </w:t>
      </w:r>
      <w:r>
        <w:rPr>
          <w:rFonts w:ascii="Book Antiqua" w:hAnsi="Book Antiqua"/>
          <w:b/>
          <w:bCs/>
          <w:color w:val="201F35"/>
        </w:rPr>
        <w:t>82</w:t>
      </w:r>
      <w:r>
        <w:rPr>
          <w:rFonts w:ascii="Book Antiqua" w:hAnsi="Book Antiqua"/>
          <w:color w:val="201F35"/>
        </w:rPr>
        <w:t>: 1081-1083 [PMID: 3661520]</w:t>
      </w:r>
    </w:p>
    <w:p w14:paraId="5BDEF8A0"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5 </w:t>
      </w:r>
      <w:r>
        <w:rPr>
          <w:rFonts w:ascii="Book Antiqua" w:hAnsi="Book Antiqua"/>
          <w:b/>
          <w:bCs/>
          <w:color w:val="201F35"/>
        </w:rPr>
        <w:t>Chen YY</w:t>
      </w:r>
      <w:r>
        <w:rPr>
          <w:rFonts w:ascii="Book Antiqua" w:hAnsi="Book Antiqua"/>
          <w:color w:val="201F35"/>
        </w:rPr>
        <w:t>, Yi CH, Chen CL, Huang SC, Hsu YH. Hemorrhagic cholecystitis after anticoagulation therapy. </w:t>
      </w:r>
      <w:r>
        <w:rPr>
          <w:rFonts w:ascii="Book Antiqua" w:hAnsi="Book Antiqua"/>
          <w:i/>
          <w:iCs/>
          <w:color w:val="201F35"/>
        </w:rPr>
        <w:t>Am J Med Sci</w:t>
      </w:r>
      <w:r>
        <w:rPr>
          <w:rFonts w:ascii="Book Antiqua" w:hAnsi="Book Antiqua"/>
          <w:color w:val="201F35"/>
        </w:rPr>
        <w:t> 2010; </w:t>
      </w:r>
      <w:r>
        <w:rPr>
          <w:rFonts w:ascii="Book Antiqua" w:hAnsi="Book Antiqua"/>
          <w:b/>
          <w:bCs/>
          <w:color w:val="201F35"/>
        </w:rPr>
        <w:t>340</w:t>
      </w:r>
      <w:r>
        <w:rPr>
          <w:rFonts w:ascii="Book Antiqua" w:hAnsi="Book Antiqua"/>
          <w:color w:val="201F35"/>
        </w:rPr>
        <w:t>: 338-339 [PMID: 20601855 DOI: 10.1097/MAJ.0b013e3181e9563e]</w:t>
      </w:r>
    </w:p>
    <w:p w14:paraId="13F4F5DC"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6 </w:t>
      </w:r>
      <w:r>
        <w:rPr>
          <w:rFonts w:ascii="Book Antiqua" w:hAnsi="Book Antiqua"/>
          <w:b/>
          <w:bCs/>
          <w:color w:val="201F35"/>
        </w:rPr>
        <w:t>Goel V</w:t>
      </w:r>
      <w:r>
        <w:rPr>
          <w:rFonts w:ascii="Book Antiqua" w:hAnsi="Book Antiqua"/>
          <w:color w:val="201F35"/>
        </w:rPr>
        <w:t>, Kumar N, Soni N. Ruptured Gall Bladder containing Stones following Blunt Trauma Abdomen: A Rare Presentation of Hemodynamic Instability. </w:t>
      </w:r>
      <w:r>
        <w:rPr>
          <w:rFonts w:ascii="Book Antiqua" w:hAnsi="Book Antiqua"/>
          <w:i/>
          <w:iCs/>
          <w:color w:val="201F35"/>
        </w:rPr>
        <w:t>JNMA J Nepal Med Assoc</w:t>
      </w:r>
      <w:r>
        <w:rPr>
          <w:rFonts w:ascii="Book Antiqua" w:hAnsi="Book Antiqua"/>
          <w:color w:val="201F35"/>
        </w:rPr>
        <w:t> 2015; </w:t>
      </w:r>
      <w:r>
        <w:rPr>
          <w:rFonts w:ascii="Book Antiqua" w:hAnsi="Book Antiqua"/>
          <w:b/>
          <w:bCs/>
          <w:color w:val="201F35"/>
        </w:rPr>
        <w:t>53</w:t>
      </w:r>
      <w:r>
        <w:rPr>
          <w:rFonts w:ascii="Book Antiqua" w:hAnsi="Book Antiqua"/>
          <w:color w:val="201F35"/>
        </w:rPr>
        <w:t>: 34-36 [PMID: 26983046]</w:t>
      </w:r>
    </w:p>
    <w:p w14:paraId="3788A355"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7 </w:t>
      </w:r>
      <w:r>
        <w:rPr>
          <w:rFonts w:ascii="Book Antiqua" w:hAnsi="Book Antiqua"/>
          <w:b/>
          <w:bCs/>
          <w:color w:val="201F35"/>
        </w:rPr>
        <w:t>Lauria AL</w:t>
      </w:r>
      <w:r>
        <w:rPr>
          <w:rFonts w:ascii="Book Antiqua" w:hAnsi="Book Antiqua"/>
          <w:color w:val="201F35"/>
        </w:rPr>
        <w:t>, Bradley MJ, Rodriguez CJ, Franklin BR. Hemorrhagic Cholecystitis: An Uncommon Disease Resulting in Hemorrhagic Shock. </w:t>
      </w:r>
      <w:r>
        <w:rPr>
          <w:rFonts w:ascii="Book Antiqua" w:hAnsi="Book Antiqua"/>
          <w:i/>
          <w:iCs/>
          <w:color w:val="201F35"/>
        </w:rPr>
        <w:t>Am Surg</w:t>
      </w:r>
      <w:r>
        <w:rPr>
          <w:rFonts w:ascii="Book Antiqua" w:hAnsi="Book Antiqua"/>
          <w:color w:val="201F35"/>
        </w:rPr>
        <w:t> 2019; </w:t>
      </w:r>
      <w:r>
        <w:rPr>
          <w:rFonts w:ascii="Book Antiqua" w:hAnsi="Book Antiqua"/>
          <w:b/>
          <w:bCs/>
          <w:color w:val="201F35"/>
        </w:rPr>
        <w:t>85</w:t>
      </w:r>
      <w:r>
        <w:rPr>
          <w:rFonts w:ascii="Book Antiqua" w:hAnsi="Book Antiqua"/>
          <w:color w:val="201F35"/>
        </w:rPr>
        <w:t>: e279-e281 [PMID: 31267913]</w:t>
      </w:r>
    </w:p>
    <w:p w14:paraId="0FEEC661"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lastRenderedPageBreak/>
        <w:t>8 </w:t>
      </w:r>
      <w:r>
        <w:rPr>
          <w:rFonts w:ascii="Book Antiqua" w:hAnsi="Book Antiqua"/>
          <w:b/>
          <w:bCs/>
          <w:color w:val="201F35"/>
        </w:rPr>
        <w:t>Ma Z</w:t>
      </w:r>
      <w:r>
        <w:rPr>
          <w:rFonts w:ascii="Book Antiqua" w:hAnsi="Book Antiqua"/>
          <w:color w:val="201F35"/>
        </w:rPr>
        <w:t>, Xu B, Wang L, Mao Y, Zhou B, Song Z, Yang T. Anticoagulants is a risk factor for spontaneous rupture and hemorrhage of gallbladder: a case report and literature review. </w:t>
      </w:r>
      <w:r>
        <w:rPr>
          <w:rFonts w:ascii="Book Antiqua" w:hAnsi="Book Antiqua"/>
          <w:i/>
          <w:iCs/>
          <w:color w:val="201F35"/>
        </w:rPr>
        <w:t>BMC Surg</w:t>
      </w:r>
      <w:r>
        <w:rPr>
          <w:rFonts w:ascii="Book Antiqua" w:hAnsi="Book Antiqua"/>
          <w:color w:val="201F35"/>
        </w:rPr>
        <w:t> 2019; </w:t>
      </w:r>
      <w:r>
        <w:rPr>
          <w:rFonts w:ascii="Book Antiqua" w:hAnsi="Book Antiqua"/>
          <w:b/>
          <w:bCs/>
          <w:color w:val="201F35"/>
        </w:rPr>
        <w:t>19</w:t>
      </w:r>
      <w:r>
        <w:rPr>
          <w:rFonts w:ascii="Book Antiqua" w:hAnsi="Book Antiqua"/>
          <w:color w:val="201F35"/>
        </w:rPr>
        <w:t>: 2 [PMID: 30611267 DOI: 10.1186/s12893-018-0464-6]</w:t>
      </w:r>
    </w:p>
    <w:p w14:paraId="563D2A30"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9 </w:t>
      </w:r>
      <w:r>
        <w:rPr>
          <w:rFonts w:ascii="Book Antiqua" w:hAnsi="Book Antiqua"/>
          <w:b/>
          <w:bCs/>
          <w:color w:val="201F35"/>
        </w:rPr>
        <w:t>Sharma O</w:t>
      </w:r>
      <w:r>
        <w:rPr>
          <w:rFonts w:ascii="Book Antiqua" w:hAnsi="Book Antiqua"/>
          <w:color w:val="201F35"/>
        </w:rPr>
        <w:t>. Blunt gallbladder injuries: presentation of twenty-two cases with review of the literature. </w:t>
      </w:r>
      <w:r>
        <w:rPr>
          <w:rFonts w:ascii="Book Antiqua" w:hAnsi="Book Antiqua"/>
          <w:i/>
          <w:iCs/>
          <w:color w:val="201F35"/>
        </w:rPr>
        <w:t>J Trauma</w:t>
      </w:r>
      <w:r>
        <w:rPr>
          <w:rFonts w:ascii="Book Antiqua" w:hAnsi="Book Antiqua"/>
          <w:color w:val="201F35"/>
        </w:rPr>
        <w:t> 1995; </w:t>
      </w:r>
      <w:r>
        <w:rPr>
          <w:rFonts w:ascii="Book Antiqua" w:hAnsi="Book Antiqua"/>
          <w:b/>
          <w:bCs/>
          <w:color w:val="201F35"/>
        </w:rPr>
        <w:t>39</w:t>
      </w:r>
      <w:r>
        <w:rPr>
          <w:rFonts w:ascii="Book Antiqua" w:hAnsi="Book Antiqua"/>
          <w:color w:val="201F35"/>
        </w:rPr>
        <w:t>: 576-580 [PMID: 7473927 DOI: 10.1097/00005373-199509000-00029]</w:t>
      </w:r>
    </w:p>
    <w:p w14:paraId="03886110"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10 </w:t>
      </w:r>
      <w:r>
        <w:rPr>
          <w:rFonts w:ascii="Book Antiqua" w:hAnsi="Book Antiqua"/>
          <w:b/>
          <w:bCs/>
          <w:color w:val="201F35"/>
        </w:rPr>
        <w:t>Nishiwaki M</w:t>
      </w:r>
      <w:r>
        <w:rPr>
          <w:rFonts w:ascii="Book Antiqua" w:hAnsi="Book Antiqua"/>
          <w:color w:val="201F35"/>
        </w:rPr>
        <w:t>, Ashida H, Nishimura T, Kimura M, Yagyu R, Nishioka A, Utsunomiya J, Yamamura T. Posttraumatic intra-gallbladder hemorrhage in a patient with liver cirrhosis. </w:t>
      </w:r>
      <w:r>
        <w:rPr>
          <w:rFonts w:ascii="Book Antiqua" w:hAnsi="Book Antiqua"/>
          <w:i/>
          <w:iCs/>
          <w:color w:val="201F35"/>
        </w:rPr>
        <w:t>J Gastroenterol</w:t>
      </w:r>
      <w:r>
        <w:rPr>
          <w:rFonts w:ascii="Book Antiqua" w:hAnsi="Book Antiqua"/>
          <w:color w:val="201F35"/>
        </w:rPr>
        <w:t> 1999; </w:t>
      </w:r>
      <w:r>
        <w:rPr>
          <w:rFonts w:ascii="Book Antiqua" w:hAnsi="Book Antiqua"/>
          <w:b/>
          <w:bCs/>
          <w:color w:val="201F35"/>
        </w:rPr>
        <w:t>34</w:t>
      </w:r>
      <w:r>
        <w:rPr>
          <w:rFonts w:ascii="Book Antiqua" w:hAnsi="Book Antiqua"/>
          <w:color w:val="201F35"/>
        </w:rPr>
        <w:t>: 282-285 [PMID: 10213133 DOI: 10.1007/s005350050258]</w:t>
      </w:r>
    </w:p>
    <w:p w14:paraId="22004C53"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11 </w:t>
      </w:r>
      <w:r>
        <w:rPr>
          <w:rFonts w:ascii="Book Antiqua" w:hAnsi="Book Antiqua"/>
          <w:b/>
          <w:bCs/>
          <w:color w:val="201F35"/>
        </w:rPr>
        <w:t>Birn J</w:t>
      </w:r>
      <w:r>
        <w:rPr>
          <w:rFonts w:ascii="Book Antiqua" w:hAnsi="Book Antiqua"/>
          <w:color w:val="201F35"/>
        </w:rPr>
        <w:t>, Jung M, Dearing M. Isolated gallbladder injury in a case of blunt abdominal trauma. </w:t>
      </w:r>
      <w:r>
        <w:rPr>
          <w:rFonts w:ascii="Book Antiqua" w:hAnsi="Book Antiqua"/>
          <w:i/>
          <w:iCs/>
          <w:color w:val="201F35"/>
        </w:rPr>
        <w:t>J Radiol Case Rep</w:t>
      </w:r>
      <w:r>
        <w:rPr>
          <w:rFonts w:ascii="Book Antiqua" w:hAnsi="Book Antiqua"/>
          <w:color w:val="201F35"/>
        </w:rPr>
        <w:t> 2012; </w:t>
      </w:r>
      <w:r>
        <w:rPr>
          <w:rFonts w:ascii="Book Antiqua" w:hAnsi="Book Antiqua"/>
          <w:b/>
          <w:bCs/>
          <w:color w:val="201F35"/>
        </w:rPr>
        <w:t>6</w:t>
      </w:r>
      <w:r>
        <w:rPr>
          <w:rFonts w:ascii="Book Antiqua" w:hAnsi="Book Antiqua"/>
          <w:color w:val="201F35"/>
        </w:rPr>
        <w:t>: 25-30 [PMID: 22690293 DOI: 10.3941/jrcr.v6i4.941]</w:t>
      </w:r>
    </w:p>
    <w:p w14:paraId="007CD7C2"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12 </w:t>
      </w:r>
      <w:r>
        <w:rPr>
          <w:rFonts w:ascii="Book Antiqua" w:hAnsi="Book Antiqua"/>
          <w:b/>
          <w:bCs/>
          <w:color w:val="201F35"/>
        </w:rPr>
        <w:t>Tudyka V</w:t>
      </w:r>
      <w:r>
        <w:rPr>
          <w:rFonts w:ascii="Book Antiqua" w:hAnsi="Book Antiqua"/>
          <w:color w:val="201F35"/>
        </w:rPr>
        <w:t xml:space="preserve">, </w:t>
      </w:r>
      <w:proofErr w:type="spellStart"/>
      <w:r>
        <w:rPr>
          <w:rFonts w:ascii="Book Antiqua" w:hAnsi="Book Antiqua"/>
          <w:color w:val="201F35"/>
        </w:rPr>
        <w:t>Toebosch</w:t>
      </w:r>
      <w:proofErr w:type="spellEnd"/>
      <w:r>
        <w:rPr>
          <w:rFonts w:ascii="Book Antiqua" w:hAnsi="Book Antiqua"/>
          <w:color w:val="201F35"/>
        </w:rPr>
        <w:t xml:space="preserve"> S, Zuidema W. Isolated Gallbladder Injury after Blunt Abdominal Trauma: a Case Report and Review. </w:t>
      </w:r>
      <w:r>
        <w:rPr>
          <w:rFonts w:ascii="Book Antiqua" w:hAnsi="Book Antiqua"/>
          <w:i/>
          <w:iCs/>
          <w:color w:val="201F35"/>
        </w:rPr>
        <w:t>Eur J Trauma Emerg Surg</w:t>
      </w:r>
      <w:r>
        <w:rPr>
          <w:rFonts w:ascii="Book Antiqua" w:hAnsi="Book Antiqua"/>
          <w:color w:val="201F35"/>
        </w:rPr>
        <w:t> 2007; </w:t>
      </w:r>
      <w:r>
        <w:rPr>
          <w:rFonts w:ascii="Book Antiqua" w:hAnsi="Book Antiqua"/>
          <w:b/>
          <w:bCs/>
          <w:color w:val="201F35"/>
        </w:rPr>
        <w:t>33</w:t>
      </w:r>
      <w:r>
        <w:rPr>
          <w:rFonts w:ascii="Book Antiqua" w:hAnsi="Book Antiqua"/>
          <w:color w:val="201F35"/>
        </w:rPr>
        <w:t>: 545-549 [PMID: 26814940 DOI: 10.1007/s00068-007-6202-x]</w:t>
      </w:r>
    </w:p>
    <w:p w14:paraId="506DEB84"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13 </w:t>
      </w:r>
      <w:r>
        <w:rPr>
          <w:rFonts w:ascii="Book Antiqua" w:hAnsi="Book Antiqua"/>
          <w:b/>
          <w:bCs/>
          <w:color w:val="201F35"/>
        </w:rPr>
        <w:t>Como JJ</w:t>
      </w:r>
      <w:r>
        <w:rPr>
          <w:rFonts w:ascii="Book Antiqua" w:hAnsi="Book Antiqua"/>
          <w:color w:val="201F35"/>
        </w:rPr>
        <w:t xml:space="preserve">, </w:t>
      </w:r>
      <w:proofErr w:type="spellStart"/>
      <w:r>
        <w:rPr>
          <w:rFonts w:ascii="Book Antiqua" w:hAnsi="Book Antiqua"/>
          <w:color w:val="201F35"/>
        </w:rPr>
        <w:t>Schieda</w:t>
      </w:r>
      <w:proofErr w:type="spellEnd"/>
      <w:r>
        <w:rPr>
          <w:rFonts w:ascii="Book Antiqua" w:hAnsi="Book Antiqua"/>
          <w:color w:val="201F35"/>
        </w:rPr>
        <w:t xml:space="preserve"> J, Claridge JA. Laparoscopic cholecystectomy after isolated blunt gallbladder trauma resulting in intraluminal hemorrhage: computed tomography and operative findings. </w:t>
      </w:r>
      <w:r>
        <w:rPr>
          <w:rFonts w:ascii="Book Antiqua" w:hAnsi="Book Antiqua"/>
          <w:i/>
          <w:iCs/>
          <w:color w:val="201F35"/>
        </w:rPr>
        <w:t>Am Surg</w:t>
      </w:r>
      <w:r>
        <w:rPr>
          <w:rFonts w:ascii="Book Antiqua" w:hAnsi="Book Antiqua"/>
          <w:color w:val="201F35"/>
        </w:rPr>
        <w:t> 2013; </w:t>
      </w:r>
      <w:r>
        <w:rPr>
          <w:rFonts w:ascii="Book Antiqua" w:hAnsi="Book Antiqua"/>
          <w:b/>
          <w:bCs/>
          <w:color w:val="201F35"/>
        </w:rPr>
        <w:t>79</w:t>
      </w:r>
      <w:r>
        <w:rPr>
          <w:rFonts w:ascii="Book Antiqua" w:hAnsi="Book Antiqua"/>
          <w:color w:val="201F35"/>
        </w:rPr>
        <w:t>: E160-E161 [PMID: 23574832]</w:t>
      </w:r>
    </w:p>
    <w:p w14:paraId="23F11015" w14:textId="77777777" w:rsidR="005D7EB8" w:rsidRDefault="004E0531">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Pr>
          <w:rFonts w:ascii="Book Antiqua" w:hAnsi="Book Antiqua"/>
          <w:color w:val="201F35"/>
        </w:rPr>
        <w:t>14 </w:t>
      </w:r>
      <w:r>
        <w:rPr>
          <w:rFonts w:ascii="Book Antiqua" w:hAnsi="Book Antiqua"/>
          <w:b/>
          <w:bCs/>
          <w:color w:val="201F35"/>
        </w:rPr>
        <w:t>Staszak JK</w:t>
      </w:r>
      <w:r>
        <w:rPr>
          <w:rFonts w:ascii="Book Antiqua" w:hAnsi="Book Antiqua"/>
          <w:color w:val="201F35"/>
        </w:rPr>
        <w:t>, Buechner D, Helmick RA. Cholecystitis and hemobilia. </w:t>
      </w:r>
      <w:r>
        <w:rPr>
          <w:rFonts w:ascii="Book Antiqua" w:hAnsi="Book Antiqua"/>
          <w:i/>
          <w:iCs/>
          <w:color w:val="201F35"/>
        </w:rPr>
        <w:t>J Surg Case Rep</w:t>
      </w:r>
      <w:r>
        <w:rPr>
          <w:rFonts w:ascii="Book Antiqua" w:hAnsi="Book Antiqua"/>
          <w:color w:val="201F35"/>
        </w:rPr>
        <w:t> 2019; </w:t>
      </w:r>
      <w:r>
        <w:rPr>
          <w:rFonts w:ascii="Book Antiqua" w:hAnsi="Book Antiqua"/>
          <w:b/>
          <w:bCs/>
          <w:color w:val="201F35"/>
        </w:rPr>
        <w:t>2019</w:t>
      </w:r>
      <w:r>
        <w:rPr>
          <w:rFonts w:ascii="Book Antiqua" w:hAnsi="Book Antiqua"/>
          <w:color w:val="201F35"/>
        </w:rPr>
        <w:t>: rjz350 [PMID: 31857891 DOI: 10.1093/</w:t>
      </w:r>
      <w:proofErr w:type="spellStart"/>
      <w:r>
        <w:rPr>
          <w:rFonts w:ascii="Book Antiqua" w:hAnsi="Book Antiqua"/>
          <w:color w:val="201F35"/>
        </w:rPr>
        <w:t>jscr</w:t>
      </w:r>
      <w:proofErr w:type="spellEnd"/>
      <w:r>
        <w:rPr>
          <w:rFonts w:ascii="Book Antiqua" w:hAnsi="Book Antiqua"/>
          <w:color w:val="201F35"/>
        </w:rPr>
        <w:t>/rjz350]</w:t>
      </w:r>
    </w:p>
    <w:bookmarkEnd w:id="4"/>
    <w:p w14:paraId="7202AE7F" w14:textId="77777777" w:rsidR="005D7EB8" w:rsidRDefault="005D7EB8">
      <w:pPr>
        <w:adjustRightInd w:val="0"/>
        <w:snapToGrid w:val="0"/>
        <w:spacing w:line="360" w:lineRule="auto"/>
        <w:jc w:val="both"/>
        <w:rPr>
          <w:rFonts w:ascii="Book Antiqua" w:hAnsi="Book Antiqua"/>
        </w:rPr>
        <w:sectPr w:rsidR="005D7EB8">
          <w:footerReference w:type="default" r:id="rId7"/>
          <w:pgSz w:w="12240" w:h="15840"/>
          <w:pgMar w:top="1440" w:right="1440" w:bottom="1440" w:left="1440" w:header="720" w:footer="720" w:gutter="0"/>
          <w:cols w:space="720"/>
          <w:docGrid w:linePitch="360"/>
        </w:sectPr>
      </w:pPr>
    </w:p>
    <w:p w14:paraId="6BED392B"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6B70A5B"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714EF8B" w14:textId="77777777" w:rsidR="005D7EB8" w:rsidRDefault="005D7EB8">
      <w:pPr>
        <w:adjustRightInd w:val="0"/>
        <w:snapToGrid w:val="0"/>
        <w:spacing w:line="360" w:lineRule="auto"/>
        <w:jc w:val="both"/>
        <w:rPr>
          <w:rFonts w:ascii="Book Antiqua" w:hAnsi="Book Antiqua"/>
        </w:rPr>
      </w:pPr>
    </w:p>
    <w:p w14:paraId="393680F6"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of the authors had conflicts of interest.</w:t>
      </w:r>
    </w:p>
    <w:p w14:paraId="7AFE328F" w14:textId="77777777" w:rsidR="005D7EB8" w:rsidRDefault="005D7EB8">
      <w:pPr>
        <w:adjustRightInd w:val="0"/>
        <w:snapToGrid w:val="0"/>
        <w:spacing w:line="360" w:lineRule="auto"/>
        <w:jc w:val="both"/>
        <w:rPr>
          <w:rFonts w:ascii="Book Antiqua" w:hAnsi="Book Antiqua"/>
        </w:rPr>
      </w:pPr>
    </w:p>
    <w:p w14:paraId="04E685F3"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AD6145" w14:textId="77777777" w:rsidR="005D7EB8" w:rsidRDefault="005D7EB8">
      <w:pPr>
        <w:adjustRightInd w:val="0"/>
        <w:snapToGrid w:val="0"/>
        <w:spacing w:line="360" w:lineRule="auto"/>
        <w:jc w:val="both"/>
        <w:rPr>
          <w:rFonts w:ascii="Book Antiqua" w:hAnsi="Book Antiqua"/>
        </w:rPr>
      </w:pPr>
    </w:p>
    <w:p w14:paraId="08794B11"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418B17" w14:textId="77777777" w:rsidR="005D7EB8" w:rsidRDefault="005D7EB8">
      <w:pPr>
        <w:adjustRightInd w:val="0"/>
        <w:snapToGrid w:val="0"/>
        <w:spacing w:line="360" w:lineRule="auto"/>
        <w:jc w:val="both"/>
        <w:rPr>
          <w:rFonts w:ascii="Book Antiqua" w:hAnsi="Book Antiqua"/>
        </w:rPr>
      </w:pPr>
    </w:p>
    <w:p w14:paraId="5D81C8DF"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703F2D8" w14:textId="77777777" w:rsidR="005D7EB8" w:rsidRDefault="005D7EB8">
      <w:pPr>
        <w:adjustRightInd w:val="0"/>
        <w:snapToGrid w:val="0"/>
        <w:spacing w:line="360" w:lineRule="auto"/>
        <w:jc w:val="both"/>
        <w:rPr>
          <w:rFonts w:ascii="Book Antiqua" w:hAnsi="Book Antiqua"/>
        </w:rPr>
      </w:pPr>
    </w:p>
    <w:p w14:paraId="4D882E85"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2021</w:t>
      </w:r>
    </w:p>
    <w:p w14:paraId="7C6D8D4A"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11D23C15"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957B032" w14:textId="77777777" w:rsidR="005D7EB8" w:rsidRDefault="005D7EB8">
      <w:pPr>
        <w:adjustRightInd w:val="0"/>
        <w:snapToGrid w:val="0"/>
        <w:spacing w:line="360" w:lineRule="auto"/>
        <w:jc w:val="both"/>
        <w:rPr>
          <w:rFonts w:ascii="Book Antiqua" w:hAnsi="Book Antiqua"/>
        </w:rPr>
      </w:pPr>
    </w:p>
    <w:p w14:paraId="440F3B57"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76455E5"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7F3FEB22"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22C795A"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0F38513B"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7E910E9C"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1DEA7022"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45DC8CC3" w14:textId="77777777"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3910E876" w14:textId="77777777" w:rsidR="005D7EB8" w:rsidRDefault="005D7EB8">
      <w:pPr>
        <w:adjustRightInd w:val="0"/>
        <w:snapToGrid w:val="0"/>
        <w:spacing w:line="360" w:lineRule="auto"/>
        <w:jc w:val="both"/>
        <w:rPr>
          <w:rFonts w:ascii="Book Antiqua" w:hAnsi="Book Antiqua"/>
        </w:rPr>
      </w:pPr>
    </w:p>
    <w:p w14:paraId="58B2C59E" w14:textId="700A52C6" w:rsidR="005D7EB8" w:rsidRDefault="004E0531">
      <w:pPr>
        <w:adjustRightInd w:val="0"/>
        <w:snapToGrid w:val="0"/>
        <w:spacing w:line="360" w:lineRule="auto"/>
        <w:jc w:val="both"/>
        <w:rPr>
          <w:rFonts w:ascii="Book Antiqua" w:hAnsi="Book Antiqua"/>
        </w:rPr>
        <w:sectPr w:rsidR="005D7EB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FX</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B803CD">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p>
    <w:p w14:paraId="5D541491" w14:textId="77777777" w:rsidR="005D7EB8" w:rsidRDefault="004E0531">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DA5D42A" w14:textId="77777777" w:rsidR="005D7EB8" w:rsidRDefault="004E0531">
      <w:pPr>
        <w:adjustRightInd w:val="0"/>
        <w:snapToGrid w:val="0"/>
        <w:spacing w:line="360" w:lineRule="auto"/>
        <w:jc w:val="both"/>
        <w:rPr>
          <w:rFonts w:ascii="Book Antiqua" w:hAnsi="Book Antiqua"/>
        </w:rPr>
      </w:pPr>
      <w:r>
        <w:rPr>
          <w:rFonts w:ascii="Book Antiqua" w:hAnsi="Book Antiqua"/>
          <w:noProof/>
          <w:lang w:eastAsia="ko-KR"/>
        </w:rPr>
        <w:drawing>
          <wp:inline distT="0" distB="0" distL="0" distR="0" wp14:anchorId="7AD0E42D" wp14:editId="3ACE7EB2">
            <wp:extent cx="5478780" cy="2767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87445" cy="2771824"/>
                    </a:xfrm>
                    <a:prstGeom prst="rect">
                      <a:avLst/>
                    </a:prstGeom>
                    <a:noFill/>
                  </pic:spPr>
                </pic:pic>
              </a:graphicData>
            </a:graphic>
          </wp:inline>
        </w:drawing>
      </w:r>
    </w:p>
    <w:p w14:paraId="5DC95920" w14:textId="2DE83DCF"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1 A 55 mm × 40 mm hematoma was seen in the initial computed tomographic scan.</w:t>
      </w:r>
      <w:r>
        <w:rPr>
          <w:rFonts w:ascii="Book Antiqua" w:eastAsia="Book Antiqua" w:hAnsi="Book Antiqua" w:cs="Book Antiqua"/>
          <w:color w:val="000000"/>
        </w:rPr>
        <w:t xml:space="preserve"> A: The Hounsfield unit values of the gallbladder stone-like lesions ranged from 60 to 67, and no gallbladder wall defect lesion was found (arrow); B: Dilatations of the intrahepatic and common bile ducts are seen (arrow), and there </w:t>
      </w:r>
      <w:r w:rsidR="006F5BC0">
        <w:rPr>
          <w:rFonts w:ascii="Book Antiqua" w:eastAsia="Book Antiqua" w:hAnsi="Book Antiqua" w:cs="Book Antiqua"/>
          <w:color w:val="000000"/>
        </w:rPr>
        <w:t xml:space="preserve">was </w:t>
      </w:r>
      <w:r>
        <w:rPr>
          <w:rFonts w:ascii="Book Antiqua" w:eastAsia="Book Antiqua" w:hAnsi="Book Antiqua" w:cs="Book Antiqua"/>
          <w:color w:val="000000"/>
        </w:rPr>
        <w:t>a suspicion of distal common bile duct obstruction.</w:t>
      </w:r>
    </w:p>
    <w:p w14:paraId="106D02DC" w14:textId="77777777" w:rsidR="005D7EB8" w:rsidRDefault="004E0531">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ko-KR"/>
        </w:rPr>
        <w:lastRenderedPageBreak/>
        <w:drawing>
          <wp:inline distT="0" distB="0" distL="0" distR="0" wp14:anchorId="1EDF3F51" wp14:editId="758CD94B">
            <wp:extent cx="5156835" cy="2579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62825" cy="2582999"/>
                    </a:xfrm>
                    <a:prstGeom prst="rect">
                      <a:avLst/>
                    </a:prstGeom>
                    <a:noFill/>
                  </pic:spPr>
                </pic:pic>
              </a:graphicData>
            </a:graphic>
          </wp:inline>
        </w:drawing>
      </w:r>
    </w:p>
    <w:p w14:paraId="41136A6B" w14:textId="4197F9CD"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2 Endoscopic retrograde cholangiopancreatography was performed. </w:t>
      </w:r>
      <w:r>
        <w:rPr>
          <w:rFonts w:ascii="Book Antiqua" w:eastAsia="Book Antiqua" w:hAnsi="Book Antiqua" w:cs="Book Antiqua"/>
          <w:color w:val="000000"/>
        </w:rPr>
        <w:t>A: There was a suspicion of amorphous filling defects in the common bile duct; B: Hemobilia was seen on cannulation during endoscopy. A 5 Fr</w:t>
      </w:r>
      <w:r w:rsidR="006F5BC0">
        <w:rPr>
          <w:rFonts w:ascii="Book Antiqua" w:eastAsia="Book Antiqua" w:hAnsi="Book Antiqua" w:cs="Book Antiqua"/>
          <w:color w:val="000000"/>
        </w:rPr>
        <w:t>,</w:t>
      </w:r>
      <w:r>
        <w:rPr>
          <w:rFonts w:ascii="Book Antiqua" w:eastAsia="Book Antiqua" w:hAnsi="Book Antiqua" w:cs="Book Antiqua"/>
          <w:color w:val="000000"/>
        </w:rPr>
        <w:t xml:space="preserve"> 4-cm</w:t>
      </w:r>
      <w:r w:rsidR="006F5BC0">
        <w:rPr>
          <w:rFonts w:ascii="Book Antiqua" w:eastAsia="Book Antiqua" w:hAnsi="Book Antiqua" w:cs="Book Antiqua"/>
          <w:color w:val="000000"/>
        </w:rPr>
        <w:t>,</w:t>
      </w:r>
      <w:r>
        <w:rPr>
          <w:rFonts w:ascii="Book Antiqua" w:eastAsia="Book Antiqua" w:hAnsi="Book Antiqua" w:cs="Book Antiqua"/>
          <w:color w:val="000000"/>
        </w:rPr>
        <w:t xml:space="preserve"> single pigtailed plastic stent was deployed.</w:t>
      </w:r>
    </w:p>
    <w:p w14:paraId="20E66310" w14:textId="77777777" w:rsidR="005D7EB8" w:rsidRDefault="004E0531">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ko-KR"/>
        </w:rPr>
        <w:lastRenderedPageBreak/>
        <w:drawing>
          <wp:inline distT="0" distB="0" distL="0" distR="0" wp14:anchorId="37790E67" wp14:editId="3A2A5E82">
            <wp:extent cx="4072255" cy="3273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73134" cy="3273908"/>
                    </a:xfrm>
                    <a:prstGeom prst="rect">
                      <a:avLst/>
                    </a:prstGeom>
                    <a:noFill/>
                  </pic:spPr>
                </pic:pic>
              </a:graphicData>
            </a:graphic>
          </wp:inline>
        </w:drawing>
      </w:r>
    </w:p>
    <w:p w14:paraId="41732EA2" w14:textId="6A2FC5C0" w:rsidR="005D7EB8" w:rsidRDefault="004E0531">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3 Follow-up computed tomography scan after a 1-mo</w:t>
      </w:r>
      <w:r w:rsidR="006F5BC0">
        <w:rPr>
          <w:rFonts w:ascii="Book Antiqua" w:eastAsia="Book Antiqua" w:hAnsi="Book Antiqua" w:cs="Book Antiqua"/>
          <w:b/>
          <w:bCs/>
          <w:color w:val="000000"/>
        </w:rPr>
        <w:t>nth</w:t>
      </w:r>
      <w:r>
        <w:rPr>
          <w:rFonts w:ascii="Book Antiqua" w:eastAsia="Book Antiqua" w:hAnsi="Book Antiqua" w:cs="Book Antiqua"/>
          <w:b/>
          <w:bCs/>
          <w:color w:val="000000"/>
        </w:rPr>
        <w:t xml:space="preserve"> interval.</w:t>
      </w:r>
      <w:r>
        <w:rPr>
          <w:rFonts w:ascii="Book Antiqua" w:eastAsia="Book Antiqua" w:hAnsi="Book Antiqua" w:cs="Book Antiqua"/>
          <w:color w:val="000000"/>
        </w:rPr>
        <w:t xml:space="preserve"> The findings showed an improved hematoma and a distended gallbladder with mild edematous wall thickening. No gallbladder stone was found.</w:t>
      </w:r>
    </w:p>
    <w:sectPr w:rsidR="005D7E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3489" w14:textId="77777777" w:rsidR="00502E64" w:rsidRDefault="00502E64">
      <w:r>
        <w:separator/>
      </w:r>
    </w:p>
  </w:endnote>
  <w:endnote w:type="continuationSeparator" w:id="0">
    <w:p w14:paraId="790C88D4" w14:textId="77777777" w:rsidR="00502E64" w:rsidRDefault="0050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527309"/>
      <w:docPartObj>
        <w:docPartGallery w:val="AutoText"/>
      </w:docPartObj>
    </w:sdtPr>
    <w:sdtEndPr/>
    <w:sdtContent>
      <w:sdt>
        <w:sdtPr>
          <w:id w:val="-1705238520"/>
          <w:docPartObj>
            <w:docPartGallery w:val="AutoText"/>
          </w:docPartObj>
        </w:sdtPr>
        <w:sdtEndPr/>
        <w:sdtContent>
          <w:p w14:paraId="13D7476A" w14:textId="77777777" w:rsidR="005D7EB8" w:rsidRDefault="004E0531">
            <w:pPr>
              <w:pStyle w:val="Footer"/>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4DB56F1" w14:textId="77777777" w:rsidR="005D7EB8" w:rsidRDefault="005D7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3ACD" w14:textId="77777777" w:rsidR="00502E64" w:rsidRDefault="00502E64">
      <w:r>
        <w:separator/>
      </w:r>
    </w:p>
  </w:footnote>
  <w:footnote w:type="continuationSeparator" w:id="0">
    <w:p w14:paraId="4A62F926" w14:textId="77777777" w:rsidR="00502E64" w:rsidRDefault="00502E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3476"/>
    <w:rsid w:val="001020FD"/>
    <w:rsid w:val="001657B6"/>
    <w:rsid w:val="0016630F"/>
    <w:rsid w:val="0023452F"/>
    <w:rsid w:val="0027436F"/>
    <w:rsid w:val="00346724"/>
    <w:rsid w:val="003A75A4"/>
    <w:rsid w:val="00455E5B"/>
    <w:rsid w:val="004E0531"/>
    <w:rsid w:val="00502E64"/>
    <w:rsid w:val="005D7EB8"/>
    <w:rsid w:val="006F07F8"/>
    <w:rsid w:val="006F5BC0"/>
    <w:rsid w:val="00743078"/>
    <w:rsid w:val="007A713F"/>
    <w:rsid w:val="00821219"/>
    <w:rsid w:val="008331F7"/>
    <w:rsid w:val="009C11D0"/>
    <w:rsid w:val="009F428D"/>
    <w:rsid w:val="00A77B3E"/>
    <w:rsid w:val="00B2005B"/>
    <w:rsid w:val="00B803CD"/>
    <w:rsid w:val="00BB6575"/>
    <w:rsid w:val="00C2342B"/>
    <w:rsid w:val="00C80B2E"/>
    <w:rsid w:val="00C93FB6"/>
    <w:rsid w:val="00CA2A55"/>
    <w:rsid w:val="00CF44D5"/>
    <w:rsid w:val="00D163DA"/>
    <w:rsid w:val="00D27C47"/>
    <w:rsid w:val="00D34C7D"/>
    <w:rsid w:val="00D36AC8"/>
    <w:rsid w:val="00D974B8"/>
    <w:rsid w:val="00E050FA"/>
    <w:rsid w:val="00E17549"/>
    <w:rsid w:val="00E349CB"/>
    <w:rsid w:val="00E421B6"/>
    <w:rsid w:val="00E77B73"/>
    <w:rsid w:val="00E957C2"/>
    <w:rsid w:val="00EE3BA1"/>
    <w:rsid w:val="00F0110B"/>
    <w:rsid w:val="33CA45F2"/>
    <w:rsid w:val="4B1A3E1A"/>
    <w:rsid w:val="64B55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32523"/>
  <w15:docId w15:val="{E3FBF2B2-FD59-4F6B-9C36-D4E639CF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rFonts w:asciiTheme="majorHAnsi" w:eastAsiaTheme="majorEastAsia" w:hAnsiTheme="majorHAnsi" w:cstheme="majorBid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text-serif">
    <w:name w:val="text-serif"/>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3040</Words>
  <Characters>17329</Characters>
  <Application>Microsoft Office Word</Application>
  <DocSecurity>0</DocSecurity>
  <Lines>144</Lines>
  <Paragraphs>40</Paragraphs>
  <ScaleCrop>false</ScaleCrop>
  <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Cathel Kerr</cp:lastModifiedBy>
  <cp:revision>2</cp:revision>
  <dcterms:created xsi:type="dcterms:W3CDTF">2021-08-23T20:11:00Z</dcterms:created>
  <dcterms:modified xsi:type="dcterms:W3CDTF">2021-08-23T20:11:00Z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AC7D1C1BB78948E4A65D735966DDF9C7</vt:lpwstr>
  </property>
</Properties>
</file>