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295AB"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014980B"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66845</w:t>
      </w:r>
    </w:p>
    <w:p w14:paraId="31198615"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39B44A" w14:textId="77777777" w:rsidR="0050274A" w:rsidRDefault="0050274A">
      <w:pPr>
        <w:spacing w:line="360" w:lineRule="auto"/>
        <w:jc w:val="both"/>
        <w:rPr>
          <w:rFonts w:ascii="Book Antiqua" w:hAnsi="Book Antiqua"/>
        </w:rPr>
      </w:pPr>
    </w:p>
    <w:p w14:paraId="2FC64823"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Retrospective Study</w:t>
      </w:r>
    </w:p>
    <w:p w14:paraId="64CA249B"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Clinical </w:t>
      </w:r>
      <w:r>
        <w:rPr>
          <w:rFonts w:ascii="Book Antiqua" w:hAnsi="Book Antiqua" w:cs="Book Antiqua" w:hint="eastAsia"/>
          <w:b/>
          <w:color w:val="000000"/>
          <w:lang w:eastAsia="zh-CN"/>
        </w:rPr>
        <w:t>e</w:t>
      </w:r>
      <w:r>
        <w:rPr>
          <w:rFonts w:ascii="Book Antiqua" w:eastAsia="Book Antiqua" w:hAnsi="Book Antiqua" w:cs="Book Antiqua"/>
          <w:b/>
          <w:color w:val="000000"/>
        </w:rPr>
        <w:t xml:space="preserve">fficacy of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ntiviral </w:t>
      </w:r>
      <w:r>
        <w:rPr>
          <w:rFonts w:ascii="Book Antiqua" w:hAnsi="Book Antiqua" w:cs="Book Antiqua" w:hint="eastAsia"/>
          <w:b/>
          <w:color w:val="000000"/>
          <w:lang w:eastAsia="zh-CN"/>
        </w:rPr>
        <w:t>t</w:t>
      </w:r>
      <w:r>
        <w:rPr>
          <w:rFonts w:ascii="Book Antiqua" w:eastAsia="Book Antiqua" w:hAnsi="Book Antiqua" w:cs="Book Antiqua"/>
          <w:b/>
          <w:color w:val="000000"/>
        </w:rPr>
        <w:t xml:space="preserve">herapy in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atients with </w:t>
      </w:r>
      <w:r>
        <w:rPr>
          <w:rFonts w:ascii="Book Antiqua" w:hAnsi="Book Antiqua" w:cs="Book Antiqua" w:hint="eastAsia"/>
          <w:b/>
          <w:color w:val="000000"/>
          <w:lang w:eastAsia="zh-CN"/>
        </w:rPr>
        <w:t>h</w:t>
      </w:r>
      <w:r>
        <w:rPr>
          <w:rFonts w:ascii="Book Antiqua" w:eastAsia="Book Antiqua" w:hAnsi="Book Antiqua" w:cs="Book Antiqua"/>
          <w:b/>
          <w:color w:val="000000"/>
        </w:rPr>
        <w:t xml:space="preserve">epatitis B-related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irrhosis after </w:t>
      </w:r>
      <w:r>
        <w:rPr>
          <w:rFonts w:ascii="Book Antiqua" w:hAnsi="Book Antiqua" w:cs="Book Antiqua" w:hint="eastAsia"/>
          <w:b/>
          <w:color w:val="000000"/>
          <w:lang w:eastAsia="zh-CN"/>
        </w:rPr>
        <w:t>t</w:t>
      </w:r>
      <w:r>
        <w:rPr>
          <w:rFonts w:ascii="Book Antiqua" w:eastAsia="Book Antiqua" w:hAnsi="Book Antiqua" w:cs="Book Antiqua"/>
          <w:b/>
          <w:color w:val="000000"/>
        </w:rPr>
        <w:t xml:space="preserve">ransjugular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ntrahepatic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ortosystemic </w:t>
      </w:r>
      <w:r>
        <w:rPr>
          <w:rFonts w:ascii="Book Antiqua" w:hAnsi="Book Antiqua" w:cs="Book Antiqua" w:hint="eastAsia"/>
          <w:b/>
          <w:color w:val="000000"/>
          <w:lang w:eastAsia="zh-CN"/>
        </w:rPr>
        <w:t>s</w:t>
      </w:r>
      <w:r>
        <w:rPr>
          <w:rFonts w:ascii="Book Antiqua" w:eastAsia="Book Antiqua" w:hAnsi="Book Antiqua" w:cs="Book Antiqua"/>
          <w:b/>
          <w:color w:val="000000"/>
        </w:rPr>
        <w:t>hunt</w:t>
      </w:r>
    </w:p>
    <w:p w14:paraId="39EB297F" w14:textId="77777777" w:rsidR="0050274A" w:rsidRDefault="0050274A">
      <w:pPr>
        <w:spacing w:line="360" w:lineRule="auto"/>
        <w:jc w:val="both"/>
        <w:rPr>
          <w:rFonts w:ascii="Book Antiqua" w:hAnsi="Book Antiqua"/>
        </w:rPr>
      </w:pPr>
    </w:p>
    <w:p w14:paraId="0DA3C927"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Yao X </w:t>
      </w:r>
      <w:r>
        <w:rPr>
          <w:rFonts w:ascii="Book Antiqua" w:eastAsia="Book Antiqua" w:hAnsi="Book Antiqua" w:cs="Book Antiqua"/>
          <w:i/>
          <w:iCs/>
          <w:color w:val="000000"/>
        </w:rPr>
        <w:t>et al</w:t>
      </w:r>
      <w:r>
        <w:rPr>
          <w:rFonts w:ascii="Book Antiqua" w:eastAsia="Book Antiqua" w:hAnsi="Book Antiqua" w:cs="Book Antiqua"/>
          <w:color w:val="000000"/>
        </w:rPr>
        <w:t xml:space="preserve">. Clinical </w:t>
      </w:r>
      <w:r>
        <w:rPr>
          <w:rFonts w:ascii="Book Antiqua" w:hAnsi="Book Antiqua" w:cs="Book Antiqua" w:hint="eastAsia"/>
          <w:color w:val="000000"/>
          <w:lang w:eastAsia="zh-CN"/>
        </w:rPr>
        <w:t>e</w:t>
      </w:r>
      <w:r>
        <w:rPr>
          <w:rFonts w:ascii="Book Antiqua" w:eastAsia="Book Antiqua" w:hAnsi="Book Antiqua" w:cs="Book Antiqua"/>
          <w:color w:val="000000"/>
        </w:rPr>
        <w:t xml:space="preserve">fficacy of </w:t>
      </w:r>
      <w:r>
        <w:rPr>
          <w:rFonts w:ascii="Book Antiqua" w:hAnsi="Book Antiqua" w:cs="Book Antiqua" w:hint="eastAsia"/>
          <w:color w:val="000000"/>
          <w:lang w:eastAsia="zh-CN"/>
        </w:rPr>
        <w:t>a</w:t>
      </w:r>
      <w:r>
        <w:rPr>
          <w:rFonts w:ascii="Book Antiqua" w:eastAsia="Book Antiqua" w:hAnsi="Book Antiqua" w:cs="Book Antiqua"/>
          <w:color w:val="000000"/>
        </w:rPr>
        <w:t xml:space="preserve">ntiviral </w:t>
      </w:r>
      <w:r>
        <w:rPr>
          <w:rFonts w:ascii="Book Antiqua" w:hAnsi="Book Antiqua" w:cs="Book Antiqua" w:hint="eastAsia"/>
          <w:color w:val="000000"/>
          <w:lang w:eastAsia="zh-CN"/>
        </w:rPr>
        <w:t>t</w:t>
      </w:r>
      <w:r>
        <w:rPr>
          <w:rFonts w:ascii="Book Antiqua" w:eastAsia="Book Antiqua" w:hAnsi="Book Antiqua" w:cs="Book Antiqua"/>
          <w:color w:val="000000"/>
        </w:rPr>
        <w:t xml:space="preserve">herapy in </w:t>
      </w:r>
      <w:r>
        <w:rPr>
          <w:rFonts w:ascii="Book Antiqua" w:hAnsi="Book Antiqua" w:cs="Book Antiqua" w:hint="eastAsia"/>
          <w:color w:val="000000"/>
          <w:lang w:eastAsia="zh-CN"/>
        </w:rPr>
        <w:t>p</w:t>
      </w:r>
      <w:r>
        <w:rPr>
          <w:rFonts w:ascii="Book Antiqua" w:eastAsia="Book Antiqua" w:hAnsi="Book Antiqua" w:cs="Book Antiqua"/>
          <w:color w:val="000000"/>
        </w:rPr>
        <w:t>atients after TIPS</w:t>
      </w:r>
    </w:p>
    <w:p w14:paraId="5F6892BD" w14:textId="77777777" w:rsidR="0050274A" w:rsidRDefault="0050274A">
      <w:pPr>
        <w:spacing w:line="360" w:lineRule="auto"/>
        <w:jc w:val="both"/>
        <w:rPr>
          <w:rFonts w:ascii="Book Antiqua" w:hAnsi="Book Antiqua"/>
        </w:rPr>
      </w:pPr>
    </w:p>
    <w:p w14:paraId="49D257FE"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Xin Yao, Shan Huang, Hao Zhou, Shan-Hong Tang, Jian-Ping Qin</w:t>
      </w:r>
    </w:p>
    <w:p w14:paraId="2586845D" w14:textId="77777777" w:rsidR="0050274A" w:rsidRDefault="0050274A">
      <w:pPr>
        <w:spacing w:line="360" w:lineRule="auto"/>
        <w:jc w:val="both"/>
        <w:rPr>
          <w:rFonts w:ascii="Book Antiqua" w:hAnsi="Book Antiqua"/>
        </w:rPr>
      </w:pPr>
    </w:p>
    <w:p w14:paraId="3490BC80"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Xin Yao, Shan Huang, Shan-Hong Tang, Jian-Ping Qin, </w:t>
      </w:r>
      <w:r>
        <w:rPr>
          <w:rFonts w:ascii="Book Antiqua" w:eastAsia="Book Antiqua" w:hAnsi="Book Antiqua" w:cs="Book Antiqua"/>
          <w:color w:val="000000"/>
        </w:rPr>
        <w:t>Department of Gastroenterology, General Hospital of Western Theater Command, Chengdu 610083, Sichuan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2F9C56BD" w14:textId="77777777" w:rsidR="0050274A" w:rsidRDefault="0050274A">
      <w:pPr>
        <w:spacing w:line="360" w:lineRule="auto"/>
        <w:jc w:val="both"/>
        <w:rPr>
          <w:rFonts w:ascii="Book Antiqua" w:hAnsi="Book Antiqua"/>
        </w:rPr>
      </w:pPr>
    </w:p>
    <w:p w14:paraId="1BB85B24"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Hao Zhou, </w:t>
      </w:r>
      <w:r>
        <w:rPr>
          <w:rFonts w:ascii="Book Antiqua" w:eastAsia="Book Antiqua" w:hAnsi="Book Antiqua" w:cs="Book Antiqua"/>
          <w:color w:val="000000"/>
        </w:rPr>
        <w:t>Department of Gastroenterology, Fengjie County People's Hospital, Chongqing 404600, China</w:t>
      </w:r>
    </w:p>
    <w:p w14:paraId="0A8D3CB0" w14:textId="77777777" w:rsidR="0050274A" w:rsidRDefault="0050274A">
      <w:pPr>
        <w:spacing w:line="360" w:lineRule="auto"/>
        <w:jc w:val="both"/>
        <w:rPr>
          <w:rFonts w:ascii="Book Antiqua" w:hAnsi="Book Antiqua"/>
        </w:rPr>
      </w:pPr>
    </w:p>
    <w:p w14:paraId="675DDFC9" w14:textId="243E7486"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Yao X </w:t>
      </w:r>
      <w:r w:rsidR="00887B05">
        <w:rPr>
          <w:rFonts w:ascii="Book Antiqua" w:eastAsia="Book Antiqua" w:hAnsi="Book Antiqua" w:cs="Book Antiqua"/>
          <w:color w:val="000000"/>
        </w:rPr>
        <w:t>performed the</w:t>
      </w:r>
      <w:r>
        <w:rPr>
          <w:rFonts w:ascii="Book Antiqua" w:eastAsia="Book Antiqua" w:hAnsi="Book Antiqua" w:cs="Book Antiqua"/>
          <w:color w:val="000000"/>
        </w:rPr>
        <w:t xml:space="preserve"> operation</w:t>
      </w:r>
      <w:r w:rsidR="00887B05">
        <w:rPr>
          <w:rFonts w:ascii="Book Antiqua" w:eastAsia="Book Antiqua" w:hAnsi="Book Antiqua" w:cs="Book Antiqua"/>
          <w:color w:val="000000"/>
        </w:rPr>
        <w:t xml:space="preserve"> and wrote the</w:t>
      </w:r>
      <w:r>
        <w:rPr>
          <w:rFonts w:ascii="Book Antiqua" w:eastAsia="Book Antiqua" w:hAnsi="Book Antiqua" w:cs="Book Antiqua"/>
          <w:color w:val="000000"/>
        </w:rPr>
        <w:t xml:space="preserve"> paper; Zhou H </w:t>
      </w:r>
      <w:r w:rsidR="00887B05">
        <w:rPr>
          <w:rFonts w:ascii="Book Antiqua" w:eastAsia="Book Antiqua" w:hAnsi="Book Antiqua" w:cs="Book Antiqua"/>
          <w:color w:val="000000"/>
        </w:rPr>
        <w:t xml:space="preserve">performed the </w:t>
      </w:r>
      <w:r>
        <w:rPr>
          <w:rFonts w:ascii="Book Antiqua" w:eastAsia="Book Antiqua" w:hAnsi="Book Antiqua" w:cs="Book Antiqua"/>
          <w:color w:val="000000"/>
        </w:rPr>
        <w:t>operation</w:t>
      </w:r>
      <w:r w:rsidR="00887B05">
        <w:rPr>
          <w:rFonts w:ascii="Book Antiqua" w:eastAsia="Book Antiqua" w:hAnsi="Book Antiqua" w:cs="Book Antiqua"/>
          <w:color w:val="000000"/>
        </w:rPr>
        <w:t xml:space="preserve"> and collected the </w:t>
      </w:r>
      <w:r>
        <w:rPr>
          <w:rFonts w:ascii="Book Antiqua" w:eastAsia="Book Antiqua" w:hAnsi="Book Antiqua" w:cs="Book Antiqua"/>
          <w:color w:val="000000"/>
        </w:rPr>
        <w:t xml:space="preserve">data; Tang SH </w:t>
      </w:r>
      <w:r w:rsidR="00887B05">
        <w:rPr>
          <w:rFonts w:ascii="Book Antiqua" w:eastAsia="Book Antiqua" w:hAnsi="Book Antiqua" w:cs="Book Antiqua"/>
          <w:color w:val="000000"/>
        </w:rPr>
        <w:t xml:space="preserve">collected and analyzed the </w:t>
      </w:r>
      <w:r>
        <w:rPr>
          <w:rFonts w:ascii="Book Antiqua" w:eastAsia="Book Antiqua" w:hAnsi="Book Antiqua" w:cs="Book Antiqua"/>
          <w:color w:val="000000"/>
        </w:rPr>
        <w:t xml:space="preserve">data; Huang S </w:t>
      </w:r>
      <w:r w:rsidR="00887B05">
        <w:rPr>
          <w:rFonts w:ascii="Book Antiqua" w:eastAsia="Book Antiqua" w:hAnsi="Book Antiqua" w:cs="Book Antiqua"/>
          <w:color w:val="000000"/>
        </w:rPr>
        <w:t xml:space="preserve">performed the </w:t>
      </w:r>
      <w:r>
        <w:rPr>
          <w:rFonts w:ascii="Book Antiqua" w:eastAsia="Book Antiqua" w:hAnsi="Book Antiqua" w:cs="Book Antiqua"/>
          <w:color w:val="000000"/>
        </w:rPr>
        <w:t>operation</w:t>
      </w:r>
      <w:r w:rsidR="00887B05">
        <w:rPr>
          <w:rFonts w:ascii="Book Antiqua" w:eastAsia="Book Antiqua" w:hAnsi="Book Antiqua" w:cs="Book Antiqua"/>
          <w:color w:val="000000"/>
        </w:rPr>
        <w:t xml:space="preserve"> and analyzed the </w:t>
      </w:r>
      <w:r>
        <w:rPr>
          <w:rFonts w:ascii="Book Antiqua" w:eastAsia="Book Antiqua" w:hAnsi="Book Antiqua" w:cs="Book Antiqua"/>
          <w:color w:val="000000"/>
        </w:rPr>
        <w:t>data; Qin JP</w:t>
      </w:r>
      <w:r w:rsidR="00887B05">
        <w:rPr>
          <w:rFonts w:ascii="Book Antiqua" w:eastAsia="Book Antiqua" w:hAnsi="Book Antiqua" w:cs="Book Antiqua"/>
          <w:color w:val="000000"/>
        </w:rPr>
        <w:t xml:space="preserve"> participated in </w:t>
      </w:r>
      <w:r>
        <w:rPr>
          <w:rFonts w:ascii="Book Antiqua" w:eastAsia="Book Antiqua" w:hAnsi="Book Antiqua" w:cs="Book Antiqua"/>
          <w:color w:val="000000"/>
        </w:rPr>
        <w:t xml:space="preserve">and </w:t>
      </w:r>
      <w:r w:rsidR="00887B05">
        <w:rPr>
          <w:rFonts w:ascii="Book Antiqua" w:eastAsia="Book Antiqua" w:hAnsi="Book Antiqua" w:cs="Book Antiqua"/>
          <w:color w:val="000000"/>
        </w:rPr>
        <w:t xml:space="preserve">guided the </w:t>
      </w:r>
      <w:r>
        <w:rPr>
          <w:rFonts w:ascii="Book Antiqua" w:eastAsia="Book Antiqua" w:hAnsi="Book Antiqua" w:cs="Book Antiqua"/>
          <w:color w:val="000000"/>
        </w:rPr>
        <w:t>operation</w:t>
      </w:r>
      <w:r w:rsidR="00887B05">
        <w:rPr>
          <w:rFonts w:ascii="Book Antiqua" w:eastAsia="Book Antiqua" w:hAnsi="Book Antiqua" w:cs="Book Antiqua"/>
          <w:color w:val="000000"/>
        </w:rPr>
        <w:t xml:space="preserve"> and </w:t>
      </w:r>
      <w:r>
        <w:rPr>
          <w:rFonts w:ascii="Book Antiqua" w:eastAsia="Book Antiqua" w:hAnsi="Book Antiqua" w:cs="Book Antiqua"/>
          <w:color w:val="000000"/>
        </w:rPr>
        <w:t>finaliz</w:t>
      </w:r>
      <w:r w:rsidR="00887B05">
        <w:rPr>
          <w:rFonts w:ascii="Book Antiqua" w:eastAsia="Book Antiqua" w:hAnsi="Book Antiqua" w:cs="Book Antiqua"/>
          <w:color w:val="000000"/>
        </w:rPr>
        <w:t>ed the manuscript</w:t>
      </w:r>
      <w:r>
        <w:rPr>
          <w:rFonts w:ascii="Book Antiqua" w:eastAsia="Book Antiqua" w:hAnsi="Book Antiqua" w:cs="Book Antiqua"/>
          <w:color w:val="000000"/>
        </w:rPr>
        <w:t>.</w:t>
      </w:r>
    </w:p>
    <w:p w14:paraId="175F1689" w14:textId="77777777" w:rsidR="0050274A" w:rsidRDefault="0050274A">
      <w:pPr>
        <w:spacing w:line="360" w:lineRule="auto"/>
        <w:jc w:val="both"/>
        <w:rPr>
          <w:rFonts w:ascii="Book Antiqua" w:hAnsi="Book Antiqua"/>
        </w:rPr>
      </w:pPr>
    </w:p>
    <w:p w14:paraId="35F04A8E"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Corresponding author: Jian-Ping Qin, MD, Doctor, </w:t>
      </w:r>
      <w:r>
        <w:rPr>
          <w:rFonts w:ascii="Book Antiqua" w:eastAsia="Book Antiqua" w:hAnsi="Book Antiqua" w:cs="Book Antiqua"/>
          <w:color w:val="000000"/>
        </w:rPr>
        <w:t>Department of Gastroenterology, General Hospital of Western Theater Command, No. 270 Rongdu Road, Chengdu 610083, Sichuan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jpqqing@163.com</w:t>
      </w:r>
    </w:p>
    <w:p w14:paraId="5E68F9AF" w14:textId="77777777" w:rsidR="0050274A" w:rsidRDefault="0050274A">
      <w:pPr>
        <w:spacing w:line="360" w:lineRule="auto"/>
        <w:jc w:val="both"/>
        <w:rPr>
          <w:rFonts w:ascii="Book Antiqua" w:hAnsi="Book Antiqua"/>
        </w:rPr>
      </w:pPr>
    </w:p>
    <w:p w14:paraId="7C3F8F14"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7, 2021</w:t>
      </w:r>
    </w:p>
    <w:p w14:paraId="2D60F0AC" w14:textId="77777777" w:rsidR="0050274A" w:rsidRDefault="001D7A10">
      <w:pPr>
        <w:spacing w:line="360" w:lineRule="auto"/>
        <w:jc w:val="both"/>
        <w:rPr>
          <w:lang w:eastAsia="zh-CN"/>
        </w:rPr>
      </w:pPr>
      <w:r>
        <w:rPr>
          <w:rFonts w:ascii="Book Antiqua" w:eastAsia="Book Antiqua" w:hAnsi="Book Antiqua" w:cs="Book Antiqua"/>
          <w:b/>
          <w:bCs/>
          <w:color w:val="000000"/>
        </w:rPr>
        <w:lastRenderedPageBreak/>
        <w:t xml:space="preserve">Revised: </w:t>
      </w:r>
      <w:r>
        <w:rPr>
          <w:rFonts w:ascii="Book Antiqua" w:hAnsi="Book Antiqua"/>
          <w:color w:val="000000"/>
        </w:rPr>
        <w:t>May 28, 2021</w:t>
      </w:r>
    </w:p>
    <w:p w14:paraId="7AFDBA71" w14:textId="78FECD35"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C13FE">
        <w:rPr>
          <w:rFonts w:ascii="Book Antiqua" w:eastAsia="宋体" w:hAnsi="Book Antiqua"/>
          <w:color w:val="000000" w:themeColor="text1"/>
        </w:rPr>
        <w:t>J</w:t>
      </w:r>
      <w:r w:rsidR="00CC13FE">
        <w:rPr>
          <w:rFonts w:ascii="Book Antiqua" w:eastAsia="宋体" w:hAnsi="Book Antiqua" w:hint="eastAsia"/>
          <w:color w:val="000000" w:themeColor="text1"/>
        </w:rPr>
        <w:t>u</w:t>
      </w:r>
      <w:r w:rsidR="00CC13FE">
        <w:rPr>
          <w:rFonts w:ascii="Book Antiqua" w:eastAsia="宋体" w:hAnsi="Book Antiqua"/>
          <w:color w:val="000000" w:themeColor="text1"/>
        </w:rPr>
        <w:t>ly</w:t>
      </w:r>
      <w:r w:rsidR="00CC13FE" w:rsidRPr="00F06907">
        <w:rPr>
          <w:rFonts w:ascii="Book Antiqua" w:eastAsia="宋体" w:hAnsi="Book Antiqua"/>
          <w:color w:val="000000" w:themeColor="text1"/>
        </w:rPr>
        <w:t xml:space="preserve"> </w:t>
      </w:r>
      <w:r w:rsidR="00CC13FE">
        <w:rPr>
          <w:rFonts w:ascii="Book Antiqua" w:eastAsia="宋体" w:hAnsi="Book Antiqua"/>
          <w:color w:val="000000" w:themeColor="text1"/>
        </w:rPr>
        <w:t>15</w:t>
      </w:r>
      <w:r w:rsidR="00CC13FE" w:rsidRPr="00F06907">
        <w:rPr>
          <w:rFonts w:ascii="Book Antiqua" w:eastAsia="宋体" w:hAnsi="Book Antiqua"/>
          <w:color w:val="000000" w:themeColor="text1"/>
        </w:rPr>
        <w:t>, 2021</w:t>
      </w:r>
      <w:bookmarkEnd w:id="0"/>
      <w:bookmarkEnd w:id="1"/>
      <w:bookmarkEnd w:id="2"/>
    </w:p>
    <w:p w14:paraId="72E67796" w14:textId="7358F202"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010642" w:rsidRPr="00401267">
        <w:rPr>
          <w:rFonts w:ascii="Book Antiqua" w:eastAsia="Book Antiqua" w:hAnsi="Book Antiqua" w:cs="Book Antiqua"/>
          <w:bCs/>
          <w:color w:val="000000"/>
        </w:rPr>
        <w:t xml:space="preserve">August </w:t>
      </w:r>
      <w:r w:rsidR="00010642">
        <w:rPr>
          <w:rFonts w:ascii="Book Antiqua" w:hAnsi="Book Antiqua" w:cs="Book Antiqua" w:hint="eastAsia"/>
          <w:bCs/>
          <w:color w:val="000000"/>
          <w:lang w:eastAsia="zh-CN"/>
        </w:rPr>
        <w:t>14</w:t>
      </w:r>
      <w:r w:rsidR="00010642" w:rsidRPr="00401267">
        <w:rPr>
          <w:rFonts w:ascii="Book Antiqua" w:eastAsia="Book Antiqua" w:hAnsi="Book Antiqua" w:cs="Book Antiqua"/>
          <w:bCs/>
          <w:color w:val="000000"/>
        </w:rPr>
        <w:t>, 2021</w:t>
      </w:r>
    </w:p>
    <w:p w14:paraId="0E869D1F" w14:textId="77777777" w:rsidR="0050274A" w:rsidRDefault="0050274A">
      <w:pPr>
        <w:spacing w:line="360" w:lineRule="auto"/>
        <w:jc w:val="both"/>
        <w:rPr>
          <w:rFonts w:ascii="Book Antiqua" w:hAnsi="Book Antiqua"/>
        </w:rPr>
        <w:sectPr w:rsidR="0050274A">
          <w:footerReference w:type="default" r:id="rId8"/>
          <w:pgSz w:w="12240" w:h="15840"/>
          <w:pgMar w:top="1440" w:right="1440" w:bottom="1440" w:left="1440" w:header="720" w:footer="720" w:gutter="0"/>
          <w:cols w:space="720"/>
          <w:docGrid w:linePitch="360"/>
        </w:sectPr>
      </w:pPr>
    </w:p>
    <w:p w14:paraId="5D4669D4"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Abstract</w:t>
      </w:r>
    </w:p>
    <w:p w14:paraId="7156D35D"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BACKGROUND</w:t>
      </w:r>
    </w:p>
    <w:p w14:paraId="2AF77F76" w14:textId="0BBFB0F4"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As a country </w:t>
      </w:r>
      <w:r w:rsidR="00F9339A">
        <w:rPr>
          <w:rFonts w:ascii="Book Antiqua" w:eastAsia="Book Antiqua" w:hAnsi="Book Antiqua" w:cs="Book Antiqua"/>
          <w:color w:val="000000"/>
        </w:rPr>
        <w:t xml:space="preserve">with a high burden </w:t>
      </w:r>
      <w:r>
        <w:rPr>
          <w:rFonts w:ascii="Book Antiqua" w:eastAsia="Book Antiqua" w:hAnsi="Book Antiqua" w:cs="Book Antiqua"/>
          <w:color w:val="000000"/>
        </w:rPr>
        <w:t xml:space="preserve">of hepatitis B, China has about 86 million cases of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 virus infection, ranking the first in the world. Currently, there are about 390000 deaths </w:t>
      </w:r>
      <w:r w:rsidR="00887B05">
        <w:rPr>
          <w:rFonts w:ascii="Book Antiqua" w:eastAsia="Book Antiqua" w:hAnsi="Book Antiqua" w:cs="Book Antiqua"/>
          <w:color w:val="000000"/>
        </w:rPr>
        <w:t xml:space="preserve">due to </w:t>
      </w:r>
      <w:r>
        <w:rPr>
          <w:rFonts w:ascii="Book Antiqua" w:eastAsia="Book Antiqua" w:hAnsi="Book Antiqua" w:cs="Book Antiqua"/>
          <w:color w:val="000000"/>
        </w:rPr>
        <w:t>hepatitis B-related complications such as liver cirrhosis and liver cancer every year. Consequently, how to control portal hypertension, improve liver functional reserve</w:t>
      </w:r>
      <w:r w:rsidR="00887B05">
        <w:rPr>
          <w:rFonts w:ascii="Book Antiqua" w:eastAsia="Book Antiqua" w:hAnsi="Book Antiqua" w:cs="Book Antiqua"/>
          <w:color w:val="000000"/>
        </w:rPr>
        <w:t>,</w:t>
      </w:r>
      <w:r>
        <w:rPr>
          <w:rFonts w:ascii="Book Antiqua" w:eastAsia="Book Antiqua" w:hAnsi="Book Antiqua" w:cs="Book Antiqua"/>
          <w:color w:val="000000"/>
        </w:rPr>
        <w:t xml:space="preserve"> and reduce the incidence of hepatic failure and liver cancer in such patients is the focus of current clinical attention. Previous clinical study in our center suggested that </w:t>
      </w:r>
      <w:r w:rsidR="00887B05">
        <w:rPr>
          <w:rFonts w:ascii="Book Antiqua" w:eastAsia="Book Antiqua" w:hAnsi="Book Antiqua" w:cs="Book Antiqua"/>
          <w:color w:val="000000"/>
        </w:rPr>
        <w:t>at 24</w:t>
      </w:r>
      <w:r>
        <w:rPr>
          <w:rFonts w:ascii="Book Antiqua" w:eastAsia="Book Antiqua" w:hAnsi="Book Antiqua" w:cs="Book Antiqua"/>
          <w:color w:val="000000"/>
        </w:rPr>
        <w:t xml:space="preserve"> </w:t>
      </w:r>
      <w:r w:rsidR="00887B05">
        <w:rPr>
          <w:rFonts w:ascii="Book Antiqua" w:eastAsia="Book Antiqua" w:hAnsi="Book Antiqua" w:cs="Book Antiqua"/>
          <w:color w:val="000000"/>
        </w:rPr>
        <w:t xml:space="preserve">mo </w:t>
      </w:r>
      <w:r>
        <w:rPr>
          <w:rFonts w:ascii="Book Antiqua" w:eastAsia="Book Antiqua" w:hAnsi="Book Antiqua" w:cs="Book Antiqua"/>
          <w:color w:val="000000"/>
        </w:rPr>
        <w:t xml:space="preserve">after </w:t>
      </w:r>
      <w:r>
        <w:rPr>
          <w:rFonts w:ascii="Book Antiqua" w:hAnsi="Book Antiqua" w:cs="Book Antiqua" w:hint="eastAsia"/>
          <w:color w:val="000000"/>
          <w:lang w:eastAsia="zh-CN"/>
        </w:rPr>
        <w:t>t</w:t>
      </w:r>
      <w:r>
        <w:rPr>
          <w:rFonts w:ascii="Book Antiqua" w:eastAsia="Book Antiqua" w:hAnsi="Book Antiqua" w:cs="Book Antiqua"/>
          <w:color w:val="000000"/>
        </w:rPr>
        <w:t xml:space="preserve">ransjugular </w:t>
      </w:r>
      <w:r>
        <w:rPr>
          <w:rFonts w:ascii="Book Antiqua" w:hAnsi="Book Antiqua" w:cs="Book Antiqua" w:hint="eastAsia"/>
          <w:color w:val="000000"/>
          <w:lang w:eastAsia="zh-CN"/>
        </w:rPr>
        <w:t>i</w:t>
      </w:r>
      <w:r>
        <w:rPr>
          <w:rFonts w:ascii="Book Antiqua" w:eastAsia="Book Antiqua" w:hAnsi="Book Antiqua" w:cs="Book Antiqua"/>
          <w:color w:val="000000"/>
        </w:rPr>
        <w:t xml:space="preserve">ntrahepatic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ortosystemic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hunt (TIPS), the liver functional reserve of patients with hepatitis B cirrhosis was better than that of </w:t>
      </w:r>
      <w:r w:rsidR="00887B05">
        <w:rPr>
          <w:rFonts w:ascii="Book Antiqua" w:eastAsia="Book Antiqua" w:hAnsi="Book Antiqua" w:cs="Book Antiqua"/>
          <w:color w:val="000000"/>
        </w:rPr>
        <w:t xml:space="preserve">patients </w:t>
      </w:r>
      <w:r>
        <w:rPr>
          <w:rFonts w:ascii="Book Antiqua" w:eastAsia="Book Antiqua" w:hAnsi="Book Antiqua" w:cs="Book Antiqua"/>
          <w:color w:val="000000"/>
        </w:rPr>
        <w:t>with alcohol-induced and immune cirrhosis, which may be related to the effective etiological treatment.</w:t>
      </w:r>
    </w:p>
    <w:p w14:paraId="73E1A243" w14:textId="77777777" w:rsidR="0050274A" w:rsidRDefault="0050274A">
      <w:pPr>
        <w:spacing w:line="360" w:lineRule="auto"/>
        <w:jc w:val="both"/>
        <w:rPr>
          <w:rFonts w:ascii="Book Antiqua" w:hAnsi="Book Antiqua"/>
        </w:rPr>
      </w:pPr>
    </w:p>
    <w:p w14:paraId="321AE0B9"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AIM</w:t>
      </w:r>
    </w:p>
    <w:p w14:paraId="4C2BE0C3" w14:textId="77777777" w:rsidR="0050274A" w:rsidRDefault="001D7A10">
      <w:pPr>
        <w:spacing w:line="360" w:lineRule="auto"/>
        <w:jc w:val="both"/>
        <w:rPr>
          <w:rFonts w:ascii="Book Antiqua" w:hAnsi="Book Antiqua"/>
          <w:lang w:eastAsia="zh-CN"/>
        </w:rPr>
      </w:pPr>
      <w:r>
        <w:rPr>
          <w:rFonts w:ascii="Book Antiqua" w:eastAsia="Book Antiqua" w:hAnsi="Book Antiqua" w:cs="Book Antiqua"/>
          <w:color w:val="000000"/>
        </w:rPr>
        <w:t xml:space="preserve">To investigate the clinical efficacy of three first-line antiviral drugs recommended by the </w:t>
      </w:r>
      <w:r>
        <w:rPr>
          <w:rFonts w:ascii="Book Antiqua" w:hAnsi="Book Antiqua" w:cs="Book Antiqua" w:hint="eastAsia"/>
          <w:color w:val="000000"/>
          <w:lang w:eastAsia="zh-CN"/>
        </w:rPr>
        <w:t>g</w:t>
      </w:r>
      <w:r>
        <w:rPr>
          <w:rFonts w:ascii="Book Antiqua" w:eastAsia="Book Antiqua" w:hAnsi="Book Antiqua" w:cs="Book Antiqua"/>
          <w:color w:val="000000"/>
        </w:rPr>
        <w:t xml:space="preserve">uidelines of </w:t>
      </w:r>
      <w:r>
        <w:rPr>
          <w:rFonts w:ascii="Book Antiqua" w:hAnsi="Book Antiqua" w:cs="Book Antiqua" w:hint="eastAsia"/>
          <w:color w:val="000000"/>
          <w:lang w:eastAsia="zh-CN"/>
        </w:rPr>
        <w:t>p</w:t>
      </w:r>
      <w:r>
        <w:rPr>
          <w:rFonts w:ascii="Book Antiqua" w:eastAsia="Book Antiqua" w:hAnsi="Book Antiqua" w:cs="Book Antiqua"/>
          <w:color w:val="000000"/>
        </w:rPr>
        <w:t xml:space="preserve">revention and </w:t>
      </w:r>
      <w:r>
        <w:rPr>
          <w:rFonts w:ascii="Book Antiqua" w:hAnsi="Book Antiqua" w:cs="Book Antiqua" w:hint="eastAsia"/>
          <w:color w:val="000000"/>
          <w:lang w:eastAsia="zh-CN"/>
        </w:rPr>
        <w:t>t</w:t>
      </w:r>
      <w:r>
        <w:rPr>
          <w:rFonts w:ascii="Book Antiqua" w:eastAsia="Book Antiqua" w:hAnsi="Book Antiqua" w:cs="Book Antiqua"/>
          <w:color w:val="000000"/>
        </w:rPr>
        <w:t xml:space="preserve">reatment for </w:t>
      </w:r>
      <w:r>
        <w:rPr>
          <w:rFonts w:ascii="Book Antiqua" w:hAnsi="Book Antiqua" w:cs="Book Antiqua" w:hint="eastAsia"/>
          <w:color w:val="000000"/>
          <w:lang w:eastAsia="zh-CN"/>
        </w:rPr>
        <w:t>c</w:t>
      </w:r>
      <w:r>
        <w:rPr>
          <w:rFonts w:ascii="Book Antiqua" w:eastAsia="Book Antiqua" w:hAnsi="Book Antiqua" w:cs="Book Antiqua"/>
          <w:color w:val="000000"/>
        </w:rPr>
        <w:t xml:space="preserve">hronic </w:t>
      </w:r>
      <w:r>
        <w:rPr>
          <w:rFonts w:ascii="Book Antiqua" w:hAnsi="Book Antiqua" w:cs="Book Antiqua" w:hint="eastAsia"/>
          <w:color w:val="000000"/>
          <w:lang w:eastAsia="zh-CN"/>
        </w:rPr>
        <w:t>h</w:t>
      </w:r>
      <w:r>
        <w:rPr>
          <w:rFonts w:ascii="Book Antiqua" w:eastAsia="Book Antiqua" w:hAnsi="Book Antiqua" w:cs="Book Antiqua"/>
          <w:color w:val="000000"/>
        </w:rPr>
        <w:t>epatitis B in China (2019) in the treatment of patients with hepatitis B-related cirrhosis who had received a TIPS.</w:t>
      </w:r>
    </w:p>
    <w:p w14:paraId="4A5A8496" w14:textId="77777777" w:rsidR="0050274A" w:rsidRDefault="0050274A">
      <w:pPr>
        <w:spacing w:line="360" w:lineRule="auto"/>
        <w:jc w:val="both"/>
        <w:rPr>
          <w:rFonts w:ascii="Book Antiqua" w:hAnsi="Book Antiqua"/>
        </w:rPr>
      </w:pPr>
    </w:p>
    <w:p w14:paraId="0D9D4FFA"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METHODS</w:t>
      </w:r>
    </w:p>
    <w:p w14:paraId="6711E95C" w14:textId="6D7F1E0B"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The clinical data of 137 patients with hepatitis B-related cirrhosis with portal hypertension after receiving TIPS </w:t>
      </w:r>
      <w:r w:rsidR="00887B05">
        <w:rPr>
          <w:rFonts w:ascii="Book Antiqua" w:eastAsia="Book Antiqua" w:hAnsi="Book Antiqua" w:cs="Book Antiqua"/>
          <w:color w:val="000000"/>
        </w:rPr>
        <w:t xml:space="preserve">at </w:t>
      </w:r>
      <w:r>
        <w:rPr>
          <w:rFonts w:ascii="Book Antiqua" w:eastAsia="Book Antiqua" w:hAnsi="Book Antiqua" w:cs="Book Antiqua"/>
          <w:color w:val="000000"/>
        </w:rPr>
        <w:t>our centre between March 2016 and December 2020 were analysed retrospectively. According to different anti-viral drugs, the patients were divided into entecavir (ETV) (</w:t>
      </w:r>
      <w:r>
        <w:rPr>
          <w:rFonts w:ascii="Book Antiqua" w:eastAsia="Book Antiqua" w:hAnsi="Book Antiqua" w:cs="Book Antiqua"/>
          <w:i/>
          <w:iCs/>
          <w:color w:val="000000"/>
        </w:rPr>
        <w:t>n</w:t>
      </w:r>
      <w:r>
        <w:rPr>
          <w:rFonts w:ascii="Book Antiqua" w:eastAsia="Book Antiqua" w:hAnsi="Book Antiqua" w:cs="Book Antiqua"/>
          <w:color w:val="000000"/>
        </w:rPr>
        <w:t xml:space="preserve"> = 70), tenofovir alafenamide fumarate (TAF) (</w:t>
      </w:r>
      <w:r>
        <w:rPr>
          <w:rFonts w:ascii="Book Antiqua" w:eastAsia="Book Antiqua" w:hAnsi="Book Antiqua" w:cs="Book Antiqua"/>
          <w:i/>
          <w:iCs/>
          <w:color w:val="000000"/>
        </w:rPr>
        <w:t>n</w:t>
      </w:r>
      <w:r>
        <w:rPr>
          <w:rFonts w:ascii="Book Antiqua" w:eastAsia="Book Antiqua" w:hAnsi="Book Antiqua" w:cs="Book Antiqua"/>
          <w:color w:val="000000"/>
        </w:rPr>
        <w:t xml:space="preserve"> = 32)</w:t>
      </w:r>
      <w:r w:rsidR="00887B05">
        <w:rPr>
          <w:rFonts w:ascii="Book Antiqua" w:eastAsia="Book Antiqua" w:hAnsi="Book Antiqua" w:cs="Book Antiqua"/>
          <w:color w:val="000000"/>
        </w:rPr>
        <w:t>,</w:t>
      </w:r>
      <w:r>
        <w:rPr>
          <w:rFonts w:ascii="Book Antiqua" w:eastAsia="Book Antiqua" w:hAnsi="Book Antiqua" w:cs="Book Antiqua"/>
          <w:color w:val="000000"/>
        </w:rPr>
        <w:t xml:space="preserve"> and tenofovir disoproxil fumarate (TDF) (</w:t>
      </w:r>
      <w:r>
        <w:rPr>
          <w:rFonts w:ascii="Book Antiqua" w:eastAsia="Book Antiqua" w:hAnsi="Book Antiqua" w:cs="Book Antiqua"/>
          <w:i/>
          <w:iCs/>
          <w:color w:val="000000"/>
        </w:rPr>
        <w:t>n</w:t>
      </w:r>
      <w:r>
        <w:rPr>
          <w:rFonts w:ascii="Book Antiqua" w:eastAsia="Book Antiqua" w:hAnsi="Book Antiqua" w:cs="Book Antiqua"/>
          <w:color w:val="000000"/>
        </w:rPr>
        <w:t xml:space="preserve"> = 35) groups. The cumulative incidence </w:t>
      </w:r>
      <w:r w:rsidRPr="007A2293">
        <w:rPr>
          <w:rFonts w:ascii="Book Antiqua" w:eastAsia="Book Antiqua" w:hAnsi="Book Antiqua" w:cs="Book Antiqua"/>
          <w:color w:val="000000"/>
        </w:rPr>
        <w:t>of</w:t>
      </w:r>
      <w:r>
        <w:rPr>
          <w:rFonts w:ascii="Book Antiqua" w:eastAsia="Book Antiqua" w:hAnsi="Book Antiqua" w:cs="Book Antiqua"/>
          <w:color w:val="000000"/>
        </w:rPr>
        <w:t xml:space="preserve"> hepatic encephalopathy and hepatocellular carcinoma, </w:t>
      </w:r>
      <w:r w:rsidR="007A2293">
        <w:rPr>
          <w:rFonts w:ascii="Book Antiqua" w:eastAsia="Book Antiqua" w:hAnsi="Book Antiqua" w:cs="Book Antiqua"/>
          <w:color w:val="000000"/>
        </w:rPr>
        <w:t>survival, and</w:t>
      </w:r>
      <w:r>
        <w:rPr>
          <w:rFonts w:ascii="Book Antiqua" w:eastAsia="Book Antiqua" w:hAnsi="Book Antiqua" w:cs="Book Antiqua"/>
          <w:color w:val="000000"/>
        </w:rPr>
        <w:t xml:space="preserve"> changes in hepatic reserve function and glomerular filtration rate in patients treated with different antiviral drugs within 24 mo after surgery were investigated.</w:t>
      </w:r>
    </w:p>
    <w:p w14:paraId="35324976" w14:textId="77777777" w:rsidR="0050274A" w:rsidRDefault="0050274A">
      <w:pPr>
        <w:spacing w:line="360" w:lineRule="auto"/>
        <w:jc w:val="both"/>
        <w:rPr>
          <w:rFonts w:ascii="Book Antiqua" w:hAnsi="Book Antiqua"/>
        </w:rPr>
      </w:pPr>
    </w:p>
    <w:p w14:paraId="653901F1"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RESULTS</w:t>
      </w:r>
    </w:p>
    <w:p w14:paraId="570C5EBB" w14:textId="79288264"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At 24 mo after surgery, the Child–Pugh score in the TAF group (6.97 ± 0.86) was lower than that in the TDF (7.49 ± 0.82;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ETV groups (7.64 ± 1.17;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model for end-stage liver disease score in the TAF group at 24 mo after surgery was 9.72 ± 1.5, which was lower than that in the TDF (10.74 ± 2.33;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2.09,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and ETV groups (10.97 ± 2.17;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At 24 mo after surgery, the </w:t>
      </w:r>
      <w:r>
        <w:rPr>
          <w:rFonts w:ascii="Book Antiqua" w:hAnsi="Book Antiqua" w:hint="eastAsia"/>
          <w:bCs/>
          <w:color w:val="000000"/>
          <w:lang w:eastAsia="zh-CN"/>
        </w:rPr>
        <w:t>e</w:t>
      </w:r>
      <w:r>
        <w:rPr>
          <w:rFonts w:ascii="Book Antiqua" w:hAnsi="Book Antiqua"/>
          <w:bCs/>
          <w:color w:val="000000"/>
        </w:rPr>
        <w:t xml:space="preserve">stimated </w:t>
      </w:r>
      <w:r>
        <w:rPr>
          <w:rFonts w:ascii="Book Antiqua" w:hAnsi="Book Antiqua" w:hint="eastAsia"/>
          <w:bCs/>
          <w:color w:val="000000"/>
          <w:lang w:eastAsia="zh-CN"/>
        </w:rPr>
        <w:t>g</w:t>
      </w:r>
      <w:r>
        <w:rPr>
          <w:rFonts w:ascii="Book Antiqua" w:hAnsi="Book Antiqua"/>
          <w:bCs/>
          <w:color w:val="000000"/>
        </w:rPr>
        <w:t>lomerular filtration rate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eGFR</w:t>
      </w:r>
      <w:r>
        <w:rPr>
          <w:rFonts w:ascii="Book Antiqua" w:hAnsi="Book Antiqua" w:cs="Book Antiqua" w:hint="eastAsia"/>
          <w:color w:val="000000"/>
          <w:lang w:eastAsia="zh-CN"/>
        </w:rPr>
        <w:t>)</w:t>
      </w:r>
      <w:r>
        <w:rPr>
          <w:rFonts w:ascii="Book Antiqua" w:eastAsia="Book Antiqua" w:hAnsi="Book Antiqua" w:cs="Book Antiqua"/>
          <w:color w:val="000000"/>
        </w:rPr>
        <w:t xml:space="preserve"> in the TAF group (104.41 ± 12.54) was higher than that in the TDF (93.54 ± 8.97) and ETV groups (89.96 ± 9.86)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Pr="00CC369C">
        <w:rPr>
          <w:rFonts w:ascii="Book Antiqua" w:eastAsia="Book Antiqua" w:hAnsi="Book Antiqua" w:cs="Book Antiqua"/>
          <w:i/>
          <w:color w:val="000000"/>
        </w:rPr>
        <w:t>F</w:t>
      </w:r>
      <w:r>
        <w:rPr>
          <w:rFonts w:ascii="Book Antiqua" w:eastAsia="Book Antiqua" w:hAnsi="Book Antiqua" w:cs="Book Antiqua"/>
          <w:color w:val="000000"/>
        </w:rPr>
        <w:t xml:space="preserve"> = 21.57,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109B0028" w14:textId="77777777" w:rsidR="0050274A" w:rsidRDefault="0050274A">
      <w:pPr>
        <w:spacing w:line="360" w:lineRule="auto"/>
        <w:jc w:val="both"/>
        <w:rPr>
          <w:rFonts w:ascii="Book Antiqua" w:hAnsi="Book Antiqua"/>
        </w:rPr>
      </w:pPr>
    </w:p>
    <w:p w14:paraId="2561B84E"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CONCLUSION</w:t>
      </w:r>
    </w:p>
    <w:p w14:paraId="30E83D89"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At 24 mo after surgery, </w:t>
      </w:r>
      <w:r>
        <w:rPr>
          <w:rFonts w:ascii="Book Antiqua" w:hAnsi="Book Antiqua" w:cs="Book Antiqua" w:hint="eastAsia"/>
          <w:color w:val="000000"/>
          <w:lang w:eastAsia="zh-CN"/>
        </w:rPr>
        <w:t>c</w:t>
      </w:r>
      <w:r>
        <w:rPr>
          <w:rFonts w:ascii="Book Antiqua" w:eastAsia="Book Antiqua" w:hAnsi="Book Antiqua" w:cs="Book Antiqua"/>
          <w:color w:val="000000"/>
        </w:rPr>
        <w:t>ompared with TDF and ETV, TAF has significant advantages in the improvement of liver functional reserve and eGFR.</w:t>
      </w:r>
    </w:p>
    <w:p w14:paraId="588D8942" w14:textId="77777777" w:rsidR="0050274A" w:rsidRDefault="0050274A">
      <w:pPr>
        <w:spacing w:line="360" w:lineRule="auto"/>
        <w:jc w:val="both"/>
        <w:rPr>
          <w:rFonts w:ascii="Book Antiqua" w:hAnsi="Book Antiqua"/>
        </w:rPr>
      </w:pPr>
    </w:p>
    <w:p w14:paraId="48D796AC"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Transjugular intrahepatic </w:t>
      </w:r>
      <w:r>
        <w:rPr>
          <w:rFonts w:ascii="Book Antiqua" w:hAnsi="Book Antiqua" w:cs="Book Antiqua" w:hint="eastAsia"/>
          <w:color w:val="000000"/>
          <w:lang w:eastAsia="zh-CN"/>
        </w:rPr>
        <w:t>p</w:t>
      </w:r>
      <w:r>
        <w:rPr>
          <w:rFonts w:ascii="Book Antiqua" w:eastAsia="Book Antiqua" w:hAnsi="Book Antiqua" w:cs="Book Antiqua"/>
          <w:color w:val="000000"/>
        </w:rPr>
        <w:t>ortosystemic shunt; Hypertension; Antiviral; Hepatitis B-related cirrhosis; Liver reserve function</w:t>
      </w:r>
    </w:p>
    <w:p w14:paraId="27E96853" w14:textId="77777777" w:rsidR="005A47FD" w:rsidRDefault="005A47FD" w:rsidP="005A47FD">
      <w:pPr>
        <w:spacing w:line="360" w:lineRule="auto"/>
        <w:jc w:val="both"/>
        <w:rPr>
          <w:lang w:eastAsia="zh-CN"/>
        </w:rPr>
      </w:pPr>
    </w:p>
    <w:p w14:paraId="40540973" w14:textId="77777777" w:rsidR="005A47FD" w:rsidRPr="00026CB8" w:rsidRDefault="005A47FD" w:rsidP="005A47F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1BC1B54" w14:textId="77777777" w:rsidR="0050274A" w:rsidRDefault="0050274A">
      <w:pPr>
        <w:spacing w:line="360" w:lineRule="auto"/>
        <w:jc w:val="both"/>
        <w:rPr>
          <w:rFonts w:ascii="Book Antiqua" w:hAnsi="Book Antiqua"/>
        </w:rPr>
      </w:pPr>
    </w:p>
    <w:p w14:paraId="771BB0E6" w14:textId="20F3F706" w:rsidR="00527075" w:rsidRDefault="00527075" w:rsidP="00010642">
      <w:pPr>
        <w:spacing w:line="360" w:lineRule="auto"/>
        <w:jc w:val="both"/>
        <w:rPr>
          <w:rFonts w:ascii="Book Antiqua" w:hAnsi="Book Antiqua" w:cs="Book Antiqua" w:hint="eastAsia"/>
          <w:color w:val="000000"/>
          <w:lang w:eastAsia="zh-CN"/>
        </w:rPr>
      </w:pPr>
      <w:r w:rsidRPr="00527075">
        <w:rPr>
          <w:rFonts w:ascii="Book Antiqua" w:hAnsi="Book Antiqua" w:cs="Book Antiqua" w:hint="eastAsia"/>
          <w:b/>
          <w:color w:val="000000"/>
          <w:lang w:eastAsia="zh-CN"/>
        </w:rPr>
        <w:t xml:space="preserve">Citation: </w:t>
      </w:r>
      <w:r w:rsidR="001D7A10">
        <w:rPr>
          <w:rFonts w:ascii="Book Antiqua" w:eastAsia="Book Antiqua" w:hAnsi="Book Antiqua" w:cs="Book Antiqua"/>
          <w:color w:val="000000"/>
        </w:rPr>
        <w:t xml:space="preserve">Yao X, Huang S, Zhou H, Tang SH, Qin JP. Clinical </w:t>
      </w:r>
      <w:r w:rsidR="001D7A10">
        <w:rPr>
          <w:rFonts w:ascii="Book Antiqua" w:hAnsi="Book Antiqua" w:cs="Book Antiqua" w:hint="eastAsia"/>
          <w:color w:val="000000"/>
          <w:lang w:eastAsia="zh-CN"/>
        </w:rPr>
        <w:t>e</w:t>
      </w:r>
      <w:r w:rsidR="001D7A10">
        <w:rPr>
          <w:rFonts w:ascii="Book Antiqua" w:eastAsia="Book Antiqua" w:hAnsi="Book Antiqua" w:cs="Book Antiqua"/>
          <w:color w:val="000000"/>
        </w:rPr>
        <w:t xml:space="preserve">fficacy of </w:t>
      </w:r>
      <w:r w:rsidR="001D7A10">
        <w:rPr>
          <w:rFonts w:ascii="Book Antiqua" w:hAnsi="Book Antiqua" w:cs="Book Antiqua" w:hint="eastAsia"/>
          <w:color w:val="000000"/>
          <w:lang w:eastAsia="zh-CN"/>
        </w:rPr>
        <w:t>a</w:t>
      </w:r>
      <w:r w:rsidR="001D7A10">
        <w:rPr>
          <w:rFonts w:ascii="Book Antiqua" w:eastAsia="Book Antiqua" w:hAnsi="Book Antiqua" w:cs="Book Antiqua"/>
          <w:color w:val="000000"/>
        </w:rPr>
        <w:t xml:space="preserve">ntiviral </w:t>
      </w:r>
      <w:r w:rsidR="001D7A10">
        <w:rPr>
          <w:rFonts w:ascii="Book Antiqua" w:hAnsi="Book Antiqua" w:cs="Book Antiqua" w:hint="eastAsia"/>
          <w:color w:val="000000"/>
          <w:lang w:eastAsia="zh-CN"/>
        </w:rPr>
        <w:t>t</w:t>
      </w:r>
      <w:r w:rsidR="001D7A10">
        <w:rPr>
          <w:rFonts w:ascii="Book Antiqua" w:eastAsia="Book Antiqua" w:hAnsi="Book Antiqua" w:cs="Book Antiqua"/>
          <w:color w:val="000000"/>
        </w:rPr>
        <w:t xml:space="preserve">herapy in </w:t>
      </w:r>
      <w:r w:rsidR="001D7A10">
        <w:rPr>
          <w:rFonts w:ascii="Book Antiqua" w:hAnsi="Book Antiqua" w:cs="Book Antiqua" w:hint="eastAsia"/>
          <w:color w:val="000000"/>
          <w:lang w:eastAsia="zh-CN"/>
        </w:rPr>
        <w:t>p</w:t>
      </w:r>
      <w:r w:rsidR="001D7A10">
        <w:rPr>
          <w:rFonts w:ascii="Book Antiqua" w:eastAsia="Book Antiqua" w:hAnsi="Book Antiqua" w:cs="Book Antiqua"/>
          <w:color w:val="000000"/>
        </w:rPr>
        <w:t xml:space="preserve">atients with </w:t>
      </w:r>
      <w:r w:rsidR="001D7A10">
        <w:rPr>
          <w:rFonts w:ascii="Book Antiqua" w:hAnsi="Book Antiqua" w:cs="Book Antiqua" w:hint="eastAsia"/>
          <w:color w:val="000000"/>
          <w:lang w:eastAsia="zh-CN"/>
        </w:rPr>
        <w:t>h</w:t>
      </w:r>
      <w:r w:rsidR="001D7A10">
        <w:rPr>
          <w:rFonts w:ascii="Book Antiqua" w:eastAsia="Book Antiqua" w:hAnsi="Book Antiqua" w:cs="Book Antiqua"/>
          <w:color w:val="000000"/>
        </w:rPr>
        <w:t xml:space="preserve">epatitis B-related </w:t>
      </w:r>
      <w:r w:rsidR="001D7A10">
        <w:rPr>
          <w:rFonts w:ascii="Book Antiqua" w:hAnsi="Book Antiqua" w:cs="Book Antiqua" w:hint="eastAsia"/>
          <w:color w:val="000000"/>
          <w:lang w:eastAsia="zh-CN"/>
        </w:rPr>
        <w:t>c</w:t>
      </w:r>
      <w:r w:rsidR="001D7A10">
        <w:rPr>
          <w:rFonts w:ascii="Book Antiqua" w:eastAsia="Book Antiqua" w:hAnsi="Book Antiqua" w:cs="Book Antiqua"/>
          <w:color w:val="000000"/>
        </w:rPr>
        <w:t xml:space="preserve">irrhosis after </w:t>
      </w:r>
      <w:r w:rsidR="001D7A10">
        <w:rPr>
          <w:rFonts w:ascii="Book Antiqua" w:hAnsi="Book Antiqua" w:cs="Book Antiqua" w:hint="eastAsia"/>
          <w:color w:val="000000"/>
          <w:lang w:eastAsia="zh-CN"/>
        </w:rPr>
        <w:t>t</w:t>
      </w:r>
      <w:r w:rsidR="001D7A10">
        <w:rPr>
          <w:rFonts w:ascii="Book Antiqua" w:eastAsia="Book Antiqua" w:hAnsi="Book Antiqua" w:cs="Book Antiqua"/>
          <w:color w:val="000000"/>
        </w:rPr>
        <w:t xml:space="preserve">ransjugular </w:t>
      </w:r>
      <w:r w:rsidR="001D7A10">
        <w:rPr>
          <w:rFonts w:ascii="Book Antiqua" w:hAnsi="Book Antiqua" w:cs="Book Antiqua" w:hint="eastAsia"/>
          <w:color w:val="000000"/>
          <w:lang w:eastAsia="zh-CN"/>
        </w:rPr>
        <w:t>i</w:t>
      </w:r>
      <w:r w:rsidR="001D7A10">
        <w:rPr>
          <w:rFonts w:ascii="Book Antiqua" w:eastAsia="Book Antiqua" w:hAnsi="Book Antiqua" w:cs="Book Antiqua"/>
          <w:color w:val="000000"/>
        </w:rPr>
        <w:t xml:space="preserve">ntrahepatic </w:t>
      </w:r>
      <w:r w:rsidR="001D7A10">
        <w:rPr>
          <w:rFonts w:ascii="Book Antiqua" w:hAnsi="Book Antiqua" w:cs="Book Antiqua" w:hint="eastAsia"/>
          <w:color w:val="000000"/>
          <w:lang w:eastAsia="zh-CN"/>
        </w:rPr>
        <w:t>p</w:t>
      </w:r>
      <w:r w:rsidR="001D7A10">
        <w:rPr>
          <w:rFonts w:ascii="Book Antiqua" w:eastAsia="Book Antiqua" w:hAnsi="Book Antiqua" w:cs="Book Antiqua"/>
          <w:color w:val="000000"/>
        </w:rPr>
        <w:t xml:space="preserve">ortosystemic </w:t>
      </w:r>
      <w:r w:rsidR="001D7A10">
        <w:rPr>
          <w:rFonts w:ascii="Book Antiqua" w:hAnsi="Book Antiqua" w:cs="Book Antiqua" w:hint="eastAsia"/>
          <w:color w:val="000000"/>
          <w:lang w:eastAsia="zh-CN"/>
        </w:rPr>
        <w:t>s</w:t>
      </w:r>
      <w:r w:rsidR="001D7A10">
        <w:rPr>
          <w:rFonts w:ascii="Book Antiqua" w:eastAsia="Book Antiqua" w:hAnsi="Book Antiqua" w:cs="Book Antiqua"/>
          <w:color w:val="000000"/>
        </w:rPr>
        <w:t xml:space="preserve">hunt. </w:t>
      </w:r>
      <w:r w:rsidR="001D7A10">
        <w:rPr>
          <w:rFonts w:ascii="Book Antiqua" w:eastAsia="Book Antiqua" w:hAnsi="Book Antiqua" w:cs="Book Antiqua"/>
          <w:i/>
          <w:iCs/>
          <w:color w:val="000000"/>
        </w:rPr>
        <w:t>World J Gastroenterol</w:t>
      </w:r>
      <w:r w:rsidR="001D7A10">
        <w:rPr>
          <w:rFonts w:ascii="Book Antiqua" w:eastAsia="Book Antiqua" w:hAnsi="Book Antiqua" w:cs="Book Antiqua"/>
          <w:color w:val="000000"/>
        </w:rPr>
        <w:t xml:space="preserve"> 2021; </w:t>
      </w:r>
      <w:r w:rsidR="00010642" w:rsidRPr="004346AA">
        <w:rPr>
          <w:rFonts w:ascii="Book Antiqua" w:eastAsia="Book Antiqua" w:hAnsi="Book Antiqua" w:cs="Book Antiqua"/>
          <w:color w:val="000000"/>
        </w:rPr>
        <w:t>27(</w:t>
      </w:r>
      <w:r w:rsidR="00010642">
        <w:rPr>
          <w:rFonts w:ascii="Book Antiqua" w:hAnsi="Book Antiqua" w:cs="Book Antiqua" w:hint="eastAsia"/>
          <w:color w:val="000000"/>
          <w:lang w:eastAsia="zh-CN"/>
        </w:rPr>
        <w:t>30</w:t>
      </w:r>
      <w:r w:rsidR="00010642" w:rsidRPr="004346AA">
        <w:rPr>
          <w:rFonts w:ascii="Book Antiqua" w:eastAsia="Book Antiqua" w:hAnsi="Book Antiqua" w:cs="Book Antiqua"/>
          <w:color w:val="000000"/>
        </w:rPr>
        <w:t xml:space="preserve">): </w:t>
      </w:r>
      <w:r w:rsidR="00D901E8" w:rsidRPr="00D901E8">
        <w:rPr>
          <w:rFonts w:ascii="Book Antiqua" w:eastAsia="Book Antiqua" w:hAnsi="Book Antiqua" w:cs="Book Antiqua"/>
          <w:color w:val="000000"/>
        </w:rPr>
        <w:t>5088-5099</w:t>
      </w:r>
      <w:r w:rsidR="00010642" w:rsidRPr="004346AA">
        <w:rPr>
          <w:rFonts w:ascii="Book Antiqua" w:eastAsia="Book Antiqua" w:hAnsi="Book Antiqua" w:cs="Book Antiqua"/>
          <w:color w:val="000000"/>
        </w:rPr>
        <w:t xml:space="preserve"> </w:t>
      </w:r>
    </w:p>
    <w:p w14:paraId="4C0D173E" w14:textId="77777777" w:rsidR="00527075" w:rsidRDefault="00010642" w:rsidP="00010642">
      <w:pPr>
        <w:spacing w:line="360" w:lineRule="auto"/>
        <w:jc w:val="both"/>
        <w:rPr>
          <w:rFonts w:ascii="Book Antiqua" w:hAnsi="Book Antiqua" w:cs="Book Antiqua" w:hint="eastAsia"/>
          <w:color w:val="000000"/>
          <w:lang w:eastAsia="zh-CN"/>
        </w:rPr>
      </w:pPr>
      <w:r w:rsidRPr="00D2603C">
        <w:rPr>
          <w:rFonts w:ascii="Book Antiqua" w:eastAsia="Book Antiqua" w:hAnsi="Book Antiqua" w:cs="Book Antiqua"/>
          <w:b/>
          <w:color w:val="000000"/>
        </w:rPr>
        <w:t xml:space="preserve">URL: </w:t>
      </w:r>
      <w:r w:rsidRPr="004346AA">
        <w:rPr>
          <w:rFonts w:ascii="Book Antiqua" w:eastAsia="Book Antiqua" w:hAnsi="Book Antiqua" w:cs="Book Antiqua"/>
          <w:color w:val="000000"/>
        </w:rPr>
        <w:t>https://www.wjgnet.com/1007-9327/full/v27/i</w:t>
      </w:r>
      <w:r>
        <w:rPr>
          <w:rFonts w:ascii="Book Antiqua" w:hAnsi="Book Antiqua" w:cs="Book Antiqua" w:hint="eastAsia"/>
          <w:color w:val="000000"/>
          <w:lang w:eastAsia="zh-CN"/>
        </w:rPr>
        <w:t>30</w:t>
      </w:r>
      <w:r w:rsidRPr="004346AA">
        <w:rPr>
          <w:rFonts w:ascii="Book Antiqua" w:eastAsia="Book Antiqua" w:hAnsi="Book Antiqua" w:cs="Book Antiqua"/>
          <w:color w:val="000000"/>
        </w:rPr>
        <w:t>/</w:t>
      </w:r>
      <w:r w:rsidR="00E64CB7" w:rsidRPr="00D901E8">
        <w:rPr>
          <w:rFonts w:ascii="Book Antiqua" w:eastAsia="Book Antiqua" w:hAnsi="Book Antiqua" w:cs="Book Antiqua"/>
          <w:color w:val="000000"/>
        </w:rPr>
        <w:t>5088</w:t>
      </w:r>
      <w:r w:rsidRPr="004346AA">
        <w:rPr>
          <w:rFonts w:ascii="Book Antiqua" w:eastAsia="Book Antiqua" w:hAnsi="Book Antiqua" w:cs="Book Antiqua"/>
          <w:color w:val="000000"/>
        </w:rPr>
        <w:t xml:space="preserve">.htm </w:t>
      </w:r>
    </w:p>
    <w:p w14:paraId="6D39236F" w14:textId="2D4178EC" w:rsidR="00010642" w:rsidRPr="004346AA" w:rsidRDefault="00010642" w:rsidP="00010642">
      <w:pPr>
        <w:spacing w:line="360" w:lineRule="auto"/>
        <w:jc w:val="both"/>
        <w:rPr>
          <w:rFonts w:ascii="Book Antiqua" w:eastAsia="Book Antiqua" w:hAnsi="Book Antiqua" w:cs="Book Antiqua"/>
          <w:color w:val="000000"/>
        </w:rPr>
      </w:pPr>
      <w:r w:rsidRPr="00D2603C">
        <w:rPr>
          <w:rFonts w:ascii="Book Antiqua" w:eastAsia="Book Antiqua" w:hAnsi="Book Antiqua" w:cs="Book Antiqua"/>
          <w:b/>
          <w:color w:val="000000"/>
        </w:rPr>
        <w:t>DOI:</w:t>
      </w:r>
      <w:r w:rsidRPr="004346AA">
        <w:rPr>
          <w:rFonts w:ascii="Book Antiqua" w:eastAsia="Book Antiqua" w:hAnsi="Book Antiqua" w:cs="Book Antiqua"/>
          <w:color w:val="000000"/>
        </w:rPr>
        <w:t xml:space="preserve"> https://dx.doi.org/10.3748/wjg.v27.i</w:t>
      </w:r>
      <w:r>
        <w:rPr>
          <w:rFonts w:ascii="Book Antiqua" w:hAnsi="Book Antiqua" w:cs="Book Antiqua" w:hint="eastAsia"/>
          <w:color w:val="000000"/>
          <w:lang w:eastAsia="zh-CN"/>
        </w:rPr>
        <w:t>30</w:t>
      </w:r>
      <w:r w:rsidRPr="004346AA">
        <w:rPr>
          <w:rFonts w:ascii="Book Antiqua" w:eastAsia="Book Antiqua" w:hAnsi="Book Antiqua" w:cs="Book Antiqua"/>
          <w:color w:val="000000"/>
        </w:rPr>
        <w:t>.</w:t>
      </w:r>
      <w:r w:rsidR="00E64CB7" w:rsidRPr="00D901E8">
        <w:rPr>
          <w:rFonts w:ascii="Book Antiqua" w:eastAsia="Book Antiqua" w:hAnsi="Book Antiqua" w:cs="Book Antiqua"/>
          <w:color w:val="000000"/>
        </w:rPr>
        <w:t>5088</w:t>
      </w:r>
    </w:p>
    <w:p w14:paraId="78712CFE" w14:textId="2357753B" w:rsidR="0050274A" w:rsidRDefault="0050274A">
      <w:pPr>
        <w:spacing w:line="360" w:lineRule="auto"/>
        <w:jc w:val="both"/>
        <w:rPr>
          <w:rFonts w:ascii="Book Antiqua" w:hAnsi="Book Antiqua"/>
        </w:rPr>
      </w:pPr>
    </w:p>
    <w:p w14:paraId="28D8176B" w14:textId="77777777" w:rsidR="0050274A" w:rsidRDefault="0050274A">
      <w:pPr>
        <w:spacing w:line="360" w:lineRule="auto"/>
        <w:jc w:val="both"/>
        <w:rPr>
          <w:rFonts w:ascii="Book Antiqua" w:hAnsi="Book Antiqua"/>
        </w:rPr>
      </w:pPr>
    </w:p>
    <w:p w14:paraId="05072330" w14:textId="139FEA62"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As a</w:t>
      </w:r>
      <w:r w:rsidR="00F9339A">
        <w:rPr>
          <w:rFonts w:ascii="Book Antiqua" w:eastAsia="Book Antiqua" w:hAnsi="Book Antiqua" w:cs="Book Antiqua"/>
          <w:color w:val="000000"/>
        </w:rPr>
        <w:t xml:space="preserve"> </w:t>
      </w:r>
      <w:r>
        <w:rPr>
          <w:rFonts w:ascii="Book Antiqua" w:eastAsia="Book Antiqua" w:hAnsi="Book Antiqua" w:cs="Book Antiqua"/>
          <w:color w:val="000000"/>
        </w:rPr>
        <w:t xml:space="preserve">country </w:t>
      </w:r>
      <w:r w:rsidR="00F9339A">
        <w:rPr>
          <w:rFonts w:ascii="Book Antiqua" w:eastAsia="Book Antiqua" w:hAnsi="Book Antiqua" w:cs="Book Antiqua"/>
          <w:color w:val="000000"/>
        </w:rPr>
        <w:t xml:space="preserve">with a high burden </w:t>
      </w:r>
      <w:r>
        <w:rPr>
          <w:rFonts w:ascii="Book Antiqua" w:eastAsia="Book Antiqua" w:hAnsi="Book Antiqua" w:cs="Book Antiqua"/>
          <w:color w:val="000000"/>
        </w:rPr>
        <w:t xml:space="preserve">of hepatitis B, China has about 86 million cases of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 virus </w:t>
      </w:r>
      <w:r>
        <w:rPr>
          <w:rFonts w:ascii="Book Antiqua" w:eastAsia="宋体" w:hAnsi="Book Antiqua" w:cs="宋体" w:hint="eastAsia"/>
          <w:color w:val="000000"/>
          <w:lang w:eastAsia="zh-CN"/>
        </w:rPr>
        <w:t>(</w:t>
      </w:r>
      <w:r>
        <w:rPr>
          <w:rFonts w:ascii="Book Antiqua" w:eastAsia="Book Antiqua" w:hAnsi="Book Antiqua" w:cs="Book Antiqua"/>
          <w:color w:val="000000"/>
        </w:rPr>
        <w:t>HBV</w:t>
      </w:r>
      <w:r>
        <w:rPr>
          <w:rFonts w:ascii="Book Antiqua" w:eastAsia="宋体" w:hAnsi="Book Antiqua" w:cs="宋体" w:hint="eastAsia"/>
          <w:color w:val="000000"/>
          <w:lang w:eastAsia="zh-CN"/>
        </w:rPr>
        <w:t>)</w:t>
      </w:r>
      <w:r>
        <w:rPr>
          <w:rFonts w:ascii="Book Antiqua" w:eastAsia="Book Antiqua" w:hAnsi="Book Antiqua" w:cs="Book Antiqua"/>
          <w:color w:val="000000"/>
        </w:rPr>
        <w:t xml:space="preserve"> infection, ranking the first in the world. Hepatitis B cirrhosis complicated with portal hypertension is characterized by persistent HBV</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replication and aggravated liver inflammation and fibrosis. Considering the fact that there is </w:t>
      </w:r>
      <w:r w:rsidR="00F9339A">
        <w:rPr>
          <w:rFonts w:ascii="Book Antiqua" w:eastAsia="Book Antiqua" w:hAnsi="Book Antiqua" w:cs="Book Antiqua"/>
          <w:color w:val="000000"/>
        </w:rPr>
        <w:t xml:space="preserve">currently </w:t>
      </w:r>
      <w:r>
        <w:rPr>
          <w:rFonts w:ascii="Book Antiqua" w:eastAsia="Book Antiqua" w:hAnsi="Book Antiqua" w:cs="Book Antiqua"/>
          <w:color w:val="000000"/>
        </w:rPr>
        <w:t xml:space="preserve">no report on the clinical efficacy of antiviral therapy for patients with hepatitis B cirrhosis after </w:t>
      </w:r>
      <w:r>
        <w:rPr>
          <w:rFonts w:ascii="Book Antiqua" w:hAnsi="Book Antiqua" w:cs="Book Antiqua" w:hint="eastAsia"/>
          <w:color w:val="000000"/>
          <w:lang w:eastAsia="zh-CN"/>
        </w:rPr>
        <w:t>t</w:t>
      </w:r>
      <w:r>
        <w:rPr>
          <w:rFonts w:ascii="Book Antiqua" w:eastAsia="Book Antiqua" w:hAnsi="Book Antiqua" w:cs="Book Antiqua"/>
          <w:color w:val="000000"/>
        </w:rPr>
        <w:t xml:space="preserve">ransjugular </w:t>
      </w:r>
      <w:r>
        <w:rPr>
          <w:rFonts w:ascii="Book Antiqua" w:hAnsi="Book Antiqua" w:cs="Book Antiqua" w:hint="eastAsia"/>
          <w:color w:val="000000"/>
          <w:lang w:eastAsia="zh-CN"/>
        </w:rPr>
        <w:t>i</w:t>
      </w:r>
      <w:r>
        <w:rPr>
          <w:rFonts w:ascii="Book Antiqua" w:eastAsia="Book Antiqua" w:hAnsi="Book Antiqua" w:cs="Book Antiqua"/>
          <w:color w:val="000000"/>
        </w:rPr>
        <w:t xml:space="preserve">ntrahepatic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ortosystemic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hunt, </w:t>
      </w:r>
      <w:r w:rsidR="00F9339A">
        <w:rPr>
          <w:rFonts w:ascii="Book Antiqua" w:eastAsia="Book Antiqua" w:hAnsi="Book Antiqua" w:cs="Book Antiqua"/>
          <w:color w:val="000000"/>
        </w:rPr>
        <w:t>we</w:t>
      </w:r>
      <w:r>
        <w:rPr>
          <w:rFonts w:ascii="Book Antiqua" w:eastAsia="Book Antiqua" w:hAnsi="Book Antiqua" w:cs="Book Antiqua"/>
          <w:color w:val="000000"/>
        </w:rPr>
        <w:t xml:space="preserve"> believe that this study has </w:t>
      </w:r>
      <w:r w:rsidR="00F9339A">
        <w:rPr>
          <w:rFonts w:ascii="Book Antiqua" w:eastAsia="Book Antiqua" w:hAnsi="Book Antiqua" w:cs="Book Antiqua"/>
          <w:color w:val="000000"/>
        </w:rPr>
        <w:t xml:space="preserve">appreciated </w:t>
      </w:r>
      <w:r>
        <w:rPr>
          <w:rFonts w:ascii="Book Antiqua" w:eastAsia="Book Antiqua" w:hAnsi="Book Antiqua" w:cs="Book Antiqua"/>
          <w:color w:val="000000"/>
        </w:rPr>
        <w:t>clinical reference value for the selection of anti-HBV drugs in such patients.</w:t>
      </w:r>
    </w:p>
    <w:p w14:paraId="7DDDAE91" w14:textId="77777777" w:rsidR="0050274A" w:rsidRDefault="001D7A10">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t>INTRODUCTION</w:t>
      </w:r>
    </w:p>
    <w:p w14:paraId="3C7EF17A" w14:textId="4234E469" w:rsidR="0050274A" w:rsidRDefault="001D7A10">
      <w:pPr>
        <w:spacing w:line="360" w:lineRule="auto"/>
        <w:jc w:val="both"/>
        <w:rPr>
          <w:rFonts w:ascii="Book Antiqua" w:hAnsi="Book Antiqua"/>
        </w:rPr>
      </w:pPr>
      <w:r>
        <w:rPr>
          <w:rFonts w:ascii="Book Antiqua" w:eastAsia="Book Antiqua" w:hAnsi="Book Antiqua" w:cs="Book Antiqua"/>
          <w:color w:val="000000"/>
        </w:rPr>
        <w:t>Patients with chronic hepatitis B (CHB) cirrhosis complicated with severe portal hypertension-related complications rarely accept liver transplantation because of limited liver source and high medical costs. As a result, how to improve the liver functional reserve, reduce the incidence of liver cancer</w:t>
      </w:r>
      <w:r w:rsidR="00B85F19">
        <w:rPr>
          <w:rFonts w:ascii="Book Antiqua" w:eastAsia="Book Antiqua" w:hAnsi="Book Antiqua" w:cs="Book Antiqua"/>
          <w:color w:val="000000"/>
        </w:rPr>
        <w:t>,</w:t>
      </w:r>
      <w:r>
        <w:rPr>
          <w:rFonts w:ascii="Book Antiqua" w:eastAsia="Book Antiqua" w:hAnsi="Book Antiqua" w:cs="Book Antiqua"/>
          <w:color w:val="000000"/>
        </w:rPr>
        <w:t xml:space="preserve"> and enhance the survival rate of such patients has become the focus of clinical research. Transjugular intrahepatic portosystemic shunt (TIPS) is an effective method to treat the complications secondary to liver cirrhosis complicated with portal hypertension. While portal hypertension-related complications in patients with CHB cirrhosis are effectively controlled, early initiation of antiviral therapy can significantly reduce long-term liver-related complications, such as hepatocellular carcinoma (HCC) and hepatic failure, and improve the survival rate. At present, tenofovir disoproxil fumarate (TDF), entecavir (ETV)</w:t>
      </w:r>
      <w:r w:rsidR="00B85F19">
        <w:rPr>
          <w:rFonts w:ascii="Book Antiqua" w:eastAsia="Book Antiqua" w:hAnsi="Book Antiqua" w:cs="Book Antiqua"/>
          <w:color w:val="000000"/>
        </w:rPr>
        <w:t>,</w:t>
      </w:r>
      <w:r>
        <w:rPr>
          <w:rFonts w:ascii="Book Antiqua" w:eastAsia="Book Antiqua" w:hAnsi="Book Antiqua" w:cs="Book Antiqua"/>
          <w:color w:val="000000"/>
        </w:rPr>
        <w:t xml:space="preserve"> and tenofovir alafenamide fumarate (TAF) are recommended as the first-line treatment options for CHB patients by major international and domestic guidelines for the diagnosis, treatment</w:t>
      </w:r>
      <w:r w:rsidR="00B85F19">
        <w:rPr>
          <w:rFonts w:ascii="Book Antiqua" w:eastAsia="Book Antiqua" w:hAnsi="Book Antiqua" w:cs="Book Antiqua"/>
          <w:color w:val="000000"/>
        </w:rPr>
        <w:t>,</w:t>
      </w:r>
      <w:r>
        <w:rPr>
          <w:rFonts w:ascii="Book Antiqua" w:eastAsia="Book Antiqua" w:hAnsi="Book Antiqua" w:cs="Book Antiqua"/>
          <w:color w:val="000000"/>
        </w:rPr>
        <w:t xml:space="preserve"> and management of CHB. Moreover, </w:t>
      </w:r>
      <w:r>
        <w:rPr>
          <w:rFonts w:ascii="Book Antiqua" w:hAnsi="Book Antiqua" w:cs="Book Antiqua" w:hint="eastAsia"/>
          <w:color w:val="000000"/>
          <w:lang w:eastAsia="zh-CN"/>
        </w:rPr>
        <w:t>p</w:t>
      </w:r>
      <w:r>
        <w:rPr>
          <w:rFonts w:ascii="Book Antiqua" w:eastAsia="Book Antiqua" w:hAnsi="Book Antiqua" w:cs="Book Antiqua"/>
          <w:color w:val="000000"/>
        </w:rPr>
        <w:t>revious clinical study</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center suggested that the use of </w:t>
      </w:r>
      <w:r w:rsidR="00B85F19">
        <w:rPr>
          <w:rFonts w:ascii="Book Antiqua" w:eastAsia="Book Antiqua" w:hAnsi="Book Antiqua" w:cs="Book Antiqua"/>
          <w:color w:val="000000"/>
        </w:rPr>
        <w:t xml:space="preserve">an </w:t>
      </w:r>
      <w:r>
        <w:rPr>
          <w:rFonts w:ascii="Book Antiqua" w:eastAsia="Book Antiqua" w:hAnsi="Book Antiqua" w:cs="Book Antiqua"/>
          <w:color w:val="000000"/>
        </w:rPr>
        <w:t xml:space="preserve">8-mm stent during TIPS could not only effectively shunt, but also relieve portal pressure. Twenty-four months after surgery, the liver functional reserve of patients with hepatitis B cirrhosis was better than that of </w:t>
      </w:r>
      <w:r w:rsidR="00B85F19">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alcohol-induced and immune cirrhosis, which may be related to the effective etiological treatment. Based on the above studies, the clinical data of patients with hepatitis B cirrhosis after TIPS treated with different antiviral drugs were retrospectively analyzed in this study. However, TAF entered the Chinese market since November 2018. Current data on the efficacy and safety of TAF in Chinese people are rare, especially in patients with CHB cirrhosis complicated with portal hypertension whose portal vein pressure is relieved after TIPS. Therefore, we </w:t>
      </w:r>
      <w:r w:rsidR="00CC369C">
        <w:rPr>
          <w:rFonts w:ascii="Book Antiqua" w:eastAsia="Book Antiqua" w:hAnsi="Book Antiqua" w:cs="Book Antiqua"/>
          <w:color w:val="000000"/>
        </w:rPr>
        <w:t>evaluated</w:t>
      </w:r>
      <w:r>
        <w:rPr>
          <w:rFonts w:ascii="Book Antiqua" w:eastAsia="Book Antiqua" w:hAnsi="Book Antiqua" w:cs="Book Antiqua"/>
          <w:color w:val="000000"/>
        </w:rPr>
        <w:t xml:space="preserve"> the clinical efficacy of the three antiviral drugs through this retrospective study, </w:t>
      </w:r>
      <w:r w:rsidR="00B85F19">
        <w:rPr>
          <w:rFonts w:ascii="Book Antiqua" w:eastAsia="Book Antiqua" w:hAnsi="Book Antiqua" w:cs="Book Antiqua"/>
          <w:color w:val="000000"/>
        </w:rPr>
        <w:t>with an aim</w:t>
      </w:r>
      <w:r>
        <w:rPr>
          <w:rFonts w:ascii="Book Antiqua" w:eastAsia="Book Antiqua" w:hAnsi="Book Antiqua" w:cs="Book Antiqua"/>
          <w:color w:val="000000"/>
        </w:rPr>
        <w:t xml:space="preserve"> to provide reference for antiviral treatment of patients with CHB cirrhosis after TIPS.</w:t>
      </w:r>
    </w:p>
    <w:p w14:paraId="6D02B873" w14:textId="77777777" w:rsidR="0050274A" w:rsidRDefault="0050274A">
      <w:pPr>
        <w:spacing w:line="360" w:lineRule="auto"/>
        <w:jc w:val="both"/>
        <w:rPr>
          <w:rFonts w:ascii="Book Antiqua" w:hAnsi="Book Antiqua"/>
        </w:rPr>
      </w:pPr>
    </w:p>
    <w:p w14:paraId="1C6AF988"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EF3A3A8" w14:textId="022B7381"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S</w:t>
      </w:r>
      <w:r w:rsidR="00407CCA">
        <w:rPr>
          <w:rFonts w:ascii="Book Antiqua" w:eastAsia="Book Antiqua" w:hAnsi="Book Antiqua" w:cs="Book Antiqua"/>
          <w:b/>
          <w:bCs/>
          <w:i/>
          <w:iCs/>
          <w:color w:val="000000"/>
        </w:rPr>
        <w:t>ubjects</w:t>
      </w:r>
    </w:p>
    <w:p w14:paraId="73DA4848" w14:textId="57717FB3"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clinical data of 137 patients with CHB cirrhosis complicated with portal hypertension treated by TIPS with </w:t>
      </w:r>
      <w:r w:rsidR="00842129">
        <w:rPr>
          <w:rFonts w:ascii="Book Antiqua" w:eastAsia="Book Antiqua" w:hAnsi="Book Antiqua" w:cs="Book Antiqua"/>
          <w:color w:val="000000"/>
        </w:rPr>
        <w:t xml:space="preserve">a </w:t>
      </w:r>
      <w:r w:rsidR="00842129">
        <w:rPr>
          <w:rFonts w:ascii="Book Antiqua" w:hAnsi="Book Antiqua" w:cs="Book Antiqua"/>
          <w:color w:val="000000"/>
          <w:lang w:eastAsia="zh-CN"/>
        </w:rPr>
        <w:t>V</w:t>
      </w:r>
      <w:r w:rsidR="00842129">
        <w:rPr>
          <w:rFonts w:ascii="Book Antiqua" w:eastAsia="Book Antiqua" w:hAnsi="Book Antiqua" w:cs="Book Antiqua"/>
          <w:color w:val="000000"/>
        </w:rPr>
        <w:t xml:space="preserve">iator </w:t>
      </w:r>
      <w:r>
        <w:rPr>
          <w:rFonts w:ascii="Book Antiqua" w:eastAsia="Book Antiqua" w:hAnsi="Book Antiqua" w:cs="Book Antiqua"/>
          <w:color w:val="000000"/>
        </w:rPr>
        <w:t xml:space="preserve">stent </w:t>
      </w:r>
      <w:r w:rsidR="00842129">
        <w:rPr>
          <w:rFonts w:ascii="Book Antiqua" w:eastAsia="Book Antiqua" w:hAnsi="Book Antiqua" w:cs="Book Antiqua"/>
          <w:color w:val="000000"/>
        </w:rPr>
        <w:t xml:space="preserve">at </w:t>
      </w:r>
      <w:r>
        <w:rPr>
          <w:rFonts w:ascii="Book Antiqua" w:eastAsia="Book Antiqua" w:hAnsi="Book Antiqua" w:cs="Book Antiqua"/>
          <w:color w:val="000000"/>
        </w:rPr>
        <w:t xml:space="preserve">our center from March 2016 to December 2020 were collected. </w:t>
      </w:r>
      <w:r w:rsidR="00842129">
        <w:rPr>
          <w:rFonts w:ascii="Book Antiqua" w:eastAsia="Book Antiqua" w:hAnsi="Book Antiqua" w:cs="Book Antiqua"/>
          <w:color w:val="000000"/>
        </w:rPr>
        <w:t xml:space="preserve">The inclusion </w:t>
      </w:r>
      <w:r>
        <w:rPr>
          <w:rFonts w:ascii="Book Antiqua" w:eastAsia="Book Antiqua" w:hAnsi="Book Antiqua" w:cs="Book Antiqua"/>
          <w:color w:val="000000"/>
        </w:rPr>
        <w:t xml:space="preserve">criteria included: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dult patients with CHB cirrhosis complicated with portal hypertension treated </w:t>
      </w:r>
      <w:r w:rsidR="00842129">
        <w:rPr>
          <w:rFonts w:ascii="Book Antiqua" w:eastAsia="Book Antiqua" w:hAnsi="Book Antiqua" w:cs="Book Antiqua"/>
          <w:color w:val="000000"/>
        </w:rPr>
        <w:t xml:space="preserve">by </w:t>
      </w:r>
      <w:r>
        <w:rPr>
          <w:rFonts w:ascii="Book Antiqua" w:eastAsia="Book Antiqua" w:hAnsi="Book Antiqua" w:cs="Book Antiqua"/>
          <w:color w:val="000000"/>
        </w:rPr>
        <w:t xml:space="preserve">TIPS for the first time;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receiving TIPS with a shunt channel dilated by an 8-mm balloon and an 8-mm TIPS-specific stent (Viator stent) implanted; and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undergoing monotherapy (ETV/TDF/TAF) for hepatitis B virus (HBV) for more than one year</w:t>
      </w:r>
      <w:r w:rsidR="00842129">
        <w:rPr>
          <w:rFonts w:ascii="Book Antiqua" w:eastAsia="Book Antiqua" w:hAnsi="Book Antiqua" w:cs="Book Antiqua"/>
          <w:color w:val="000000"/>
        </w:rPr>
        <w:t xml:space="preserve">, with </w:t>
      </w:r>
      <w:r>
        <w:rPr>
          <w:rFonts w:ascii="Book Antiqua" w:eastAsia="Book Antiqua" w:hAnsi="Book Antiqua" w:cs="Book Antiqua"/>
          <w:color w:val="000000"/>
        </w:rPr>
        <w:t xml:space="preserve">complete virological response </w:t>
      </w:r>
      <w:r w:rsidR="00842129">
        <w:rPr>
          <w:rFonts w:ascii="Book Antiqua" w:eastAsia="Book Antiqua" w:hAnsi="Book Antiqua" w:cs="Book Antiqua"/>
          <w:color w:val="000000"/>
        </w:rPr>
        <w:t xml:space="preserve">maintained </w:t>
      </w:r>
      <w:r>
        <w:rPr>
          <w:rFonts w:ascii="Book Antiqua" w:eastAsia="Book Antiqua" w:hAnsi="Book Antiqua" w:cs="Book Antiqua"/>
          <w:color w:val="000000"/>
        </w:rPr>
        <w:t>3, 6</w:t>
      </w:r>
      <w:r w:rsidR="00842129">
        <w:rPr>
          <w:rFonts w:ascii="Book Antiqua" w:eastAsia="Book Antiqua" w:hAnsi="Book Antiqua" w:cs="Book Antiqua"/>
          <w:color w:val="000000"/>
        </w:rPr>
        <w:t>,</w:t>
      </w:r>
      <w:r>
        <w:rPr>
          <w:rFonts w:ascii="Book Antiqua" w:eastAsia="Book Antiqua" w:hAnsi="Book Antiqua" w:cs="Book Antiqua"/>
          <w:color w:val="000000"/>
        </w:rPr>
        <w:t xml:space="preserve"> and 12 mo after surgery</w:t>
      </w:r>
      <w:r w:rsidR="00842129">
        <w:rPr>
          <w:rFonts w:ascii="Book Antiqua" w:eastAsia="Book Antiqua" w:hAnsi="Book Antiqua" w:cs="Book Antiqua"/>
          <w:color w:val="000000"/>
        </w:rPr>
        <w:t>, as evidenced by a low HBV DNA</w:t>
      </w:r>
      <w:r>
        <w:rPr>
          <w:rFonts w:ascii="Book Antiqua" w:eastAsia="Book Antiqua" w:hAnsi="Book Antiqua" w:cs="Book Antiqua"/>
          <w:color w:val="000000"/>
        </w:rPr>
        <w:t xml:space="preserve"> (the lower limit of detection of HBV DNA was 100 IU/mL). </w:t>
      </w:r>
      <w:r w:rsidR="00842129">
        <w:rPr>
          <w:rFonts w:ascii="Book Antiqua" w:eastAsia="Book Antiqua" w:hAnsi="Book Antiqua" w:cs="Book Antiqua"/>
          <w:color w:val="000000"/>
        </w:rPr>
        <w:t xml:space="preserve">The exclusion </w:t>
      </w:r>
      <w:r>
        <w:rPr>
          <w:rFonts w:ascii="Book Antiqua" w:eastAsia="Book Antiqua" w:hAnsi="Book Antiqua" w:cs="Book Antiqua"/>
          <w:color w:val="000000"/>
        </w:rPr>
        <w:t xml:space="preserve">criteria were as follows: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liver cancer confirmed by imaging examination before surgery, and a history of splenectomy or partial splenic artery embolization;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stent dysfunction;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preoperative Child-Pugh score for hepatic function &gt; 13 and underlying nephropathy </w:t>
      </w:r>
      <w:r>
        <w:rPr>
          <w:rFonts w:ascii="Book Antiqua" w:hAnsi="Book Antiqua" w:cs="Book Antiqua" w:hint="eastAsia"/>
          <w:color w:val="000000"/>
          <w:lang w:eastAsia="zh-CN"/>
        </w:rPr>
        <w:t>[</w:t>
      </w:r>
      <w:r>
        <w:rPr>
          <w:rFonts w:ascii="Book Antiqua" w:hAnsi="Book Antiqua" w:hint="eastAsia"/>
          <w:bCs/>
          <w:color w:val="000000"/>
          <w:lang w:eastAsia="zh-CN"/>
        </w:rPr>
        <w:t>e</w:t>
      </w:r>
      <w:r>
        <w:rPr>
          <w:rFonts w:ascii="Book Antiqua" w:hAnsi="Book Antiqua"/>
          <w:bCs/>
          <w:color w:val="000000"/>
        </w:rPr>
        <w:t xml:space="preserve">stimated </w:t>
      </w:r>
      <w:r>
        <w:rPr>
          <w:rFonts w:ascii="Book Antiqua" w:hAnsi="Book Antiqua" w:hint="eastAsia"/>
          <w:bCs/>
          <w:color w:val="000000"/>
          <w:lang w:eastAsia="zh-CN"/>
        </w:rPr>
        <w:t>g</w:t>
      </w:r>
      <w:r>
        <w:rPr>
          <w:rFonts w:ascii="Book Antiqua" w:hAnsi="Book Antiqua"/>
          <w:bCs/>
          <w:color w:val="000000"/>
        </w:rPr>
        <w:t>lomerular filtration rate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eGFR</w:t>
      </w:r>
      <w:r>
        <w:rPr>
          <w:rFonts w:ascii="Book Antiqua" w:hAnsi="Book Antiqua" w:cs="Book Antiqua" w:hint="eastAsia"/>
          <w:color w:val="000000"/>
          <w:lang w:eastAsia="zh-CN"/>
        </w:rPr>
        <w:t>)</w:t>
      </w:r>
      <w:r>
        <w:rPr>
          <w:rFonts w:ascii="Book Antiqua" w:eastAsia="Book Antiqua" w:hAnsi="Book Antiqua" w:cs="Book Antiqua"/>
          <w:color w:val="000000"/>
        </w:rPr>
        <w:t xml:space="preserve"> &lt; 90 mL/min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cavernous transformation of the portal vein or portal thrombosis; </w:t>
      </w:r>
      <w:r>
        <w:rPr>
          <w:rFonts w:ascii="Book Antiqua" w:hAnsi="Book Antiqua" w:cs="Book Antiqua" w:hint="eastAsia"/>
          <w:color w:val="000000"/>
          <w:lang w:eastAsia="zh-CN"/>
        </w:rPr>
        <w:t>(</w:t>
      </w:r>
      <w:r>
        <w:rPr>
          <w:rFonts w:ascii="Book Antiqua" w:eastAsia="Book Antiqua" w:hAnsi="Book Antiqua" w:cs="Book Antiqua"/>
          <w:color w:val="000000"/>
        </w:rPr>
        <w:t>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with preoperative hepatic encephalopathy (HE), hepatorenal syndrome</w:t>
      </w:r>
      <w:r w:rsidR="00842129">
        <w:rPr>
          <w:rFonts w:ascii="Book Antiqua" w:eastAsia="Book Antiqua" w:hAnsi="Book Antiqua" w:cs="Book Antiqua"/>
          <w:color w:val="000000"/>
        </w:rPr>
        <w:t>,</w:t>
      </w:r>
      <w:r>
        <w:rPr>
          <w:rFonts w:ascii="Book Antiqua" w:eastAsia="Book Antiqua" w:hAnsi="Book Antiqua" w:cs="Book Antiqua"/>
          <w:color w:val="000000"/>
        </w:rPr>
        <w:t xml:space="preserve"> and hepatopulmonary syndrome; </w:t>
      </w:r>
      <w:r>
        <w:rPr>
          <w:rFonts w:ascii="Book Antiqua" w:hAnsi="Book Antiqua" w:cs="Book Antiqua" w:hint="eastAsia"/>
          <w:color w:val="000000"/>
          <w:lang w:eastAsia="zh-CN"/>
        </w:rPr>
        <w:t>(</w:t>
      </w:r>
      <w:r>
        <w:rPr>
          <w:rFonts w:ascii="Book Antiqua" w:eastAsia="Book Antiqua" w:hAnsi="Book Antiqua" w:cs="Book Antiqua"/>
          <w:color w:val="000000"/>
        </w:rPr>
        <w:t>6</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with a history of major liver surgery such as hepatectomy, surgical shunt</w:t>
      </w:r>
      <w:r w:rsidR="00842129">
        <w:rPr>
          <w:rFonts w:ascii="Book Antiqua" w:eastAsia="Book Antiqua" w:hAnsi="Book Antiqua" w:cs="Book Antiqua"/>
          <w:color w:val="000000"/>
        </w:rPr>
        <w:t>,</w:t>
      </w:r>
      <w:r>
        <w:rPr>
          <w:rFonts w:ascii="Book Antiqua" w:eastAsia="Book Antiqua" w:hAnsi="Book Antiqua" w:cs="Book Antiqua"/>
          <w:color w:val="000000"/>
        </w:rPr>
        <w:t xml:space="preserve"> and liver transplantation; </w:t>
      </w:r>
      <w:r>
        <w:rPr>
          <w:rFonts w:ascii="Book Antiqua" w:hAnsi="Book Antiqua" w:cs="Book Antiqua" w:hint="eastAsia"/>
          <w:color w:val="000000"/>
          <w:lang w:eastAsia="zh-CN"/>
        </w:rPr>
        <w:t>(</w:t>
      </w:r>
      <w:r>
        <w:rPr>
          <w:rFonts w:ascii="Book Antiqua" w:eastAsia="Book Antiqua" w:hAnsi="Book Antiqua" w:cs="Book Antiqua"/>
          <w:color w:val="000000"/>
        </w:rPr>
        <w:t>7</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severe coagulation disorders; </w:t>
      </w:r>
      <w:r>
        <w:rPr>
          <w:rFonts w:ascii="Book Antiqua" w:hAnsi="Book Antiqua" w:cs="Book Antiqua" w:hint="eastAsia"/>
          <w:color w:val="000000"/>
          <w:lang w:eastAsia="zh-CN"/>
        </w:rPr>
        <w:t>(</w:t>
      </w:r>
      <w:r>
        <w:rPr>
          <w:rFonts w:ascii="Book Antiqua" w:eastAsia="Book Antiqua" w:hAnsi="Book Antiqua" w:cs="Book Antiqua"/>
          <w:color w:val="000000"/>
        </w:rPr>
        <w:t>8</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severe right heart failure and pulmonary hypertension; </w:t>
      </w:r>
      <w:r>
        <w:rPr>
          <w:rFonts w:ascii="Book Antiqua" w:hAnsi="Book Antiqua" w:cs="Book Antiqua" w:hint="eastAsia"/>
          <w:color w:val="000000"/>
          <w:lang w:eastAsia="zh-CN"/>
        </w:rPr>
        <w:t>(</w:t>
      </w:r>
      <w:r>
        <w:rPr>
          <w:rFonts w:ascii="Book Antiqua" w:eastAsia="Book Antiqua" w:hAnsi="Book Antiqua" w:cs="Book Antiqua"/>
          <w:color w:val="000000"/>
        </w:rPr>
        <w:t>9</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uncontrolled intrahepatic infection </w:t>
      </w:r>
      <w:r>
        <w:rPr>
          <w:rFonts w:ascii="Book Antiqua" w:eastAsia="Book Antiqua" w:hAnsi="Book Antiqua" w:cs="Book Antiqua" w:hint="eastAsia"/>
          <w:color w:val="000000"/>
        </w:rPr>
        <w:t>[a</w:t>
      </w:r>
      <w:r>
        <w:rPr>
          <w:rFonts w:ascii="Book Antiqua" w:eastAsia="Book Antiqua" w:hAnsi="Book Antiqua" w:cs="Book Antiqua"/>
          <w:color w:val="000000"/>
        </w:rPr>
        <w:t xml:space="preserve">lanine aminotransferase (ALT) was more than 10 times higher than </w:t>
      </w:r>
      <w:r w:rsidR="00842129">
        <w:rPr>
          <w:rFonts w:ascii="Book Antiqua" w:eastAsia="Book Antiqua" w:hAnsi="Book Antiqua" w:cs="Book Antiqua"/>
          <w:color w:val="000000"/>
        </w:rPr>
        <w:t xml:space="preserve">the </w:t>
      </w:r>
      <w:r>
        <w:rPr>
          <w:rFonts w:ascii="Book Antiqua" w:eastAsia="Book Antiqua" w:hAnsi="Book Antiqua" w:cs="Book Antiqua"/>
          <w:color w:val="000000"/>
        </w:rPr>
        <w:t>upper limit of normal</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systemic infection; </w:t>
      </w:r>
      <w:r>
        <w:rPr>
          <w:rFonts w:ascii="Book Antiqua" w:hAnsi="Book Antiqua" w:cs="Book Antiqua" w:hint="eastAsia"/>
          <w:color w:val="000000"/>
          <w:lang w:eastAsia="zh-CN"/>
        </w:rPr>
        <w:t>(</w:t>
      </w:r>
      <w:r>
        <w:rPr>
          <w:rFonts w:ascii="Book Antiqua" w:eastAsia="Book Antiqua" w:hAnsi="Book Antiqua" w:cs="Book Antiqua"/>
          <w:color w:val="000000"/>
        </w:rPr>
        <w:t>10</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regnant </w:t>
      </w:r>
      <w:r>
        <w:rPr>
          <w:rFonts w:ascii="Book Antiqua" w:eastAsia="Book Antiqua" w:hAnsi="Book Antiqua" w:cs="Book Antiqua"/>
          <w:color w:val="000000"/>
        </w:rPr>
        <w:t xml:space="preserve">and lactating patients or patients with pregnancy plan; and </w:t>
      </w:r>
      <w:r>
        <w:rPr>
          <w:rFonts w:ascii="Book Antiqua" w:hAnsi="Book Antiqua" w:cs="Book Antiqua" w:hint="eastAsia"/>
          <w:color w:val="000000"/>
          <w:lang w:eastAsia="zh-CN"/>
        </w:rPr>
        <w:t>(</w:t>
      </w:r>
      <w:r>
        <w:rPr>
          <w:rFonts w:ascii="Book Antiqua" w:eastAsia="Book Antiqua" w:hAnsi="Book Antiqua" w:cs="Book Antiqua"/>
          <w:color w:val="000000"/>
        </w:rPr>
        <w:t>11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with liver cirrhosis treated with warfarin and other anticoagulants after surgery. All the patients met the indications of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TIPS guidelines</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American Association of the Study of Liver Diseases (AASLD) guidelines for the prevention and treatment of CHB</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study was approved by the hospital ethics committee. The patients and their families were fully informed and signed </w:t>
      </w:r>
      <w:r w:rsidR="00842129">
        <w:rPr>
          <w:rFonts w:ascii="Book Antiqua" w:eastAsia="Book Antiqua" w:hAnsi="Book Antiqua" w:cs="Book Antiqua"/>
          <w:color w:val="000000"/>
        </w:rPr>
        <w:t xml:space="preserve">an </w:t>
      </w:r>
      <w:r>
        <w:rPr>
          <w:rFonts w:ascii="Book Antiqua" w:eastAsia="Book Antiqua" w:hAnsi="Book Antiqua" w:cs="Book Antiqua"/>
          <w:color w:val="000000"/>
        </w:rPr>
        <w:t>informed consent</w:t>
      </w:r>
      <w:r w:rsidR="00842129">
        <w:rPr>
          <w:rFonts w:ascii="Book Antiqua" w:eastAsia="Book Antiqua" w:hAnsi="Book Antiqua" w:cs="Book Antiqua"/>
          <w:color w:val="000000"/>
        </w:rPr>
        <w:t xml:space="preserve"> form</w:t>
      </w:r>
      <w:r>
        <w:rPr>
          <w:rFonts w:ascii="Book Antiqua" w:eastAsia="Book Antiqua" w:hAnsi="Book Antiqua" w:cs="Book Antiqua"/>
          <w:color w:val="000000"/>
        </w:rPr>
        <w:t>.</w:t>
      </w:r>
    </w:p>
    <w:p w14:paraId="1813F3B6" w14:textId="77777777" w:rsidR="0050274A" w:rsidRDefault="0050274A">
      <w:pPr>
        <w:spacing w:line="360" w:lineRule="auto"/>
        <w:jc w:val="both"/>
        <w:rPr>
          <w:rFonts w:ascii="Book Antiqua" w:hAnsi="Book Antiqua"/>
          <w:lang w:eastAsia="zh-CN"/>
        </w:rPr>
      </w:pPr>
    </w:p>
    <w:p w14:paraId="507942D7"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Equipment and materials</w:t>
      </w:r>
    </w:p>
    <w:p w14:paraId="57061502" w14:textId="59EE948E"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Digital subtraction angiography (DSA) was carried out using the AXIOM-Artist DSA system (Siemens, Germany) and Mark V high-pressure syringes. Surgical materials included a RUPS-100 puncture kit, a straight-needle multi-side hole catheter, an Opta Pro balloon catheter, embolization coils, a Cobra catheter (Cook,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 stiffening exchange guide wire, and </w:t>
      </w:r>
      <w:r w:rsidR="00943D93">
        <w:rPr>
          <w:rFonts w:ascii="Book Antiqua" w:eastAsia="Book Antiqua" w:hAnsi="Book Antiqua" w:cs="Book Antiqua"/>
          <w:color w:val="000000"/>
        </w:rPr>
        <w:t xml:space="preserve">a </w:t>
      </w:r>
      <w:r>
        <w:rPr>
          <w:rFonts w:ascii="Book Antiqua" w:eastAsia="Book Antiqua" w:hAnsi="Book Antiqua" w:cs="Book Antiqua"/>
          <w:color w:val="000000"/>
        </w:rPr>
        <w:t>Viatorr stent (Gore and Associates, U</w:t>
      </w:r>
      <w:r>
        <w:rPr>
          <w:rFonts w:ascii="Book Antiqua" w:hAnsi="Book Antiqua" w:cs="Book Antiqua" w:hint="eastAsia"/>
          <w:color w:val="000000"/>
          <w:lang w:eastAsia="zh-CN"/>
        </w:rPr>
        <w:t>nited States</w:t>
      </w:r>
      <w:r>
        <w:rPr>
          <w:rFonts w:ascii="Book Antiqua" w:eastAsia="Book Antiqua" w:hAnsi="Book Antiqua" w:cs="Book Antiqua"/>
          <w:color w:val="000000"/>
        </w:rPr>
        <w:t>). Additionally, TDF (300 mg/tablet, Beite Pharmaceutical Co., Ltd.), ETV tablets (0.5 mg/tablet, Sino-American Shanghai Squibb Pharmaceutical Co., Ltd.)</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TAF tablets (25</w:t>
      </w:r>
      <w:r>
        <w:rPr>
          <w:rFonts w:ascii="Book Antiqua" w:hAnsi="Book Antiqua" w:cs="Book Antiqua" w:hint="eastAsia"/>
          <w:color w:val="000000"/>
          <w:lang w:eastAsia="zh-CN"/>
        </w:rPr>
        <w:t xml:space="preserve"> </w:t>
      </w:r>
      <w:r>
        <w:rPr>
          <w:rFonts w:ascii="Book Antiqua" w:eastAsia="Book Antiqua" w:hAnsi="Book Antiqua" w:cs="Book Antiqua"/>
          <w:color w:val="000000"/>
        </w:rPr>
        <w:t>mg/tablet, Gilead,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were used in this study. </w:t>
      </w:r>
    </w:p>
    <w:p w14:paraId="1F60E4F1" w14:textId="77777777" w:rsidR="0050274A" w:rsidRDefault="0050274A">
      <w:pPr>
        <w:spacing w:line="360" w:lineRule="auto"/>
        <w:jc w:val="both"/>
        <w:rPr>
          <w:rFonts w:ascii="Book Antiqua" w:hAnsi="Book Antiqua"/>
          <w:lang w:eastAsia="zh-CN"/>
        </w:rPr>
      </w:pPr>
    </w:p>
    <w:p w14:paraId="633BA4A6"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Research methodology</w:t>
      </w:r>
    </w:p>
    <w:p w14:paraId="02286FDE" w14:textId="345848C0" w:rsidR="0050274A" w:rsidRDefault="001D7A10">
      <w:pPr>
        <w:spacing w:line="360" w:lineRule="auto"/>
        <w:jc w:val="both"/>
        <w:rPr>
          <w:rFonts w:ascii="Book Antiqua" w:hAnsi="Book Antiqua"/>
        </w:rPr>
      </w:pPr>
      <w:r>
        <w:rPr>
          <w:rFonts w:ascii="Book Antiqua" w:eastAsia="Book Antiqua" w:hAnsi="Book Antiqua" w:cs="Book Antiqua"/>
          <w:b/>
          <w:bCs/>
          <w:color w:val="000000"/>
        </w:rPr>
        <w:t>Preoperative preparation</w:t>
      </w:r>
      <w:r>
        <w:rPr>
          <w:rFonts w:ascii="Book Antiqua" w:eastAsia="Book Antiqua" w:hAnsi="Book Antiqua" w:cs="Book Antiqua"/>
          <w:color w:val="000000"/>
        </w:rPr>
        <w:t>: Preoperatively, routine examinations including routine blood test, liver and kidney function test, HBV-DNA quantitation</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prothrombin time test were performed. All the patients underwent enhanced computed tomography (CT) of the liver and three-dimensional (3D) reconstruction of </w:t>
      </w:r>
      <w:r w:rsidR="00943D93">
        <w:rPr>
          <w:rFonts w:ascii="Book Antiqua" w:eastAsia="Book Antiqua" w:hAnsi="Book Antiqua" w:cs="Book Antiqua"/>
          <w:color w:val="000000"/>
        </w:rPr>
        <w:t xml:space="preserve">the </w:t>
      </w:r>
      <w:r>
        <w:rPr>
          <w:rFonts w:ascii="Book Antiqua" w:eastAsia="Book Antiqua" w:hAnsi="Book Antiqua" w:cs="Book Antiqua"/>
          <w:color w:val="000000"/>
        </w:rPr>
        <w:t>hepatic vein-portal vein. The anatomic relationship between the hepatic vein and the portal vein was analyzed to guide the puncture of the portal vein during surgery.</w:t>
      </w:r>
    </w:p>
    <w:p w14:paraId="645838EA" w14:textId="77777777" w:rsidR="0050274A" w:rsidRDefault="0050274A">
      <w:pPr>
        <w:spacing w:line="360" w:lineRule="auto"/>
        <w:jc w:val="both"/>
        <w:rPr>
          <w:rFonts w:ascii="Book Antiqua" w:hAnsi="Book Antiqua" w:cs="Book Antiqua"/>
          <w:b/>
          <w:bCs/>
          <w:color w:val="000000"/>
          <w:lang w:eastAsia="zh-CN"/>
        </w:rPr>
      </w:pPr>
    </w:p>
    <w:p w14:paraId="278C5BBA" w14:textId="5A8EEEFE" w:rsidR="0050274A" w:rsidRDefault="001D7A10">
      <w:pPr>
        <w:spacing w:line="360" w:lineRule="auto"/>
        <w:jc w:val="both"/>
        <w:rPr>
          <w:rFonts w:ascii="Book Antiqua" w:hAnsi="Book Antiqua"/>
        </w:rPr>
      </w:pPr>
      <w:r>
        <w:rPr>
          <w:rFonts w:ascii="Book Antiqua" w:eastAsia="Book Antiqua" w:hAnsi="Book Antiqua" w:cs="Book Antiqua"/>
          <w:b/>
          <w:bCs/>
          <w:color w:val="000000"/>
        </w:rPr>
        <w:t>TIPS approach</w:t>
      </w:r>
      <w:r>
        <w:rPr>
          <w:rFonts w:ascii="Book Antiqua" w:eastAsia="Book Antiqua" w:hAnsi="Book Antiqua" w:cs="Book Antiqua"/>
          <w:color w:val="000000"/>
        </w:rPr>
        <w:t>:</w:t>
      </w:r>
      <w:r w:rsidR="00943D93">
        <w:rPr>
          <w:rFonts w:ascii="Book Antiqua" w:eastAsia="Book Antiqua" w:hAnsi="Book Antiqua" w:cs="Book Antiqua"/>
          <w:color w:val="000000"/>
        </w:rPr>
        <w:t xml:space="preserve"> </w:t>
      </w:r>
      <w:r>
        <w:rPr>
          <w:rFonts w:ascii="Book Antiqua" w:eastAsia="Book Antiqua" w:hAnsi="Book Antiqua" w:cs="Book Antiqua"/>
          <w:color w:val="000000"/>
        </w:rPr>
        <w:t xml:space="preserve">All the patients received TIPS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right jugular vein. Under the guidance of </w:t>
      </w:r>
      <w:r w:rsidR="00943D93">
        <w:rPr>
          <w:rFonts w:ascii="Book Antiqua" w:eastAsia="Book Antiqua" w:hAnsi="Book Antiqua" w:cs="Book Antiqua"/>
          <w:color w:val="000000"/>
        </w:rPr>
        <w:t xml:space="preserve">a </w:t>
      </w:r>
      <w:r>
        <w:rPr>
          <w:rFonts w:ascii="Book Antiqua" w:eastAsia="Book Antiqua" w:hAnsi="Book Antiqua" w:cs="Book Antiqua"/>
          <w:color w:val="000000"/>
        </w:rPr>
        <w:t xml:space="preserve">guide wire, the puncture system passed through the superior vena cava and the right atrium to the right hepatic vein or the hepatic segment of the inferior vena cava. According to the images obtained from preoperative enhanced CT of the liver and 3D reconstruction of </w:t>
      </w:r>
      <w:r w:rsidR="00943D93">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hepatic vein-portal vein, the puncture of the portal vein branch was guided. After the safety of the puncture was evaluated, portal vein pressure was measured and the collateral circulation vessels causing esophagogastric varices were embolized. Then, </w:t>
      </w:r>
      <w:r w:rsidR="00943D93">
        <w:rPr>
          <w:rFonts w:ascii="Book Antiqua" w:eastAsia="Book Antiqua" w:hAnsi="Book Antiqua" w:cs="Book Antiqua"/>
          <w:color w:val="000000"/>
        </w:rPr>
        <w:t xml:space="preserve">a </w:t>
      </w:r>
      <w:r>
        <w:rPr>
          <w:rFonts w:ascii="Book Antiqua" w:eastAsia="Book Antiqua" w:hAnsi="Book Antiqua" w:cs="Book Antiqua"/>
          <w:color w:val="000000"/>
        </w:rPr>
        <w:t xml:space="preserve">stent was inserted after balloon dilation puncturing the channel, followed by another portal vein angiography and measurement of portal vein pressure. The detailed operations </w:t>
      </w:r>
      <w:r w:rsidR="00943D93">
        <w:rPr>
          <w:rFonts w:ascii="Book Antiqua" w:eastAsia="Book Antiqua" w:hAnsi="Book Antiqua" w:cs="Book Antiqua"/>
          <w:color w:val="000000"/>
        </w:rPr>
        <w:t>have been reported in</w:t>
      </w:r>
      <w:r>
        <w:rPr>
          <w:rFonts w:ascii="Book Antiqua" w:eastAsia="Book Antiqua" w:hAnsi="Book Antiqua" w:cs="Book Antiqua"/>
          <w:color w:val="000000"/>
        </w:rPr>
        <w:t xml:space="preserve"> </w:t>
      </w:r>
      <w:r w:rsidR="00943D93">
        <w:rPr>
          <w:rFonts w:ascii="Book Antiqua" w:eastAsia="Book Antiqua" w:hAnsi="Book Antiqua" w:cs="Book Antiqua"/>
          <w:color w:val="000000"/>
        </w:rPr>
        <w:t>a previous study</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All operations were successfully completed by the same group of professionals using an 8-mm balloon and an 8-mm Viatorr stent, without severe operation-related complications.</w:t>
      </w:r>
    </w:p>
    <w:p w14:paraId="4EA7BC92" w14:textId="77777777" w:rsidR="0050274A" w:rsidRDefault="0050274A">
      <w:pPr>
        <w:spacing w:line="360" w:lineRule="auto"/>
        <w:jc w:val="both"/>
        <w:rPr>
          <w:rFonts w:ascii="Book Antiqua" w:hAnsi="Book Antiqua" w:cs="Book Antiqua"/>
          <w:b/>
          <w:bCs/>
          <w:color w:val="000000"/>
          <w:lang w:eastAsia="zh-CN"/>
        </w:rPr>
      </w:pPr>
    </w:p>
    <w:p w14:paraId="13FA0A41" w14:textId="2CB70195"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Postoperative follow-up</w:t>
      </w:r>
      <w:r>
        <w:rPr>
          <w:rFonts w:ascii="Book Antiqua" w:eastAsia="Book Antiqua" w:hAnsi="Book Antiqua" w:cs="Book Antiqua"/>
          <w:color w:val="000000"/>
        </w:rPr>
        <w:t>: The data on HBV-DNA quantitation, liver and kidney function</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coagulation were collected before surgery and 1, 3, 6, 12</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24 mo after surgery. Ascites and HE were understood by ultrasonography and follow-up records. Child-Pugh grade and the model for end-stage liver disease (MELD) were obtained, respectively. The </w:t>
      </w:r>
      <w:r w:rsidR="00943D93">
        <w:rPr>
          <w:rFonts w:ascii="Book Antiqua" w:eastAsia="Book Antiqua" w:hAnsi="Book Antiqua" w:cs="Book Antiqua"/>
          <w:color w:val="000000"/>
        </w:rPr>
        <w:t xml:space="preserve">follow-up </w:t>
      </w:r>
      <w:r>
        <w:rPr>
          <w:rFonts w:ascii="Book Antiqua" w:eastAsia="Book Antiqua" w:hAnsi="Book Antiqua" w:cs="Book Antiqua"/>
          <w:color w:val="000000"/>
        </w:rPr>
        <w:t>endpoint</w:t>
      </w:r>
      <w:r w:rsidR="00943D93">
        <w:rPr>
          <w:rFonts w:ascii="Book Antiqua" w:eastAsia="Book Antiqua" w:hAnsi="Book Antiqua" w:cs="Book Antiqua"/>
          <w:color w:val="000000"/>
        </w:rPr>
        <w:t>s</w:t>
      </w:r>
      <w:r>
        <w:rPr>
          <w:rFonts w:ascii="Book Antiqua" w:eastAsia="Book Antiqua" w:hAnsi="Book Antiqua" w:cs="Book Antiqua"/>
          <w:color w:val="000000"/>
        </w:rPr>
        <w:t xml:space="preserve"> of follow-up was death</w:t>
      </w:r>
      <w:r w:rsidR="00943D93">
        <w:rPr>
          <w:rFonts w:ascii="Book Antiqua" w:eastAsia="Book Antiqua" w:hAnsi="Book Antiqua" w:cs="Book Antiqua"/>
          <w:color w:val="000000"/>
        </w:rPr>
        <w:t xml:space="preserve"> at 24 mo after surgery</w:t>
      </w:r>
      <w:r>
        <w:rPr>
          <w:rFonts w:ascii="Book Antiqua" w:eastAsia="Book Antiqua" w:hAnsi="Book Antiqua" w:cs="Book Antiqua"/>
          <w:color w:val="000000"/>
        </w:rPr>
        <w:t>, no response to follow-up for consecutive 2 times or more, liver transplantation</w:t>
      </w:r>
      <w:r w:rsidR="00943D93">
        <w:rPr>
          <w:rFonts w:ascii="Book Antiqua" w:eastAsia="Book Antiqua" w:hAnsi="Book Antiqua" w:cs="Book Antiqua"/>
          <w:color w:val="000000"/>
        </w:rPr>
        <w:t>,</w:t>
      </w:r>
      <w:r>
        <w:rPr>
          <w:rFonts w:ascii="Book Antiqua" w:eastAsia="Book Antiqua" w:hAnsi="Book Antiqua" w:cs="Book Antiqua"/>
          <w:color w:val="000000"/>
        </w:rPr>
        <w:t xml:space="preserve"> or study deadline (December, 2020). The evaluation method</w:t>
      </w:r>
      <w:r w:rsidR="00943D93">
        <w:rPr>
          <w:rFonts w:ascii="Book Antiqua" w:eastAsia="Book Antiqua" w:hAnsi="Book Antiqua" w:cs="Book Antiqua"/>
          <w:color w:val="000000"/>
        </w:rPr>
        <w:t>s</w:t>
      </w:r>
      <w:r>
        <w:rPr>
          <w:rFonts w:ascii="Book Antiqua" w:eastAsia="Book Antiqua" w:hAnsi="Book Antiqua" w:cs="Book Antiqua"/>
          <w:color w:val="000000"/>
        </w:rPr>
        <w:t xml:space="preserve"> of follow-up </w:t>
      </w:r>
      <w:r w:rsidR="00943D93">
        <w:rPr>
          <w:rFonts w:ascii="Book Antiqua" w:eastAsia="Book Antiqua" w:hAnsi="Book Antiqua" w:cs="Book Antiqua"/>
          <w:color w:val="000000"/>
        </w:rPr>
        <w:t xml:space="preserve">were </w:t>
      </w:r>
      <w:r>
        <w:rPr>
          <w:rFonts w:ascii="Book Antiqua" w:eastAsia="Book Antiqua" w:hAnsi="Book Antiqua" w:cs="Book Antiqua"/>
          <w:color w:val="000000"/>
        </w:rPr>
        <w:t>referred to the references</w:t>
      </w:r>
      <w:r>
        <w:rPr>
          <w:rFonts w:ascii="Book Antiqua" w:eastAsia="Book Antiqua" w:hAnsi="Book Antiqua" w:cs="Book Antiqua"/>
          <w:color w:val="000000"/>
          <w:vertAlign w:val="superscript"/>
        </w:rPr>
        <w:t>[</w:t>
      </w:r>
      <w:r w:rsidR="00A044D3">
        <w:rPr>
          <w:rFonts w:ascii="Book Antiqua" w:hAnsi="Book Antiqua" w:cs="Book Antiqua" w:hint="eastAsia"/>
          <w:color w:val="000000"/>
          <w:vertAlign w:val="superscript"/>
          <w:lang w:eastAsia="zh-CN"/>
        </w:rPr>
        <w:t>5-</w:t>
      </w:r>
      <w:r>
        <w:rPr>
          <w:rFonts w:ascii="Book Antiqua"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681196" w14:textId="77777777" w:rsidR="0050274A" w:rsidRDefault="0050274A">
      <w:pPr>
        <w:spacing w:line="360" w:lineRule="auto"/>
        <w:jc w:val="both"/>
        <w:rPr>
          <w:rFonts w:ascii="Book Antiqua" w:hAnsi="Book Antiqua"/>
          <w:lang w:eastAsia="zh-CN"/>
        </w:rPr>
      </w:pPr>
    </w:p>
    <w:p w14:paraId="0577AD9E"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B4C3F45" w14:textId="7F46ECB4" w:rsidR="0050274A" w:rsidRDefault="00943D93">
      <w:pPr>
        <w:spacing w:line="360" w:lineRule="auto"/>
        <w:jc w:val="both"/>
        <w:rPr>
          <w:rFonts w:ascii="Book Antiqua" w:hAnsi="Book Antiqua"/>
        </w:rPr>
      </w:pPr>
      <w:r>
        <w:rPr>
          <w:rFonts w:ascii="Book Antiqua" w:eastAsia="Book Antiqua" w:hAnsi="Book Antiqua" w:cs="Book Antiqua"/>
          <w:color w:val="000000"/>
        </w:rPr>
        <w:t>A</w:t>
      </w:r>
      <w:r w:rsidR="001D7A10">
        <w:rPr>
          <w:rFonts w:ascii="Book Antiqua" w:eastAsia="Book Antiqua" w:hAnsi="Book Antiqua" w:cs="Book Antiqua"/>
          <w:color w:val="000000"/>
        </w:rPr>
        <w:t xml:space="preserve">ll measurement data </w:t>
      </w:r>
      <w:r>
        <w:rPr>
          <w:rFonts w:ascii="Book Antiqua" w:eastAsia="Book Antiqua" w:hAnsi="Book Antiqua" w:cs="Book Antiqua"/>
          <w:color w:val="000000"/>
        </w:rPr>
        <w:t xml:space="preserve">are </w:t>
      </w:r>
      <w:r w:rsidR="001D7A10">
        <w:rPr>
          <w:rFonts w:ascii="Book Antiqua" w:eastAsia="Book Antiqua" w:hAnsi="Book Antiqua" w:cs="Book Antiqua"/>
          <w:color w:val="000000"/>
        </w:rPr>
        <w:t xml:space="preserve">expressed as </w:t>
      </w:r>
      <w:r>
        <w:rPr>
          <w:rFonts w:ascii="Book Antiqua" w:eastAsia="Book Antiqua" w:hAnsi="Book Antiqua" w:cs="Book Antiqua"/>
          <w:color w:val="000000"/>
        </w:rPr>
        <w:t xml:space="preserve">the </w:t>
      </w:r>
      <w:r w:rsidR="001D7A10">
        <w:rPr>
          <w:rFonts w:ascii="Book Antiqua" w:eastAsia="Book Antiqua" w:hAnsi="Book Antiqua" w:cs="Book Antiqua"/>
          <w:color w:val="000000"/>
        </w:rPr>
        <w:t xml:space="preserve">mean ± </w:t>
      </w:r>
      <w:r w:rsidR="00CC13FE">
        <w:rPr>
          <w:rFonts w:ascii="Book Antiqua" w:eastAsia="Book Antiqua" w:hAnsi="Book Antiqua" w:cs="Book Antiqua"/>
          <w:color w:val="000000"/>
        </w:rPr>
        <w:t>SD</w:t>
      </w:r>
      <w:r w:rsidR="001D7A10">
        <w:rPr>
          <w:rFonts w:ascii="Book Antiqua" w:eastAsia="Book Antiqua" w:hAnsi="Book Antiqua" w:cs="Book Antiqua"/>
          <w:color w:val="000000"/>
        </w:rPr>
        <w:t xml:space="preserve"> or percentage</w:t>
      </w:r>
      <w:r>
        <w:rPr>
          <w:rFonts w:ascii="Book Antiqua" w:eastAsia="Book Antiqua" w:hAnsi="Book Antiqua" w:cs="Book Antiqua"/>
          <w:color w:val="000000"/>
        </w:rPr>
        <w:t>s</w:t>
      </w:r>
      <w:r w:rsidR="001D7A10">
        <w:rPr>
          <w:rFonts w:ascii="Book Antiqua" w:eastAsia="Book Antiqua" w:hAnsi="Book Antiqua" w:cs="Book Antiqua"/>
          <w:color w:val="000000"/>
        </w:rPr>
        <w:t xml:space="preserve">. The portal pressure gradient before and after treatment was analyzed using the paired </w:t>
      </w:r>
      <w:r w:rsidR="001D7A10">
        <w:rPr>
          <w:rFonts w:ascii="Book Antiqua" w:eastAsia="Book Antiqua" w:hAnsi="Book Antiqua" w:cs="Book Antiqua"/>
          <w:i/>
          <w:color w:val="000000"/>
        </w:rPr>
        <w:t>t</w:t>
      </w:r>
      <w:r w:rsidR="001D7A10">
        <w:rPr>
          <w:rFonts w:ascii="Book Antiqua" w:eastAsia="Book Antiqua" w:hAnsi="Book Antiqua" w:cs="Book Antiqua"/>
          <w:color w:val="000000"/>
        </w:rPr>
        <w:t xml:space="preserve">-test or chi-square test. The incidence of HE and liver cancer and survival rate were calculated with the Kaplan-Meier curve and compared by the log-rank test. All the data were statistically analyzed using SPSS 22.0. </w:t>
      </w:r>
      <w:r w:rsidR="001D7A10">
        <w:rPr>
          <w:rFonts w:ascii="Book Antiqua" w:eastAsia="Book Antiqua" w:hAnsi="Book Antiqua" w:cs="Book Antiqua"/>
          <w:i/>
          <w:color w:val="000000"/>
        </w:rPr>
        <w:t>P</w:t>
      </w:r>
      <w:r w:rsidR="001D7A10">
        <w:rPr>
          <w:rFonts w:ascii="Book Antiqua" w:eastAsia="Book Antiqua" w:hAnsi="Book Antiqua" w:cs="Book Antiqua"/>
          <w:color w:val="000000"/>
        </w:rPr>
        <w:t xml:space="preserve"> &lt; 0.05 was considered</w:t>
      </w:r>
      <w:r>
        <w:rPr>
          <w:rFonts w:ascii="Book Antiqua" w:eastAsia="Book Antiqua" w:hAnsi="Book Antiqua" w:cs="Book Antiqua"/>
          <w:color w:val="000000"/>
        </w:rPr>
        <w:t xml:space="preserve"> </w:t>
      </w:r>
      <w:r w:rsidR="001D7A10">
        <w:rPr>
          <w:rFonts w:ascii="Book Antiqua" w:eastAsia="Book Antiqua" w:hAnsi="Book Antiqua" w:cs="Book Antiqua"/>
          <w:color w:val="000000"/>
        </w:rPr>
        <w:t>significantly significant.</w:t>
      </w:r>
    </w:p>
    <w:p w14:paraId="17240EBD" w14:textId="77777777" w:rsidR="0050274A" w:rsidRDefault="0050274A">
      <w:pPr>
        <w:spacing w:line="360" w:lineRule="auto"/>
        <w:jc w:val="both"/>
        <w:rPr>
          <w:rFonts w:ascii="Book Antiqua" w:hAnsi="Book Antiqua"/>
        </w:rPr>
      </w:pPr>
    </w:p>
    <w:p w14:paraId="5D5625E0"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CF7EB93"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Patient characteristics</w:t>
      </w:r>
    </w:p>
    <w:p w14:paraId="5E154124" w14:textId="45D821FC" w:rsidR="0050274A" w:rsidRDefault="00F24D56">
      <w:pPr>
        <w:spacing w:line="360" w:lineRule="auto"/>
        <w:jc w:val="both"/>
        <w:rPr>
          <w:rFonts w:ascii="Book Antiqua" w:hAnsi="Book Antiqua"/>
        </w:rPr>
      </w:pPr>
      <w:r>
        <w:rPr>
          <w:rFonts w:ascii="Book Antiqua" w:hAnsi="Book Antiqua" w:cs="Book Antiqua"/>
          <w:color w:val="000000"/>
          <w:lang w:eastAsia="zh-CN"/>
        </w:rPr>
        <w:t>A total of</w:t>
      </w:r>
      <w:r>
        <w:rPr>
          <w:rFonts w:ascii="Book Antiqua" w:hAnsi="Book Antiqua" w:cs="Book Antiqua" w:hint="eastAsia"/>
          <w:color w:val="000000"/>
          <w:lang w:eastAsia="zh-CN"/>
        </w:rPr>
        <w:t xml:space="preserve"> </w:t>
      </w:r>
      <w:r w:rsidR="001D7A10">
        <w:rPr>
          <w:rFonts w:ascii="Book Antiqua" w:eastAsia="Book Antiqua" w:hAnsi="Book Antiqua" w:cs="Book Antiqua"/>
          <w:color w:val="000000"/>
        </w:rPr>
        <w:t>137 patients with liver cirrhosis were enrolled, including 75 males and 62 females, with an average age of 54.0 ± 9.1 years. According to different antiviral drugs, the patients were divided into</w:t>
      </w:r>
      <w:r>
        <w:rPr>
          <w:rFonts w:ascii="Book Antiqua" w:eastAsia="Book Antiqua" w:hAnsi="Book Antiqua" w:cs="Book Antiqua"/>
          <w:color w:val="000000"/>
        </w:rPr>
        <w:t xml:space="preserve"> an</w:t>
      </w:r>
      <w:r w:rsidR="001D7A10">
        <w:rPr>
          <w:rFonts w:ascii="Book Antiqua" w:eastAsia="Book Antiqua" w:hAnsi="Book Antiqua" w:cs="Book Antiqua"/>
          <w:color w:val="000000"/>
        </w:rPr>
        <w:t xml:space="preserve"> ETV group (</w:t>
      </w:r>
      <w:r w:rsidR="001D7A10">
        <w:rPr>
          <w:rFonts w:ascii="Book Antiqua" w:eastAsia="Book Antiqua" w:hAnsi="Book Antiqua" w:cs="Book Antiqua"/>
          <w:i/>
          <w:iCs/>
          <w:color w:val="000000"/>
        </w:rPr>
        <w:t>n</w:t>
      </w:r>
      <w:r w:rsidR="001D7A10">
        <w:rPr>
          <w:rFonts w:ascii="Book Antiqua" w:eastAsia="Book Antiqua" w:hAnsi="Book Antiqua" w:cs="Book Antiqua"/>
          <w:color w:val="000000"/>
        </w:rPr>
        <w:t xml:space="preserve"> = 70), </w:t>
      </w:r>
      <w:r>
        <w:rPr>
          <w:rFonts w:ascii="Book Antiqua" w:eastAsia="Book Antiqua" w:hAnsi="Book Antiqua" w:cs="Book Antiqua"/>
          <w:color w:val="000000"/>
        </w:rPr>
        <w:t xml:space="preserve">a </w:t>
      </w:r>
      <w:r w:rsidR="001D7A10">
        <w:rPr>
          <w:rFonts w:ascii="Book Antiqua" w:eastAsia="Book Antiqua" w:hAnsi="Book Antiqua" w:cs="Book Antiqua"/>
          <w:color w:val="000000"/>
        </w:rPr>
        <w:t>TAF group (</w:t>
      </w:r>
      <w:r w:rsidR="001D7A10">
        <w:rPr>
          <w:rFonts w:ascii="Book Antiqua" w:eastAsia="Book Antiqua" w:hAnsi="Book Antiqua" w:cs="Book Antiqua"/>
          <w:i/>
          <w:iCs/>
          <w:color w:val="000000"/>
        </w:rPr>
        <w:t>n</w:t>
      </w:r>
      <w:r w:rsidR="001D7A10">
        <w:rPr>
          <w:rFonts w:ascii="Book Antiqua" w:eastAsia="Book Antiqua" w:hAnsi="Book Antiqua" w:cs="Book Antiqua"/>
          <w:color w:val="000000"/>
        </w:rPr>
        <w:t xml:space="preserve"> = 32)</w:t>
      </w:r>
      <w:r>
        <w:rPr>
          <w:rFonts w:ascii="Book Antiqua" w:eastAsia="Book Antiqua" w:hAnsi="Book Antiqua" w:cs="Book Antiqua"/>
          <w:color w:val="000000"/>
        </w:rPr>
        <w:t>,</w:t>
      </w:r>
      <w:r w:rsidR="001D7A10">
        <w:rPr>
          <w:rFonts w:ascii="Book Antiqua" w:eastAsia="Book Antiqua" w:hAnsi="Book Antiqua" w:cs="Book Antiqua"/>
          <w:color w:val="000000"/>
        </w:rPr>
        <w:t xml:space="preserve"> and </w:t>
      </w:r>
      <w:r>
        <w:rPr>
          <w:rFonts w:ascii="Book Antiqua" w:eastAsia="Book Antiqua" w:hAnsi="Book Antiqua" w:cs="Book Antiqua"/>
          <w:color w:val="000000"/>
        </w:rPr>
        <w:t xml:space="preserve">a </w:t>
      </w:r>
      <w:r w:rsidR="001D7A10">
        <w:rPr>
          <w:rFonts w:ascii="Book Antiqua" w:eastAsia="Book Antiqua" w:hAnsi="Book Antiqua" w:cs="Book Antiqua"/>
          <w:color w:val="000000"/>
        </w:rPr>
        <w:t>TDF group (</w:t>
      </w:r>
      <w:r w:rsidR="001D7A10">
        <w:rPr>
          <w:rFonts w:ascii="Book Antiqua" w:eastAsia="Book Antiqua" w:hAnsi="Book Antiqua" w:cs="Book Antiqua"/>
          <w:i/>
          <w:iCs/>
          <w:color w:val="000000"/>
        </w:rPr>
        <w:t>n</w:t>
      </w:r>
      <w:r w:rsidR="001D7A10">
        <w:rPr>
          <w:rFonts w:ascii="Book Antiqua" w:eastAsia="Book Antiqua" w:hAnsi="Book Antiqua" w:cs="Book Antiqua"/>
          <w:color w:val="000000"/>
        </w:rPr>
        <w:t xml:space="preserve"> = 35). Gender, age, preoperative and postoperative portal pressure gradient, preoperative and postoperative Child-Pugh grade, MELD score, the proportion of hepatitis B e antigen (HBeAg)-positive patients, median HBV DNA level, median time to TAF/TDF/ETV therapy</w:t>
      </w:r>
      <w:r>
        <w:rPr>
          <w:rFonts w:ascii="Book Antiqua" w:eastAsia="Book Antiqua" w:hAnsi="Book Antiqua" w:cs="Book Antiqua"/>
          <w:color w:val="000000"/>
        </w:rPr>
        <w:t>,</w:t>
      </w:r>
      <w:r w:rsidR="001D7A10">
        <w:rPr>
          <w:rFonts w:ascii="Book Antiqua" w:eastAsia="Book Antiqua" w:hAnsi="Book Antiqua" w:cs="Book Antiqua"/>
          <w:color w:val="000000"/>
        </w:rPr>
        <w:t xml:space="preserve"> and kidney function index (eGFR or sCr) showed no statistically significant differences among the three groups</w:t>
      </w:r>
      <w:r>
        <w:rPr>
          <w:rFonts w:ascii="Book Antiqua" w:eastAsia="Book Antiqua" w:hAnsi="Book Antiqua" w:cs="Book Antiqua"/>
          <w:color w:val="000000"/>
        </w:rPr>
        <w:t xml:space="preserve"> </w:t>
      </w:r>
      <w:r w:rsidR="001D7A10">
        <w:rPr>
          <w:rFonts w:ascii="Book Antiqua" w:eastAsia="Book Antiqua" w:hAnsi="Book Antiqua" w:cs="Book Antiqua"/>
          <w:color w:val="000000"/>
        </w:rPr>
        <w:t>(Table 1).</w:t>
      </w:r>
    </w:p>
    <w:p w14:paraId="7070DAA4" w14:textId="77777777" w:rsidR="0050274A" w:rsidRDefault="0050274A">
      <w:pPr>
        <w:spacing w:line="360" w:lineRule="auto"/>
        <w:jc w:val="both"/>
        <w:rPr>
          <w:rFonts w:ascii="Book Antiqua" w:hAnsi="Book Antiqua"/>
        </w:rPr>
      </w:pPr>
    </w:p>
    <w:p w14:paraId="3480BA3E"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TIPS operations</w:t>
      </w:r>
    </w:p>
    <w:p w14:paraId="4975AF52" w14:textId="77777777"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TIPS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right jugular vein was performed successfully in all the 137 patients, without severe intraoperative complications such as abdominal hemorrhage and bile duct hemorrhage. The collateral circulation causing esophagogastric varices was embolized and the stent was implanted successfully. The success rate of surgery was 100%, and the short-term hemostasis rate was 100%. The portal pressure gradient (mmHg) decreased from 25.71 ± 5.32 preoperatively to 9.95 ± 2.75 postoperatively (</w:t>
      </w:r>
      <w:r>
        <w:rPr>
          <w:rFonts w:ascii="Book Antiqua" w:eastAsia="Book Antiqua" w:hAnsi="Book Antiqua" w:cs="Book Antiqua"/>
          <w:i/>
          <w:color w:val="000000"/>
        </w:rPr>
        <w:t>t</w:t>
      </w:r>
      <w:r>
        <w:rPr>
          <w:rFonts w:ascii="Book Antiqua" w:eastAsia="Book Antiqua" w:hAnsi="Book Antiqua" w:cs="Book Antiqua"/>
          <w:color w:val="000000"/>
        </w:rPr>
        <w:t xml:space="preserve"> = 37.32,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42D3AB9D" w14:textId="77777777" w:rsidR="0050274A" w:rsidRDefault="0050274A">
      <w:pPr>
        <w:spacing w:line="360" w:lineRule="auto"/>
        <w:jc w:val="both"/>
        <w:rPr>
          <w:rFonts w:ascii="Book Antiqua" w:hAnsi="Book Antiqua"/>
          <w:lang w:eastAsia="zh-CN"/>
        </w:rPr>
      </w:pPr>
    </w:p>
    <w:p w14:paraId="4D6B832C" w14:textId="7C2054CF"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Survival, HE</w:t>
      </w:r>
      <w:r w:rsidR="00F24D56">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liver cancer in three groups</w:t>
      </w:r>
    </w:p>
    <w:p w14:paraId="3094005C" w14:textId="795D5400" w:rsidR="0050274A" w:rsidRDefault="001D7A10">
      <w:pPr>
        <w:spacing w:line="360" w:lineRule="auto"/>
        <w:jc w:val="both"/>
        <w:rPr>
          <w:rFonts w:ascii="Book Antiqua" w:hAnsi="Book Antiqua"/>
        </w:rPr>
      </w:pPr>
      <w:r>
        <w:rPr>
          <w:rFonts w:ascii="Book Antiqua" w:eastAsia="Book Antiqua" w:hAnsi="Book Antiqua" w:cs="Book Antiqua"/>
          <w:color w:val="000000"/>
        </w:rPr>
        <w:t>The median follow-up time was 24 (20, 24) mo. The survival rate</w:t>
      </w:r>
      <w:r w:rsidR="002754D3">
        <w:rPr>
          <w:rFonts w:ascii="Book Antiqua" w:eastAsia="Book Antiqua" w:hAnsi="Book Antiqua" w:cs="Book Antiqua"/>
          <w:color w:val="000000"/>
        </w:rPr>
        <w:t>s</w:t>
      </w:r>
      <w:r>
        <w:rPr>
          <w:rFonts w:ascii="Book Antiqua" w:eastAsia="Book Antiqua" w:hAnsi="Book Antiqua" w:cs="Book Antiqua"/>
          <w:color w:val="000000"/>
        </w:rPr>
        <w:t xml:space="preserve"> </w:t>
      </w:r>
      <w:r w:rsidR="002754D3">
        <w:rPr>
          <w:rFonts w:ascii="Book Antiqua" w:eastAsia="Book Antiqua" w:hAnsi="Book Antiqua" w:cs="Book Antiqua"/>
          <w:color w:val="000000"/>
        </w:rPr>
        <w:t xml:space="preserve">at </w:t>
      </w:r>
      <w:r>
        <w:rPr>
          <w:rFonts w:ascii="Book Antiqua" w:eastAsia="Book Antiqua" w:hAnsi="Book Antiqua" w:cs="Book Antiqua"/>
          <w:color w:val="000000"/>
        </w:rPr>
        <w:t>12 and 24 mo after surgery was</w:t>
      </w:r>
      <w:r w:rsidR="002754D3">
        <w:rPr>
          <w:rFonts w:ascii="Book Antiqua" w:eastAsia="Book Antiqua" w:hAnsi="Book Antiqua" w:cs="Book Antiqua"/>
          <w:color w:val="000000"/>
        </w:rPr>
        <w:t xml:space="preserve"> </w:t>
      </w:r>
      <w:r>
        <w:rPr>
          <w:rFonts w:ascii="Book Antiqua" w:eastAsia="Book Antiqua" w:hAnsi="Book Antiqua" w:cs="Book Antiqua"/>
          <w:color w:val="000000"/>
        </w:rPr>
        <w:t>93.3</w:t>
      </w:r>
      <w:r w:rsidR="002754D3">
        <w:rPr>
          <w:rFonts w:ascii="Book Antiqua" w:eastAsia="Book Antiqua" w:hAnsi="Book Antiqua" w:cs="Book Antiqua"/>
          <w:color w:val="000000"/>
        </w:rPr>
        <w:t xml:space="preserve">% and </w:t>
      </w:r>
      <w:r>
        <w:rPr>
          <w:rFonts w:ascii="Book Antiqua" w:eastAsia="Book Antiqua" w:hAnsi="Book Antiqua" w:cs="Book Antiqua"/>
          <w:color w:val="000000"/>
        </w:rPr>
        <w:t>89.6</w:t>
      </w:r>
      <w:r w:rsidR="002754D3">
        <w:rPr>
          <w:rFonts w:ascii="Book Antiqua" w:eastAsia="Book Antiqua" w:hAnsi="Book Antiqua" w:cs="Book Antiqua"/>
          <w:color w:val="000000"/>
        </w:rPr>
        <w:t xml:space="preserve">% </w:t>
      </w:r>
      <w:r>
        <w:rPr>
          <w:rFonts w:ascii="Book Antiqua" w:eastAsia="Book Antiqua" w:hAnsi="Book Antiqua" w:cs="Book Antiqua"/>
          <w:color w:val="000000"/>
        </w:rPr>
        <w:t>in the TAF group, 93.9</w:t>
      </w:r>
      <w:r w:rsidR="002754D3">
        <w:rPr>
          <w:rFonts w:ascii="Book Antiqua" w:eastAsia="Book Antiqua" w:hAnsi="Book Antiqua" w:cs="Book Antiqua"/>
          <w:color w:val="000000"/>
        </w:rPr>
        <w:t xml:space="preserve">% and </w:t>
      </w:r>
      <w:r>
        <w:rPr>
          <w:rFonts w:ascii="Book Antiqua" w:eastAsia="Book Antiqua" w:hAnsi="Book Antiqua" w:cs="Book Antiqua"/>
          <w:color w:val="000000"/>
        </w:rPr>
        <w:t>86.9</w:t>
      </w:r>
      <w:r w:rsidR="002754D3">
        <w:rPr>
          <w:rFonts w:ascii="Book Antiqua" w:eastAsia="Book Antiqua" w:hAnsi="Book Antiqua" w:cs="Book Antiqua"/>
          <w:color w:val="000000"/>
        </w:rPr>
        <w:t xml:space="preserve">% </w:t>
      </w:r>
      <w:r>
        <w:rPr>
          <w:rFonts w:ascii="Book Antiqua" w:eastAsia="Book Antiqua" w:hAnsi="Book Antiqua" w:cs="Book Antiqua"/>
          <w:color w:val="000000"/>
        </w:rPr>
        <w:t>in the TDF group</w:t>
      </w:r>
      <w:r w:rsidR="002754D3">
        <w:rPr>
          <w:rFonts w:ascii="Book Antiqua" w:eastAsia="Book Antiqua" w:hAnsi="Book Antiqua" w:cs="Book Antiqua"/>
          <w:color w:val="000000"/>
        </w:rPr>
        <w:t>,</w:t>
      </w:r>
      <w:r>
        <w:rPr>
          <w:rFonts w:ascii="Book Antiqua" w:eastAsia="Book Antiqua" w:hAnsi="Book Antiqua" w:cs="Book Antiqua"/>
          <w:color w:val="000000"/>
        </w:rPr>
        <w:t xml:space="preserve"> and 91.2</w:t>
      </w:r>
      <w:r w:rsidR="002754D3">
        <w:rPr>
          <w:rFonts w:ascii="Book Antiqua" w:eastAsia="Book Antiqua" w:hAnsi="Book Antiqua" w:cs="Book Antiqua"/>
          <w:color w:val="000000"/>
        </w:rPr>
        <w:t xml:space="preserve">% and </w:t>
      </w:r>
      <w:r>
        <w:rPr>
          <w:rFonts w:ascii="Book Antiqua" w:eastAsia="Book Antiqua" w:hAnsi="Book Antiqua" w:cs="Book Antiqua"/>
          <w:color w:val="000000"/>
        </w:rPr>
        <w:t>84.3</w:t>
      </w:r>
      <w:r w:rsidR="002754D3">
        <w:rPr>
          <w:rFonts w:ascii="Book Antiqua" w:eastAsia="Book Antiqua" w:hAnsi="Book Antiqua" w:cs="Book Antiqua"/>
          <w:color w:val="000000"/>
        </w:rPr>
        <w:t xml:space="preserve">% </w:t>
      </w:r>
      <w:r>
        <w:rPr>
          <w:rFonts w:ascii="Book Antiqua" w:eastAsia="Book Antiqua" w:hAnsi="Book Antiqua" w:cs="Book Antiqua"/>
          <w:color w:val="000000"/>
        </w:rPr>
        <w:t>in the ETV group, respectively (</w:t>
      </w:r>
      <w:r w:rsidR="002754D3">
        <w:rPr>
          <w:rFonts w:ascii="Book Antiqua" w:eastAsia="Book Antiqua" w:hAnsi="Book Antiqua" w:cs="Book Antiqua"/>
          <w:color w:val="000000"/>
        </w:rPr>
        <w:t>log rank</w:t>
      </w:r>
      <w:r w:rsidR="00BB6A15">
        <w:rPr>
          <w:rFonts w:ascii="Book Antiqua" w:eastAsia="Book Antiqua" w:hAnsi="Book Antiqua" w:cs="Book Antiqua"/>
          <w:color w:val="000000"/>
        </w:rPr>
        <w:t xml:space="preserve"> </w:t>
      </w:r>
      <w:r w:rsidR="00BB6A15" w:rsidRPr="00BB6A15">
        <w:rPr>
          <w:rFonts w:ascii="Book Antiqua" w:eastAsia="Book Antiqua" w:hAnsi="Book Antiqua" w:cs="Book Antiqua"/>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0.517, </w:t>
      </w:r>
      <w:r>
        <w:rPr>
          <w:rFonts w:ascii="Book Antiqua" w:eastAsia="Book Antiqua" w:hAnsi="Book Antiqua" w:cs="Book Antiqua"/>
          <w:i/>
          <w:iCs/>
          <w:color w:val="000000"/>
        </w:rPr>
        <w:t>P</w:t>
      </w:r>
      <w:r>
        <w:rPr>
          <w:rFonts w:ascii="Book Antiqua" w:eastAsia="Book Antiqua" w:hAnsi="Book Antiqua" w:cs="Book Antiqua"/>
          <w:color w:val="000000"/>
        </w:rPr>
        <w:t xml:space="preserve"> = 0.772) (Figure 1A). During the follow-up, a total of 17 patients died, with </w:t>
      </w:r>
      <w:r w:rsidR="002754D3">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time to death of 12 (7, 20) mo, including </w:t>
      </w:r>
      <w:r w:rsidR="002754D3">
        <w:rPr>
          <w:rFonts w:ascii="Book Antiqua" w:eastAsia="Book Antiqua" w:hAnsi="Book Antiqua" w:cs="Book Antiqua"/>
          <w:color w:val="000000"/>
        </w:rPr>
        <w:t xml:space="preserve">three cases </w:t>
      </w:r>
      <w:r>
        <w:rPr>
          <w:rFonts w:ascii="Book Antiqua" w:eastAsia="Book Antiqua" w:hAnsi="Book Antiqua" w:cs="Book Antiqua"/>
          <w:color w:val="000000"/>
        </w:rPr>
        <w:t xml:space="preserve">in the TAF group, </w:t>
      </w:r>
      <w:r w:rsidR="002754D3">
        <w:rPr>
          <w:rFonts w:ascii="Book Antiqua" w:eastAsia="Book Antiqua" w:hAnsi="Book Antiqua" w:cs="Book Antiqua"/>
          <w:color w:val="000000"/>
        </w:rPr>
        <w:t xml:space="preserve">four </w:t>
      </w:r>
      <w:r>
        <w:rPr>
          <w:rFonts w:ascii="Book Antiqua" w:eastAsia="Book Antiqua" w:hAnsi="Book Antiqua" w:cs="Book Antiqua"/>
          <w:color w:val="000000"/>
        </w:rPr>
        <w:t>in the TDF group</w:t>
      </w:r>
      <w:r w:rsidR="002754D3">
        <w:rPr>
          <w:rFonts w:ascii="Book Antiqua" w:eastAsia="Book Antiqua" w:hAnsi="Book Antiqua" w:cs="Book Antiqua"/>
          <w:color w:val="000000"/>
        </w:rPr>
        <w:t>,</w:t>
      </w:r>
      <w:r>
        <w:rPr>
          <w:rFonts w:ascii="Book Antiqua" w:eastAsia="Book Antiqua" w:hAnsi="Book Antiqua" w:cs="Book Antiqua"/>
          <w:color w:val="000000"/>
        </w:rPr>
        <w:t xml:space="preserve"> and </w:t>
      </w:r>
      <w:r w:rsidR="002754D3">
        <w:rPr>
          <w:rFonts w:ascii="Book Antiqua" w:eastAsia="Book Antiqua" w:hAnsi="Book Antiqua" w:cs="Book Antiqua"/>
          <w:color w:val="000000"/>
        </w:rPr>
        <w:t xml:space="preserve">ten </w:t>
      </w:r>
      <w:r>
        <w:rPr>
          <w:rFonts w:ascii="Book Antiqua" w:eastAsia="Book Antiqua" w:hAnsi="Book Antiqua" w:cs="Book Antiqua"/>
          <w:color w:val="000000"/>
        </w:rPr>
        <w:t>in the ETV group. The causes of death included primary liver cancer in 11 (2/2/7) patients, sepsis/infection in 4 (1/1/2)</w:t>
      </w:r>
      <w:r w:rsidR="00761A92">
        <w:rPr>
          <w:rFonts w:ascii="Book Antiqua" w:eastAsia="Book Antiqua" w:hAnsi="Book Antiqua" w:cs="Book Antiqua"/>
          <w:color w:val="000000"/>
        </w:rPr>
        <w:t xml:space="preserve">, </w:t>
      </w:r>
      <w:r>
        <w:rPr>
          <w:rFonts w:ascii="Book Antiqua" w:eastAsia="Book Antiqua" w:hAnsi="Book Antiqua" w:cs="Book Antiqua"/>
          <w:color w:val="000000"/>
        </w:rPr>
        <w:t>and hepatorenal syndrome in 2 (0/1/1).</w:t>
      </w:r>
    </w:p>
    <w:p w14:paraId="38DE86F0" w14:textId="6AEEC2FE"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One, </w:t>
      </w:r>
      <w:r w:rsidR="003956E9">
        <w:rPr>
          <w:rFonts w:ascii="Book Antiqua" w:eastAsia="Book Antiqua" w:hAnsi="Book Antiqua" w:cs="Book Antiqua"/>
          <w:color w:val="000000"/>
        </w:rPr>
        <w:t>three</w:t>
      </w:r>
      <w:r>
        <w:rPr>
          <w:rFonts w:ascii="Book Antiqua" w:eastAsia="Book Antiqua" w:hAnsi="Book Antiqua" w:cs="Book Antiqua"/>
          <w:color w:val="000000"/>
        </w:rPr>
        <w:t xml:space="preserve">, </w:t>
      </w:r>
      <w:r w:rsidR="003956E9">
        <w:rPr>
          <w:rFonts w:ascii="Book Antiqua" w:eastAsia="Book Antiqua" w:hAnsi="Book Antiqua" w:cs="Book Antiqua"/>
          <w:color w:val="000000"/>
        </w:rPr>
        <w:t>six</w:t>
      </w:r>
      <w:r>
        <w:rPr>
          <w:rFonts w:ascii="Book Antiqua" w:eastAsia="Book Antiqua" w:hAnsi="Book Antiqua" w:cs="Book Antiqua"/>
          <w:color w:val="000000"/>
        </w:rPr>
        <w:t xml:space="preserve">, </w:t>
      </w:r>
      <w:r w:rsidR="003956E9">
        <w:rPr>
          <w:rFonts w:ascii="Book Antiqua" w:eastAsia="Book Antiqua" w:hAnsi="Book Antiqua" w:cs="Book Antiqua"/>
          <w:color w:val="000000"/>
        </w:rPr>
        <w:t xml:space="preserve">twelve, </w:t>
      </w:r>
      <w:r>
        <w:rPr>
          <w:rFonts w:ascii="Book Antiqua" w:eastAsia="Book Antiqua" w:hAnsi="Book Antiqua" w:cs="Book Antiqua"/>
          <w:color w:val="000000"/>
        </w:rPr>
        <w:t xml:space="preserve">and </w:t>
      </w:r>
      <w:r w:rsidR="003956E9">
        <w:rPr>
          <w:rFonts w:ascii="Book Antiqua" w:eastAsia="Book Antiqua" w:hAnsi="Book Antiqua" w:cs="Book Antiqua"/>
          <w:color w:val="000000"/>
        </w:rPr>
        <w:t xml:space="preserve">twenty-four </w:t>
      </w:r>
      <w:r>
        <w:rPr>
          <w:rFonts w:ascii="Book Antiqua" w:eastAsia="Book Antiqua" w:hAnsi="Book Antiqua" w:cs="Book Antiqua"/>
          <w:color w:val="000000"/>
        </w:rPr>
        <w:t>mo</w:t>
      </w:r>
      <w:r w:rsidR="003956E9">
        <w:rPr>
          <w:rFonts w:ascii="Book Antiqua" w:eastAsia="Book Antiqua" w:hAnsi="Book Antiqua" w:cs="Book Antiqua"/>
          <w:color w:val="000000"/>
        </w:rPr>
        <w:t>nths</w:t>
      </w:r>
      <w:r>
        <w:rPr>
          <w:rFonts w:ascii="Book Antiqua" w:eastAsia="Book Antiqua" w:hAnsi="Book Antiqua" w:cs="Book Antiqua"/>
          <w:color w:val="000000"/>
        </w:rPr>
        <w:t xml:space="preserve"> after surgery, the incidence of HE was 6.2%, 12.5%, 12.5%, 15.6%</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19.5% in the TAF group, 2.9%, 14.3%, 14.3%, 17.6%</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25.7% in the TDF group</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5.7%, 13.1%, 16.1%, 20.9%</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28.3% in the ETV group</w:t>
      </w:r>
      <w:r w:rsidR="00BB6A15">
        <w:rPr>
          <w:rFonts w:ascii="Book Antiqua" w:eastAsia="Book Antiqua" w:hAnsi="Book Antiqua" w:cs="Book Antiqua"/>
          <w:color w:val="000000"/>
        </w:rPr>
        <w:t xml:space="preserve"> </w:t>
      </w:r>
      <w:r>
        <w:rPr>
          <w:rFonts w:ascii="Book Antiqua" w:eastAsia="Book Antiqua" w:hAnsi="Book Antiqua" w:cs="Book Antiqua"/>
          <w:color w:val="000000"/>
        </w:rPr>
        <w:t>(</w:t>
      </w:r>
      <w:r w:rsidR="00BB6A15">
        <w:rPr>
          <w:rFonts w:ascii="Book Antiqua" w:eastAsia="Book Antiqua" w:hAnsi="Book Antiqua" w:cs="Book Antiqua"/>
          <w:color w:val="000000"/>
        </w:rPr>
        <w:t xml:space="preserve">log rank </w:t>
      </w:r>
      <w:r w:rsidR="00BB6A15" w:rsidRPr="002D580B">
        <w:rPr>
          <w:rFonts w:ascii="Book Antiqua" w:eastAsia="Book Antiqua" w:hAnsi="Book Antiqua" w:cs="Book Antiqua"/>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0.712,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(Figure 1B). During the follow-up, HE occurred in 32 patients, with</w:t>
      </w:r>
      <w:r w:rsidR="00BB6A15">
        <w:rPr>
          <w:rFonts w:ascii="Book Antiqua" w:eastAsia="Book Antiqua" w:hAnsi="Book Antiqua" w:cs="Book Antiqua"/>
          <w:color w:val="000000"/>
        </w:rPr>
        <w:t xml:space="preserve"> a</w:t>
      </w:r>
      <w:r>
        <w:rPr>
          <w:rFonts w:ascii="Book Antiqua" w:eastAsia="Book Antiqua" w:hAnsi="Book Antiqua" w:cs="Book Antiqua"/>
          <w:color w:val="000000"/>
        </w:rPr>
        <w:t xml:space="preserve"> median time to occurrence of 3 mo. There were </w:t>
      </w:r>
      <w:r w:rsidR="00BB6A15">
        <w:rPr>
          <w:rFonts w:ascii="Book Antiqua" w:eastAsia="Book Antiqua" w:hAnsi="Book Antiqua" w:cs="Book Antiqua"/>
          <w:color w:val="000000"/>
        </w:rPr>
        <w:t xml:space="preserve">six </w:t>
      </w:r>
      <w:r>
        <w:rPr>
          <w:rFonts w:ascii="Book Antiqua" w:eastAsia="Book Antiqua" w:hAnsi="Book Antiqua" w:cs="Book Antiqua"/>
          <w:color w:val="000000"/>
        </w:rPr>
        <w:t xml:space="preserve">cases of HE in the TAF group (HE grade I/II/III-IV, 4/2/0), </w:t>
      </w:r>
      <w:r w:rsidR="00BB6A15">
        <w:rPr>
          <w:rFonts w:ascii="Book Antiqua" w:eastAsia="Book Antiqua" w:hAnsi="Book Antiqua" w:cs="Book Antiqua"/>
          <w:color w:val="000000"/>
        </w:rPr>
        <w:t xml:space="preserve">eight </w:t>
      </w:r>
      <w:r>
        <w:rPr>
          <w:rFonts w:ascii="Book Antiqua" w:eastAsia="Book Antiqua" w:hAnsi="Book Antiqua" w:cs="Book Antiqua"/>
          <w:color w:val="000000"/>
        </w:rPr>
        <w:t>in the TDF group (HE grade I/II/III-IV, 6/1/1)</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18</w:t>
      </w:r>
      <w:r w:rsidR="00BB6A15">
        <w:rPr>
          <w:rFonts w:ascii="Book Antiqua" w:eastAsia="Book Antiqua" w:hAnsi="Book Antiqua" w:cs="Book Antiqua"/>
          <w:color w:val="000000"/>
        </w:rPr>
        <w:t xml:space="preserve"> </w:t>
      </w:r>
      <w:r>
        <w:rPr>
          <w:rFonts w:ascii="Book Antiqua" w:eastAsia="Book Antiqua" w:hAnsi="Book Antiqua" w:cs="Book Antiqua"/>
          <w:color w:val="000000"/>
        </w:rPr>
        <w:t>in the ETV group (HE grade I/II/III-IV, 14/2/2).</w:t>
      </w:r>
    </w:p>
    <w:p w14:paraId="4BEB83E5" w14:textId="6A7F830F"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Twelve and </w:t>
      </w:r>
      <w:r w:rsidR="003956E9">
        <w:rPr>
          <w:rFonts w:ascii="Book Antiqua" w:eastAsia="Book Antiqua" w:hAnsi="Book Antiqua" w:cs="Book Antiqua"/>
          <w:color w:val="000000"/>
        </w:rPr>
        <w:t>twenty-four</w:t>
      </w:r>
      <w:r w:rsidRPr="00CC369C">
        <w:rPr>
          <w:rFonts w:ascii="Book Antiqua" w:eastAsia="Book Antiqua" w:hAnsi="Book Antiqua" w:cs="Book Antiqua"/>
        </w:rPr>
        <w:t xml:space="preserve"> </w:t>
      </w:r>
      <w:r w:rsidR="00763123" w:rsidRPr="00CC369C">
        <w:rPr>
          <w:rFonts w:ascii="Book Antiqua" w:eastAsia="Book Antiqua" w:hAnsi="Book Antiqua" w:cs="Book Antiqua"/>
        </w:rPr>
        <w:t xml:space="preserve">months </w:t>
      </w:r>
      <w:r>
        <w:rPr>
          <w:rFonts w:ascii="Book Antiqua" w:eastAsia="Book Antiqua" w:hAnsi="Book Antiqua" w:cs="Book Antiqua"/>
          <w:color w:val="000000"/>
        </w:rPr>
        <w:t>after surgery, the incidence of liver cancer was 3.4</w:t>
      </w:r>
      <w:r w:rsidR="00BB6A15">
        <w:rPr>
          <w:rFonts w:ascii="Book Antiqua" w:eastAsia="Book Antiqua" w:hAnsi="Book Antiqua" w:cs="Book Antiqua"/>
          <w:color w:val="000000"/>
        </w:rPr>
        <w:t xml:space="preserve">% and </w:t>
      </w:r>
      <w:r>
        <w:rPr>
          <w:rFonts w:ascii="Book Antiqua" w:eastAsia="Book Antiqua" w:hAnsi="Book Antiqua" w:cs="Book Antiqua"/>
          <w:color w:val="000000"/>
        </w:rPr>
        <w:t>7.3% in the TAF group, 3.6</w:t>
      </w:r>
      <w:r w:rsidR="00BB6A15">
        <w:rPr>
          <w:rFonts w:ascii="Book Antiqua" w:eastAsia="Book Antiqua" w:hAnsi="Book Antiqua" w:cs="Book Antiqua"/>
          <w:color w:val="000000"/>
        </w:rPr>
        <w:t xml:space="preserve">% and </w:t>
      </w:r>
      <w:r>
        <w:rPr>
          <w:rFonts w:ascii="Book Antiqua" w:eastAsia="Book Antiqua" w:hAnsi="Book Antiqua" w:cs="Book Antiqua"/>
          <w:color w:val="000000"/>
        </w:rPr>
        <w:t>7.3% in the TDF group</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6.1</w:t>
      </w:r>
      <w:r w:rsidR="00BB6A15">
        <w:rPr>
          <w:rFonts w:ascii="Book Antiqua" w:eastAsia="Book Antiqua" w:hAnsi="Book Antiqua" w:cs="Book Antiqua"/>
          <w:color w:val="000000"/>
        </w:rPr>
        <w:t xml:space="preserve">% and </w:t>
      </w:r>
      <w:r>
        <w:rPr>
          <w:rFonts w:ascii="Book Antiqua" w:eastAsia="Book Antiqua" w:hAnsi="Book Antiqua" w:cs="Book Antiqua"/>
          <w:color w:val="000000"/>
        </w:rPr>
        <w:t>11.3</w:t>
      </w:r>
      <w:r w:rsidR="00BB6A15">
        <w:rPr>
          <w:rFonts w:ascii="Book Antiqua" w:eastAsia="Book Antiqua" w:hAnsi="Book Antiqua" w:cs="Book Antiqua"/>
          <w:color w:val="000000"/>
        </w:rPr>
        <w:t xml:space="preserve">% </w:t>
      </w:r>
      <w:r>
        <w:rPr>
          <w:rFonts w:ascii="Book Antiqua" w:eastAsia="Book Antiqua" w:hAnsi="Book Antiqua" w:cs="Book Antiqua"/>
          <w:color w:val="000000"/>
        </w:rPr>
        <w:t>in the ETV group, respectively (</w:t>
      </w:r>
      <w:r w:rsidR="00BB6A15">
        <w:rPr>
          <w:rFonts w:ascii="Book Antiqua" w:eastAsia="Book Antiqua" w:hAnsi="Book Antiqua" w:cs="Book Antiqua"/>
          <w:color w:val="000000"/>
        </w:rPr>
        <w:t xml:space="preserve">log rank </w:t>
      </w:r>
      <w:r w:rsidR="00BB6A15" w:rsidRPr="00CC369C">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0.77, </w:t>
      </w:r>
      <w:r>
        <w:rPr>
          <w:rFonts w:ascii="Book Antiqua" w:eastAsia="Book Antiqua" w:hAnsi="Book Antiqua" w:cs="Book Antiqua"/>
          <w:i/>
          <w:iCs/>
          <w:color w:val="000000"/>
        </w:rPr>
        <w:t>P</w:t>
      </w:r>
      <w:r>
        <w:rPr>
          <w:rFonts w:ascii="Book Antiqua" w:eastAsia="Book Antiqua" w:hAnsi="Book Antiqua" w:cs="Book Antiqua"/>
          <w:color w:val="000000"/>
        </w:rPr>
        <w:t xml:space="preserve"> = 0.681) (Figure 1C). During the follow-up, liver cancer occurred in 11 patients, with </w:t>
      </w:r>
      <w:r w:rsidR="00BB6A15">
        <w:rPr>
          <w:rFonts w:ascii="Book Antiqua" w:eastAsia="Book Antiqua" w:hAnsi="Book Antiqua" w:cs="Book Antiqua"/>
          <w:color w:val="000000"/>
        </w:rPr>
        <w:t xml:space="preserve">a </w:t>
      </w:r>
      <w:r>
        <w:rPr>
          <w:rFonts w:ascii="Book Antiqua" w:eastAsia="Book Antiqua" w:hAnsi="Book Antiqua" w:cs="Book Antiqua"/>
          <w:color w:val="000000"/>
        </w:rPr>
        <w:t>median time to occurrence of 11 (8, 14) mo (TAF</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TDF </w:t>
      </w:r>
      <w:r>
        <w:rPr>
          <w:rFonts w:ascii="Book Antiqua" w:eastAsia="Book Antiqua" w:hAnsi="Book Antiqua" w:cs="Book Antiqua"/>
          <w:i/>
          <w:color w:val="000000"/>
        </w:rPr>
        <w:t>vs</w:t>
      </w:r>
      <w:r>
        <w:rPr>
          <w:rFonts w:ascii="Book Antiqua" w:eastAsia="Book Antiqua" w:hAnsi="Book Antiqua" w:cs="Book Antiqua"/>
          <w:color w:val="000000"/>
        </w:rPr>
        <w:t xml:space="preserve"> ETV, 2/2/7).</w:t>
      </w:r>
    </w:p>
    <w:p w14:paraId="252FD8D0" w14:textId="77777777" w:rsidR="0050274A" w:rsidRDefault="0050274A">
      <w:pPr>
        <w:spacing w:line="360" w:lineRule="auto"/>
        <w:jc w:val="both"/>
        <w:rPr>
          <w:rFonts w:ascii="Book Antiqua" w:hAnsi="Book Antiqua" w:cs="Book Antiqua"/>
          <w:b/>
          <w:bCs/>
          <w:color w:val="000000"/>
          <w:lang w:eastAsia="zh-CN"/>
        </w:rPr>
      </w:pPr>
    </w:p>
    <w:p w14:paraId="379D5744"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Child-Pugh score and constituent ratio before and after TIPS in three groups</w:t>
      </w:r>
    </w:p>
    <w:p w14:paraId="2A298BEB" w14:textId="64A78C0A" w:rsidR="0050274A" w:rsidRDefault="001D7A10">
      <w:pPr>
        <w:spacing w:line="360" w:lineRule="auto"/>
        <w:jc w:val="both"/>
        <w:rPr>
          <w:rFonts w:ascii="Book Antiqua" w:hAnsi="Book Antiqua"/>
        </w:rPr>
      </w:pPr>
      <w:r>
        <w:rPr>
          <w:rFonts w:ascii="Book Antiqua" w:eastAsia="Book Antiqua" w:hAnsi="Book Antiqua" w:cs="Book Antiqua"/>
          <w:color w:val="000000"/>
        </w:rPr>
        <w:t>Child-Pugh score showed no significant differences in the three groups before and 12 mo after surgery (</w:t>
      </w:r>
      <w:r>
        <w:rPr>
          <w:rFonts w:ascii="Book Antiqua" w:eastAsia="Book Antiqua" w:hAnsi="Book Antiqua" w:cs="Book Antiqua"/>
          <w:i/>
          <w:color w:val="000000"/>
        </w:rPr>
        <w:t>P</w:t>
      </w:r>
      <w:r>
        <w:rPr>
          <w:rFonts w:ascii="Book Antiqua" w:eastAsia="Book Antiqua" w:hAnsi="Book Antiqua" w:cs="Book Antiqua"/>
          <w:color w:val="000000"/>
        </w:rPr>
        <w:t xml:space="preserve"> &gt; 0.05). Twenty-four months after surgery, Child-Pugh score in the TAF group was 6.97 ± 0.86, which was lower than </w:t>
      </w:r>
      <w:r w:rsidR="00BB6A15">
        <w:rPr>
          <w:rFonts w:ascii="Book Antiqua" w:eastAsia="Book Antiqua" w:hAnsi="Book Antiqua" w:cs="Book Antiqua"/>
          <w:color w:val="000000"/>
        </w:rPr>
        <w:t>th</w:t>
      </w:r>
      <w:r w:rsidR="003956E9">
        <w:rPr>
          <w:rFonts w:ascii="Book Antiqua" w:eastAsia="Book Antiqua" w:hAnsi="Book Antiqua" w:cs="Book Antiqua"/>
          <w:color w:val="000000"/>
        </w:rPr>
        <w:t>ose</w:t>
      </w:r>
      <w:r>
        <w:rPr>
          <w:rFonts w:ascii="Book Antiqua" w:eastAsia="Book Antiqua" w:hAnsi="Book Antiqua" w:cs="Book Antiqua"/>
          <w:color w:val="000000"/>
        </w:rPr>
        <w:t xml:space="preserve"> in the TDF group (</w:t>
      </w:r>
      <w:r w:rsidR="00BB6A15">
        <w:rPr>
          <w:rFonts w:ascii="Book Antiqua" w:eastAsia="Book Antiqua" w:hAnsi="Book Antiqua" w:cs="Book Antiqua"/>
          <w:color w:val="000000"/>
        </w:rPr>
        <w:t xml:space="preserve">7.49 ± 0.82; </w:t>
      </w:r>
      <w:r>
        <w:rPr>
          <w:rFonts w:ascii="Book Antiqua" w:eastAsia="Book Antiqua" w:hAnsi="Book Antiqua" w:cs="Book Antiqua"/>
          <w:i/>
          <w:color w:val="000000"/>
        </w:rPr>
        <w:t>t</w:t>
      </w:r>
      <w:r>
        <w:rPr>
          <w:rFonts w:ascii="Book Antiqua" w:eastAsia="Book Antiqua" w:hAnsi="Book Antiqua" w:cs="Book Antiqua"/>
          <w:color w:val="000000"/>
        </w:rPr>
        <w:t xml:space="preserve"> = -2.52,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w:t>
      </w:r>
      <w:r w:rsidR="003956E9">
        <w:rPr>
          <w:rFonts w:ascii="Book Antiqua" w:eastAsia="Book Antiqua" w:hAnsi="Book Antiqua" w:cs="Book Antiqua"/>
          <w:color w:val="000000"/>
        </w:rPr>
        <w:t xml:space="preserve"> </w:t>
      </w:r>
      <w:r>
        <w:rPr>
          <w:rFonts w:ascii="Book Antiqua" w:eastAsia="Book Antiqua" w:hAnsi="Book Antiqua" w:cs="Book Antiqua"/>
          <w:color w:val="000000"/>
        </w:rPr>
        <w:t>ETV group (</w:t>
      </w:r>
      <w:r w:rsidR="00BB6A15">
        <w:rPr>
          <w:rFonts w:ascii="Book Antiqua" w:eastAsia="Book Antiqua" w:hAnsi="Book Antiqua" w:cs="Book Antiqua"/>
          <w:color w:val="000000"/>
        </w:rPr>
        <w:t xml:space="preserve">7.64 ± 1.17; </w:t>
      </w:r>
      <w:r>
        <w:rPr>
          <w:rFonts w:ascii="Book Antiqua" w:eastAsia="Book Antiqua" w:hAnsi="Book Antiqua" w:cs="Book Antiqua"/>
          <w:i/>
          <w:color w:val="000000"/>
        </w:rPr>
        <w:t>t</w:t>
      </w:r>
      <w:r>
        <w:rPr>
          <w:rFonts w:ascii="Book Antiqua" w:eastAsia="Book Antiqua" w:hAnsi="Book Antiqua" w:cs="Book Antiqua"/>
          <w:color w:val="000000"/>
        </w:rPr>
        <w:t xml:space="preserve"> = -2.92,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2).</w:t>
      </w:r>
    </w:p>
    <w:p w14:paraId="16E98366" w14:textId="7A676015"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Twenty-four months after surgery, the constituent ratio of Child-Pugh stage A/B/C (60.8/34.8/4.4) in the TAF group was improved compared with that (28.1/56.3/15.6) before surgery (</w:t>
      </w:r>
      <w:r w:rsidR="00BB6A15" w:rsidRPr="00CC369C">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6.47,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but the constituent ratio of Child-Pugh stage A/B/C in the TDF/ETV group presented no difference from that before surgery (</w:t>
      </w:r>
      <w:r>
        <w:rPr>
          <w:rFonts w:ascii="Book Antiqua" w:eastAsia="Book Antiqua" w:hAnsi="Book Antiqua" w:cs="Book Antiqua"/>
          <w:i/>
          <w:color w:val="000000"/>
        </w:rPr>
        <w:t>P</w:t>
      </w:r>
      <w:r>
        <w:rPr>
          <w:rFonts w:ascii="Book Antiqua" w:eastAsia="Book Antiqua" w:hAnsi="Book Antiqua" w:cs="Book Antiqua"/>
          <w:color w:val="000000"/>
        </w:rPr>
        <w:t xml:space="preserve"> &gt; 0.05) (Table 2).</w:t>
      </w:r>
    </w:p>
    <w:p w14:paraId="1762AF68" w14:textId="77777777" w:rsidR="0050274A" w:rsidRDefault="0050274A">
      <w:pPr>
        <w:spacing w:line="360" w:lineRule="auto"/>
        <w:jc w:val="both"/>
        <w:rPr>
          <w:rFonts w:ascii="Book Antiqua" w:hAnsi="Book Antiqua" w:cs="Book Antiqua"/>
          <w:b/>
          <w:bCs/>
          <w:i/>
          <w:iCs/>
          <w:color w:val="000000"/>
          <w:lang w:eastAsia="zh-CN"/>
        </w:rPr>
      </w:pPr>
    </w:p>
    <w:p w14:paraId="3FEFE9F8"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MELD score before and after surgery in three groups</w:t>
      </w:r>
    </w:p>
    <w:p w14:paraId="71EFA9FB" w14:textId="629FBCEC" w:rsidR="0050274A" w:rsidRDefault="001D7A10">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No statistically significant differences were found in MELD score before and 12 mo after surgery in the three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Twenty-four months after surgery, MELD score in the TAF group was 9.72 ± 1.5, which was lower than </w:t>
      </w:r>
      <w:r w:rsidR="00BB6A15">
        <w:rPr>
          <w:rFonts w:ascii="Book Antiqua" w:eastAsia="Book Antiqua" w:hAnsi="Book Antiqua" w:cs="Book Antiqua"/>
          <w:color w:val="000000"/>
        </w:rPr>
        <w:t>th</w:t>
      </w:r>
      <w:r w:rsidR="003956E9">
        <w:rPr>
          <w:rFonts w:ascii="Book Antiqua" w:eastAsia="Book Antiqua" w:hAnsi="Book Antiqua" w:cs="Book Antiqua"/>
          <w:color w:val="000000"/>
        </w:rPr>
        <w:t>ose</w:t>
      </w:r>
      <w:r>
        <w:rPr>
          <w:rFonts w:ascii="Book Antiqua" w:eastAsia="Book Antiqua" w:hAnsi="Book Antiqua" w:cs="Book Antiqua"/>
          <w:color w:val="000000"/>
        </w:rPr>
        <w:t xml:space="preserve"> in the TDF group (</w:t>
      </w:r>
      <w:r w:rsidR="00BB6A15">
        <w:rPr>
          <w:rFonts w:ascii="Book Antiqua" w:eastAsia="Book Antiqua" w:hAnsi="Book Antiqua" w:cs="Book Antiqua"/>
          <w:color w:val="000000"/>
        </w:rPr>
        <w:t xml:space="preserve">10.74 ± 2.33; </w:t>
      </w:r>
      <w:r>
        <w:rPr>
          <w:rFonts w:ascii="Book Antiqua" w:eastAsia="Book Antiqua" w:hAnsi="Book Antiqua" w:cs="Book Antiqua"/>
          <w:i/>
          <w:color w:val="000000"/>
        </w:rPr>
        <w:t>t</w:t>
      </w:r>
      <w:r>
        <w:rPr>
          <w:rFonts w:ascii="Book Antiqua" w:eastAsia="Book Antiqua" w:hAnsi="Book Antiqua" w:cs="Book Antiqua"/>
          <w:color w:val="000000"/>
        </w:rPr>
        <w:t xml:space="preserve"> = -2.09,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and</w:t>
      </w:r>
      <w:r w:rsidR="003956E9">
        <w:rPr>
          <w:rFonts w:ascii="Book Antiqua" w:eastAsia="Book Antiqua" w:hAnsi="Book Antiqua" w:cs="Book Antiqua"/>
          <w:color w:val="000000"/>
        </w:rPr>
        <w:t xml:space="preserve"> </w:t>
      </w:r>
      <w:r>
        <w:rPr>
          <w:rFonts w:ascii="Book Antiqua" w:eastAsia="Book Antiqua" w:hAnsi="Book Antiqua" w:cs="Book Antiqua"/>
          <w:color w:val="000000"/>
        </w:rPr>
        <w:t>ETV group (</w:t>
      </w:r>
      <w:r w:rsidR="00BB6A15">
        <w:rPr>
          <w:rFonts w:ascii="Book Antiqua" w:eastAsia="Book Antiqua" w:hAnsi="Book Antiqua" w:cs="Book Antiqua"/>
          <w:color w:val="000000"/>
        </w:rPr>
        <w:t xml:space="preserve">10.97 ± 2.17; </w:t>
      </w:r>
      <w:r>
        <w:rPr>
          <w:rFonts w:ascii="Book Antiqua" w:eastAsia="Book Antiqua" w:hAnsi="Book Antiqua" w:cs="Book Antiqua"/>
          <w:i/>
          <w:color w:val="000000"/>
        </w:rPr>
        <w:t>t</w:t>
      </w:r>
      <w:r>
        <w:rPr>
          <w:rFonts w:ascii="Book Antiqua" w:eastAsia="Book Antiqua" w:hAnsi="Book Antiqua" w:cs="Book Antiqua"/>
          <w:color w:val="000000"/>
        </w:rPr>
        <w:t xml:space="preserve"> = -2.93,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3).</w:t>
      </w:r>
    </w:p>
    <w:p w14:paraId="1258E8B0" w14:textId="77777777" w:rsidR="0050274A" w:rsidRDefault="0050274A">
      <w:pPr>
        <w:spacing w:line="360" w:lineRule="auto"/>
        <w:jc w:val="both"/>
        <w:rPr>
          <w:rFonts w:ascii="Book Antiqua" w:hAnsi="Book Antiqua"/>
          <w:lang w:eastAsia="zh-CN"/>
        </w:rPr>
      </w:pPr>
    </w:p>
    <w:p w14:paraId="77E36DFE" w14:textId="4A657242" w:rsidR="0050274A" w:rsidRDefault="00BB6A15">
      <w:pPr>
        <w:spacing w:line="360" w:lineRule="auto"/>
        <w:jc w:val="both"/>
        <w:rPr>
          <w:rFonts w:ascii="Book Antiqua" w:hAnsi="Book Antiqua"/>
        </w:rPr>
      </w:pPr>
      <w:r>
        <w:rPr>
          <w:rFonts w:ascii="Book Antiqua" w:hAnsi="Book Antiqua" w:cs="Book Antiqua"/>
          <w:b/>
          <w:bCs/>
          <w:i/>
          <w:iCs/>
          <w:color w:val="000000"/>
          <w:lang w:eastAsia="zh-CN"/>
        </w:rPr>
        <w:t>e</w:t>
      </w:r>
      <w:r>
        <w:rPr>
          <w:rFonts w:ascii="Book Antiqua" w:eastAsia="Book Antiqua" w:hAnsi="Book Antiqua" w:cs="Book Antiqua"/>
          <w:b/>
          <w:bCs/>
          <w:i/>
          <w:iCs/>
          <w:color w:val="000000"/>
        </w:rPr>
        <w:t xml:space="preserve">GFR </w:t>
      </w:r>
      <w:r w:rsidR="001D7A10">
        <w:rPr>
          <w:rFonts w:ascii="Book Antiqua" w:eastAsia="Book Antiqua" w:hAnsi="Book Antiqua" w:cs="Book Antiqua"/>
          <w:b/>
          <w:bCs/>
          <w:i/>
          <w:iCs/>
          <w:color w:val="000000"/>
        </w:rPr>
        <w:t>change before and after surgery in three groups</w:t>
      </w:r>
    </w:p>
    <w:p w14:paraId="6AFFA31B" w14:textId="70983F27" w:rsidR="0050274A" w:rsidRDefault="001D7A10">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In the three groups, eGFR change showed no significant differences 3 mo after surgery (</w:t>
      </w:r>
      <w:r>
        <w:rPr>
          <w:rFonts w:ascii="Book Antiqua" w:eastAsia="Book Antiqua" w:hAnsi="Book Antiqua" w:cs="Book Antiqua"/>
          <w:i/>
          <w:color w:val="000000"/>
        </w:rPr>
        <w:t>P</w:t>
      </w:r>
      <w:r>
        <w:rPr>
          <w:rFonts w:ascii="Book Antiqua" w:eastAsia="Book Antiqua" w:hAnsi="Book Antiqua" w:cs="Book Antiqua"/>
          <w:color w:val="000000"/>
        </w:rPr>
        <w:t xml:space="preserve"> &gt; 0.05). Six months after surgery, eGFR level in the TAF group was 99.72 ± 11.52, which was higher than </w:t>
      </w:r>
      <w:r w:rsidR="004A44F7">
        <w:rPr>
          <w:rFonts w:ascii="Book Antiqua" w:eastAsia="Book Antiqua" w:hAnsi="Book Antiqua" w:cs="Book Antiqua"/>
          <w:color w:val="000000"/>
        </w:rPr>
        <w:t xml:space="preserve">that </w:t>
      </w:r>
      <w:r>
        <w:rPr>
          <w:rFonts w:ascii="Book Antiqua" w:eastAsia="Book Antiqua" w:hAnsi="Book Antiqua" w:cs="Book Antiqua"/>
          <w:color w:val="000000"/>
        </w:rPr>
        <w:t>in the ETV group (</w:t>
      </w:r>
      <w:r w:rsidR="004A44F7">
        <w:rPr>
          <w:rFonts w:ascii="Book Antiqua" w:eastAsia="Book Antiqua" w:hAnsi="Book Antiqua" w:cs="Book Antiqua"/>
          <w:color w:val="000000"/>
        </w:rPr>
        <w:t xml:space="preserve">91.24 ± 12.60; </w:t>
      </w:r>
      <w:r>
        <w:rPr>
          <w:rFonts w:ascii="Book Antiqua" w:eastAsia="Book Antiqua" w:hAnsi="Book Antiqua" w:cs="Book Antiqua"/>
          <w:i/>
          <w:color w:val="000000"/>
        </w:rPr>
        <w:t>t</w:t>
      </w:r>
      <w:r>
        <w:rPr>
          <w:rFonts w:ascii="Book Antiqua" w:eastAsia="Book Antiqua" w:hAnsi="Book Antiqua" w:cs="Book Antiqua"/>
          <w:color w:val="000000"/>
        </w:rPr>
        <w:t xml:space="preserve"> = 3.24,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but not significantly different from</w:t>
      </w:r>
      <w:r w:rsidR="003956E9">
        <w:rPr>
          <w:rFonts w:ascii="Book Antiqua" w:eastAsia="Book Antiqua" w:hAnsi="Book Antiqua" w:cs="Book Antiqua"/>
          <w:color w:val="000000"/>
        </w:rPr>
        <w:t xml:space="preserve"> that </w:t>
      </w:r>
      <w:r>
        <w:rPr>
          <w:rFonts w:ascii="Book Antiqua" w:eastAsia="Book Antiqua" w:hAnsi="Book Antiqua" w:cs="Book Antiqua"/>
          <w:color w:val="000000"/>
        </w:rPr>
        <w:t>in the TDF group (</w:t>
      </w:r>
      <w:r w:rsidR="003956E9">
        <w:rPr>
          <w:rFonts w:ascii="Book Antiqua" w:eastAsia="Book Antiqua" w:hAnsi="Book Antiqua" w:cs="Book Antiqua"/>
          <w:color w:val="000000"/>
        </w:rPr>
        <w:t xml:space="preserve">94.97 ± 12.52; </w:t>
      </w:r>
      <w:r>
        <w:rPr>
          <w:rFonts w:ascii="Book Antiqua" w:eastAsia="Book Antiqua" w:hAnsi="Book Antiqua" w:cs="Book Antiqua"/>
          <w:i/>
          <w:color w:val="000000"/>
        </w:rPr>
        <w:t>t</w:t>
      </w:r>
      <w:r>
        <w:rPr>
          <w:rFonts w:ascii="Book Antiqua" w:eastAsia="Book Antiqua" w:hAnsi="Book Antiqua" w:cs="Book Antiqua"/>
          <w:color w:val="000000"/>
        </w:rPr>
        <w:t xml:space="preserve"> = 1.61, </w:t>
      </w:r>
      <w:r>
        <w:rPr>
          <w:rFonts w:ascii="Book Antiqua" w:eastAsia="Book Antiqua" w:hAnsi="Book Antiqua" w:cs="Book Antiqua"/>
          <w:i/>
          <w:iCs/>
          <w:color w:val="000000"/>
        </w:rPr>
        <w:t>P</w:t>
      </w:r>
      <w:r>
        <w:rPr>
          <w:rFonts w:ascii="Book Antiqua" w:eastAsia="Book Antiqua" w:hAnsi="Book Antiqua" w:cs="Book Antiqua"/>
          <w:color w:val="000000"/>
        </w:rPr>
        <w:t xml:space="preserve"> = 0.112). Twelve months after surgery, eGFR level in the TAF group was 103.44 ± 13.02, which was higher than </w:t>
      </w:r>
      <w:r w:rsidR="003956E9">
        <w:rPr>
          <w:rFonts w:ascii="Book Antiqua" w:eastAsia="Book Antiqua" w:hAnsi="Book Antiqua" w:cs="Book Antiqua"/>
          <w:color w:val="000000"/>
        </w:rPr>
        <w:t>those</w:t>
      </w:r>
      <w:r>
        <w:rPr>
          <w:rFonts w:ascii="Book Antiqua" w:eastAsia="Book Antiqua" w:hAnsi="Book Antiqua" w:cs="Book Antiqua"/>
          <w:color w:val="000000"/>
        </w:rPr>
        <w:t xml:space="preserve"> in the TDF group (</w:t>
      </w:r>
      <w:r w:rsidR="003956E9">
        <w:rPr>
          <w:rFonts w:ascii="Book Antiqua" w:eastAsia="Book Antiqua" w:hAnsi="Book Antiqua" w:cs="Book Antiqua"/>
          <w:color w:val="000000"/>
        </w:rPr>
        <w:t xml:space="preserve">94.11 ± 12.34; </w:t>
      </w:r>
      <w:r>
        <w:rPr>
          <w:rFonts w:ascii="Book Antiqua" w:eastAsia="Book Antiqua" w:hAnsi="Book Antiqua" w:cs="Book Antiqua"/>
          <w:i/>
          <w:color w:val="000000"/>
        </w:rPr>
        <w:t>t</w:t>
      </w:r>
      <w:r>
        <w:rPr>
          <w:rFonts w:ascii="Book Antiqua" w:eastAsia="Book Antiqua" w:hAnsi="Book Antiqua" w:cs="Book Antiqua"/>
          <w:color w:val="000000"/>
        </w:rPr>
        <w:t xml:space="preserve"> = 3.08,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sidR="003956E9">
        <w:rPr>
          <w:rFonts w:ascii="Book Antiqua" w:eastAsia="Book Antiqua" w:hAnsi="Book Antiqua" w:cs="Book Antiqua"/>
          <w:color w:val="000000"/>
        </w:rPr>
        <w:t xml:space="preserve"> and </w:t>
      </w:r>
      <w:r>
        <w:rPr>
          <w:rFonts w:ascii="Book Antiqua" w:eastAsia="Book Antiqua" w:hAnsi="Book Antiqua" w:cs="Book Antiqua"/>
          <w:color w:val="000000"/>
        </w:rPr>
        <w:t>ETV group (</w:t>
      </w:r>
      <w:r w:rsidR="003956E9">
        <w:rPr>
          <w:rFonts w:ascii="Book Antiqua" w:eastAsia="Book Antiqua" w:hAnsi="Book Antiqua" w:cs="Book Antiqua"/>
          <w:color w:val="000000"/>
        </w:rPr>
        <w:t xml:space="preserve">90.03 ± 11.04; </w:t>
      </w:r>
      <w:r>
        <w:rPr>
          <w:rFonts w:ascii="Book Antiqua" w:eastAsia="Book Antiqua" w:hAnsi="Book Antiqua" w:cs="Book Antiqua"/>
          <w:i/>
          <w:color w:val="000000"/>
        </w:rPr>
        <w:t>t</w:t>
      </w:r>
      <w:r>
        <w:rPr>
          <w:rFonts w:ascii="Book Antiqua" w:eastAsia="Book Antiqua" w:hAnsi="Book Antiqua" w:cs="Book Antiqua"/>
          <w:color w:val="000000"/>
        </w:rPr>
        <w:t xml:space="preserve"> = 5.37, </w:t>
      </w:r>
      <w:r>
        <w:rPr>
          <w:rFonts w:ascii="Book Antiqua" w:eastAsia="Book Antiqua" w:hAnsi="Book Antiqua" w:cs="Book Antiqua"/>
          <w:i/>
          <w:color w:val="000000"/>
        </w:rPr>
        <w:t>P</w:t>
      </w:r>
      <w:r>
        <w:rPr>
          <w:rFonts w:ascii="Book Antiqua" w:eastAsia="Book Antiqua" w:hAnsi="Book Antiqua" w:cs="Book Antiqua"/>
          <w:color w:val="000000"/>
        </w:rPr>
        <w:t xml:space="preserve"> &lt; 0.001). Twenty-four months after surgery, eGFR level in the TAF group was 104.41 ± 12.54, which was higher than </w:t>
      </w:r>
      <w:r w:rsidR="003956E9">
        <w:rPr>
          <w:rFonts w:ascii="Book Antiqua" w:eastAsia="Book Antiqua" w:hAnsi="Book Antiqua" w:cs="Book Antiqua"/>
          <w:color w:val="000000"/>
        </w:rPr>
        <w:t xml:space="preserve">those </w:t>
      </w:r>
      <w:r>
        <w:rPr>
          <w:rFonts w:ascii="Book Antiqua" w:eastAsia="Book Antiqua" w:hAnsi="Book Antiqua" w:cs="Book Antiqua"/>
          <w:color w:val="000000"/>
        </w:rPr>
        <w:t xml:space="preserve">(93.54 ± 8.97) in the TDF </w:t>
      </w:r>
      <w:r w:rsidR="003956E9">
        <w:rPr>
          <w:rFonts w:ascii="Book Antiqua" w:eastAsia="Book Antiqua" w:hAnsi="Book Antiqua" w:cs="Book Antiqua"/>
          <w:color w:val="000000"/>
        </w:rPr>
        <w:t xml:space="preserve">(93.54 ± 8.97) </w:t>
      </w:r>
      <w:r>
        <w:rPr>
          <w:rFonts w:ascii="Book Antiqua" w:eastAsia="Book Antiqua" w:hAnsi="Book Antiqua" w:cs="Book Antiqua"/>
          <w:color w:val="000000"/>
        </w:rPr>
        <w:t>and</w:t>
      </w:r>
      <w:r w:rsidR="003956E9">
        <w:rPr>
          <w:rFonts w:ascii="Book Antiqua" w:eastAsia="Book Antiqua" w:hAnsi="Book Antiqua" w:cs="Book Antiqua"/>
          <w:color w:val="000000"/>
        </w:rPr>
        <w:t xml:space="preserve"> </w:t>
      </w:r>
      <w:r>
        <w:rPr>
          <w:rFonts w:ascii="Book Antiqua" w:eastAsia="Book Antiqua" w:hAnsi="Book Antiqua" w:cs="Book Antiqua"/>
          <w:color w:val="000000"/>
        </w:rPr>
        <w:t xml:space="preserve">ETV </w:t>
      </w:r>
      <w:r w:rsidR="003956E9">
        <w:rPr>
          <w:rFonts w:ascii="Book Antiqua" w:eastAsia="Book Antiqua" w:hAnsi="Book Antiqua" w:cs="Book Antiqua"/>
          <w:color w:val="000000"/>
        </w:rPr>
        <w:t xml:space="preserve">(89.96 ± 9.86) </w:t>
      </w:r>
      <w:r>
        <w:rPr>
          <w:rFonts w:ascii="Book Antiqua" w:eastAsia="Book Antiqua" w:hAnsi="Book Antiqua" w:cs="Book Antiqua"/>
          <w:color w:val="000000"/>
        </w:rPr>
        <w:t>group</w:t>
      </w:r>
      <w:r w:rsidR="003956E9">
        <w:rPr>
          <w:rFonts w:ascii="Book Antiqua" w:eastAsia="Book Antiqua" w:hAnsi="Book Antiqua" w:cs="Book Antiqua"/>
          <w:color w:val="000000"/>
        </w:rPr>
        <w:t>s</w:t>
      </w:r>
      <w:r>
        <w:rPr>
          <w:rFonts w:ascii="Book Antiqua" w:eastAsia="Book Antiqua" w:hAnsi="Book Antiqua" w:cs="Book Antiqua"/>
          <w:color w:val="000000"/>
        </w:rPr>
        <w:t xml:space="preserve"> (</w:t>
      </w:r>
      <w:r w:rsidRPr="00CC369C">
        <w:rPr>
          <w:rFonts w:ascii="Book Antiqua" w:eastAsia="Book Antiqua" w:hAnsi="Book Antiqua" w:cs="Book Antiqua"/>
          <w:i/>
          <w:color w:val="000000"/>
        </w:rPr>
        <w:t>F</w:t>
      </w:r>
      <w:r>
        <w:rPr>
          <w:rFonts w:ascii="Book Antiqua" w:eastAsia="Book Antiqua" w:hAnsi="Book Antiqua" w:cs="Book Antiqua"/>
          <w:color w:val="000000"/>
        </w:rPr>
        <w:t xml:space="preserve"> = 21.57, </w:t>
      </w:r>
      <w:r>
        <w:rPr>
          <w:rFonts w:ascii="Book Antiqua" w:eastAsia="Book Antiqua" w:hAnsi="Book Antiqua" w:cs="Book Antiqua"/>
          <w:i/>
          <w:color w:val="000000"/>
        </w:rPr>
        <w:t>P</w:t>
      </w:r>
      <w:r>
        <w:rPr>
          <w:rFonts w:ascii="Book Antiqua" w:eastAsia="Book Antiqua" w:hAnsi="Book Antiqua" w:cs="Book Antiqua"/>
          <w:color w:val="000000"/>
        </w:rPr>
        <w:t xml:space="preserve"> &lt; 0.001) (Figure 4).</w:t>
      </w:r>
    </w:p>
    <w:p w14:paraId="6C212A22" w14:textId="77777777" w:rsidR="0050274A" w:rsidRDefault="0050274A">
      <w:pPr>
        <w:spacing w:line="360" w:lineRule="auto"/>
        <w:jc w:val="both"/>
        <w:rPr>
          <w:rFonts w:ascii="Book Antiqua" w:hAnsi="Book Antiqua"/>
          <w:lang w:eastAsia="zh-CN"/>
        </w:rPr>
      </w:pPr>
    </w:p>
    <w:p w14:paraId="4F5A46C6"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559ED79" w14:textId="597DC5A4"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As a country </w:t>
      </w:r>
      <w:r w:rsidR="00802F40">
        <w:rPr>
          <w:rFonts w:ascii="Book Antiqua" w:eastAsia="Book Antiqua" w:hAnsi="Book Antiqua" w:cs="Book Antiqua"/>
          <w:color w:val="000000"/>
        </w:rPr>
        <w:t xml:space="preserve">with a high burden </w:t>
      </w:r>
      <w:r>
        <w:rPr>
          <w:rFonts w:ascii="Book Antiqua" w:eastAsia="Book Antiqua" w:hAnsi="Book Antiqua" w:cs="Book Antiqua"/>
          <w:color w:val="000000"/>
        </w:rPr>
        <w:t xml:space="preserve">of hepatitis B, China has about 86 million cases of HBV infection, ranking the first in the world. Currently, there are about 30 million CHB patients, and 390000 deaths </w:t>
      </w:r>
      <w:r w:rsidR="00847FD9">
        <w:rPr>
          <w:rFonts w:ascii="Book Antiqua" w:eastAsia="Book Antiqua" w:hAnsi="Book Antiqua" w:cs="Book Antiqua"/>
          <w:color w:val="000000"/>
        </w:rPr>
        <w:t xml:space="preserve">due to </w:t>
      </w:r>
      <w:r>
        <w:rPr>
          <w:rFonts w:ascii="Book Antiqua" w:eastAsia="Book Antiqua" w:hAnsi="Book Antiqua" w:cs="Book Antiqua"/>
          <w:color w:val="000000"/>
        </w:rPr>
        <w:t>hepatitis B-related complications such as liver cirrhosis and liver cancer every year</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8</w:t>
      </w:r>
      <w:r>
        <w:rPr>
          <w:rFonts w:ascii="Book Antiqua" w:hAnsi="Book Antiqua" w:cs="Book Antiqua" w:hint="eastAsia"/>
          <w:color w:val="000000"/>
          <w:vertAlign w:val="superscript"/>
          <w:lang w:eastAsia="zh-CN"/>
        </w:rPr>
        <w:t>,</w:t>
      </w:r>
      <w:r>
        <w:rPr>
          <w:rFonts w:ascii="Book Antiqua"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Hepatitis B cirrhosis complicated with portal hypertension is characterized by persistent HBV replication and aggravated liver inflammation and fibrosis. Without timely control, it may progress to severe post-cirrhosis complications such as esophagogastric variceal bleeding, HE</w:t>
      </w:r>
      <w:r w:rsidR="00847FD9">
        <w:rPr>
          <w:rFonts w:ascii="Book Antiqua" w:eastAsia="Book Antiqua" w:hAnsi="Book Antiqua" w:cs="Book Antiqua"/>
          <w:color w:val="000000"/>
        </w:rPr>
        <w:t xml:space="preserve">, </w:t>
      </w:r>
      <w:r>
        <w:rPr>
          <w:rFonts w:ascii="Book Antiqua" w:eastAsia="Book Antiqua" w:hAnsi="Book Antiqua" w:cs="Book Antiqua"/>
          <w:color w:val="000000"/>
        </w:rPr>
        <w:t xml:space="preserve"> intractable hydrothorax and ascites, and even hepatic failure and liver cancer, leading to death. Consequently, how to control portal hypertension, improve liver functional reserve</w:t>
      </w:r>
      <w:r w:rsidR="00847FD9">
        <w:rPr>
          <w:rFonts w:ascii="Book Antiqua" w:eastAsia="Book Antiqua" w:hAnsi="Book Antiqua" w:cs="Book Antiqua"/>
          <w:color w:val="000000"/>
        </w:rPr>
        <w:t>,</w:t>
      </w:r>
      <w:r>
        <w:rPr>
          <w:rFonts w:ascii="Book Antiqua" w:eastAsia="Book Antiqua" w:hAnsi="Book Antiqua" w:cs="Book Antiqua"/>
          <w:color w:val="000000"/>
        </w:rPr>
        <w:t xml:space="preserve"> and reduce the incidence of hepatic failure and liver cancer in such patients is the focus of current clinical attention. TIPS is an effective minimally invasive interventional method for the treatment of portal hypertension-related complications. It is worthy of further clinical exploration on the management of patients with hepatitis B cirrhosis using individualized antiviral therapy after surgery. Considering the fact that there is no report on the clinical efficacy of antiviral therapy for patients with hepatitis B cirrhosis after TIPS, </w:t>
      </w:r>
      <w:r w:rsidR="00847FD9">
        <w:rPr>
          <w:rFonts w:ascii="Book Antiqua" w:eastAsia="Book Antiqua" w:hAnsi="Book Antiqua" w:cs="Book Antiqua"/>
          <w:color w:val="000000"/>
        </w:rPr>
        <w:t>we</w:t>
      </w:r>
      <w:r>
        <w:rPr>
          <w:rFonts w:ascii="Book Antiqua" w:eastAsia="Book Antiqua" w:hAnsi="Book Antiqua" w:cs="Book Antiqua"/>
          <w:color w:val="000000"/>
        </w:rPr>
        <w:t xml:space="preserve"> believe that this study has </w:t>
      </w:r>
      <w:r w:rsidR="00847FD9">
        <w:rPr>
          <w:rFonts w:ascii="Book Antiqua" w:eastAsia="Book Antiqua" w:hAnsi="Book Antiqua" w:cs="Book Antiqua"/>
          <w:color w:val="000000"/>
        </w:rPr>
        <w:t xml:space="preserve">appreciated </w:t>
      </w:r>
      <w:r>
        <w:rPr>
          <w:rFonts w:ascii="Book Antiqua" w:eastAsia="Book Antiqua" w:hAnsi="Book Antiqua" w:cs="Book Antiqua"/>
          <w:color w:val="000000"/>
        </w:rPr>
        <w:t>clinical reference value for the selection of anti-HBV drugs in such patients.</w:t>
      </w:r>
    </w:p>
    <w:p w14:paraId="75F82919" w14:textId="491404DC"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CHB is one of the main causes of HCC, cirrhosis-related complications</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liver-related death all over the world</w:t>
      </w:r>
      <w:r>
        <w:rPr>
          <w:rFonts w:ascii="Book Antiqua" w:eastAsia="Book Antiqua" w:hAnsi="Book Antiqua" w:cs="Book Antiqua"/>
          <w:color w:val="000000"/>
          <w:vertAlign w:val="superscript"/>
        </w:rPr>
        <w:t>[10]</w:t>
      </w:r>
      <w:r>
        <w:rPr>
          <w:rFonts w:ascii="Book Antiqua" w:eastAsia="Book Antiqua" w:hAnsi="Book Antiqua" w:cs="Book Antiqua"/>
          <w:color w:val="000000"/>
        </w:rPr>
        <w:t>. Chronic HBV infection is mainly treated by maximizing the long-term inhibition of HBV replication, relieving the inflammation and necrosis of hepatocytes and fibrous hyperplasia of the liver, delaying and reducing the occurrence of hepatic failure, decompensated cirrhosis, HCC</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other complications, improving the quality of life of the patients</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prolonging their survival time</w:t>
      </w:r>
      <w:r>
        <w:rPr>
          <w:rFonts w:ascii="Book Antiqua" w:eastAsia="Book Antiqua" w:hAnsi="Book Antiqua" w:cs="Book Antiqua"/>
          <w:color w:val="000000"/>
          <w:vertAlign w:val="superscript"/>
        </w:rPr>
        <w:t>[11-13]</w:t>
      </w:r>
      <w:r>
        <w:rPr>
          <w:rFonts w:ascii="Book Antiqua" w:eastAsia="Book Antiqua" w:hAnsi="Book Antiqua" w:cs="Book Antiqua"/>
          <w:color w:val="000000"/>
        </w:rPr>
        <w:t>. Antiviral therapy is a long-term or even lifelong process. The efficacy and safety of drugs are important factors that clinicians and patients need to consider. Previous studies have shown that in CHB patients with initial treatment, the incidence of drug resistance 5 years after ETV therapy is about 1.2%</w:t>
      </w:r>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while the clinical drug resistance of TDF and TAF has not been definitely reported</w:t>
      </w:r>
      <w:r>
        <w:rPr>
          <w:rFonts w:ascii="Book Antiqua" w:eastAsia="Book Antiqua" w:hAnsi="Book Antiqua" w:cs="Book Antiqua"/>
          <w:color w:val="000000"/>
          <w:vertAlign w:val="superscript"/>
        </w:rPr>
        <w:t>[16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Moreover, these three drugs are the first choice of oral antiviral drugs recommended by international and domestic guidelines, characterized by high barrier to resistance, strong effect</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high safety. In this study, all the included patients were those with hepatitis B cirrhosis after TIPS, and treated with the three antiviral drugs. During follow-up, the percentage of complete virological response of HBV DNA </w:t>
      </w:r>
      <w:r w:rsidR="008E4FDA">
        <w:rPr>
          <w:rFonts w:ascii="Book Antiqua" w:eastAsia="Book Antiqua" w:hAnsi="Book Antiqua" w:cs="Book Antiqua"/>
          <w:color w:val="000000"/>
        </w:rPr>
        <w:t xml:space="preserve">at </w:t>
      </w:r>
      <w:r>
        <w:rPr>
          <w:rFonts w:ascii="Book Antiqua" w:eastAsia="Book Antiqua" w:hAnsi="Book Antiqua" w:cs="Book Antiqua"/>
          <w:color w:val="000000"/>
        </w:rPr>
        <w:t>3, 6</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12 mo after surgery was 100%, without breakthrough in virology. We believe that after continuous antiviral therapy, complete virological response can be achieved, inflammatory activity of the liver can be reduced or even become static, liver fibrosis can be reversed</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the regeneration ability of residual hepatocytes can be enhanced, which can further improve the liver functional reserve of the patients. In this study, TAF showed a better effect in improving the liver functional reserve of patients with hepatitis B cirrhosis </w:t>
      </w:r>
      <w:r w:rsidR="008E4FDA">
        <w:rPr>
          <w:rFonts w:ascii="Book Antiqua" w:eastAsia="Book Antiqua" w:hAnsi="Book Antiqua" w:cs="Book Antiqua"/>
          <w:color w:val="000000"/>
        </w:rPr>
        <w:t xml:space="preserve">at 24 mo after TIPS </w:t>
      </w:r>
      <w:r>
        <w:rPr>
          <w:rFonts w:ascii="Book Antiqua" w:eastAsia="Book Antiqua" w:hAnsi="Book Antiqua" w:cs="Book Antiqua"/>
          <w:color w:val="000000"/>
        </w:rPr>
        <w:t>than TDF and ETV, the potential mechanism of which may be attributed to the stronger antiviral effect and ALT normalization ability of TAF. Previous global phase III clinical studies 108/110 on TAF</w:t>
      </w:r>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showed that compared with TDF, CHB patients treated with TAF could achieve a higher proportion of ALT normalization at both the 48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96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w:t>
      </w:r>
      <w:r w:rsidR="008E4FDA">
        <w:rPr>
          <w:rFonts w:ascii="Book Antiqua" w:eastAsia="Book Antiqua" w:hAnsi="Book Antiqua" w:cs="Book Antiqua"/>
          <w:color w:val="000000"/>
        </w:rPr>
        <w:t>s</w:t>
      </w:r>
      <w:r>
        <w:rPr>
          <w:rFonts w:ascii="Book Antiqua" w:eastAsia="Book Antiqua" w:hAnsi="Book Antiqua" w:cs="Book Antiqua"/>
          <w:color w:val="000000"/>
        </w:rPr>
        <w:t>. Moreover, an increasing number of real-world studies</w:t>
      </w:r>
      <w:r>
        <w:rPr>
          <w:rFonts w:ascii="Book Antiqua" w:eastAsia="Book Antiqua" w:hAnsi="Book Antiqua" w:cs="Book Antiqua"/>
          <w:color w:val="000000"/>
          <w:vertAlign w:val="superscript"/>
        </w:rPr>
        <w:t>[20-22]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demonstrated that about 30% of CHB patients receiving long-term ETV therapy failed to achieve complete virological response (the lower limit of detection of HBV DNA was 20 IU/mL), while most patients could achieve complete virological response after switching to TAF therapy. All these studies suggest that TAF has more prominent advantages in antiviral ability and/or ALT normalization. In our center, the lower limit of detection of HBV DNA was 100 IU/mL, which could not be used to accurately identify the CHB population with </w:t>
      </w:r>
      <w:r w:rsidR="008E4FDA">
        <w:rPr>
          <w:rFonts w:ascii="Book Antiqua" w:eastAsia="Book Antiqua" w:hAnsi="Book Antiqua" w:cs="Book Antiqua"/>
          <w:color w:val="000000"/>
        </w:rPr>
        <w:t xml:space="preserve">a </w:t>
      </w:r>
      <w:r>
        <w:rPr>
          <w:rFonts w:ascii="Book Antiqua" w:eastAsia="Book Antiqua" w:hAnsi="Book Antiqua" w:cs="Book Antiqua"/>
          <w:color w:val="000000"/>
        </w:rPr>
        <w:t>low level of HBV DNA replication. However, the above findings may still have certain reference value for antiviral therapy in patients with hepatitis B cirrhosis complicated with portal hypertension after TIPS.</w:t>
      </w:r>
    </w:p>
    <w:p w14:paraId="4C4DA4BC" w14:textId="7E479C8F"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fact, for patients with cirrhosis, especially for </w:t>
      </w:r>
      <w:r w:rsidR="008E4FDA">
        <w:rPr>
          <w:rFonts w:ascii="Book Antiqua" w:eastAsia="Book Antiqua" w:hAnsi="Book Antiqua" w:cs="Book Antiqua"/>
          <w:color w:val="000000"/>
        </w:rPr>
        <w:t xml:space="preserve">those </w:t>
      </w:r>
      <w:r>
        <w:rPr>
          <w:rFonts w:ascii="Book Antiqua" w:eastAsia="Book Antiqua" w:hAnsi="Book Antiqua" w:cs="Book Antiqua"/>
          <w:color w:val="000000"/>
        </w:rPr>
        <w:t>with decompensated cirrhosis, liver transplantation is the only way to remove the lesion and radically cure cirrhosis. However, transplantation is rarely conducted in Asia. Especially in China, fewer patients can receive liver transplantation because of the limitation in funds and liver sources. For patients with hepatitis B cirrhosis, effective etiological treatment combined with control of portal hypertension and improvement of liver functional reserve is the key to long-term survival of patients with decompensated hepatitis B cirrhosis who cannot accept liver transplantation. TIPS is the only minimally invasive method for relieving portal hypertension. Previous clinical study</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center suggested that the use of </w:t>
      </w:r>
      <w:r w:rsidR="008E4FDA">
        <w:rPr>
          <w:rFonts w:ascii="Book Antiqua" w:eastAsia="Book Antiqua" w:hAnsi="Book Antiqua" w:cs="Book Antiqua"/>
          <w:color w:val="000000"/>
        </w:rPr>
        <w:t xml:space="preserve">an </w:t>
      </w:r>
      <w:r>
        <w:rPr>
          <w:rFonts w:ascii="Book Antiqua" w:eastAsia="Book Antiqua" w:hAnsi="Book Antiqua" w:cs="Book Antiqua"/>
          <w:color w:val="000000"/>
        </w:rPr>
        <w:t>8-mm stent during TIPS could not only effectively shunt, but also relieve portal pressure. Postoperatively, the liver functional reserve was affected by shunt in a short time, but the special stent with a</w:t>
      </w:r>
      <w:r>
        <w:rPr>
          <w:rFonts w:ascii="Book Antiqua" w:hAnsi="Book Antiqua" w:cs="Book Antiqua" w:hint="eastAsia"/>
          <w:color w:val="000000"/>
          <w:lang w:eastAsia="zh-CN"/>
        </w:rPr>
        <w:t>n</w:t>
      </w:r>
      <w:r>
        <w:rPr>
          <w:rFonts w:ascii="Book Antiqua" w:eastAsia="Book Antiqua" w:hAnsi="Book Antiqua" w:cs="Book Antiqua"/>
          <w:color w:val="000000"/>
        </w:rPr>
        <w:t xml:space="preserve"> inner diameter of 8 m</w:t>
      </w:r>
      <w:r>
        <w:rPr>
          <w:rFonts w:ascii="Book Antiqua" w:hAnsi="Book Antiqua" w:cs="Book Antiqua" w:hint="eastAsia"/>
          <w:color w:val="000000"/>
          <w:lang w:eastAsia="zh-CN"/>
        </w:rPr>
        <w:t>m</w:t>
      </w:r>
      <w:r>
        <w:rPr>
          <w:rFonts w:ascii="Book Antiqua" w:eastAsia="Book Antiqua" w:hAnsi="Book Antiqua" w:cs="Book Antiqua"/>
          <w:color w:val="000000"/>
        </w:rPr>
        <w:t xml:space="preserve"> had limited shunt. The liver functional reserve could be restored to the preoperative level 12 mo after surgery. Twenty-four months after surgery, the liver functional reserve of patients with hepatitis B cirrhosis was better than that of </w:t>
      </w:r>
      <w:r w:rsidR="008E4FDA">
        <w:rPr>
          <w:rFonts w:ascii="Book Antiqua" w:eastAsia="Book Antiqua" w:hAnsi="Book Antiqua" w:cs="Book Antiqua"/>
          <w:color w:val="000000"/>
        </w:rPr>
        <w:t xml:space="preserve">patients </w:t>
      </w:r>
      <w:r>
        <w:rPr>
          <w:rFonts w:ascii="Book Antiqua" w:eastAsia="Book Antiqua" w:hAnsi="Book Antiqua" w:cs="Book Antiqua"/>
          <w:color w:val="000000"/>
        </w:rPr>
        <w:t>with alcohol-induced and immune cirrhosis, which may be related to the effective etiological treatment. Based on the above studies, the clinical data of patients with hepatitis B cirrhosis after TIPS treated with different antiviral drugs were retrospectively analyzed in this study. Before this study, many studies</w:t>
      </w:r>
      <w:r>
        <w:rPr>
          <w:rFonts w:ascii="Book Antiqua" w:eastAsia="Book Antiqua" w:hAnsi="Book Antiqua" w:cs="Book Antiqua"/>
          <w:color w:val="000000"/>
          <w:vertAlign w:val="superscript"/>
        </w:rPr>
        <w:t>[23-27]</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in the past </w:t>
      </w:r>
      <w:r w:rsidR="008E4FDA">
        <w:rPr>
          <w:rFonts w:ascii="Book Antiqua" w:eastAsia="Book Antiqua" w:hAnsi="Book Antiqua" w:cs="Book Antiqua"/>
          <w:color w:val="000000"/>
        </w:rPr>
        <w:t xml:space="preserve">2 </w:t>
      </w:r>
      <w:r>
        <w:rPr>
          <w:rFonts w:ascii="Book Antiqua" w:eastAsia="Book Antiqua" w:hAnsi="Book Antiqua" w:cs="Book Antiqua"/>
          <w:color w:val="000000"/>
        </w:rPr>
        <w:t xml:space="preserve">years have explored the effects of different antiviral drugs on the long-term occurrence of HCC in patients with CHB, most of which are retrospective cohort studies, and some were systematic reviews and meta-analyses, with non-unified conclusions. However, it can be concluded that nucleotide drugs (represented by TFV) are equal or superior to nucleoside analogues (represented by ETV) in the long-term risk of HCC, especially in some patients with high-risk factors </w:t>
      </w:r>
      <w:r w:rsidR="008E4FDA">
        <w:rPr>
          <w:rFonts w:ascii="Book Antiqua" w:eastAsia="Book Antiqua" w:hAnsi="Book Antiqua" w:cs="Book Antiqua"/>
          <w:color w:val="000000"/>
        </w:rPr>
        <w:t xml:space="preserve">for </w:t>
      </w:r>
      <w:r>
        <w:rPr>
          <w:rFonts w:ascii="Book Antiqua" w:eastAsia="Book Antiqua" w:hAnsi="Book Antiqua" w:cs="Book Antiqua"/>
          <w:color w:val="000000"/>
        </w:rPr>
        <w:t xml:space="preserve">HCC, such as compensated cirrhosis or decompensated cirrhosis. In this study, it was found that during the follow-up, the incidence of HE and liver cancer as well as survival rate had no statistical significance among the three groups. </w:t>
      </w:r>
      <w:r w:rsidR="008E4FDA">
        <w:rPr>
          <w:rFonts w:ascii="Book Antiqua" w:eastAsia="Book Antiqua" w:hAnsi="Book Antiqua" w:cs="Book Antiqua"/>
          <w:color w:val="000000"/>
        </w:rPr>
        <w:t>We</w:t>
      </w:r>
      <w:r>
        <w:rPr>
          <w:rFonts w:ascii="Book Antiqua" w:eastAsia="Book Antiqua" w:hAnsi="Book Antiqua" w:cs="Book Antiqua"/>
          <w:color w:val="000000"/>
        </w:rPr>
        <w:t xml:space="preserve"> believe that it was related to the small number of patients enrolled in this study and short follow-up time. Because TAF has not been clinically applied in China for a long time, the long-term clinical outcomes of the three different antiviral drugs in the treatment of patients with hepatitis B cirrhosis after TIPS need to be further clarified by expanding the sample size and prolonging the observation time.</w:t>
      </w:r>
    </w:p>
    <w:p w14:paraId="59B5957D" w14:textId="16B7D171"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According to the Chinese guidelines for TIPS operation in 2019</w:t>
      </w:r>
      <w:r>
        <w:rPr>
          <w:rFonts w:ascii="Book Antiqua" w:eastAsia="Book Antiqua" w:hAnsi="Book Antiqua" w:cs="Book Antiqua"/>
          <w:color w:val="000000"/>
          <w:vertAlign w:val="superscript"/>
        </w:rPr>
        <w:t>[28]</w:t>
      </w:r>
      <w:r>
        <w:rPr>
          <w:rFonts w:ascii="Book Antiqua" w:eastAsia="Book Antiqua" w:hAnsi="Book Antiqua" w:cs="Book Antiqua"/>
          <w:color w:val="000000"/>
        </w:rPr>
        <w:t>, TIPS can effectively improve glomerular filtration rate, increase renal blood flow, and reduce serum creatinine and aldosterone levels. The eGFR of all the patients included in this study was improved at varying degrees 6 mo after surgery. We believe that the short-term changes in renal function are related to the changes in systemic hemodynamics after TIPS, and effective control of portal pressure can improve renal blood supply and glomerular filtration rate. The safety of TAF for the bone and kidney has been proved to be higher than that of TDF in previous global phase III clinical studies 108/110</w:t>
      </w:r>
      <w:r>
        <w:rPr>
          <w:rFonts w:ascii="Book Antiqua" w:eastAsia="Book Antiqua" w:hAnsi="Book Antiqua" w:cs="Book Antiqua"/>
          <w:color w:val="000000"/>
          <w:vertAlign w:val="superscript"/>
        </w:rPr>
        <w:t>[17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Additionally, the 2018 AASLD HBV guidelines</w:t>
      </w:r>
      <w:r>
        <w:rPr>
          <w:rFonts w:ascii="Book Antiqua" w:eastAsia="Book Antiqua" w:hAnsi="Book Antiqua" w:cs="Book Antiqua"/>
          <w:color w:val="000000"/>
          <w:vertAlign w:val="superscript"/>
        </w:rPr>
        <w:t>[11]</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suggest no advantages or disadvantages between ETV and TDF for the risk of long-term renal and skeletal complications. Compared with TDF, TAF is associated with a lower proportion of patients with skeletal and renal abnormalities. Moreover, in the 2017 EASL guidelines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TAF or ETV is superior to TDF in CHB patients &gt; 60 years old with bone diseases and renal changes. With the same baseline, eGFR of the TAF group was better than the other two groups 12-24 mo after surgery in this study. We believe that in the limited follow-up time, there </w:t>
      </w:r>
      <w:r w:rsidR="008E4FDA">
        <w:rPr>
          <w:rFonts w:ascii="Book Antiqua" w:eastAsia="Book Antiqua" w:hAnsi="Book Antiqua" w:cs="Book Antiqua"/>
          <w:color w:val="000000"/>
        </w:rPr>
        <w:t xml:space="preserve">were </w:t>
      </w:r>
      <w:r>
        <w:rPr>
          <w:rFonts w:ascii="Book Antiqua" w:eastAsia="Book Antiqua" w:hAnsi="Book Antiqua" w:cs="Book Antiqua"/>
          <w:color w:val="000000"/>
        </w:rPr>
        <w:t xml:space="preserve">differences among the three drugs in the treatment of patients with hepatitis B cirrhosis after TIPS. TAF may have a smaller effect on the renal function of patients with decompensated hepatitis B cirrhosis than the other two drugs, which further indicates that TAF may have a smaller effect on the renal function of patients with CHB cirrhosis. Through clinical practice, </w:t>
      </w:r>
      <w:r w:rsidR="008E4FDA">
        <w:rPr>
          <w:rFonts w:ascii="Book Antiqua" w:eastAsia="Book Antiqua" w:hAnsi="Book Antiqua" w:cs="Book Antiqua"/>
          <w:color w:val="000000"/>
        </w:rPr>
        <w:t>we</w:t>
      </w:r>
      <w:r>
        <w:rPr>
          <w:rFonts w:ascii="Book Antiqua" w:eastAsia="Book Antiqua" w:hAnsi="Book Antiqua" w:cs="Book Antiqua"/>
          <w:color w:val="000000"/>
        </w:rPr>
        <w:t xml:space="preserve"> believe that patients with hepatitis B cirrhosis after TIPS can benefit from long-term treatment by active antiviral therapy and choosing TAF, which has a smaller effect on renal function and can potently inhibit viruses.</w:t>
      </w:r>
    </w:p>
    <w:p w14:paraId="2634CA68" w14:textId="6DE1AC5E"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This study has several limitations. First, this</w:t>
      </w:r>
      <w:r w:rsidR="008E4FDA">
        <w:rPr>
          <w:rFonts w:ascii="Book Antiqua" w:eastAsia="Book Antiqua" w:hAnsi="Book Antiqua" w:cs="Book Antiqua"/>
          <w:color w:val="000000"/>
        </w:rPr>
        <w:t xml:space="preserve"> </w:t>
      </w:r>
      <w:r>
        <w:rPr>
          <w:rFonts w:ascii="Book Antiqua" w:eastAsia="Book Antiqua" w:hAnsi="Book Antiqua" w:cs="Book Antiqua"/>
          <w:color w:val="000000"/>
        </w:rPr>
        <w:t>is a retrospective cohort study. Although most indexes in different treatment groups were consistent at the baseline in this study, there were still potential unpredictable biases. Second, in this study, HBeAg status, HBsAg titer level</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ALT that may affect the long-term prognosis were not recorded and analyzed. Finally, the time from the approval of TAF in China to its clinical application is still short, and the number of patients receiving TAF therapy is relatively small. Therefore, the sample size of this study is small, and we need to further expand the sample size, and use </w:t>
      </w:r>
      <w:r>
        <w:rPr>
          <w:rFonts w:ascii="Book Antiqua" w:eastAsia="Book Antiqua" w:hAnsi="Book Antiqua" w:cs="Book Antiqua" w:hint="eastAsia"/>
          <w:color w:val="000000"/>
        </w:rPr>
        <w:t>p</w:t>
      </w:r>
      <w:r>
        <w:rPr>
          <w:rFonts w:ascii="Book Antiqua" w:eastAsia="Book Antiqua" w:hAnsi="Book Antiqua" w:cs="Book Antiqua"/>
          <w:color w:val="000000"/>
        </w:rPr>
        <w:t>ropensity score matching statistical method to avoid excessive biases and baseline mismatch as much as possible. This study is continuing to determine whether the beneficial effect of TAF will last for a long time, and we will also conduct a longer-term clinical observation on the antiviral therapy in patients with hepatitis B cirrhosis after TIPS.</w:t>
      </w:r>
    </w:p>
    <w:p w14:paraId="5245C422" w14:textId="2BD7E11B"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our center, the operation and clinical management were performed by the same group of doctors. Through clinical practice, </w:t>
      </w:r>
      <w:r w:rsidR="00A551FD">
        <w:rPr>
          <w:rFonts w:ascii="Book Antiqua" w:eastAsia="Book Antiqua" w:hAnsi="Book Antiqua" w:cs="Book Antiqua"/>
          <w:color w:val="000000"/>
        </w:rPr>
        <w:t>we</w:t>
      </w:r>
      <w:r>
        <w:rPr>
          <w:rFonts w:ascii="Book Antiqua" w:eastAsia="Book Antiqua" w:hAnsi="Book Antiqua" w:cs="Book Antiqua"/>
          <w:color w:val="000000"/>
        </w:rPr>
        <w:t xml:space="preserve"> believe that improving the long-term survival rate of patients with hepatitis B cirrhosis after TIPS involves a complex situation, which is determined by a large number of non-hemodynamic factors. Age, degree of renal failure, chronic inflammation, urease-producing intestinal bacteria, bacterial translocation and malnutrition/atrophy are other very important factors in the regulation of the treatment. Early initiation of antiviral therapy and optimization of antiviral therapy are also important factors. In conclusion, compared with TDF and ETV, TAF has significant advantages in the improvement of liver functional reserve and eGFR. The difference in the long-term effect of TAF on HCC occurrence needs further observation and clarification.</w:t>
      </w:r>
    </w:p>
    <w:p w14:paraId="598229B6" w14:textId="77777777" w:rsidR="0050274A" w:rsidRDefault="0050274A">
      <w:pPr>
        <w:spacing w:line="360" w:lineRule="auto"/>
        <w:jc w:val="both"/>
        <w:rPr>
          <w:rFonts w:ascii="Book Antiqua" w:hAnsi="Book Antiqua"/>
        </w:rPr>
      </w:pPr>
    </w:p>
    <w:p w14:paraId="71871164"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B32735" w14:textId="13E39BFB"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At 24 mo after surgery, </w:t>
      </w:r>
      <w:r w:rsidR="00A551FD">
        <w:rPr>
          <w:rFonts w:ascii="Book Antiqua" w:eastAsia="Book Antiqua" w:hAnsi="Book Antiqua" w:cs="Book Antiqua"/>
          <w:color w:val="000000"/>
        </w:rPr>
        <w:t xml:space="preserve">compared </w:t>
      </w:r>
      <w:r>
        <w:rPr>
          <w:rFonts w:ascii="Book Antiqua" w:eastAsia="Book Antiqua" w:hAnsi="Book Antiqua" w:cs="Book Antiqua"/>
          <w:color w:val="000000"/>
        </w:rPr>
        <w:t>with TDF and ETV, TAF has significant advantages in the improvement of liver functional reserve and eGFR.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difference in the long-term effect of TAF on HCC occurrence needs further observation and clarification. </w:t>
      </w:r>
    </w:p>
    <w:p w14:paraId="24F3FC17" w14:textId="77777777" w:rsidR="0050274A" w:rsidRDefault="0050274A">
      <w:pPr>
        <w:spacing w:line="360" w:lineRule="auto"/>
        <w:jc w:val="both"/>
        <w:rPr>
          <w:rFonts w:ascii="Book Antiqua" w:hAnsi="Book Antiqua"/>
        </w:rPr>
      </w:pPr>
    </w:p>
    <w:p w14:paraId="3F1ABE0B"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FF994F8"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background</w:t>
      </w:r>
    </w:p>
    <w:p w14:paraId="24D4DA4B" w14:textId="4402FEF1"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Hepatitis B cirrhosis complicated with portal hypertension is characterized by persistent </w:t>
      </w:r>
      <w:r>
        <w:rPr>
          <w:rFonts w:ascii="Book Antiqua" w:hAnsi="Book Antiqua" w:cs="Book Antiqua" w:hint="eastAsia"/>
          <w:color w:val="000000"/>
          <w:lang w:eastAsia="zh-CN"/>
        </w:rPr>
        <w:t>h</w:t>
      </w:r>
      <w:r>
        <w:rPr>
          <w:rFonts w:ascii="Book Antiqua" w:eastAsia="Book Antiqua" w:hAnsi="Book Antiqua" w:cs="Book Antiqua"/>
          <w:color w:val="000000"/>
        </w:rPr>
        <w:t>epatitis B virus (HBV) replication and aggravated liver inflammation and fibrosis. Without timely control, it may progress to severe post-cirrhosis complications such as esophagogastric variceal bleeding, hepatic encephalopathy (HE)</w:t>
      </w:r>
      <w:r w:rsidR="00A551FD">
        <w:rPr>
          <w:rFonts w:ascii="Book Antiqua" w:eastAsia="Book Antiqua" w:hAnsi="Book Antiqua" w:cs="Book Antiqua"/>
          <w:color w:val="000000"/>
        </w:rPr>
        <w:t xml:space="preserve">, </w:t>
      </w:r>
      <w:r>
        <w:rPr>
          <w:rFonts w:ascii="Book Antiqua" w:eastAsia="Book Antiqua" w:hAnsi="Book Antiqua" w:cs="Book Antiqua"/>
          <w:color w:val="000000"/>
        </w:rPr>
        <w:t>intractable hydrothorax and ascites, and even hepatic failure and liver cancer, leading to death. Consequently, how to control portal hypertension, improve liver functional reserve</w:t>
      </w:r>
      <w:r w:rsidR="00A551FD">
        <w:rPr>
          <w:rFonts w:ascii="Book Antiqua" w:eastAsia="Book Antiqua" w:hAnsi="Book Antiqua" w:cs="Book Antiqua"/>
          <w:color w:val="000000"/>
        </w:rPr>
        <w:t>,</w:t>
      </w:r>
      <w:r>
        <w:rPr>
          <w:rFonts w:ascii="Book Antiqua" w:eastAsia="Book Antiqua" w:hAnsi="Book Antiqua" w:cs="Book Antiqua"/>
          <w:color w:val="000000"/>
        </w:rPr>
        <w:t xml:space="preserve"> and reduce the incidences of hepatic failure and liver cancer in such patients is the focus of current clinical attention. Previous clinical study in our center suggested that the use of </w:t>
      </w:r>
      <w:r w:rsidR="00A551FD">
        <w:rPr>
          <w:rFonts w:ascii="Book Antiqua" w:eastAsia="Book Antiqua" w:hAnsi="Book Antiqua" w:cs="Book Antiqua"/>
          <w:color w:val="000000"/>
        </w:rPr>
        <w:t xml:space="preserve">an </w:t>
      </w:r>
      <w:r>
        <w:rPr>
          <w:rFonts w:ascii="Book Antiqua" w:eastAsia="Book Antiqua" w:hAnsi="Book Antiqua" w:cs="Book Antiqua"/>
          <w:color w:val="000000"/>
        </w:rPr>
        <w:t xml:space="preserve">8-mm stent during </w:t>
      </w:r>
      <w:r>
        <w:rPr>
          <w:rFonts w:ascii="Book Antiqua" w:hAnsi="Book Antiqua" w:cs="Book Antiqua" w:hint="eastAsia"/>
          <w:color w:val="000000"/>
          <w:lang w:eastAsia="zh-CN"/>
        </w:rPr>
        <w:t>t</w:t>
      </w:r>
      <w:r>
        <w:rPr>
          <w:rFonts w:ascii="Book Antiqua" w:eastAsia="Book Antiqua" w:hAnsi="Book Antiqua" w:cs="Book Antiqua"/>
          <w:color w:val="000000"/>
        </w:rPr>
        <w:t xml:space="preserve">ransjugular </w:t>
      </w:r>
      <w:r>
        <w:rPr>
          <w:rFonts w:ascii="Book Antiqua" w:hAnsi="Book Antiqua" w:cs="Book Antiqua" w:hint="eastAsia"/>
          <w:color w:val="000000"/>
          <w:lang w:eastAsia="zh-CN"/>
        </w:rPr>
        <w:t>i</w:t>
      </w:r>
      <w:r>
        <w:rPr>
          <w:rFonts w:ascii="Book Antiqua" w:eastAsia="Book Antiqua" w:hAnsi="Book Antiqua" w:cs="Book Antiqua"/>
          <w:color w:val="000000"/>
        </w:rPr>
        <w:t xml:space="preserve">ntrahepatic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ortosystemic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hunt (TIPS) could not only effectively shunt, but also relieve portal pressure. Twenty-four months after surgery, the liver functional reserve of patients with hepatitis B cirrhosis was better than that of </w:t>
      </w:r>
      <w:r w:rsidR="00A551FD">
        <w:rPr>
          <w:rFonts w:ascii="Book Antiqua" w:eastAsia="Book Antiqua" w:hAnsi="Book Antiqua" w:cs="Book Antiqua"/>
          <w:color w:val="000000"/>
        </w:rPr>
        <w:t xml:space="preserve">patients </w:t>
      </w:r>
      <w:r>
        <w:rPr>
          <w:rFonts w:ascii="Book Antiqua" w:eastAsia="Book Antiqua" w:hAnsi="Book Antiqua" w:cs="Book Antiqua"/>
          <w:color w:val="000000"/>
        </w:rPr>
        <w:t>with alcohol-induced and immune cirrhosis. Based on the above studies, the clinical data of patients with hepatitis B cirrhosis after TIPS treated with different antiviral drugs were retrospectively analyzed in this study.</w:t>
      </w:r>
    </w:p>
    <w:p w14:paraId="14C72DD0" w14:textId="77777777" w:rsidR="0050274A" w:rsidRDefault="0050274A">
      <w:pPr>
        <w:spacing w:line="360" w:lineRule="auto"/>
        <w:jc w:val="both"/>
        <w:rPr>
          <w:rFonts w:ascii="Book Antiqua" w:hAnsi="Book Antiqua"/>
        </w:rPr>
      </w:pPr>
    </w:p>
    <w:p w14:paraId="383551BD"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motivation</w:t>
      </w:r>
    </w:p>
    <w:p w14:paraId="708D9CF1" w14:textId="0F3BFCB7"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TIPS is an effective minimally invasive interventional method for the treatment of portal hypertension-related complications. It is worthy of further clinical exploration on the management of patients with hepatitis B cirrhosis using individualized antiviral therapy after surgery. Considering the fact that there is no report on the clinical efficacy of antiviral therapy for patients with hepatitis B cirrhosis after TIPS, </w:t>
      </w:r>
      <w:r w:rsidR="00A551FD">
        <w:rPr>
          <w:rFonts w:ascii="Book Antiqua" w:eastAsia="Book Antiqua" w:hAnsi="Book Antiqua" w:cs="Book Antiqua"/>
          <w:color w:val="000000"/>
        </w:rPr>
        <w:t>we</w:t>
      </w:r>
      <w:r>
        <w:rPr>
          <w:rFonts w:ascii="Book Antiqua" w:eastAsia="Book Antiqua" w:hAnsi="Book Antiqua" w:cs="Book Antiqua"/>
          <w:color w:val="000000"/>
        </w:rPr>
        <w:t xml:space="preserve"> believe that this study has </w:t>
      </w:r>
      <w:r w:rsidR="00A551FD">
        <w:rPr>
          <w:rFonts w:ascii="Book Antiqua" w:eastAsia="Book Antiqua" w:hAnsi="Book Antiqua" w:cs="Book Antiqua"/>
          <w:color w:val="000000"/>
        </w:rPr>
        <w:t xml:space="preserve">appreciated </w:t>
      </w:r>
      <w:r>
        <w:rPr>
          <w:rFonts w:ascii="Book Antiqua" w:eastAsia="Book Antiqua" w:hAnsi="Book Antiqua" w:cs="Book Antiqua"/>
          <w:color w:val="000000"/>
        </w:rPr>
        <w:t>clinical reference value for the selection of anti-HBV drugs in such patients.</w:t>
      </w:r>
    </w:p>
    <w:p w14:paraId="03CACF3A" w14:textId="77777777" w:rsidR="0050274A" w:rsidRDefault="0050274A">
      <w:pPr>
        <w:spacing w:line="360" w:lineRule="auto"/>
        <w:jc w:val="both"/>
        <w:rPr>
          <w:rFonts w:ascii="Book Antiqua" w:hAnsi="Book Antiqua"/>
        </w:rPr>
      </w:pPr>
    </w:p>
    <w:p w14:paraId="167C9959"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objectives</w:t>
      </w:r>
    </w:p>
    <w:p w14:paraId="4513A46D" w14:textId="050F396C" w:rsidR="0050274A" w:rsidRDefault="00A551FD">
      <w:pPr>
        <w:spacing w:line="360" w:lineRule="auto"/>
        <w:jc w:val="both"/>
        <w:rPr>
          <w:rFonts w:ascii="Book Antiqua" w:hAnsi="Book Antiqua"/>
        </w:rPr>
      </w:pPr>
      <w:r>
        <w:rPr>
          <w:rFonts w:ascii="Book Antiqua" w:hAnsi="Book Antiqua" w:cs="Book Antiqua"/>
          <w:color w:val="000000"/>
          <w:lang w:eastAsia="zh-CN"/>
        </w:rPr>
        <w:t xml:space="preserve">To </w:t>
      </w:r>
      <w:r>
        <w:rPr>
          <w:rFonts w:ascii="Book Antiqua" w:eastAsia="Book Antiqua" w:hAnsi="Book Antiqua" w:cs="Book Antiqua"/>
          <w:color w:val="000000"/>
        </w:rPr>
        <w:t xml:space="preserve">explore </w:t>
      </w:r>
      <w:r w:rsidR="001D7A10">
        <w:rPr>
          <w:rFonts w:ascii="Book Antiqua" w:eastAsia="Book Antiqua" w:hAnsi="Book Antiqua" w:cs="Book Antiqua"/>
          <w:color w:val="000000"/>
        </w:rPr>
        <w:t>the clinical efficacy of the three antiviral drugs through this retrospective study, so as to provide reference for antiviral treatment of patients with chronic hepatitis B (CHB) cirrhosis after TIPS.</w:t>
      </w:r>
    </w:p>
    <w:p w14:paraId="1D97D32D" w14:textId="77777777" w:rsidR="0050274A" w:rsidRDefault="0050274A">
      <w:pPr>
        <w:spacing w:line="360" w:lineRule="auto"/>
        <w:jc w:val="both"/>
        <w:rPr>
          <w:rFonts w:ascii="Book Antiqua" w:hAnsi="Book Antiqua"/>
        </w:rPr>
      </w:pPr>
    </w:p>
    <w:p w14:paraId="648D1633"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methods</w:t>
      </w:r>
    </w:p>
    <w:p w14:paraId="13998CDB" w14:textId="30FC64AB"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The clinical data of 137 patients with hepatitis B-related cirrhosis with portal hypertension after receiving TIPS </w:t>
      </w:r>
      <w:r w:rsidR="00A551FD">
        <w:rPr>
          <w:rFonts w:ascii="Book Antiqua" w:eastAsia="Book Antiqua" w:hAnsi="Book Antiqua" w:cs="Book Antiqua"/>
          <w:color w:val="000000"/>
        </w:rPr>
        <w:t xml:space="preserve">at </w:t>
      </w:r>
      <w:r>
        <w:rPr>
          <w:rFonts w:ascii="Book Antiqua" w:eastAsia="Book Antiqua" w:hAnsi="Book Antiqua" w:cs="Book Antiqua"/>
          <w:color w:val="000000"/>
        </w:rPr>
        <w:t>our cent</w:t>
      </w:r>
      <w:r>
        <w:rPr>
          <w:rFonts w:ascii="Book Antiqua" w:hAnsi="Book Antiqua" w:cs="Book Antiqua" w:hint="eastAsia"/>
          <w:color w:val="000000"/>
          <w:lang w:eastAsia="zh-CN"/>
        </w:rPr>
        <w:t>er</w:t>
      </w:r>
      <w:r>
        <w:rPr>
          <w:rFonts w:ascii="Book Antiqua" w:eastAsia="Book Antiqua" w:hAnsi="Book Antiqua" w:cs="Book Antiqua"/>
          <w:color w:val="000000"/>
        </w:rPr>
        <w:t xml:space="preserve"> between March 2016 and December 2020 were analysed retrospectively. According to different anti-viral drugs, the patients were divided into entecavir (ETV) (</w:t>
      </w:r>
      <w:r>
        <w:rPr>
          <w:rFonts w:ascii="Book Antiqua" w:eastAsia="Book Antiqua" w:hAnsi="Book Antiqua" w:cs="Book Antiqua"/>
          <w:i/>
          <w:iCs/>
          <w:color w:val="000000"/>
        </w:rPr>
        <w:t>n</w:t>
      </w:r>
      <w:r>
        <w:rPr>
          <w:rFonts w:ascii="Book Antiqua" w:eastAsia="Book Antiqua" w:hAnsi="Book Antiqua" w:cs="Book Antiqua"/>
          <w:color w:val="000000"/>
        </w:rPr>
        <w:t xml:space="preserve"> = 70), tenofovir alafenamide fumarate (TAF) (</w:t>
      </w:r>
      <w:r>
        <w:rPr>
          <w:rFonts w:ascii="Book Antiqua" w:eastAsia="Book Antiqua" w:hAnsi="Book Antiqua" w:cs="Book Antiqua"/>
          <w:i/>
          <w:iCs/>
          <w:color w:val="000000"/>
        </w:rPr>
        <w:t>n</w:t>
      </w:r>
      <w:r>
        <w:rPr>
          <w:rFonts w:ascii="Book Antiqua" w:eastAsia="Book Antiqua" w:hAnsi="Book Antiqua" w:cs="Book Antiqua"/>
          <w:color w:val="000000"/>
        </w:rPr>
        <w:t xml:space="preserve"> = 32)</w:t>
      </w:r>
      <w:r w:rsidR="00A551FD">
        <w:rPr>
          <w:rFonts w:ascii="Book Antiqua" w:eastAsia="Book Antiqua" w:hAnsi="Book Antiqua" w:cs="Book Antiqua"/>
          <w:color w:val="000000"/>
        </w:rPr>
        <w:t>,</w:t>
      </w:r>
      <w:r>
        <w:rPr>
          <w:rFonts w:ascii="Book Antiqua" w:eastAsia="Book Antiqua" w:hAnsi="Book Antiqua" w:cs="Book Antiqua"/>
          <w:color w:val="000000"/>
        </w:rPr>
        <w:t xml:space="preserve"> and tenofovir disoproxil fumarate (TDF) (</w:t>
      </w:r>
      <w:r>
        <w:rPr>
          <w:rFonts w:ascii="Book Antiqua" w:eastAsia="Book Antiqua" w:hAnsi="Book Antiqua" w:cs="Book Antiqua"/>
          <w:i/>
          <w:iCs/>
          <w:color w:val="000000"/>
        </w:rPr>
        <w:t>n</w:t>
      </w:r>
      <w:r>
        <w:rPr>
          <w:rFonts w:ascii="Book Antiqua" w:eastAsia="Book Antiqua" w:hAnsi="Book Antiqua" w:cs="Book Antiqua"/>
          <w:color w:val="000000"/>
        </w:rPr>
        <w:t xml:space="preserve"> = 35) groups. The cumulative incidence of </w:t>
      </w:r>
      <w:r>
        <w:rPr>
          <w:rFonts w:ascii="Book Antiqua" w:hAnsi="Book Antiqua" w:cs="Book Antiqua" w:hint="eastAsia"/>
          <w:color w:val="000000"/>
          <w:lang w:eastAsia="zh-CN"/>
        </w:rPr>
        <w:t>HE</w:t>
      </w:r>
      <w:r>
        <w:rPr>
          <w:rFonts w:ascii="Book Antiqua" w:eastAsia="Book Antiqua" w:hAnsi="Book Antiqua" w:cs="Book Antiqua"/>
          <w:color w:val="000000"/>
        </w:rPr>
        <w:t xml:space="preserve"> and hepatocellular carcinoma</w:t>
      </w:r>
      <w:r>
        <w:rPr>
          <w:rFonts w:ascii="Book Antiqua" w:hAnsi="Book Antiqua" w:cs="Book Antiqua" w:hint="eastAsia"/>
          <w:color w:val="000000"/>
          <w:lang w:eastAsia="zh-CN"/>
        </w:rPr>
        <w:t xml:space="preserve"> (HCC)</w:t>
      </w:r>
      <w:r>
        <w:rPr>
          <w:rFonts w:ascii="Book Antiqua" w:eastAsia="Book Antiqua" w:hAnsi="Book Antiqua" w:cs="Book Antiqua"/>
          <w:color w:val="000000"/>
        </w:rPr>
        <w:t xml:space="preserve">, </w:t>
      </w:r>
      <w:r w:rsidR="00A551FD">
        <w:rPr>
          <w:rFonts w:ascii="Book Antiqua" w:eastAsia="Book Antiqua" w:hAnsi="Book Antiqua" w:cs="Book Antiqua"/>
          <w:color w:val="000000"/>
        </w:rPr>
        <w:t>survival, and</w:t>
      </w:r>
      <w:r>
        <w:rPr>
          <w:rFonts w:ascii="Book Antiqua" w:eastAsia="Book Antiqua" w:hAnsi="Book Antiqua" w:cs="Book Antiqua"/>
          <w:color w:val="000000"/>
        </w:rPr>
        <w:t xml:space="preserve"> changes in hepatic reserve function and glomerular filtration rate in patients treated with different antiviral drugs within 24 mo after surgery were investigated.</w:t>
      </w:r>
    </w:p>
    <w:p w14:paraId="04BD575F" w14:textId="77777777" w:rsidR="0050274A" w:rsidRDefault="0050274A">
      <w:pPr>
        <w:spacing w:line="360" w:lineRule="auto"/>
        <w:jc w:val="both"/>
        <w:rPr>
          <w:rFonts w:ascii="Book Antiqua" w:hAnsi="Book Antiqua"/>
          <w:lang w:eastAsia="zh-CN"/>
        </w:rPr>
      </w:pPr>
    </w:p>
    <w:p w14:paraId="6ECD989F"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results</w:t>
      </w:r>
    </w:p>
    <w:p w14:paraId="6065060B" w14:textId="5DAECC76"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At 24 mo after surgery, </w:t>
      </w:r>
      <w:r>
        <w:rPr>
          <w:rFonts w:ascii="Book Antiqua" w:hAnsi="Book Antiqua" w:cs="Book Antiqua" w:hint="eastAsia"/>
          <w:color w:val="000000"/>
          <w:lang w:eastAsia="zh-CN"/>
        </w:rPr>
        <w:t>c</w:t>
      </w:r>
      <w:r>
        <w:rPr>
          <w:rFonts w:ascii="Book Antiqua" w:eastAsia="Book Antiqua" w:hAnsi="Book Antiqua" w:cs="Book Antiqua"/>
          <w:color w:val="000000"/>
        </w:rPr>
        <w:t xml:space="preserve">ompared with TDF and ETV, TAF </w:t>
      </w:r>
      <w:r w:rsidR="00A551FD">
        <w:rPr>
          <w:rFonts w:ascii="Book Antiqua" w:eastAsia="Book Antiqua" w:hAnsi="Book Antiqua" w:cs="Book Antiqua"/>
          <w:color w:val="000000"/>
        </w:rPr>
        <w:t xml:space="preserve">had </w:t>
      </w:r>
      <w:r>
        <w:rPr>
          <w:rFonts w:ascii="Book Antiqua" w:eastAsia="Book Antiqua" w:hAnsi="Book Antiqua" w:cs="Book Antiqua"/>
          <w:color w:val="000000"/>
        </w:rPr>
        <w:t xml:space="preserve">significant advantages in the improvement of liver functional reserve and </w:t>
      </w:r>
      <w:r>
        <w:rPr>
          <w:rFonts w:ascii="Book Antiqua" w:hAnsi="Book Antiqua" w:hint="eastAsia"/>
          <w:lang w:eastAsia="zh-CN"/>
        </w:rPr>
        <w:t>e</w:t>
      </w:r>
      <w:r>
        <w:rPr>
          <w:rFonts w:ascii="Book Antiqua" w:hAnsi="Book Antiqua"/>
          <w:lang w:eastAsia="zh-CN"/>
        </w:rPr>
        <w:t>stimated glomerular filtration rate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eGFR</w:t>
      </w:r>
      <w:r>
        <w:rPr>
          <w:rFonts w:ascii="Book Antiqua" w:hAnsi="Book Antiqua" w:cs="Book Antiqua" w:hint="eastAsia"/>
          <w:color w:val="000000"/>
          <w:lang w:eastAsia="zh-CN"/>
        </w:rPr>
        <w:t>)</w:t>
      </w:r>
      <w:r>
        <w:rPr>
          <w:rFonts w:ascii="Book Antiqua" w:eastAsia="Book Antiqua" w:hAnsi="Book Antiqua" w:cs="Book Antiqua"/>
          <w:color w:val="000000"/>
        </w:rPr>
        <w:t>.</w:t>
      </w:r>
    </w:p>
    <w:p w14:paraId="1EA5BE9F" w14:textId="77777777" w:rsidR="0050274A" w:rsidRDefault="0050274A">
      <w:pPr>
        <w:spacing w:line="360" w:lineRule="auto"/>
        <w:jc w:val="both"/>
        <w:rPr>
          <w:rFonts w:ascii="Book Antiqua" w:hAnsi="Book Antiqua"/>
        </w:rPr>
      </w:pPr>
    </w:p>
    <w:p w14:paraId="578E9F72"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conclusions</w:t>
      </w:r>
    </w:p>
    <w:p w14:paraId="1587AF69" w14:textId="178B88FA" w:rsidR="0050274A" w:rsidRDefault="001D7A10">
      <w:pPr>
        <w:spacing w:line="360" w:lineRule="auto"/>
        <w:jc w:val="both"/>
        <w:rPr>
          <w:rFonts w:ascii="Book Antiqua" w:hAnsi="Book Antiqua"/>
        </w:rPr>
      </w:pPr>
      <w:r>
        <w:rPr>
          <w:rFonts w:ascii="Book Antiqua" w:eastAsia="Book Antiqua" w:hAnsi="Book Antiqua" w:cs="Book Antiqua"/>
          <w:color w:val="000000"/>
        </w:rPr>
        <w:t>Through clinical practice,</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compared with TDF and ETV, TAF has significant advantages in the improvement of liver functional reserve and eGFR. The difference in the long-term effect of TAF on HCC occurrence needs further observation and clarification. The author’s team believes that improving the long-term survival rate of patients with hepatitis B cirrhosis after TIPS involves a complex situation, which is determined by a large number of non-hemodynamic factors. Early initiation of antiviral therapy and optimization of antiviral therapy are important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Age, degree of renal failure, chronic inflammation, urease-producing intestinal bacteria, bacterial translocation</w:t>
      </w:r>
      <w:r w:rsidR="00A551FD">
        <w:rPr>
          <w:rFonts w:ascii="Book Antiqua" w:eastAsia="Book Antiqua" w:hAnsi="Book Antiqua" w:cs="Book Antiqua"/>
          <w:color w:val="000000"/>
        </w:rPr>
        <w:t>,</w:t>
      </w:r>
      <w:r>
        <w:rPr>
          <w:rFonts w:ascii="Book Antiqua" w:eastAsia="Book Antiqua" w:hAnsi="Book Antiqua" w:cs="Book Antiqua"/>
          <w:color w:val="000000"/>
        </w:rPr>
        <w:t xml:space="preserve"> and malnutrition/atrophy are other very important factors in the regulation of the treatment.</w:t>
      </w:r>
    </w:p>
    <w:p w14:paraId="1160FE34" w14:textId="77777777" w:rsidR="0050274A" w:rsidRDefault="0050274A">
      <w:pPr>
        <w:spacing w:line="360" w:lineRule="auto"/>
        <w:jc w:val="both"/>
        <w:rPr>
          <w:rFonts w:ascii="Book Antiqua" w:hAnsi="Book Antiqua"/>
        </w:rPr>
      </w:pPr>
    </w:p>
    <w:p w14:paraId="5104C710"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perspectives</w:t>
      </w:r>
    </w:p>
    <w:p w14:paraId="3F55972A"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The difference in the long-term effect of TAF on HCC occurrence needs further observation and clarification.</w:t>
      </w:r>
    </w:p>
    <w:p w14:paraId="519504BE" w14:textId="77777777" w:rsidR="0050274A" w:rsidRDefault="0050274A">
      <w:pPr>
        <w:spacing w:line="360" w:lineRule="auto"/>
        <w:jc w:val="both"/>
        <w:rPr>
          <w:rFonts w:ascii="Book Antiqua" w:hAnsi="Book Antiqua"/>
        </w:rPr>
      </w:pPr>
    </w:p>
    <w:p w14:paraId="5CE3C8BC"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998BABA"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Thanks to Director Jian</w:t>
      </w:r>
      <w:r>
        <w:rPr>
          <w:rFonts w:ascii="Book Antiqua" w:hAnsi="Book Antiqua" w:cs="Book Antiqua" w:hint="eastAsia"/>
          <w:color w:val="000000"/>
          <w:lang w:eastAsia="zh-CN"/>
        </w:rPr>
        <w:t>-P</w:t>
      </w:r>
      <w:r>
        <w:rPr>
          <w:rFonts w:ascii="Book Antiqua" w:eastAsia="Book Antiqua" w:hAnsi="Book Antiqua" w:cs="Book Antiqua"/>
          <w:color w:val="000000"/>
        </w:rPr>
        <w:t>ing Qin and Dr. Shan</w:t>
      </w:r>
      <w:r>
        <w:rPr>
          <w:rFonts w:ascii="Book Antiqua" w:hAnsi="Book Antiqua" w:cs="Book Antiqua" w:hint="eastAsia"/>
          <w:color w:val="000000"/>
          <w:lang w:eastAsia="zh-CN"/>
        </w:rPr>
        <w:t>-H</w:t>
      </w:r>
      <w:r>
        <w:rPr>
          <w:rFonts w:ascii="Book Antiqua" w:eastAsia="Book Antiqua" w:hAnsi="Book Antiqua" w:cs="Book Antiqua"/>
          <w:color w:val="000000"/>
        </w:rPr>
        <w:t>ong Tang for their contributions to this manuscript.</w:t>
      </w:r>
    </w:p>
    <w:p w14:paraId="634030A8" w14:textId="77777777" w:rsidR="0050274A" w:rsidRDefault="0050274A">
      <w:pPr>
        <w:spacing w:line="360" w:lineRule="auto"/>
        <w:jc w:val="both"/>
        <w:rPr>
          <w:rFonts w:ascii="Book Antiqua" w:hAnsi="Book Antiqua"/>
        </w:rPr>
      </w:pPr>
    </w:p>
    <w:p w14:paraId="30979AFD"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REFERENCES</w:t>
      </w:r>
    </w:p>
    <w:p w14:paraId="43219C59" w14:textId="77777777" w:rsidR="0050274A" w:rsidRDefault="001D7A10">
      <w:pPr>
        <w:spacing w:line="360" w:lineRule="auto"/>
        <w:jc w:val="both"/>
        <w:rPr>
          <w:rFonts w:ascii="Book Antiqua" w:hAnsi="Book Antiqua"/>
        </w:rPr>
      </w:pPr>
      <w:bookmarkStart w:id="3" w:name="OLE_LINK22"/>
      <w:r>
        <w:rPr>
          <w:rFonts w:ascii="Book Antiqua" w:hAnsi="Book Antiqua" w:hint="eastAsia"/>
          <w:lang w:eastAsia="zh-CN"/>
        </w:rPr>
        <w:t>1</w:t>
      </w:r>
      <w:r>
        <w:rPr>
          <w:rFonts w:ascii="Book Antiqua" w:hAnsi="Book Antiqua"/>
        </w:rPr>
        <w:t xml:space="preserve"> </w:t>
      </w:r>
      <w:r>
        <w:rPr>
          <w:rFonts w:ascii="Book Antiqua" w:hAnsi="Book Antiqua"/>
          <w:b/>
          <w:bCs/>
        </w:rPr>
        <w:t>Yao X</w:t>
      </w:r>
      <w:r>
        <w:rPr>
          <w:rFonts w:ascii="Book Antiqua" w:hAnsi="Book Antiqua"/>
        </w:rPr>
        <w:t xml:space="preserve">, Zhou H, Huang S, Tang SH, Qin JP. Effects of transjugular intrahepatic portosystemic shunt using the Viatorr stent on hepatic reserve function in patients with cirrhosis.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1532-1542 [PMID: 33728297 DOI: 10.12998/wjcc.v9.i7.1532]</w:t>
      </w:r>
    </w:p>
    <w:p w14:paraId="7B77E443" w14:textId="77777777" w:rsidR="0050274A" w:rsidRDefault="001D7A10">
      <w:pPr>
        <w:spacing w:line="360" w:lineRule="auto"/>
        <w:jc w:val="both"/>
        <w:rPr>
          <w:rFonts w:ascii="Book Antiqua" w:hAnsi="Book Antiqua"/>
        </w:rPr>
      </w:pPr>
      <w:r>
        <w:rPr>
          <w:rFonts w:ascii="Book Antiqua" w:hAnsi="Book Antiqua" w:hint="eastAsia"/>
          <w:lang w:eastAsia="zh-CN"/>
        </w:rPr>
        <w:t>2</w:t>
      </w:r>
      <w:r>
        <w:rPr>
          <w:rFonts w:ascii="Book Antiqua" w:hAnsi="Book Antiqua"/>
        </w:rPr>
        <w:t xml:space="preserve"> </w:t>
      </w:r>
      <w:r>
        <w:rPr>
          <w:rFonts w:ascii="Book Antiqua" w:hAnsi="Book Antiqua"/>
          <w:b/>
          <w:bCs/>
        </w:rPr>
        <w:t>Boyer TD</w:t>
      </w:r>
      <w:r>
        <w:rPr>
          <w:rFonts w:ascii="Book Antiqua" w:hAnsi="Book Antiqua"/>
        </w:rPr>
        <w:t xml:space="preserve">, Haskal ZJ; American Association for the Study of Liver Diseases. The Role of Transjugular Intrahepatic Portosystemic Shunt (TIPS) in the Management of Portal Hypertension: update 2009.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306 [PMID: 19902484 DOI: 10.1002/hep.23383]</w:t>
      </w:r>
    </w:p>
    <w:p w14:paraId="417CC7B0" w14:textId="77777777" w:rsidR="0050274A" w:rsidRDefault="001D7A10">
      <w:pPr>
        <w:spacing w:line="360" w:lineRule="auto"/>
        <w:jc w:val="both"/>
        <w:rPr>
          <w:rFonts w:ascii="Book Antiqua" w:hAnsi="Book Antiqua"/>
        </w:rPr>
      </w:pPr>
      <w:r w:rsidRPr="000C623D">
        <w:rPr>
          <w:rFonts w:ascii="Book Antiqua" w:hAnsi="Book Antiqua" w:hint="eastAsia"/>
          <w:lang w:eastAsia="zh-CN"/>
        </w:rPr>
        <w:t>3</w:t>
      </w:r>
      <w:r w:rsidRPr="000C623D">
        <w:rPr>
          <w:rFonts w:ascii="Book Antiqua" w:hAnsi="Book Antiqua"/>
        </w:rPr>
        <w:t xml:space="preserve"> </w:t>
      </w:r>
      <w:r w:rsidRPr="000C623D">
        <w:rPr>
          <w:rFonts w:ascii="Book Antiqua" w:hAnsi="Book Antiqua"/>
          <w:b/>
          <w:bCs/>
        </w:rPr>
        <w:t>Terrault NA</w:t>
      </w:r>
      <w:r w:rsidRPr="000C623D">
        <w:rPr>
          <w:rFonts w:ascii="Book Antiqua" w:hAnsi="Book Antiqua"/>
        </w:rPr>
        <w:t xml:space="preserve">, Bzowej NH, Chang KM, Hwang JP, Jonas MM, Murad MH; American Association for the Study of Liver Diseases. AASLD guidelines for treatment of chronic hepatitis B. </w:t>
      </w:r>
      <w:r w:rsidRPr="000C623D">
        <w:rPr>
          <w:rFonts w:ascii="Book Antiqua" w:hAnsi="Book Antiqua"/>
          <w:i/>
          <w:iCs/>
        </w:rPr>
        <w:t>Hepatology</w:t>
      </w:r>
      <w:r w:rsidRPr="000C623D">
        <w:rPr>
          <w:rFonts w:ascii="Book Antiqua" w:hAnsi="Book Antiqua"/>
        </w:rPr>
        <w:t xml:space="preserve"> 2016; </w:t>
      </w:r>
      <w:r w:rsidRPr="000C623D">
        <w:rPr>
          <w:rFonts w:ascii="Book Antiqua" w:hAnsi="Book Antiqua"/>
          <w:b/>
          <w:bCs/>
        </w:rPr>
        <w:t>63</w:t>
      </w:r>
      <w:r w:rsidRPr="000C623D">
        <w:rPr>
          <w:rFonts w:ascii="Book Antiqua" w:hAnsi="Book Antiqua"/>
        </w:rPr>
        <w:t>: 261-283 [PMID: 26566064 DOI: 10.1002/hep.28156]</w:t>
      </w:r>
    </w:p>
    <w:p w14:paraId="6B0593C3" w14:textId="77777777" w:rsidR="0050274A" w:rsidRDefault="001D7A10">
      <w:pPr>
        <w:spacing w:line="360" w:lineRule="auto"/>
        <w:jc w:val="both"/>
        <w:rPr>
          <w:rFonts w:ascii="Book Antiqua" w:hAnsi="Book Antiqua"/>
        </w:rPr>
      </w:pPr>
      <w:r>
        <w:rPr>
          <w:rFonts w:ascii="Book Antiqua" w:hAnsi="Book Antiqua" w:hint="eastAsia"/>
          <w:lang w:eastAsia="zh-CN"/>
        </w:rPr>
        <w:t>4</w:t>
      </w:r>
      <w:r>
        <w:rPr>
          <w:rFonts w:ascii="Book Antiqua" w:hAnsi="Book Antiqua"/>
        </w:rPr>
        <w:t xml:space="preserve"> </w:t>
      </w:r>
      <w:r>
        <w:rPr>
          <w:rFonts w:ascii="Book Antiqua" w:hAnsi="Book Antiqua"/>
          <w:b/>
          <w:bCs/>
        </w:rPr>
        <w:t>Qin JP</w:t>
      </w:r>
      <w:r>
        <w:rPr>
          <w:rFonts w:ascii="Book Antiqua" w:hAnsi="Book Antiqua"/>
        </w:rPr>
        <w:t xml:space="preserve">, Tang SH, Jiang MD, He QW, Chen HB, Yao X, Zeng WZ, Gu M. Contrast enhanced computed tomography and reconstruction of hepatic vascular system for transjugular intrahepatic portal systemic shunt puncture path planning.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9623-9629 [PMID: 26327770 DOI: 10.3748/wjg.v21.i32.9623]</w:t>
      </w:r>
    </w:p>
    <w:p w14:paraId="50027E19" w14:textId="77777777" w:rsidR="0050274A" w:rsidRDefault="001D7A10">
      <w:pPr>
        <w:spacing w:line="360" w:lineRule="auto"/>
        <w:jc w:val="both"/>
        <w:rPr>
          <w:rFonts w:ascii="Book Antiqua" w:hAnsi="Book Antiqua"/>
        </w:rPr>
      </w:pPr>
      <w:r>
        <w:rPr>
          <w:rFonts w:ascii="Book Antiqua" w:hAnsi="Book Antiqua" w:hint="eastAsia"/>
          <w:lang w:eastAsia="zh-CN"/>
        </w:rPr>
        <w:t>5</w:t>
      </w:r>
      <w:r>
        <w:rPr>
          <w:rFonts w:ascii="Book Antiqua" w:hAnsi="Book Antiqua"/>
        </w:rPr>
        <w:t xml:space="preserve"> </w:t>
      </w:r>
      <w:r>
        <w:rPr>
          <w:rFonts w:ascii="Book Antiqua" w:hAnsi="Book Antiqua"/>
          <w:b/>
          <w:bCs/>
        </w:rPr>
        <w:t>Tripathi D</w:t>
      </w:r>
      <w:r>
        <w:rPr>
          <w:rFonts w:ascii="Book Antiqua" w:hAnsi="Book Antiqua"/>
        </w:rPr>
        <w:t xml:space="preserve">, Stanley AJ, Hayes PC, Patch D, Millson C, Mehrzad H, Austin A, Ferguson JW, Olliff SP, Hudson M, Christie JM; Clinical Services and Standards Committee of the British Society of Gastroenterology. U.K. guidelines on the management of variceal haemorrhage in cirrhotic patients.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1680-1704 [PMID: 25887380 DOI: 10.1136/gutjnl-2015-309262]</w:t>
      </w:r>
    </w:p>
    <w:p w14:paraId="0AAC7268" w14:textId="77777777" w:rsidR="0050274A" w:rsidRDefault="001D7A10">
      <w:pPr>
        <w:spacing w:line="360" w:lineRule="auto"/>
        <w:jc w:val="both"/>
        <w:rPr>
          <w:rFonts w:ascii="Book Antiqua" w:hAnsi="Book Antiqua"/>
        </w:rPr>
      </w:pPr>
      <w:r>
        <w:rPr>
          <w:rFonts w:ascii="Book Antiqua" w:hAnsi="Book Antiqua" w:hint="eastAsia"/>
          <w:lang w:eastAsia="zh-CN"/>
        </w:rPr>
        <w:t>6</w:t>
      </w:r>
      <w:r>
        <w:rPr>
          <w:rFonts w:ascii="Book Antiqua" w:hAnsi="Book Antiqua"/>
        </w:rPr>
        <w:t xml:space="preserve"> </w:t>
      </w:r>
      <w:r>
        <w:rPr>
          <w:rFonts w:ascii="Book Antiqua" w:hAnsi="Book Antiqua"/>
          <w:b/>
          <w:bCs/>
        </w:rPr>
        <w:t>Chinese Society of Hepatology, Chinese Medical Association.</w:t>
      </w:r>
      <w:r>
        <w:rPr>
          <w:rFonts w:ascii="Book Antiqua" w:hAnsi="Book Antiqua"/>
        </w:rPr>
        <w:t xml:space="preserve">, Xu X, Duan Z, Ding H, Li W, Jia J, Wei L, Linghu E, Zhuang H. Chinese guidelines on the management of ascites and its related complications in cirrhosis.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1-21 [PMID: 30656520 DOI: 10.1007/s12072-018-09923-2]</w:t>
      </w:r>
    </w:p>
    <w:p w14:paraId="14ADB3C9" w14:textId="77777777" w:rsidR="0050274A" w:rsidRDefault="001D7A10">
      <w:pPr>
        <w:spacing w:line="360" w:lineRule="auto"/>
        <w:jc w:val="both"/>
        <w:rPr>
          <w:rFonts w:ascii="Book Antiqua" w:hAnsi="Book Antiqua"/>
          <w:lang w:eastAsia="zh-CN"/>
        </w:rPr>
      </w:pPr>
      <w:r>
        <w:rPr>
          <w:rFonts w:ascii="Book Antiqua" w:hAnsi="Book Antiqua" w:hint="eastAsia"/>
          <w:lang w:eastAsia="zh-CN"/>
        </w:rPr>
        <w:t>7</w:t>
      </w:r>
      <w:r>
        <w:rPr>
          <w:rFonts w:ascii="Book Antiqua" w:hAnsi="Book Antiqua"/>
        </w:rPr>
        <w:t xml:space="preserve"> </w:t>
      </w:r>
      <w:r>
        <w:rPr>
          <w:rFonts w:ascii="Book Antiqua" w:hAnsi="Book Antiqua"/>
          <w:b/>
          <w:bCs/>
        </w:rPr>
        <w:t>Bercu ZL</w:t>
      </w:r>
      <w:r>
        <w:rPr>
          <w:rFonts w:ascii="Book Antiqua" w:hAnsi="Book Antiqua"/>
        </w:rPr>
        <w:t xml:space="preserve">, Fischman AM, Kim E, Nowakowski FS, Patel RS, Schiano TD, Chang CY, Lookstein RA. TIPS for refractory ascites: a 6-year single-center experience with expanded polytetrafluoroethylene-covered stent-grafts. </w:t>
      </w:r>
      <w:r>
        <w:rPr>
          <w:rFonts w:ascii="Book Antiqua" w:hAnsi="Book Antiqua"/>
          <w:i/>
          <w:iCs/>
        </w:rPr>
        <w:t>AJR Am J Roentgenol</w:t>
      </w:r>
      <w:r>
        <w:rPr>
          <w:rFonts w:ascii="Book Antiqua" w:hAnsi="Book Antiqua"/>
        </w:rPr>
        <w:t xml:space="preserve"> 2015; </w:t>
      </w:r>
      <w:r>
        <w:rPr>
          <w:rFonts w:ascii="Book Antiqua" w:hAnsi="Book Antiqua"/>
          <w:b/>
          <w:bCs/>
        </w:rPr>
        <w:t>204</w:t>
      </w:r>
      <w:r>
        <w:rPr>
          <w:rFonts w:ascii="Book Antiqua" w:hAnsi="Book Antiqua"/>
        </w:rPr>
        <w:t>: 654-661 [PMID: 25714299 DOI: 10.2214/AJR.14.12885]</w:t>
      </w:r>
    </w:p>
    <w:p w14:paraId="66D6DBBE" w14:textId="77777777" w:rsidR="0050274A" w:rsidRDefault="001D7A10">
      <w:pPr>
        <w:spacing w:line="360" w:lineRule="auto"/>
        <w:jc w:val="both"/>
        <w:rPr>
          <w:rFonts w:ascii="Book Antiqua" w:hAnsi="Book Antiqua"/>
        </w:rPr>
      </w:pPr>
      <w:r>
        <w:rPr>
          <w:rFonts w:ascii="Book Antiqua" w:hAnsi="Book Antiqua" w:hint="eastAsia"/>
          <w:lang w:eastAsia="zh-CN"/>
        </w:rPr>
        <w:t>8</w:t>
      </w:r>
      <w:r>
        <w:rPr>
          <w:rFonts w:ascii="Book Antiqua" w:hAnsi="Book Antiqua"/>
        </w:rPr>
        <w:t xml:space="preserve"> </w:t>
      </w:r>
      <w:r>
        <w:rPr>
          <w:rFonts w:ascii="Book Antiqua" w:hAnsi="Book Antiqua"/>
          <w:b/>
          <w:bCs/>
        </w:rPr>
        <w:t>Schweitzer A</w:t>
      </w:r>
      <w:r>
        <w:rPr>
          <w:rFonts w:ascii="Book Antiqua" w:hAnsi="Book Antiqua"/>
        </w:rPr>
        <w:t xml:space="preserve">, Horn J, Mikolajczyk RT, Krause G, Ott JJ. Estimations of worldwide prevalence of chronic hepatitis B virus infection: a systematic review of data published between 1965 and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1546-1555 [PMID: 26231459 DOI: 10.1016/S0140-6736(15)61412-X]</w:t>
      </w:r>
    </w:p>
    <w:p w14:paraId="5BB8EAED" w14:textId="77777777" w:rsidR="0050274A" w:rsidRDefault="001D7A10">
      <w:pPr>
        <w:spacing w:line="360" w:lineRule="auto"/>
        <w:jc w:val="both"/>
        <w:rPr>
          <w:rFonts w:ascii="Book Antiqua" w:hAnsi="Book Antiqua"/>
          <w:lang w:eastAsia="zh-CN"/>
        </w:rPr>
      </w:pPr>
      <w:r>
        <w:rPr>
          <w:rFonts w:ascii="Book Antiqua" w:hAnsi="Book Antiqua" w:hint="eastAsia"/>
          <w:lang w:eastAsia="zh-CN"/>
        </w:rPr>
        <w:t>9</w:t>
      </w:r>
      <w:r>
        <w:rPr>
          <w:rFonts w:ascii="Book Antiqua" w:hAnsi="Book Antiqua"/>
        </w:rPr>
        <w:t xml:space="preserve">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60197D4F"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0</w:t>
      </w:r>
      <w:r>
        <w:rPr>
          <w:rFonts w:ascii="Book Antiqua" w:hAnsi="Book Antiqua"/>
        </w:rPr>
        <w:t xml:space="preserve"> </w:t>
      </w:r>
      <w:r>
        <w:rPr>
          <w:rFonts w:ascii="Book Antiqua" w:hAnsi="Book Antiqua"/>
          <w:b/>
          <w:bCs/>
        </w:rPr>
        <w:t>Papatheodoridis GV</w:t>
      </w:r>
      <w:r>
        <w:rPr>
          <w:rFonts w:ascii="Book Antiqua" w:hAnsi="Book Antiqua"/>
        </w:rPr>
        <w:t xml:space="preserve">, Chan HL, Hansen BE, Janssen HL, Lampertico P. Risk of hepatocellular carcinoma in chronic hepatitis B: assessment and modification with current antiviral therapy.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956-967 [PMID: 25595883 DOI: 10.1016/j.jhep.2015.01.002]</w:t>
      </w:r>
    </w:p>
    <w:p w14:paraId="4CE9192A"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1</w:t>
      </w:r>
      <w:r>
        <w:rPr>
          <w:rFonts w:ascii="Book Antiqua" w:hAnsi="Book Antiqua"/>
        </w:rPr>
        <w:t xml:space="preserve"> </w:t>
      </w:r>
      <w:r>
        <w:rPr>
          <w:rFonts w:ascii="Book Antiqua" w:hAnsi="Book Antiqua"/>
          <w:b/>
          <w:bCs/>
        </w:rPr>
        <w:t>Terrault NA</w:t>
      </w:r>
      <w:r>
        <w:rPr>
          <w:rFonts w:ascii="Book Antiqua" w:hAnsi="Book Antiqua"/>
        </w:rPr>
        <w:t xml:space="preserve">, Lok ASF, McMahon BJ, Chang KM, Hwang JP, Jonas MM, Brown RS Jr, Bzowej NH, Wong JB. Update on prevention, diagnosis, and treatment of chronic hepatitis B: AASLD 2018 hepatitis B guidance.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1560-1599 [PMID: 29405329 DOI: 10.1002/hep.29800]</w:t>
      </w:r>
    </w:p>
    <w:p w14:paraId="25773574"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2</w:t>
      </w:r>
      <w:r>
        <w:rPr>
          <w:rFonts w:ascii="Book Antiqua" w:hAnsi="Book Antiqua"/>
        </w:rPr>
        <w:t xml:space="preserve"> </w:t>
      </w:r>
      <w:r>
        <w:rPr>
          <w:rFonts w:ascii="Book Antiqua" w:hAnsi="Book Antiqua"/>
          <w:b/>
          <w:bCs/>
        </w:rPr>
        <w:t>European Association for the Study of the Liver. Electronic address: easloffice@easloffice.eu.</w:t>
      </w:r>
      <w:r>
        <w:rPr>
          <w:rFonts w:ascii="Book Antiqua" w:hAnsi="Book Antiqua"/>
        </w:rPr>
        <w:t xml:space="preserve">; European Association for the Study of the Liver. EASL 2017 Clinical Practice Guidelines on the management of hepatitis B virus infection.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370-398 [PMID: 28427875 DOI: 10.1016/j.jhep.2017.03.021]</w:t>
      </w:r>
    </w:p>
    <w:p w14:paraId="694A6AC5"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3</w:t>
      </w:r>
      <w:r>
        <w:rPr>
          <w:rFonts w:ascii="Book Antiqua" w:hAnsi="Book Antiqua"/>
        </w:rPr>
        <w:t xml:space="preserve"> </w:t>
      </w:r>
      <w:r>
        <w:rPr>
          <w:rFonts w:ascii="Book Antiqua" w:hAnsi="Book Antiqua"/>
          <w:b/>
          <w:bCs/>
        </w:rPr>
        <w:t>Sarin SK</w:t>
      </w:r>
      <w:r>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1-98 [PMID: 26563120 DOI: 10.1007/s12072-015-9675-4]</w:t>
      </w:r>
    </w:p>
    <w:p w14:paraId="66EEFA48"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4</w:t>
      </w:r>
      <w:r>
        <w:rPr>
          <w:rFonts w:ascii="Book Antiqua" w:hAnsi="Book Antiqua"/>
        </w:rPr>
        <w:t xml:space="preserve"> </w:t>
      </w:r>
      <w:r>
        <w:rPr>
          <w:rFonts w:ascii="Book Antiqua" w:hAnsi="Book Antiqua"/>
          <w:b/>
          <w:bCs/>
        </w:rPr>
        <w:t>Chang TT</w:t>
      </w:r>
      <w:r>
        <w:rPr>
          <w:rFonts w:ascii="Book Antiqua" w:hAnsi="Book Antiqua"/>
        </w:rPr>
        <w:t xml:space="preserve">, Lai CL, Kew Yoon S, Lee SS, Coelho HS, Carrilho FJ, Poordad F, Halota W, Horsmans Y, Tsai N, Zhang H, Tenney DJ, Tamez R, Iloeje U. Entecavir treatment for up to 5 years in patients with hepatitis B e antigen-positive chronic hepatitis B.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422-430 [PMID: 20049753 DOI: 10.1002/hep.23327]</w:t>
      </w:r>
    </w:p>
    <w:p w14:paraId="79047984"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5</w:t>
      </w:r>
      <w:r>
        <w:rPr>
          <w:rFonts w:ascii="Book Antiqua" w:hAnsi="Book Antiqua"/>
        </w:rPr>
        <w:t xml:space="preserve"> </w:t>
      </w:r>
      <w:r>
        <w:rPr>
          <w:rFonts w:ascii="Book Antiqua" w:hAnsi="Book Antiqua"/>
          <w:b/>
          <w:bCs/>
        </w:rPr>
        <w:t>Seto WK</w:t>
      </w:r>
      <w:r>
        <w:rPr>
          <w:rFonts w:ascii="Book Antiqua" w:hAnsi="Book Antiqua"/>
        </w:rPr>
        <w:t xml:space="preserve">, Lo YR, Pawlotsky JM, Yuen MF. Chronic hepatitis B virus infection.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2313-2324 [PMID: 30496122 DOI: 10.1016/S0140-6736(18)31865-8]</w:t>
      </w:r>
    </w:p>
    <w:p w14:paraId="3BB6A33B"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6</w:t>
      </w:r>
      <w:r>
        <w:rPr>
          <w:rFonts w:ascii="Book Antiqua" w:hAnsi="Book Antiqua"/>
        </w:rPr>
        <w:t xml:space="preserve"> </w:t>
      </w:r>
      <w:r>
        <w:rPr>
          <w:rFonts w:ascii="Book Antiqua" w:hAnsi="Book Antiqua"/>
          <w:b/>
          <w:bCs/>
        </w:rPr>
        <w:t>Liu Y</w:t>
      </w:r>
      <w:r>
        <w:rPr>
          <w:rFonts w:ascii="Book Antiqua" w:hAnsi="Book Antiqua"/>
        </w:rPr>
        <w:t xml:space="preserve">, Corsa AC, Buti M, Cathcart AL, Flaherty JF, Miller MD, Kitrinos KM, Marcellin P, Gane EJ. No detectable resistance to tenofovir disoproxil fumarate in HBeAg+ and HBeAg- patients with chronic hepatitis B after 8 years of treatment. </w:t>
      </w:r>
      <w:r>
        <w:rPr>
          <w:rFonts w:ascii="Book Antiqua" w:hAnsi="Book Antiqua"/>
          <w:i/>
          <w:iCs/>
        </w:rPr>
        <w:t>J Viral Hepat</w:t>
      </w:r>
      <w:r>
        <w:rPr>
          <w:rFonts w:ascii="Book Antiqua" w:hAnsi="Book Antiqua"/>
        </w:rPr>
        <w:t xml:space="preserve"> 2017; </w:t>
      </w:r>
      <w:r>
        <w:rPr>
          <w:rFonts w:ascii="Book Antiqua" w:hAnsi="Book Antiqua"/>
          <w:b/>
          <w:bCs/>
        </w:rPr>
        <w:t>24</w:t>
      </w:r>
      <w:r>
        <w:rPr>
          <w:rFonts w:ascii="Book Antiqua" w:hAnsi="Book Antiqua"/>
        </w:rPr>
        <w:t>: 68-74 [PMID: 27658343 DOI: 10.1111/jvh.12613]</w:t>
      </w:r>
    </w:p>
    <w:p w14:paraId="68A0E606"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7</w:t>
      </w:r>
      <w:r>
        <w:rPr>
          <w:rFonts w:ascii="Book Antiqua" w:hAnsi="Book Antiqua"/>
        </w:rPr>
        <w:t xml:space="preserve"> </w:t>
      </w:r>
      <w:r>
        <w:rPr>
          <w:rFonts w:ascii="Book Antiqua" w:hAnsi="Book Antiqua"/>
          <w:b/>
          <w:bCs/>
        </w:rPr>
        <w:t>Park ES</w:t>
      </w:r>
      <w:r>
        <w:rPr>
          <w:rFonts w:ascii="Book Antiqua" w:hAnsi="Book Antiqua"/>
        </w:rPr>
        <w:t xml:space="preserve">, Lee AR, Kim DH, Lee JH, Yoo JJ, Ahn SH, Sim H, Park S, Kang HS, Won J, Ha YN, Shin GC, Kwon SY, Park YK, Choi BS, Lee YB, Jeong N, An Y, Ju YS, Yu SJ, Chae HB, Yu KS, Kim YJ, Yoon JH, Zoulim F, Kim KH. Identification of a quadruple mutation that confers tenofovir resistance in chronic hepatitis B patients.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1093-1102 [PMID: 30794889 DOI: 10.1016/j.jhep.2019.02.006]</w:t>
      </w:r>
    </w:p>
    <w:p w14:paraId="7FA55AFA"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8</w:t>
      </w:r>
      <w:r>
        <w:rPr>
          <w:rFonts w:ascii="Book Antiqua" w:hAnsi="Book Antiqua"/>
        </w:rPr>
        <w:t xml:space="preserve"> </w:t>
      </w:r>
      <w:r>
        <w:rPr>
          <w:rFonts w:ascii="Book Antiqua" w:hAnsi="Book Antiqua"/>
          <w:b/>
          <w:bCs/>
        </w:rPr>
        <w:t>Agarwal K</w:t>
      </w:r>
      <w:r>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t> </w:t>
      </w:r>
      <w:r>
        <w:rPr>
          <w:rFonts w:ascii="Book Antiqua" w:hAnsi="Book Antiqua"/>
        </w:rPr>
        <w:t xml:space="preserve">weeks treatment of tenofovir alafenamide vs. tenofovir disoproxil fumarate for hepatitis B virus infection.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672-681 [PMID: 29756595 DOI: 10.1016/j.jhep.2017.11.039]</w:t>
      </w:r>
    </w:p>
    <w:p w14:paraId="05A0311E" w14:textId="77777777" w:rsidR="0050274A" w:rsidRDefault="001D7A10">
      <w:pPr>
        <w:spacing w:line="360" w:lineRule="auto"/>
        <w:jc w:val="both"/>
        <w:rPr>
          <w:rFonts w:ascii="Book Antiqua" w:hAnsi="Book Antiqua"/>
        </w:rPr>
      </w:pPr>
      <w:r>
        <w:rPr>
          <w:rFonts w:ascii="Book Antiqua" w:hAnsi="Book Antiqua" w:hint="eastAsia"/>
          <w:lang w:eastAsia="zh-CN"/>
        </w:rPr>
        <w:t>19</w:t>
      </w:r>
      <w:r>
        <w:rPr>
          <w:rFonts w:ascii="Book Antiqua" w:hAnsi="Book Antiqua"/>
        </w:rPr>
        <w:t xml:space="preserve"> </w:t>
      </w:r>
      <w:r>
        <w:rPr>
          <w:rFonts w:ascii="Book Antiqua" w:hAnsi="Book Antiqua"/>
          <w:b/>
          <w:bCs/>
        </w:rPr>
        <w:t>Chan HL</w:t>
      </w:r>
      <w:r>
        <w:rPr>
          <w:rFonts w:ascii="Book Antiqua" w:hAnsi="Book Antiqua"/>
        </w:rPr>
        <w:t xml:space="preserve">, Fung S, Seto WK, Chuang WL, Chen CY, Kim HJ, Hui AJ, Janssen HL, Chowdhury A, Tsang TY, Mehta R, Gane E, Flaherty JF, Massetto B, Gaggar A, Kitrinos KM, Lin L, Subramanian GM, McHutchison JG, Lim YS, Acharya SK, Agarwal K; GS-US-320-0110 Investigators. Tenofovir alafenamide versus tenofovir disoproxil fumarate for the treatment of HBeAg-positive chronic hepatitis B virus infection: a randomised, double-blind, phase 3, non-inferiority trial. </w:t>
      </w:r>
      <w:r>
        <w:rPr>
          <w:rFonts w:ascii="Book Antiqua" w:hAnsi="Book Antiqua"/>
          <w:i/>
          <w:iCs/>
        </w:rPr>
        <w:t>Lancet Gastroenterol Hepatol</w:t>
      </w:r>
      <w:r>
        <w:rPr>
          <w:rFonts w:ascii="Book Antiqua" w:hAnsi="Book Antiqua"/>
        </w:rPr>
        <w:t xml:space="preserve"> 2016; </w:t>
      </w:r>
      <w:r>
        <w:rPr>
          <w:rFonts w:ascii="Book Antiqua" w:hAnsi="Book Antiqua"/>
          <w:b/>
          <w:bCs/>
        </w:rPr>
        <w:t>1</w:t>
      </w:r>
      <w:r>
        <w:rPr>
          <w:rFonts w:ascii="Book Antiqua" w:hAnsi="Book Antiqua"/>
        </w:rPr>
        <w:t>: 185-195 [PMID: 28404091 DOI: 10.1016/S2468-1253(16)30024-3]</w:t>
      </w:r>
    </w:p>
    <w:p w14:paraId="6D890EF5"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0</w:t>
      </w:r>
      <w:r>
        <w:rPr>
          <w:rFonts w:ascii="Book Antiqua" w:hAnsi="Book Antiqua"/>
        </w:rPr>
        <w:t xml:space="preserve"> </w:t>
      </w:r>
      <w:r>
        <w:rPr>
          <w:rFonts w:ascii="Book Antiqua" w:hAnsi="Book Antiqua"/>
          <w:b/>
          <w:bCs/>
        </w:rPr>
        <w:t>Sun Y</w:t>
      </w:r>
      <w:r>
        <w:rPr>
          <w:rFonts w:ascii="Book Antiqua" w:hAnsi="Book Antiqua"/>
        </w:rPr>
        <w:t xml:space="preserve">, Wu X, Zhou J, Meng T, Wang B, Chen S, Liu H, Wang T, Zhao X, Wu S, Kong Y, Ou X, Wee A, Theise ND, Qiu C, Zhang W, Lu F, Jia J, You H. Persistent Low Level of Hepatitis B Virus Promotes Fibrosis Progression During Therapy.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2582-2591.e6 [PMID: 32147592 DOI: 10.1016/j.cgh.2020.03.001]</w:t>
      </w:r>
    </w:p>
    <w:p w14:paraId="3E0FBCA6"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1</w:t>
      </w:r>
      <w:r>
        <w:rPr>
          <w:rFonts w:ascii="Book Antiqua" w:hAnsi="Book Antiqua"/>
        </w:rPr>
        <w:t xml:space="preserve"> </w:t>
      </w:r>
      <w:r>
        <w:rPr>
          <w:rFonts w:ascii="Book Antiqua" w:hAnsi="Book Antiqua"/>
          <w:b/>
          <w:bCs/>
        </w:rPr>
        <w:t>Ogawa E</w:t>
      </w:r>
      <w:r>
        <w:rPr>
          <w:rFonts w:ascii="Book Antiqua" w:hAnsi="Book Antiqua"/>
        </w:rPr>
        <w:t xml:space="preserve">, Nomura H, Nakamuta M, Furusyo N, Koyanagi T, Dohmen K, Ooho A, Satoh T, Kawano A, Kajiwara E, Takahashi K, Azuma K, Kato M, Shimoda S, Hayashi J; Kyushu University Liver Disease Study (KULDS) Group. Tenofovir alafenamide after switching from entecavir or nucleos(t)ide combination therapy for patients with chronic hepatitis B.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1578-1589 [PMID: 32304611 DOI: 10.1111/liv.14482]</w:t>
      </w:r>
    </w:p>
    <w:p w14:paraId="7CC4F8A7"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2</w:t>
      </w:r>
      <w:r>
        <w:rPr>
          <w:rFonts w:ascii="Book Antiqua" w:hAnsi="Book Antiqua"/>
        </w:rPr>
        <w:t xml:space="preserve"> </w:t>
      </w:r>
      <w:r>
        <w:rPr>
          <w:rFonts w:ascii="Book Antiqua" w:hAnsi="Book Antiqua"/>
          <w:b/>
          <w:bCs/>
        </w:rPr>
        <w:t>Li ZB</w:t>
      </w:r>
      <w:r>
        <w:rPr>
          <w:rFonts w:ascii="Book Antiqua" w:hAnsi="Book Antiqua"/>
        </w:rPr>
        <w:t xml:space="preserve">, Li L, Niu XX, Chen SH, Fu YM, Wang CY, Liu Y, Shao Q, Chen G, Ji D. Switching from entecavir to tenofovir alafenamide for chronic hepatitis B patients with low-level viraemia.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1254-1264 [PMID: 33404182 DOI: 10.1111/liv.14786]</w:t>
      </w:r>
    </w:p>
    <w:p w14:paraId="2B842265"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3</w:t>
      </w:r>
      <w:r>
        <w:rPr>
          <w:rFonts w:ascii="Book Antiqua" w:hAnsi="Book Antiqua"/>
        </w:rPr>
        <w:t xml:space="preserve"> </w:t>
      </w:r>
      <w:r>
        <w:rPr>
          <w:rFonts w:ascii="Book Antiqua" w:hAnsi="Book Antiqua"/>
          <w:b/>
          <w:bCs/>
        </w:rPr>
        <w:t>Yip TC</w:t>
      </w:r>
      <w:r>
        <w:rPr>
          <w:rFonts w:ascii="Book Antiqua" w:hAnsi="Book Antiqua"/>
        </w:rPr>
        <w:t xml:space="preserve">, Wong VW, Chan HL, Tse YK, Lui GC, Wong GL. Tenofovir Is Associated With Lower Risk of Hepatocellular Carcinoma Than Entecavir in Patients With Chronic HBV Infection in China.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215-225.e6 [PMID: 31574268 DOI: 10.1053/j.gastro.2019.09.025]</w:t>
      </w:r>
    </w:p>
    <w:p w14:paraId="07283CC2"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4</w:t>
      </w:r>
      <w:r>
        <w:rPr>
          <w:rFonts w:ascii="Book Antiqua" w:hAnsi="Book Antiqua"/>
        </w:rPr>
        <w:t xml:space="preserve"> </w:t>
      </w:r>
      <w:r>
        <w:rPr>
          <w:rFonts w:ascii="Book Antiqua" w:hAnsi="Book Antiqua"/>
          <w:b/>
          <w:bCs/>
        </w:rPr>
        <w:t>Gu L</w:t>
      </w:r>
      <w:r>
        <w:rPr>
          <w:rFonts w:ascii="Book Antiqua" w:hAnsi="Book Antiqua"/>
        </w:rPr>
        <w:t xml:space="preserve">, Yao Q, Shen Z, He Y, Ng DM, Yang T, Chen B, Chen P, Mao F, Yu Q. Comparison of tenofovir versus entecavir on reducing incidence of hepatocellular carcinoma in chronic hepatitis B patients: A systematic review and meta-analysis.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1467-1476 [PMID: 32180249 DOI: 10.1111/jgh.15036]</w:t>
      </w:r>
    </w:p>
    <w:p w14:paraId="2DAF9D91"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5</w:t>
      </w:r>
      <w:r>
        <w:rPr>
          <w:rFonts w:ascii="Book Antiqua" w:hAnsi="Book Antiqua"/>
        </w:rPr>
        <w:t xml:space="preserve"> </w:t>
      </w:r>
      <w:r>
        <w:rPr>
          <w:rFonts w:ascii="Book Antiqua" w:hAnsi="Book Antiqua"/>
          <w:b/>
          <w:bCs/>
        </w:rPr>
        <w:t>Choi WM</w:t>
      </w:r>
      <w:r>
        <w:rPr>
          <w:rFonts w:ascii="Book Antiqua" w:hAnsi="Book Antiqua"/>
        </w:rPr>
        <w:t xml:space="preserve">, Choi J, Lim YS. Effects of Tenofovir vs Entecavir on Risk of Hepatocellular Carcinoma in Patients With Chronic HBV Infection: A Systematic Review and Meta-analysis.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246-258.e9 [PMID: 32407970 DOI: 10.1016/j.cgh.2020.05.008]</w:t>
      </w:r>
    </w:p>
    <w:p w14:paraId="453C9B44"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6</w:t>
      </w:r>
      <w:r>
        <w:rPr>
          <w:rFonts w:ascii="Book Antiqua" w:hAnsi="Book Antiqua"/>
        </w:rPr>
        <w:t xml:space="preserve"> </w:t>
      </w:r>
      <w:r>
        <w:rPr>
          <w:rFonts w:ascii="Book Antiqua" w:hAnsi="Book Antiqua"/>
          <w:b/>
          <w:bCs/>
        </w:rPr>
        <w:t>Li M</w:t>
      </w:r>
      <w:r>
        <w:rPr>
          <w:rFonts w:ascii="Book Antiqua" w:hAnsi="Book Antiqua"/>
        </w:rPr>
        <w:t xml:space="preserve">, Lv T, Wu S, Wei W, Wu X, Ou X, Ma H, Chow SC, Kong Y, You H, Jia J. Tenofovir versus entecavir in lowering the risk of hepatocellular carcinoma development in patients with chronic hepatitis B: a critical systematic review and meta-analysis. </w:t>
      </w:r>
      <w:r>
        <w:rPr>
          <w:rFonts w:ascii="Book Antiqua" w:hAnsi="Book Antiqua"/>
          <w:i/>
          <w:iCs/>
        </w:rPr>
        <w:t>Hepatol Int</w:t>
      </w:r>
      <w:r>
        <w:rPr>
          <w:rFonts w:ascii="Book Antiqua" w:hAnsi="Book Antiqua"/>
        </w:rPr>
        <w:t xml:space="preserve"> 2020; </w:t>
      </w:r>
      <w:r>
        <w:rPr>
          <w:rFonts w:ascii="Book Antiqua" w:hAnsi="Book Antiqua"/>
          <w:b/>
          <w:bCs/>
        </w:rPr>
        <w:t>14</w:t>
      </w:r>
      <w:r>
        <w:rPr>
          <w:rFonts w:ascii="Book Antiqua" w:hAnsi="Book Antiqua"/>
        </w:rPr>
        <w:t>: 105-114 [PMID: 31898210 DOI: 10.1007/s12072-019-10005-0]</w:t>
      </w:r>
    </w:p>
    <w:p w14:paraId="411D6681"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7</w:t>
      </w:r>
      <w:r>
        <w:rPr>
          <w:rFonts w:ascii="Book Antiqua" w:hAnsi="Book Antiqua"/>
        </w:rPr>
        <w:t xml:space="preserve"> </w:t>
      </w:r>
      <w:r>
        <w:rPr>
          <w:rFonts w:ascii="Book Antiqua" w:hAnsi="Book Antiqua"/>
          <w:b/>
          <w:bCs/>
        </w:rPr>
        <w:t>Chang TS</w:t>
      </w:r>
      <w:r>
        <w:rPr>
          <w:rFonts w:ascii="Book Antiqua" w:hAnsi="Book Antiqua"/>
        </w:rPr>
        <w:t xml:space="preserve">, Yang YH, Chen WM, Shen CH, Tung SY, Yen CW, Hsieh YY, Lee CP, Tsai ML, Hung CH, Lu SN. Long-term risk of primary liver cancers in entecavir versus tenofovir treatment for chronic hepatitis B.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1365 [PMID: 33446835 DOI: 10.1038/s41598-020-80523-7]</w:t>
      </w:r>
    </w:p>
    <w:p w14:paraId="1FF244CC" w14:textId="15E6AAA1"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8</w:t>
      </w:r>
      <w:r>
        <w:rPr>
          <w:rFonts w:ascii="Book Antiqua" w:hAnsi="Book Antiqua"/>
        </w:rPr>
        <w:t xml:space="preserve"> </w:t>
      </w:r>
      <w:r>
        <w:rPr>
          <w:rFonts w:ascii="Book Antiqua" w:hAnsi="Book Antiqua"/>
          <w:b/>
          <w:bCs/>
        </w:rPr>
        <w:t>Chinese College of Interventionalists.</w:t>
      </w:r>
      <w:r>
        <w:rPr>
          <w:rFonts w:ascii="Book Antiqua" w:hAnsi="Book Antiqua"/>
        </w:rPr>
        <w:t xml:space="preserve"> [CCI clinical practice guidelines: management of TIPS for portal hypertension (2019 edition)]. </w:t>
      </w:r>
      <w:r>
        <w:rPr>
          <w:rFonts w:ascii="Book Antiqua" w:hAnsi="Book Antiqua"/>
          <w:i/>
          <w:iCs/>
        </w:rPr>
        <w:t>Zhonghua Gan Zang Bing Za Zhi</w:t>
      </w:r>
      <w:r>
        <w:rPr>
          <w:rFonts w:ascii="Book Antiqua" w:hAnsi="Book Antiqua"/>
        </w:rPr>
        <w:t xml:space="preserve"> 2019; </w:t>
      </w:r>
      <w:r>
        <w:rPr>
          <w:rFonts w:ascii="Book Antiqua" w:hAnsi="Book Antiqua"/>
          <w:b/>
          <w:bCs/>
        </w:rPr>
        <w:t>27</w:t>
      </w:r>
      <w:r>
        <w:rPr>
          <w:rFonts w:ascii="Book Antiqua" w:hAnsi="Book Antiqua"/>
        </w:rPr>
        <w:t>: 582-593 [PMID: 31594075 DOI: 10.3760/cma.j.issn.1007-3418.2019.08.002]</w:t>
      </w:r>
    </w:p>
    <w:bookmarkEnd w:id="3"/>
    <w:p w14:paraId="2C460919" w14:textId="77777777" w:rsidR="0050274A" w:rsidRDefault="0050274A">
      <w:pPr>
        <w:spacing w:line="360" w:lineRule="auto"/>
        <w:jc w:val="both"/>
        <w:rPr>
          <w:rFonts w:ascii="Book Antiqua" w:hAnsi="Book Antiqua"/>
        </w:rPr>
        <w:sectPr w:rsidR="0050274A">
          <w:pgSz w:w="12240" w:h="15840"/>
          <w:pgMar w:top="1440" w:right="1440" w:bottom="1440" w:left="1440" w:header="720" w:footer="720" w:gutter="0"/>
          <w:cols w:space="720"/>
          <w:docGrid w:linePitch="360"/>
        </w:sectPr>
      </w:pPr>
    </w:p>
    <w:p w14:paraId="15D7C665"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Footnotes</w:t>
      </w:r>
    </w:p>
    <w:p w14:paraId="11E2E105"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Hospital Ethics Committee.</w:t>
      </w:r>
    </w:p>
    <w:p w14:paraId="47DF2581" w14:textId="77777777" w:rsidR="0050274A" w:rsidRDefault="0050274A">
      <w:pPr>
        <w:spacing w:line="360" w:lineRule="auto"/>
        <w:jc w:val="both"/>
        <w:rPr>
          <w:rFonts w:ascii="Book Antiqua" w:hAnsi="Book Antiqua"/>
        </w:rPr>
      </w:pPr>
    </w:p>
    <w:p w14:paraId="56AE918A"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and their families were fully informed and provided signed consent for surgery.</w:t>
      </w:r>
    </w:p>
    <w:p w14:paraId="02124682" w14:textId="77777777" w:rsidR="0050274A" w:rsidRDefault="0050274A">
      <w:pPr>
        <w:spacing w:line="360" w:lineRule="auto"/>
        <w:jc w:val="both"/>
        <w:rPr>
          <w:rFonts w:ascii="Book Antiqua" w:hAnsi="Book Antiqua"/>
        </w:rPr>
      </w:pPr>
    </w:p>
    <w:p w14:paraId="1227A7DF" w14:textId="5F129C8F"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interests</w:t>
      </w:r>
      <w:r w:rsidR="00A551FD">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14:paraId="165FC3CC" w14:textId="77777777" w:rsidR="0050274A" w:rsidRDefault="0050274A">
      <w:pPr>
        <w:spacing w:line="360" w:lineRule="auto"/>
        <w:jc w:val="both"/>
        <w:rPr>
          <w:rFonts w:ascii="Book Antiqua" w:hAnsi="Book Antiqua"/>
        </w:rPr>
      </w:pPr>
    </w:p>
    <w:p w14:paraId="72E732E9"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study protocol, statistical analysis plan, and de-identified participant data can be made available upon request for non-commercial purposes and after approval of a study proposal through a signed data access agreement. Proposals should be directed to jpqqing@163.com.</w:t>
      </w:r>
    </w:p>
    <w:p w14:paraId="2A9911A0" w14:textId="77777777" w:rsidR="0050274A" w:rsidRDefault="0050274A">
      <w:pPr>
        <w:spacing w:line="360" w:lineRule="auto"/>
        <w:jc w:val="both"/>
        <w:rPr>
          <w:rFonts w:ascii="Book Antiqua" w:hAnsi="Book Antiqua"/>
        </w:rPr>
      </w:pPr>
    </w:p>
    <w:p w14:paraId="4D460010"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7D56F5" w14:textId="77777777" w:rsidR="0050274A" w:rsidRDefault="0050274A">
      <w:pPr>
        <w:spacing w:line="360" w:lineRule="auto"/>
        <w:jc w:val="both"/>
        <w:rPr>
          <w:rFonts w:ascii="Book Antiqua" w:hAnsi="Book Antiqua"/>
        </w:rPr>
      </w:pPr>
    </w:p>
    <w:p w14:paraId="107DB31F"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414D75FE" w14:textId="77777777" w:rsidR="0050274A" w:rsidRDefault="0050274A">
      <w:pPr>
        <w:spacing w:line="360" w:lineRule="auto"/>
        <w:jc w:val="both"/>
        <w:rPr>
          <w:rFonts w:ascii="Book Antiqua" w:hAnsi="Book Antiqua"/>
        </w:rPr>
      </w:pPr>
    </w:p>
    <w:p w14:paraId="53B460EC"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7, 2021</w:t>
      </w:r>
    </w:p>
    <w:p w14:paraId="49F71ACC"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27, 2021</w:t>
      </w:r>
    </w:p>
    <w:p w14:paraId="27CBCE84" w14:textId="63D05629"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10642">
        <w:rPr>
          <w:rFonts w:ascii="Book Antiqua" w:eastAsia="宋体" w:hAnsi="Book Antiqua"/>
          <w:color w:val="000000" w:themeColor="text1"/>
        </w:rPr>
        <w:t>J</w:t>
      </w:r>
      <w:r w:rsidR="00010642">
        <w:rPr>
          <w:rFonts w:ascii="Book Antiqua" w:eastAsia="宋体" w:hAnsi="Book Antiqua" w:hint="eastAsia"/>
          <w:color w:val="000000" w:themeColor="text1"/>
        </w:rPr>
        <w:t>u</w:t>
      </w:r>
      <w:r w:rsidR="00010642">
        <w:rPr>
          <w:rFonts w:ascii="Book Antiqua" w:eastAsia="宋体" w:hAnsi="Book Antiqua"/>
          <w:color w:val="000000" w:themeColor="text1"/>
        </w:rPr>
        <w:t>ly</w:t>
      </w:r>
      <w:r w:rsidR="00010642" w:rsidRPr="00F06907">
        <w:rPr>
          <w:rFonts w:ascii="Book Antiqua" w:eastAsia="宋体" w:hAnsi="Book Antiqua"/>
          <w:color w:val="000000" w:themeColor="text1"/>
        </w:rPr>
        <w:t xml:space="preserve"> </w:t>
      </w:r>
      <w:r w:rsidR="00010642">
        <w:rPr>
          <w:rFonts w:ascii="Book Antiqua" w:eastAsia="宋体" w:hAnsi="Book Antiqua"/>
          <w:color w:val="000000" w:themeColor="text1"/>
        </w:rPr>
        <w:t>15</w:t>
      </w:r>
      <w:r w:rsidR="00010642" w:rsidRPr="00F06907">
        <w:rPr>
          <w:rFonts w:ascii="Book Antiqua" w:eastAsia="宋体" w:hAnsi="Book Antiqua"/>
          <w:color w:val="000000" w:themeColor="text1"/>
        </w:rPr>
        <w:t>, 2021</w:t>
      </w:r>
    </w:p>
    <w:p w14:paraId="50BE5F97" w14:textId="77777777" w:rsidR="0050274A" w:rsidRDefault="0050274A">
      <w:pPr>
        <w:spacing w:line="360" w:lineRule="auto"/>
        <w:jc w:val="both"/>
        <w:rPr>
          <w:rFonts w:ascii="Book Antiqua" w:hAnsi="Book Antiqua"/>
        </w:rPr>
      </w:pPr>
    </w:p>
    <w:p w14:paraId="32660231"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0E6EDF94"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83F912"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F70C3E"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A (Excellent): A</w:t>
      </w:r>
    </w:p>
    <w:p w14:paraId="1B9D8529"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B (Very good): 0</w:t>
      </w:r>
    </w:p>
    <w:p w14:paraId="050A392F"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C (Good): C</w:t>
      </w:r>
    </w:p>
    <w:p w14:paraId="744077E5"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D (Fair): 0</w:t>
      </w:r>
    </w:p>
    <w:p w14:paraId="68447264"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E (Poor): 0</w:t>
      </w:r>
    </w:p>
    <w:p w14:paraId="24E55D3E" w14:textId="77777777" w:rsidR="0050274A" w:rsidRDefault="0050274A">
      <w:pPr>
        <w:spacing w:line="360" w:lineRule="auto"/>
        <w:jc w:val="both"/>
        <w:rPr>
          <w:rFonts w:ascii="Book Antiqua" w:hAnsi="Book Antiqua"/>
        </w:rPr>
      </w:pPr>
    </w:p>
    <w:p w14:paraId="0E36D11E" w14:textId="07E267E5" w:rsidR="0050274A" w:rsidRDefault="001D7A1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Alkarkoushi RR, Senyuz O</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w:t>
      </w:r>
      <w:r>
        <w:rPr>
          <w:rFonts w:ascii="Book Antiqua" w:hAnsi="Book Antiqua" w:cs="Book Antiqua"/>
          <w:color w:val="000000"/>
          <w:lang w:eastAsia="zh-CN"/>
        </w:rPr>
        <w:t>n</w:t>
      </w:r>
      <w:r>
        <w:rPr>
          <w:rFonts w:ascii="Book Antiqua" w:eastAsia="Book Antiqua" w:hAnsi="Book Antiqua" w:cs="Book Antiqua"/>
          <w:color w:val="000000"/>
        </w:rPr>
        <w:t xml:space="preserve"> </w:t>
      </w:r>
      <w:r>
        <w:rPr>
          <w:rFonts w:ascii="Book Antiqua" w:hAnsi="Book Antiqua" w:cs="Book Antiqua"/>
          <w:color w:val="000000"/>
          <w:lang w:eastAsia="zh-CN"/>
        </w:rPr>
        <w:t>JR</w:t>
      </w:r>
      <w:r>
        <w:rPr>
          <w:rFonts w:ascii="Book Antiqua" w:eastAsia="Book Antiqua" w:hAnsi="Book Antiqua" w:cs="Book Antiqua"/>
          <w:b/>
          <w:color w:val="000000"/>
        </w:rPr>
        <w:t xml:space="preserve"> L-Editor: </w:t>
      </w:r>
      <w:r w:rsidR="00A551FD" w:rsidRPr="00CC369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010642" w:rsidRPr="00010642">
        <w:rPr>
          <w:rFonts w:ascii="Book Antiqua" w:eastAsia="Book Antiqua" w:hAnsi="Book Antiqua" w:cs="Book Antiqua"/>
          <w:color w:val="000000"/>
        </w:rPr>
        <w:t>Xing YX</w:t>
      </w:r>
    </w:p>
    <w:p w14:paraId="68012B36" w14:textId="77777777" w:rsidR="0050274A" w:rsidRDefault="001D7A10">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t>Figure Legends</w:t>
      </w:r>
    </w:p>
    <w:p w14:paraId="0FE3A31E" w14:textId="77777777" w:rsidR="0050274A" w:rsidRDefault="001D7A10">
      <w:pPr>
        <w:spacing w:line="360" w:lineRule="auto"/>
        <w:jc w:val="both"/>
        <w:rPr>
          <w:rFonts w:ascii="Book Antiqua" w:hAnsi="Book Antiqua"/>
          <w:lang w:eastAsia="zh-CN"/>
        </w:rPr>
      </w:pPr>
      <w:r>
        <w:rPr>
          <w:rFonts w:ascii="Book Antiqua" w:hAnsi="Book Antiqua"/>
          <w:noProof/>
          <w:lang w:eastAsia="zh-CN"/>
        </w:rPr>
        <w:drawing>
          <wp:inline distT="0" distB="0" distL="0" distR="0" wp14:anchorId="0216DD32" wp14:editId="42307EA6">
            <wp:extent cx="5486400" cy="17272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1727200"/>
                    </a:xfrm>
                    <a:prstGeom prst="rect">
                      <a:avLst/>
                    </a:prstGeom>
                  </pic:spPr>
                </pic:pic>
              </a:graphicData>
            </a:graphic>
          </wp:inline>
        </w:drawing>
      </w:r>
    </w:p>
    <w:p w14:paraId="2AF569FA" w14:textId="1C5062DE" w:rsidR="0050274A" w:rsidRDefault="001D7A10">
      <w:pPr>
        <w:spacing w:line="360" w:lineRule="auto"/>
        <w:jc w:val="both"/>
        <w:rPr>
          <w:rFonts w:ascii="Book Antiqua" w:hAnsi="Book Antiqua" w:cs="Book Antiqua"/>
          <w:color w:val="000000"/>
          <w:lang w:eastAsia="zh-CN"/>
        </w:rPr>
      </w:pPr>
      <w:r>
        <w:rPr>
          <w:rFonts w:ascii="Book Antiqua" w:hAnsi="Book Antiqua"/>
          <w:b/>
          <w:lang w:eastAsia="zh-CN"/>
        </w:rPr>
        <w:t xml:space="preserve">Figure 1 Overall survival, </w:t>
      </w:r>
      <w:r>
        <w:rPr>
          <w:rFonts w:ascii="Book Antiqua" w:eastAsia="Book Antiqua" w:hAnsi="Book Antiqua" w:cs="Book Antiqua"/>
          <w:b/>
          <w:color w:val="000000"/>
        </w:rPr>
        <w:t>hepatic encephalopathy</w:t>
      </w:r>
      <w:r>
        <w:rPr>
          <w:rFonts w:ascii="Book Antiqua" w:hAnsi="Book Antiqua"/>
          <w:b/>
          <w:lang w:eastAsia="zh-CN"/>
        </w:rPr>
        <w:t xml:space="preserve"> free survival</w:t>
      </w:r>
      <w:r w:rsidR="00A551FD">
        <w:rPr>
          <w:rFonts w:ascii="Book Antiqua" w:hAnsi="Book Antiqua"/>
          <w:b/>
          <w:lang w:eastAsia="zh-CN"/>
        </w:rPr>
        <w:t>,</w:t>
      </w:r>
      <w:r>
        <w:rPr>
          <w:rFonts w:ascii="Book Antiqua" w:hAnsi="Book Antiqua"/>
          <w:b/>
          <w:lang w:eastAsia="zh-CN"/>
        </w:rPr>
        <w:t xml:space="preserve"> and </w:t>
      </w:r>
      <w:r>
        <w:rPr>
          <w:rFonts w:ascii="Book Antiqua" w:eastAsia="Book Antiqua" w:hAnsi="Book Antiqua" w:cs="Book Antiqua"/>
          <w:b/>
          <w:color w:val="000000"/>
        </w:rPr>
        <w:t>hepatocellular carcinoma</w:t>
      </w:r>
      <w:r>
        <w:rPr>
          <w:rFonts w:ascii="Book Antiqua" w:hAnsi="Book Antiqua"/>
          <w:b/>
          <w:lang w:eastAsia="zh-CN"/>
        </w:rPr>
        <w:t xml:space="preserve"> free survival rate in </w:t>
      </w:r>
      <w:r>
        <w:rPr>
          <w:rFonts w:ascii="Book Antiqua" w:eastAsia="Book Antiqua" w:hAnsi="Book Antiqua" w:cs="Book Antiqua"/>
          <w:b/>
          <w:color w:val="000000"/>
        </w:rPr>
        <w:t>tenofovir alafenamide fumarate</w:t>
      </w:r>
      <w:r>
        <w:rPr>
          <w:rFonts w:ascii="Book Antiqua" w:hAnsi="Book Antiqua"/>
          <w:b/>
          <w:lang w:eastAsia="zh-CN"/>
        </w:rPr>
        <w:t xml:space="preserve">, </w:t>
      </w:r>
      <w:r>
        <w:rPr>
          <w:rFonts w:ascii="Book Antiqua" w:eastAsia="Book Antiqua" w:hAnsi="Book Antiqua" w:cs="Book Antiqua"/>
          <w:b/>
          <w:color w:val="000000"/>
        </w:rPr>
        <w:t>tenofovir disoproxil fumarate</w:t>
      </w:r>
      <w:r w:rsidR="00A551FD">
        <w:rPr>
          <w:rFonts w:ascii="Book Antiqua" w:eastAsia="Book Antiqua" w:hAnsi="Book Antiqua" w:cs="Book Antiqua"/>
          <w:b/>
          <w:color w:val="000000"/>
        </w:rPr>
        <w:t>,</w:t>
      </w:r>
      <w:r>
        <w:rPr>
          <w:rFonts w:ascii="Book Antiqua" w:hAnsi="Book Antiqua"/>
          <w:b/>
          <w:lang w:eastAsia="zh-CN"/>
        </w:rPr>
        <w:t xml:space="preserve"> and </w:t>
      </w:r>
      <w:r>
        <w:rPr>
          <w:rFonts w:ascii="Book Antiqua" w:eastAsia="Book Antiqua" w:hAnsi="Book Antiqua" w:cs="Book Antiqua"/>
          <w:b/>
          <w:color w:val="000000"/>
        </w:rPr>
        <w:t>entecavir</w:t>
      </w:r>
      <w:r>
        <w:rPr>
          <w:rFonts w:ascii="Book Antiqua" w:hAnsi="Book Antiqua"/>
          <w:b/>
          <w:lang w:eastAsia="zh-CN"/>
        </w:rPr>
        <w:t xml:space="preserve"> groups. </w:t>
      </w:r>
      <w:r>
        <w:rPr>
          <w:rFonts w:ascii="Book Antiqua" w:hAnsi="Book Antiqua"/>
          <w:lang w:eastAsia="zh-CN"/>
        </w:rPr>
        <w:t xml:space="preserve">A: Survival; B: Freedom from </w:t>
      </w:r>
      <w:r>
        <w:rPr>
          <w:rFonts w:ascii="Book Antiqua" w:eastAsia="Book Antiqua" w:hAnsi="Book Antiqua" w:cs="Book Antiqua"/>
          <w:color w:val="000000"/>
        </w:rPr>
        <w:t>hepatic encephalopathy</w:t>
      </w:r>
      <w:r>
        <w:rPr>
          <w:rFonts w:ascii="Book Antiqua" w:hAnsi="Book Antiqua"/>
          <w:lang w:eastAsia="zh-CN"/>
        </w:rPr>
        <w:t xml:space="preserve">; C: Freedom from </w:t>
      </w:r>
      <w:r>
        <w:rPr>
          <w:rFonts w:ascii="Book Antiqua" w:eastAsia="Book Antiqua" w:hAnsi="Book Antiqua" w:cs="Book Antiqua"/>
          <w:color w:val="000000"/>
        </w:rPr>
        <w:t>hepatocellular carcinoma</w:t>
      </w:r>
      <w:r>
        <w:rPr>
          <w:rFonts w:ascii="Book Antiqua" w:hAnsi="Book Antiqua"/>
          <w:lang w:eastAsia="zh-CN"/>
        </w:rPr>
        <w:t xml:space="preserve">. HCC: </w:t>
      </w:r>
      <w:r>
        <w:rPr>
          <w:rFonts w:ascii="Book Antiqua" w:hAnsi="Book Antiqua" w:cs="Book Antiqua"/>
          <w:color w:val="000000"/>
          <w:lang w:eastAsia="zh-CN"/>
        </w:rPr>
        <w:t>H</w:t>
      </w:r>
      <w:r>
        <w:rPr>
          <w:rFonts w:ascii="Book Antiqua" w:eastAsia="Book Antiqua" w:hAnsi="Book Antiqua" w:cs="Book Antiqua"/>
          <w:color w:val="000000"/>
        </w:rPr>
        <w:t>epatocellular carcinoma</w:t>
      </w:r>
      <w:r>
        <w:rPr>
          <w:rFonts w:ascii="Book Antiqua" w:hAnsi="Book Antiqua"/>
          <w:lang w:eastAsia="zh-CN"/>
        </w:rPr>
        <w:t xml:space="preserve">; HE: </w:t>
      </w:r>
      <w:r>
        <w:rPr>
          <w:rFonts w:ascii="Book Antiqua" w:hAnsi="Book Antiqua" w:cs="Book Antiqua"/>
          <w:color w:val="000000"/>
          <w:lang w:eastAsia="zh-CN"/>
        </w:rPr>
        <w:t>H</w:t>
      </w:r>
      <w:r>
        <w:rPr>
          <w:rFonts w:ascii="Book Antiqua" w:eastAsia="Book Antiqua" w:hAnsi="Book Antiqua" w:cs="Book Antiqua"/>
          <w:color w:val="000000"/>
        </w:rPr>
        <w:t>epatic encephalopathy</w:t>
      </w:r>
      <w:r>
        <w:rPr>
          <w:rFonts w:ascii="Book Antiqua" w:hAnsi="Book Antiqua"/>
          <w:lang w:eastAsia="zh-CN"/>
        </w:rPr>
        <w:t xml:space="preserv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 xml:space="preserve">. </w:t>
      </w:r>
      <w:r>
        <w:rPr>
          <w:rFonts w:ascii="Book Antiqua" w:hAnsi="Book Antiqua"/>
          <w:lang w:eastAsia="zh-CN"/>
        </w:rPr>
        <w:cr/>
      </w:r>
      <w:r>
        <w:rPr>
          <w:rFonts w:ascii="Book Antiqua" w:eastAsia="Book Antiqua" w:hAnsi="Book Antiqua" w:cs="Book Antiqua"/>
          <w:color w:val="000000"/>
        </w:rPr>
        <w:br w:type="page"/>
      </w:r>
      <w:r>
        <w:rPr>
          <w:rFonts w:ascii="Book Antiqua" w:hAnsi="Book Antiqua"/>
          <w:noProof/>
          <w:lang w:eastAsia="zh-CN"/>
        </w:rPr>
        <w:drawing>
          <wp:inline distT="0" distB="0" distL="0" distR="0" wp14:anchorId="59778055" wp14:editId="588323C1">
            <wp:extent cx="5486400" cy="3340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86400" cy="3340100"/>
                    </a:xfrm>
                    <a:prstGeom prst="rect">
                      <a:avLst/>
                    </a:prstGeom>
                  </pic:spPr>
                </pic:pic>
              </a:graphicData>
            </a:graphic>
          </wp:inline>
        </w:drawing>
      </w:r>
    </w:p>
    <w:p w14:paraId="23EF5884" w14:textId="77777777" w:rsidR="0050274A" w:rsidRDefault="001D7A10">
      <w:pPr>
        <w:spacing w:line="360" w:lineRule="auto"/>
        <w:jc w:val="both"/>
        <w:rPr>
          <w:rFonts w:ascii="Book Antiqua" w:hAnsi="Book Antiqua"/>
          <w:lang w:eastAsia="zh-CN"/>
        </w:rPr>
      </w:pPr>
      <w:r>
        <w:rPr>
          <w:rFonts w:ascii="Book Antiqua" w:hAnsi="Book Antiqua"/>
          <w:b/>
          <w:lang w:eastAsia="zh-CN"/>
        </w:rPr>
        <w:t>Figure 2 Preoperative and postoperative Child-Pugh scores and ratios in the three patient groups.</w:t>
      </w:r>
      <w:r>
        <w:rPr>
          <w:rFonts w:ascii="Book Antiqua" w:hAnsi="Book Antiqua"/>
          <w:lang w:eastAsia="zh-CN"/>
        </w:rPr>
        <w:t xml:space="preserv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r>
        <w:rPr>
          <w:rFonts w:ascii="Book Antiqua" w:hAnsi="Book Antiqua"/>
          <w:lang w:eastAsia="zh-CN"/>
        </w:rPr>
        <w:cr/>
        <w:t xml:space="preserve"> </w:t>
      </w:r>
      <w:r>
        <w:rPr>
          <w:rFonts w:ascii="Book Antiqua" w:hAnsi="Book Antiqua"/>
          <w:lang w:eastAsia="zh-CN"/>
        </w:rPr>
        <w:cr/>
      </w:r>
      <w:r>
        <w:rPr>
          <w:rFonts w:ascii="Book Antiqua" w:hAnsi="Book Antiqua"/>
          <w:lang w:eastAsia="zh-CN"/>
        </w:rPr>
        <w:br w:type="page"/>
      </w:r>
      <w:r>
        <w:rPr>
          <w:rFonts w:ascii="Book Antiqua" w:hAnsi="Book Antiqua"/>
          <w:noProof/>
          <w:lang w:eastAsia="zh-CN"/>
        </w:rPr>
        <w:drawing>
          <wp:inline distT="0" distB="0" distL="0" distR="0" wp14:anchorId="39FF8C03" wp14:editId="1BAB3452">
            <wp:extent cx="5486400" cy="31889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486400" cy="3188970"/>
                    </a:xfrm>
                    <a:prstGeom prst="rect">
                      <a:avLst/>
                    </a:prstGeom>
                  </pic:spPr>
                </pic:pic>
              </a:graphicData>
            </a:graphic>
          </wp:inline>
        </w:drawing>
      </w:r>
    </w:p>
    <w:p w14:paraId="30237860" w14:textId="77777777" w:rsidR="0050274A" w:rsidRDefault="001D7A10">
      <w:pPr>
        <w:spacing w:line="360" w:lineRule="auto"/>
        <w:jc w:val="both"/>
        <w:rPr>
          <w:rFonts w:ascii="Book Antiqua" w:hAnsi="Book Antiqua"/>
          <w:lang w:eastAsia="zh-CN"/>
        </w:rPr>
      </w:pPr>
      <w:r>
        <w:rPr>
          <w:rFonts w:ascii="Book Antiqua" w:hAnsi="Book Antiqua"/>
          <w:b/>
          <w:lang w:eastAsia="zh-CN"/>
        </w:rPr>
        <w:t>Figure 3 Changes in preoperative and postoperative model for end-stage liver disease scores in the three patient groups.</w:t>
      </w:r>
      <w:r>
        <w:rPr>
          <w:rFonts w:ascii="Book Antiqua" w:hAnsi="Book Antiqua"/>
          <w:lang w:eastAsia="zh-CN"/>
        </w:rPr>
        <w:t xml:space="preserve"> MELD: Model for end-stage liver disease;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r>
        <w:rPr>
          <w:rFonts w:ascii="Book Antiqua" w:hAnsi="Book Antiqua"/>
          <w:lang w:eastAsia="zh-CN"/>
        </w:rPr>
        <w:cr/>
      </w:r>
      <w:r>
        <w:rPr>
          <w:rFonts w:ascii="Book Antiqua" w:hAnsi="Book Antiqua"/>
          <w:lang w:eastAsia="zh-CN"/>
        </w:rPr>
        <w:br w:type="page"/>
      </w:r>
      <w:r>
        <w:rPr>
          <w:rFonts w:ascii="Book Antiqua" w:hAnsi="Book Antiqua"/>
          <w:noProof/>
          <w:lang w:eastAsia="zh-CN"/>
        </w:rPr>
        <w:drawing>
          <wp:inline distT="0" distB="0" distL="0" distR="0" wp14:anchorId="1202F07A" wp14:editId="15D04520">
            <wp:extent cx="5486400" cy="29476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486400" cy="2947670"/>
                    </a:xfrm>
                    <a:prstGeom prst="rect">
                      <a:avLst/>
                    </a:prstGeom>
                  </pic:spPr>
                </pic:pic>
              </a:graphicData>
            </a:graphic>
          </wp:inline>
        </w:drawing>
      </w:r>
    </w:p>
    <w:p w14:paraId="5BCDCC19" w14:textId="5405E82E" w:rsidR="0050274A" w:rsidRDefault="001D7A10">
      <w:pPr>
        <w:spacing w:line="360" w:lineRule="auto"/>
        <w:jc w:val="both"/>
        <w:rPr>
          <w:rFonts w:ascii="Book Antiqua" w:hAnsi="Book Antiqua"/>
        </w:rPr>
      </w:pPr>
      <w:r>
        <w:rPr>
          <w:rFonts w:ascii="Book Antiqua" w:hAnsi="Book Antiqua"/>
          <w:b/>
          <w:lang w:eastAsia="zh-CN"/>
        </w:rPr>
        <w:t>Figure 4 Changes in preoperative and postoperative estimated</w:t>
      </w:r>
      <w:r w:rsidR="00A551FD">
        <w:rPr>
          <w:rFonts w:ascii="Book Antiqua" w:hAnsi="Book Antiqua"/>
          <w:b/>
          <w:lang w:eastAsia="zh-CN"/>
        </w:rPr>
        <w:t xml:space="preserve"> g</w:t>
      </w:r>
      <w:r>
        <w:rPr>
          <w:rFonts w:ascii="Book Antiqua" w:hAnsi="Book Antiqua"/>
          <w:b/>
          <w:lang w:eastAsia="zh-CN"/>
        </w:rPr>
        <w:t>lomerular filtration rate</w:t>
      </w:r>
      <w:r w:rsidR="00A551FD">
        <w:rPr>
          <w:rFonts w:ascii="Book Antiqua" w:hAnsi="Book Antiqua"/>
          <w:b/>
          <w:lang w:eastAsia="zh-CN"/>
        </w:rPr>
        <w:t>s</w:t>
      </w:r>
      <w:r>
        <w:rPr>
          <w:rFonts w:ascii="Book Antiqua" w:hAnsi="Book Antiqua"/>
          <w:b/>
          <w:lang w:eastAsia="zh-CN"/>
        </w:rPr>
        <w:t xml:space="preserve"> in the three patient groups.</w:t>
      </w:r>
      <w:r>
        <w:rPr>
          <w:rFonts w:ascii="Book Antiqua" w:hAnsi="Book Antiqua"/>
          <w:lang w:eastAsia="zh-CN"/>
        </w:rPr>
        <w:t xml:space="preserve"> eGFR: Estimated glomerular filtration rate;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r>
        <w:rPr>
          <w:rFonts w:ascii="Book Antiqua" w:hAnsi="Book Antiqua"/>
          <w:lang w:eastAsia="zh-CN"/>
        </w:rPr>
        <w:cr/>
      </w:r>
      <w:r>
        <w:rPr>
          <w:rFonts w:ascii="Book Antiqua" w:hAnsi="Book Antiqua"/>
          <w:lang w:eastAsia="zh-CN"/>
        </w:rPr>
        <w:br w:type="page"/>
      </w:r>
      <w:r>
        <w:rPr>
          <w:rFonts w:ascii="Book Antiqua" w:hAnsi="Book Antiqua"/>
          <w:b/>
          <w:bCs/>
          <w:color w:val="000000"/>
        </w:rPr>
        <w:t>Table 1 Basic clinical data</w:t>
      </w:r>
    </w:p>
    <w:tbl>
      <w:tblPr>
        <w:tblW w:w="6143" w:type="pct"/>
        <w:tblInd w:w="-1026" w:type="dxa"/>
        <w:tblBorders>
          <w:top w:val="single" w:sz="4" w:space="0" w:color="auto"/>
          <w:bottom w:val="single" w:sz="4" w:space="0" w:color="auto"/>
        </w:tblBorders>
        <w:tblLayout w:type="fixed"/>
        <w:tblLook w:val="04A0" w:firstRow="1" w:lastRow="0" w:firstColumn="1" w:lastColumn="0" w:noHBand="0" w:noVBand="1"/>
      </w:tblPr>
      <w:tblGrid>
        <w:gridCol w:w="2693"/>
        <w:gridCol w:w="1984"/>
        <w:gridCol w:w="1560"/>
        <w:gridCol w:w="1560"/>
        <w:gridCol w:w="1417"/>
        <w:gridCol w:w="852"/>
        <w:gridCol w:w="1699"/>
      </w:tblGrid>
      <w:tr w:rsidR="0050274A" w14:paraId="38A6B3CE" w14:textId="77777777">
        <w:trPr>
          <w:trHeight w:val="421"/>
        </w:trPr>
        <w:tc>
          <w:tcPr>
            <w:tcW w:w="1145" w:type="pct"/>
            <w:tcBorders>
              <w:top w:val="single" w:sz="4" w:space="0" w:color="auto"/>
              <w:bottom w:val="single" w:sz="4" w:space="0" w:color="auto"/>
            </w:tcBorders>
          </w:tcPr>
          <w:p w14:paraId="011BB107" w14:textId="01A8FC5D" w:rsidR="0050274A" w:rsidRDefault="001D7A10">
            <w:pPr>
              <w:widowControl w:val="0"/>
              <w:spacing w:line="360" w:lineRule="auto"/>
              <w:jc w:val="both"/>
              <w:rPr>
                <w:rFonts w:ascii="Book Antiqua" w:eastAsia="宋体" w:hAnsi="Book Antiqua"/>
                <w:b/>
                <w:bCs/>
                <w:color w:val="000000"/>
                <w:kern w:val="2"/>
              </w:rPr>
            </w:pPr>
            <w:r>
              <w:rPr>
                <w:rFonts w:ascii="Book Antiqua" w:hAnsi="Book Antiqua"/>
                <w:b/>
                <w:bCs/>
                <w:color w:val="000000"/>
              </w:rPr>
              <w:t>Clinical</w:t>
            </w:r>
            <w:r>
              <w:rPr>
                <w:rFonts w:ascii="Book Antiqua" w:hAnsi="Book Antiqua"/>
                <w:b/>
                <w:bCs/>
                <w:color w:val="000000"/>
                <w:lang w:eastAsia="zh-CN"/>
              </w:rPr>
              <w:t xml:space="preserve"> </w:t>
            </w:r>
            <w:r>
              <w:rPr>
                <w:rFonts w:ascii="Book Antiqua" w:hAnsi="Book Antiqua"/>
                <w:b/>
                <w:bCs/>
                <w:color w:val="000000"/>
              </w:rPr>
              <w:t>characteristic</w:t>
            </w:r>
          </w:p>
        </w:tc>
        <w:tc>
          <w:tcPr>
            <w:tcW w:w="843" w:type="pct"/>
            <w:tcBorders>
              <w:top w:val="single" w:sz="4" w:space="0" w:color="auto"/>
              <w:bottom w:val="single" w:sz="4" w:space="0" w:color="auto"/>
            </w:tcBorders>
          </w:tcPr>
          <w:p w14:paraId="1E631A22"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TAF</w:t>
            </w:r>
            <w:r>
              <w:rPr>
                <w:rFonts w:ascii="Book Antiqua" w:hAnsi="Book Antiqua"/>
                <w:b/>
                <w:bCs/>
                <w:color w:val="000000"/>
                <w:lang w:eastAsia="zh-CN"/>
              </w:rPr>
              <w:t xml:space="preserve"> (</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32</w:t>
            </w:r>
            <w:r>
              <w:rPr>
                <w:rFonts w:ascii="Book Antiqua" w:hAnsi="Book Antiqua"/>
                <w:b/>
                <w:bCs/>
                <w:color w:val="000000"/>
                <w:lang w:eastAsia="zh-CN"/>
              </w:rPr>
              <w:t>)</w:t>
            </w:r>
          </w:p>
        </w:tc>
        <w:tc>
          <w:tcPr>
            <w:tcW w:w="663" w:type="pct"/>
            <w:tcBorders>
              <w:top w:val="single" w:sz="4" w:space="0" w:color="auto"/>
              <w:bottom w:val="single" w:sz="4" w:space="0" w:color="auto"/>
            </w:tcBorders>
          </w:tcPr>
          <w:p w14:paraId="5AEE53DB"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TDF</w:t>
            </w:r>
            <w:r>
              <w:rPr>
                <w:rFonts w:ascii="Book Antiqua" w:hAnsi="Book Antiqua"/>
                <w:b/>
                <w:bCs/>
                <w:color w:val="000000"/>
                <w:kern w:val="2"/>
                <w:lang w:eastAsia="zh-CN"/>
              </w:rPr>
              <w:t xml:space="preserve"> </w:t>
            </w:r>
            <w:r>
              <w:rPr>
                <w:rFonts w:ascii="Book Antiqua" w:hAnsi="Book Antiqua"/>
                <w:b/>
                <w:bCs/>
                <w:color w:val="000000"/>
                <w:lang w:eastAsia="zh-CN"/>
              </w:rPr>
              <w:t>(</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35</w:t>
            </w:r>
            <w:r>
              <w:rPr>
                <w:rFonts w:ascii="Book Antiqua" w:hAnsi="Book Antiqua"/>
                <w:b/>
                <w:bCs/>
                <w:color w:val="000000"/>
                <w:lang w:eastAsia="zh-CN"/>
              </w:rPr>
              <w:t>)</w:t>
            </w:r>
          </w:p>
        </w:tc>
        <w:tc>
          <w:tcPr>
            <w:tcW w:w="663" w:type="pct"/>
            <w:tcBorders>
              <w:top w:val="single" w:sz="4" w:space="0" w:color="auto"/>
              <w:bottom w:val="single" w:sz="4" w:space="0" w:color="auto"/>
            </w:tcBorders>
          </w:tcPr>
          <w:p w14:paraId="0413E52C"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ETV</w:t>
            </w:r>
            <w:r>
              <w:rPr>
                <w:rFonts w:ascii="Book Antiqua" w:hAnsi="Book Antiqua"/>
                <w:b/>
                <w:bCs/>
                <w:color w:val="000000"/>
                <w:kern w:val="2"/>
                <w:lang w:eastAsia="zh-CN"/>
              </w:rPr>
              <w:t xml:space="preserve"> </w:t>
            </w:r>
            <w:r>
              <w:rPr>
                <w:rFonts w:ascii="Book Antiqua" w:hAnsi="Book Antiqua"/>
                <w:b/>
                <w:bCs/>
                <w:color w:val="000000"/>
                <w:lang w:eastAsia="zh-CN"/>
              </w:rPr>
              <w:t>(</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70</w:t>
            </w:r>
            <w:r>
              <w:rPr>
                <w:rFonts w:ascii="Book Antiqua" w:hAnsi="Book Antiqua"/>
                <w:b/>
                <w:bCs/>
                <w:color w:val="000000"/>
                <w:lang w:eastAsia="zh-CN"/>
              </w:rPr>
              <w:t>)</w:t>
            </w:r>
          </w:p>
        </w:tc>
        <w:tc>
          <w:tcPr>
            <w:tcW w:w="602" w:type="pct"/>
            <w:tcBorders>
              <w:top w:val="single" w:sz="4" w:space="0" w:color="auto"/>
              <w:bottom w:val="single" w:sz="4" w:space="0" w:color="auto"/>
            </w:tcBorders>
          </w:tcPr>
          <w:p w14:paraId="0A4B744C" w14:textId="77777777" w:rsidR="0050274A" w:rsidRDefault="001D7A10">
            <w:pPr>
              <w:widowControl w:val="0"/>
              <w:spacing w:line="360" w:lineRule="auto"/>
              <w:jc w:val="both"/>
              <w:rPr>
                <w:rFonts w:ascii="Book Antiqua" w:eastAsia="宋体" w:hAnsi="Book Antiqua"/>
                <w:b/>
                <w:bCs/>
                <w:color w:val="000000"/>
                <w:kern w:val="2"/>
              </w:rPr>
            </w:pPr>
            <w:r>
              <w:rPr>
                <w:rFonts w:ascii="Book Antiqua" w:hAnsi="Book Antiqua"/>
                <w:b/>
                <w:bCs/>
                <w:color w:val="000000"/>
              </w:rPr>
              <w:t xml:space="preserve">Statistic </w:t>
            </w:r>
          </w:p>
        </w:tc>
        <w:tc>
          <w:tcPr>
            <w:tcW w:w="362" w:type="pct"/>
            <w:tcBorders>
              <w:top w:val="single" w:sz="4" w:space="0" w:color="auto"/>
              <w:bottom w:val="single" w:sz="4" w:space="0" w:color="auto"/>
            </w:tcBorders>
          </w:tcPr>
          <w:p w14:paraId="0BB93AA4" w14:textId="77777777" w:rsidR="0050274A" w:rsidRDefault="001D7A10">
            <w:pPr>
              <w:widowControl w:val="0"/>
              <w:spacing w:line="360" w:lineRule="auto"/>
              <w:jc w:val="both"/>
              <w:rPr>
                <w:rFonts w:ascii="Book Antiqua" w:eastAsia="宋体" w:hAnsi="Book Antiqua"/>
                <w:b/>
                <w:bCs/>
                <w:color w:val="000000"/>
                <w:kern w:val="2"/>
              </w:rPr>
            </w:pPr>
            <w:r>
              <w:rPr>
                <w:rFonts w:ascii="Book Antiqua" w:hAnsi="Book Antiqua"/>
                <w:b/>
                <w:bCs/>
                <w:i/>
                <w:color w:val="000000"/>
              </w:rPr>
              <w:t>P</w:t>
            </w:r>
            <w:r>
              <w:rPr>
                <w:rFonts w:ascii="Book Antiqua" w:hAnsi="Book Antiqua"/>
                <w:b/>
                <w:bCs/>
                <w:color w:val="000000"/>
              </w:rPr>
              <w:t xml:space="preserve"> value</w:t>
            </w:r>
          </w:p>
        </w:tc>
        <w:tc>
          <w:tcPr>
            <w:tcW w:w="722" w:type="pct"/>
            <w:tcBorders>
              <w:top w:val="single" w:sz="4" w:space="0" w:color="auto"/>
              <w:bottom w:val="single" w:sz="4" w:space="0" w:color="auto"/>
            </w:tcBorders>
          </w:tcPr>
          <w:p w14:paraId="5C0B4D70"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Total</w:t>
            </w:r>
            <w:r>
              <w:rPr>
                <w:rFonts w:ascii="Book Antiqua" w:hAnsi="Book Antiqua"/>
                <w:b/>
                <w:bCs/>
                <w:color w:val="000000"/>
                <w:kern w:val="2"/>
                <w:lang w:eastAsia="zh-CN"/>
              </w:rPr>
              <w:t xml:space="preserve"> </w:t>
            </w:r>
            <w:r>
              <w:rPr>
                <w:rFonts w:ascii="Book Antiqua" w:hAnsi="Book Antiqua"/>
                <w:b/>
                <w:bCs/>
                <w:color w:val="000000"/>
                <w:lang w:eastAsia="zh-CN"/>
              </w:rPr>
              <w:t>(</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137</w:t>
            </w:r>
            <w:r>
              <w:rPr>
                <w:rFonts w:ascii="Book Antiqua" w:hAnsi="Book Antiqua"/>
                <w:b/>
                <w:bCs/>
                <w:color w:val="000000"/>
                <w:lang w:eastAsia="zh-CN"/>
              </w:rPr>
              <w:t>)</w:t>
            </w:r>
          </w:p>
        </w:tc>
      </w:tr>
      <w:tr w:rsidR="0050274A" w14:paraId="2AF495BB" w14:textId="77777777">
        <w:trPr>
          <w:trHeight w:val="233"/>
        </w:trPr>
        <w:tc>
          <w:tcPr>
            <w:tcW w:w="1145" w:type="pct"/>
            <w:tcBorders>
              <w:top w:val="single" w:sz="4" w:space="0" w:color="auto"/>
            </w:tcBorders>
          </w:tcPr>
          <w:p w14:paraId="6E4CB1D0"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Gender</w:t>
            </w:r>
            <w:r>
              <w:rPr>
                <w:rFonts w:ascii="Book Antiqua" w:hAnsi="Book Antiqua"/>
                <w:bCs/>
                <w:color w:val="000000"/>
                <w:lang w:eastAsia="zh-CN"/>
              </w:rPr>
              <w:t>,</w:t>
            </w:r>
            <w:r>
              <w:rPr>
                <w:rFonts w:ascii="Book Antiqua" w:hAnsi="Book Antiqua"/>
                <w:bCs/>
                <w:color w:val="000000"/>
              </w:rPr>
              <w:t xml:space="preserve"> </w:t>
            </w:r>
            <w:r>
              <w:rPr>
                <w:rFonts w:ascii="Book Antiqua" w:hAnsi="Book Antiqua"/>
                <w:bCs/>
                <w:i/>
                <w:color w:val="000000"/>
              </w:rPr>
              <w:t>n</w:t>
            </w:r>
            <w:r>
              <w:rPr>
                <w:rFonts w:ascii="Book Antiqua" w:hAnsi="Book Antiqua"/>
                <w:bCs/>
                <w:color w:val="000000"/>
                <w:lang w:eastAsia="zh-CN"/>
              </w:rPr>
              <w:t xml:space="preserve"> (%)</w:t>
            </w:r>
          </w:p>
        </w:tc>
        <w:tc>
          <w:tcPr>
            <w:tcW w:w="843" w:type="pct"/>
            <w:tcBorders>
              <w:top w:val="single" w:sz="4" w:space="0" w:color="auto"/>
            </w:tcBorders>
          </w:tcPr>
          <w:p w14:paraId="0F4E5973" w14:textId="77777777" w:rsidR="0050274A" w:rsidRDefault="0050274A">
            <w:pPr>
              <w:widowControl w:val="0"/>
              <w:spacing w:line="360" w:lineRule="auto"/>
              <w:jc w:val="both"/>
              <w:rPr>
                <w:rFonts w:ascii="Book Antiqua" w:eastAsia="宋体" w:hAnsi="Book Antiqua"/>
                <w:bCs/>
                <w:color w:val="000000"/>
                <w:kern w:val="2"/>
              </w:rPr>
            </w:pPr>
          </w:p>
        </w:tc>
        <w:tc>
          <w:tcPr>
            <w:tcW w:w="663" w:type="pct"/>
            <w:tcBorders>
              <w:top w:val="single" w:sz="4" w:space="0" w:color="auto"/>
            </w:tcBorders>
          </w:tcPr>
          <w:p w14:paraId="4BCA3F02" w14:textId="77777777" w:rsidR="0050274A" w:rsidRDefault="0050274A">
            <w:pPr>
              <w:widowControl w:val="0"/>
              <w:spacing w:line="360" w:lineRule="auto"/>
              <w:jc w:val="both"/>
              <w:rPr>
                <w:rFonts w:ascii="Book Antiqua" w:eastAsia="宋体" w:hAnsi="Book Antiqua"/>
                <w:bCs/>
                <w:color w:val="000000"/>
                <w:kern w:val="2"/>
              </w:rPr>
            </w:pPr>
          </w:p>
        </w:tc>
        <w:tc>
          <w:tcPr>
            <w:tcW w:w="663" w:type="pct"/>
            <w:tcBorders>
              <w:top w:val="single" w:sz="4" w:space="0" w:color="auto"/>
            </w:tcBorders>
          </w:tcPr>
          <w:p w14:paraId="28E00C57" w14:textId="77777777" w:rsidR="0050274A" w:rsidRDefault="0050274A">
            <w:pPr>
              <w:widowControl w:val="0"/>
              <w:spacing w:line="360" w:lineRule="auto"/>
              <w:jc w:val="both"/>
              <w:rPr>
                <w:rFonts w:ascii="Book Antiqua" w:eastAsia="宋体" w:hAnsi="Book Antiqua"/>
                <w:bCs/>
                <w:color w:val="000000"/>
                <w:kern w:val="2"/>
              </w:rPr>
            </w:pPr>
          </w:p>
        </w:tc>
        <w:tc>
          <w:tcPr>
            <w:tcW w:w="602" w:type="pct"/>
            <w:tcBorders>
              <w:top w:val="single" w:sz="4" w:space="0" w:color="auto"/>
            </w:tcBorders>
          </w:tcPr>
          <w:p w14:paraId="36462C9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1.033</w:t>
            </w:r>
          </w:p>
        </w:tc>
        <w:tc>
          <w:tcPr>
            <w:tcW w:w="362" w:type="pct"/>
            <w:tcBorders>
              <w:top w:val="single" w:sz="4" w:space="0" w:color="auto"/>
            </w:tcBorders>
          </w:tcPr>
          <w:p w14:paraId="3D286AA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0.597</w:t>
            </w:r>
          </w:p>
        </w:tc>
        <w:tc>
          <w:tcPr>
            <w:tcW w:w="722" w:type="pct"/>
            <w:tcBorders>
              <w:top w:val="single" w:sz="4" w:space="0" w:color="auto"/>
            </w:tcBorders>
          </w:tcPr>
          <w:p w14:paraId="52914AEF" w14:textId="77777777" w:rsidR="0050274A" w:rsidRDefault="0050274A">
            <w:pPr>
              <w:widowControl w:val="0"/>
              <w:spacing w:line="360" w:lineRule="auto"/>
              <w:jc w:val="both"/>
              <w:rPr>
                <w:rFonts w:ascii="Book Antiqua" w:eastAsia="宋体" w:hAnsi="Book Antiqua"/>
                <w:bCs/>
                <w:color w:val="000000"/>
                <w:kern w:val="2"/>
              </w:rPr>
            </w:pPr>
          </w:p>
        </w:tc>
      </w:tr>
      <w:tr w:rsidR="0050274A" w14:paraId="502A203E" w14:textId="77777777">
        <w:trPr>
          <w:trHeight w:val="218"/>
        </w:trPr>
        <w:tc>
          <w:tcPr>
            <w:tcW w:w="1145" w:type="pct"/>
          </w:tcPr>
          <w:p w14:paraId="0420F7C9"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Male</w:t>
            </w:r>
          </w:p>
        </w:tc>
        <w:tc>
          <w:tcPr>
            <w:tcW w:w="843" w:type="pct"/>
          </w:tcPr>
          <w:p w14:paraId="7FCE8D1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20</w:t>
            </w:r>
          </w:p>
        </w:tc>
        <w:tc>
          <w:tcPr>
            <w:tcW w:w="663" w:type="pct"/>
          </w:tcPr>
          <w:p w14:paraId="3208B37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18</w:t>
            </w:r>
          </w:p>
        </w:tc>
        <w:tc>
          <w:tcPr>
            <w:tcW w:w="663" w:type="pct"/>
          </w:tcPr>
          <w:p w14:paraId="12D9573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37</w:t>
            </w:r>
          </w:p>
        </w:tc>
        <w:tc>
          <w:tcPr>
            <w:tcW w:w="602" w:type="pct"/>
          </w:tcPr>
          <w:p w14:paraId="36F385F0"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3766216E"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641D393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75</w:t>
            </w:r>
          </w:p>
        </w:tc>
      </w:tr>
      <w:tr w:rsidR="0050274A" w14:paraId="3A0DC975" w14:textId="77777777">
        <w:trPr>
          <w:trHeight w:val="218"/>
        </w:trPr>
        <w:tc>
          <w:tcPr>
            <w:tcW w:w="1145" w:type="pct"/>
          </w:tcPr>
          <w:p w14:paraId="7B23DC1D"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Female</w:t>
            </w:r>
          </w:p>
        </w:tc>
        <w:tc>
          <w:tcPr>
            <w:tcW w:w="843" w:type="pct"/>
          </w:tcPr>
          <w:p w14:paraId="29C02C7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12</w:t>
            </w:r>
          </w:p>
        </w:tc>
        <w:tc>
          <w:tcPr>
            <w:tcW w:w="663" w:type="pct"/>
          </w:tcPr>
          <w:p w14:paraId="4C76824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17</w:t>
            </w:r>
          </w:p>
        </w:tc>
        <w:tc>
          <w:tcPr>
            <w:tcW w:w="663" w:type="pct"/>
          </w:tcPr>
          <w:p w14:paraId="7971E99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33</w:t>
            </w:r>
          </w:p>
        </w:tc>
        <w:tc>
          <w:tcPr>
            <w:tcW w:w="602" w:type="pct"/>
          </w:tcPr>
          <w:p w14:paraId="221A237D"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5FD034B8"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51836D8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52</w:t>
            </w:r>
          </w:p>
        </w:tc>
      </w:tr>
      <w:tr w:rsidR="0050274A" w14:paraId="2F04F8F1" w14:textId="77777777">
        <w:trPr>
          <w:trHeight w:val="226"/>
        </w:trPr>
        <w:tc>
          <w:tcPr>
            <w:tcW w:w="1145" w:type="pct"/>
          </w:tcPr>
          <w:p w14:paraId="3DF6592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Age (yr, mean ± SD)</w:t>
            </w:r>
          </w:p>
        </w:tc>
        <w:tc>
          <w:tcPr>
            <w:tcW w:w="843" w:type="pct"/>
          </w:tcPr>
          <w:p w14:paraId="2EC8251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53.8</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8.5</w:t>
            </w:r>
          </w:p>
        </w:tc>
        <w:tc>
          <w:tcPr>
            <w:tcW w:w="663" w:type="pct"/>
          </w:tcPr>
          <w:p w14:paraId="4F437BA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54.4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7.3</w:t>
            </w:r>
          </w:p>
        </w:tc>
        <w:tc>
          <w:tcPr>
            <w:tcW w:w="663" w:type="pct"/>
          </w:tcPr>
          <w:p w14:paraId="6AEAC9F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54.5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10.3</w:t>
            </w:r>
          </w:p>
        </w:tc>
        <w:tc>
          <w:tcPr>
            <w:tcW w:w="602" w:type="pct"/>
          </w:tcPr>
          <w:p w14:paraId="4C5414C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i/>
                <w:color w:val="000000"/>
              </w:rPr>
              <w:t>t</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0.234</w:t>
            </w:r>
          </w:p>
        </w:tc>
        <w:tc>
          <w:tcPr>
            <w:tcW w:w="362" w:type="pct"/>
          </w:tcPr>
          <w:p w14:paraId="50AEDC4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0.815</w:t>
            </w:r>
          </w:p>
        </w:tc>
        <w:tc>
          <w:tcPr>
            <w:tcW w:w="722" w:type="pct"/>
          </w:tcPr>
          <w:p w14:paraId="5F46826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54.3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9.2</w:t>
            </w:r>
          </w:p>
        </w:tc>
      </w:tr>
      <w:tr w:rsidR="0050274A" w14:paraId="61B9350C" w14:textId="77777777">
        <w:trPr>
          <w:trHeight w:val="218"/>
        </w:trPr>
        <w:tc>
          <w:tcPr>
            <w:tcW w:w="1145" w:type="pct"/>
          </w:tcPr>
          <w:p w14:paraId="6CCEFB6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 xml:space="preserve">Child-Pugh </w:t>
            </w:r>
            <w:r>
              <w:rPr>
                <w:rFonts w:ascii="Book Antiqua" w:hAnsi="Book Antiqua"/>
                <w:bCs/>
                <w:color w:val="000000"/>
                <w:lang w:eastAsia="zh-CN"/>
              </w:rPr>
              <w:t>c</w:t>
            </w:r>
            <w:r>
              <w:rPr>
                <w:rFonts w:ascii="Book Antiqua" w:hAnsi="Book Antiqua"/>
                <w:bCs/>
                <w:color w:val="000000"/>
              </w:rPr>
              <w:t>lassification</w:t>
            </w:r>
          </w:p>
        </w:tc>
        <w:tc>
          <w:tcPr>
            <w:tcW w:w="843" w:type="pct"/>
          </w:tcPr>
          <w:p w14:paraId="5B8EC387" w14:textId="77777777" w:rsidR="0050274A" w:rsidRDefault="0050274A">
            <w:pPr>
              <w:widowControl w:val="0"/>
              <w:spacing w:line="360" w:lineRule="auto"/>
              <w:jc w:val="both"/>
              <w:rPr>
                <w:rFonts w:ascii="Book Antiqua" w:eastAsia="宋体" w:hAnsi="Book Antiqua"/>
                <w:bCs/>
                <w:color w:val="000000"/>
                <w:kern w:val="2"/>
              </w:rPr>
            </w:pPr>
          </w:p>
        </w:tc>
        <w:tc>
          <w:tcPr>
            <w:tcW w:w="663" w:type="pct"/>
          </w:tcPr>
          <w:p w14:paraId="0EF005A9" w14:textId="77777777" w:rsidR="0050274A" w:rsidRDefault="0050274A">
            <w:pPr>
              <w:widowControl w:val="0"/>
              <w:spacing w:line="360" w:lineRule="auto"/>
              <w:jc w:val="both"/>
              <w:rPr>
                <w:rFonts w:ascii="Book Antiqua" w:eastAsia="宋体" w:hAnsi="Book Antiqua"/>
                <w:bCs/>
                <w:color w:val="000000"/>
                <w:kern w:val="2"/>
              </w:rPr>
            </w:pPr>
          </w:p>
        </w:tc>
        <w:tc>
          <w:tcPr>
            <w:tcW w:w="663" w:type="pct"/>
          </w:tcPr>
          <w:p w14:paraId="2915E249" w14:textId="77777777" w:rsidR="0050274A" w:rsidRDefault="0050274A">
            <w:pPr>
              <w:widowControl w:val="0"/>
              <w:spacing w:line="360" w:lineRule="auto"/>
              <w:jc w:val="both"/>
              <w:rPr>
                <w:rFonts w:ascii="Book Antiqua" w:eastAsia="宋体" w:hAnsi="Book Antiqua"/>
                <w:bCs/>
                <w:color w:val="000000"/>
                <w:kern w:val="2"/>
              </w:rPr>
            </w:pPr>
          </w:p>
        </w:tc>
        <w:tc>
          <w:tcPr>
            <w:tcW w:w="602" w:type="pct"/>
          </w:tcPr>
          <w:p w14:paraId="4796E5B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vertAlign w:val="superscript"/>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1.623</w:t>
            </w:r>
          </w:p>
        </w:tc>
        <w:tc>
          <w:tcPr>
            <w:tcW w:w="362" w:type="pct"/>
          </w:tcPr>
          <w:p w14:paraId="02F72CC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0.805</w:t>
            </w:r>
          </w:p>
        </w:tc>
        <w:tc>
          <w:tcPr>
            <w:tcW w:w="722" w:type="pct"/>
          </w:tcPr>
          <w:p w14:paraId="5F7D3723" w14:textId="77777777" w:rsidR="0050274A" w:rsidRDefault="0050274A">
            <w:pPr>
              <w:widowControl w:val="0"/>
              <w:spacing w:line="360" w:lineRule="auto"/>
              <w:jc w:val="both"/>
              <w:rPr>
                <w:rFonts w:ascii="Book Antiqua" w:eastAsia="宋体" w:hAnsi="Book Antiqua"/>
                <w:bCs/>
                <w:color w:val="000000"/>
                <w:kern w:val="2"/>
              </w:rPr>
            </w:pPr>
          </w:p>
        </w:tc>
      </w:tr>
      <w:tr w:rsidR="0050274A" w14:paraId="18525FA0" w14:textId="77777777">
        <w:trPr>
          <w:trHeight w:val="218"/>
        </w:trPr>
        <w:tc>
          <w:tcPr>
            <w:tcW w:w="1145" w:type="pct"/>
          </w:tcPr>
          <w:p w14:paraId="1934FD74"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A</w:t>
            </w:r>
          </w:p>
        </w:tc>
        <w:tc>
          <w:tcPr>
            <w:tcW w:w="843" w:type="pct"/>
          </w:tcPr>
          <w:p w14:paraId="20EC1AC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w:t>
            </w:r>
          </w:p>
        </w:tc>
        <w:tc>
          <w:tcPr>
            <w:tcW w:w="663" w:type="pct"/>
          </w:tcPr>
          <w:p w14:paraId="1CCC947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w:t>
            </w:r>
          </w:p>
        </w:tc>
        <w:tc>
          <w:tcPr>
            <w:tcW w:w="663" w:type="pct"/>
          </w:tcPr>
          <w:p w14:paraId="6F67A3D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21</w:t>
            </w:r>
          </w:p>
        </w:tc>
        <w:tc>
          <w:tcPr>
            <w:tcW w:w="602" w:type="pct"/>
          </w:tcPr>
          <w:p w14:paraId="760470EC"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236D126F"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2A68FA2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44</w:t>
            </w:r>
          </w:p>
        </w:tc>
      </w:tr>
      <w:tr w:rsidR="0050274A" w14:paraId="12FD7B1F" w14:textId="77777777">
        <w:trPr>
          <w:trHeight w:val="226"/>
        </w:trPr>
        <w:tc>
          <w:tcPr>
            <w:tcW w:w="1145" w:type="pct"/>
          </w:tcPr>
          <w:p w14:paraId="2B2B3759"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B</w:t>
            </w:r>
          </w:p>
        </w:tc>
        <w:tc>
          <w:tcPr>
            <w:tcW w:w="843" w:type="pct"/>
          </w:tcPr>
          <w:p w14:paraId="33F709F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18</w:t>
            </w:r>
          </w:p>
        </w:tc>
        <w:tc>
          <w:tcPr>
            <w:tcW w:w="663" w:type="pct"/>
          </w:tcPr>
          <w:p w14:paraId="2746A1F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17</w:t>
            </w:r>
          </w:p>
        </w:tc>
        <w:tc>
          <w:tcPr>
            <w:tcW w:w="663" w:type="pct"/>
          </w:tcPr>
          <w:p w14:paraId="5BBFB0D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37</w:t>
            </w:r>
          </w:p>
        </w:tc>
        <w:tc>
          <w:tcPr>
            <w:tcW w:w="602" w:type="pct"/>
          </w:tcPr>
          <w:p w14:paraId="63F0A9A2"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22A89128"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37D5753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72</w:t>
            </w:r>
          </w:p>
        </w:tc>
      </w:tr>
      <w:tr w:rsidR="0050274A" w14:paraId="6071555F" w14:textId="77777777">
        <w:trPr>
          <w:trHeight w:val="218"/>
        </w:trPr>
        <w:tc>
          <w:tcPr>
            <w:tcW w:w="1145" w:type="pct"/>
          </w:tcPr>
          <w:p w14:paraId="21690F15"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C</w:t>
            </w:r>
          </w:p>
        </w:tc>
        <w:tc>
          <w:tcPr>
            <w:tcW w:w="843" w:type="pct"/>
          </w:tcPr>
          <w:p w14:paraId="567462A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w:t>
            </w:r>
          </w:p>
        </w:tc>
        <w:tc>
          <w:tcPr>
            <w:tcW w:w="663" w:type="pct"/>
          </w:tcPr>
          <w:p w14:paraId="49F9B28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4</w:t>
            </w:r>
          </w:p>
        </w:tc>
        <w:tc>
          <w:tcPr>
            <w:tcW w:w="663" w:type="pct"/>
          </w:tcPr>
          <w:p w14:paraId="0B43BE2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12</w:t>
            </w:r>
          </w:p>
        </w:tc>
        <w:tc>
          <w:tcPr>
            <w:tcW w:w="602" w:type="pct"/>
          </w:tcPr>
          <w:p w14:paraId="40E31D29"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63E287CE"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0480E8D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21</w:t>
            </w:r>
          </w:p>
        </w:tc>
      </w:tr>
      <w:tr w:rsidR="0050274A" w14:paraId="04D06470" w14:textId="77777777">
        <w:trPr>
          <w:trHeight w:val="290"/>
        </w:trPr>
        <w:tc>
          <w:tcPr>
            <w:tcW w:w="1145" w:type="pct"/>
          </w:tcPr>
          <w:p w14:paraId="76E51279"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Child-Pugh score</w:t>
            </w:r>
          </w:p>
        </w:tc>
        <w:tc>
          <w:tcPr>
            <w:tcW w:w="843" w:type="pct"/>
          </w:tcPr>
          <w:p w14:paraId="4D029A8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6.94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1.29</w:t>
            </w:r>
          </w:p>
        </w:tc>
        <w:tc>
          <w:tcPr>
            <w:tcW w:w="663" w:type="pct"/>
          </w:tcPr>
          <w:p w14:paraId="77EFF0F4"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7.46</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2.14</w:t>
            </w:r>
          </w:p>
        </w:tc>
        <w:tc>
          <w:tcPr>
            <w:tcW w:w="663" w:type="pct"/>
          </w:tcPr>
          <w:p w14:paraId="4AFBC9C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7.26</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1.64</w:t>
            </w:r>
          </w:p>
        </w:tc>
        <w:tc>
          <w:tcPr>
            <w:tcW w:w="602" w:type="pct"/>
          </w:tcPr>
          <w:p w14:paraId="387800E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1.119</w:t>
            </w:r>
          </w:p>
        </w:tc>
        <w:tc>
          <w:tcPr>
            <w:tcW w:w="362" w:type="pct"/>
          </w:tcPr>
          <w:p w14:paraId="6EC7673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0.330</w:t>
            </w:r>
          </w:p>
        </w:tc>
        <w:tc>
          <w:tcPr>
            <w:tcW w:w="722" w:type="pct"/>
          </w:tcPr>
          <w:p w14:paraId="72CEDBB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7.31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1.75</w:t>
            </w:r>
          </w:p>
        </w:tc>
      </w:tr>
      <w:tr w:rsidR="0050274A" w14:paraId="17A339ED" w14:textId="77777777">
        <w:trPr>
          <w:trHeight w:val="226"/>
        </w:trPr>
        <w:tc>
          <w:tcPr>
            <w:tcW w:w="1145" w:type="pct"/>
          </w:tcPr>
          <w:p w14:paraId="49A9C58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MELD score</w:t>
            </w:r>
          </w:p>
        </w:tc>
        <w:tc>
          <w:tcPr>
            <w:tcW w:w="843" w:type="pct"/>
          </w:tcPr>
          <w:p w14:paraId="110B7F4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10.37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2.94</w:t>
            </w:r>
          </w:p>
        </w:tc>
        <w:tc>
          <w:tcPr>
            <w:tcW w:w="663" w:type="pct"/>
          </w:tcPr>
          <w:p w14:paraId="011F436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9.69</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2.96</w:t>
            </w:r>
          </w:p>
        </w:tc>
        <w:tc>
          <w:tcPr>
            <w:tcW w:w="663" w:type="pct"/>
          </w:tcPr>
          <w:p w14:paraId="27689FA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10.41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2.93</w:t>
            </w:r>
          </w:p>
        </w:tc>
        <w:tc>
          <w:tcPr>
            <w:tcW w:w="602" w:type="pct"/>
          </w:tcPr>
          <w:p w14:paraId="73C0B09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0.775</w:t>
            </w:r>
          </w:p>
        </w:tc>
        <w:tc>
          <w:tcPr>
            <w:tcW w:w="362" w:type="pct"/>
          </w:tcPr>
          <w:p w14:paraId="424372A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0.463</w:t>
            </w:r>
          </w:p>
        </w:tc>
        <w:tc>
          <w:tcPr>
            <w:tcW w:w="722" w:type="pct"/>
          </w:tcPr>
          <w:p w14:paraId="3093229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10.22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2.93</w:t>
            </w:r>
          </w:p>
        </w:tc>
      </w:tr>
      <w:tr w:rsidR="0050274A" w14:paraId="410B713D" w14:textId="77777777">
        <w:trPr>
          <w:trHeight w:val="218"/>
        </w:trPr>
        <w:tc>
          <w:tcPr>
            <w:tcW w:w="1145" w:type="pct"/>
          </w:tcPr>
          <w:p w14:paraId="6BF1F39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Prothrombin time (s)</w:t>
            </w:r>
          </w:p>
        </w:tc>
        <w:tc>
          <w:tcPr>
            <w:tcW w:w="843" w:type="pct"/>
          </w:tcPr>
          <w:p w14:paraId="3C1BC8E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14.40</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1.86</w:t>
            </w:r>
          </w:p>
        </w:tc>
        <w:tc>
          <w:tcPr>
            <w:tcW w:w="663" w:type="pct"/>
          </w:tcPr>
          <w:p w14:paraId="10F7B504"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15.14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2.81</w:t>
            </w:r>
          </w:p>
        </w:tc>
        <w:tc>
          <w:tcPr>
            <w:tcW w:w="663" w:type="pct"/>
          </w:tcPr>
          <w:p w14:paraId="09E82589"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14.95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2.73</w:t>
            </w:r>
          </w:p>
        </w:tc>
        <w:tc>
          <w:tcPr>
            <w:tcW w:w="602" w:type="pct"/>
          </w:tcPr>
          <w:p w14:paraId="29F4AC6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0.930</w:t>
            </w:r>
          </w:p>
        </w:tc>
        <w:tc>
          <w:tcPr>
            <w:tcW w:w="362" w:type="pct"/>
          </w:tcPr>
          <w:p w14:paraId="2A867E4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0.354</w:t>
            </w:r>
          </w:p>
        </w:tc>
        <w:tc>
          <w:tcPr>
            <w:tcW w:w="722" w:type="pct"/>
          </w:tcPr>
          <w:p w14:paraId="04A8212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14.74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2.59</w:t>
            </w:r>
          </w:p>
        </w:tc>
      </w:tr>
      <w:tr w:rsidR="0050274A" w14:paraId="05659818" w14:textId="77777777">
        <w:trPr>
          <w:trHeight w:val="218"/>
        </w:trPr>
        <w:tc>
          <w:tcPr>
            <w:tcW w:w="1145" w:type="pct"/>
          </w:tcPr>
          <w:p w14:paraId="6F03F5D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Albumin (g/L)</w:t>
            </w:r>
          </w:p>
        </w:tc>
        <w:tc>
          <w:tcPr>
            <w:tcW w:w="843" w:type="pct"/>
          </w:tcPr>
          <w:p w14:paraId="05FC352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35.27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5.65</w:t>
            </w:r>
          </w:p>
        </w:tc>
        <w:tc>
          <w:tcPr>
            <w:tcW w:w="663" w:type="pct"/>
          </w:tcPr>
          <w:p w14:paraId="378F8AB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34.14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5.01</w:t>
            </w:r>
          </w:p>
        </w:tc>
        <w:tc>
          <w:tcPr>
            <w:tcW w:w="663" w:type="pct"/>
          </w:tcPr>
          <w:p w14:paraId="18C9196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34.43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4.33</w:t>
            </w:r>
          </w:p>
        </w:tc>
        <w:tc>
          <w:tcPr>
            <w:tcW w:w="602" w:type="pct"/>
          </w:tcPr>
          <w:p w14:paraId="75E10BA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0.496</w:t>
            </w:r>
          </w:p>
        </w:tc>
        <w:tc>
          <w:tcPr>
            <w:tcW w:w="362" w:type="pct"/>
          </w:tcPr>
          <w:p w14:paraId="5588706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0.610</w:t>
            </w:r>
          </w:p>
        </w:tc>
        <w:tc>
          <w:tcPr>
            <w:tcW w:w="722" w:type="pct"/>
          </w:tcPr>
          <w:p w14:paraId="6E4C6FB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34.55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4.82</w:t>
            </w:r>
          </w:p>
        </w:tc>
      </w:tr>
      <w:tr w:rsidR="0050274A" w14:paraId="66E1033C" w14:textId="77777777">
        <w:trPr>
          <w:trHeight w:val="277"/>
        </w:trPr>
        <w:tc>
          <w:tcPr>
            <w:tcW w:w="1145" w:type="pct"/>
          </w:tcPr>
          <w:p w14:paraId="25888C9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eGFR</w:t>
            </w:r>
            <w:r>
              <w:rPr>
                <w:rFonts w:ascii="Book Antiqua" w:hAnsi="Book Antiqua"/>
                <w:bCs/>
                <w:color w:val="000000"/>
                <w:lang w:eastAsia="zh-CN"/>
              </w:rPr>
              <w:t xml:space="preserve"> </w:t>
            </w:r>
            <w:r>
              <w:rPr>
                <w:rFonts w:ascii="Book Antiqua" w:hAnsi="Book Antiqua"/>
                <w:bCs/>
                <w:color w:val="000000"/>
              </w:rPr>
              <w:t>(mL/min/1.73</w:t>
            </w:r>
            <w:r>
              <w:rPr>
                <w:rFonts w:ascii="Book Antiqua" w:hAnsi="Book Antiqua"/>
                <w:bCs/>
                <w:color w:val="000000"/>
                <w:lang w:eastAsia="zh-CN"/>
              </w:rPr>
              <w:t xml:space="preserve"> </w:t>
            </w:r>
            <w:r>
              <w:rPr>
                <w:rFonts w:ascii="Book Antiqua" w:hAnsi="Book Antiqua"/>
                <w:bCs/>
                <w:color w:val="000000"/>
              </w:rPr>
              <w:t>m</w:t>
            </w:r>
            <w:r>
              <w:rPr>
                <w:rFonts w:ascii="Book Antiqua" w:hAnsi="Book Antiqua"/>
                <w:bCs/>
                <w:color w:val="000000"/>
                <w:vertAlign w:val="superscript"/>
              </w:rPr>
              <w:t>2</w:t>
            </w:r>
            <w:r>
              <w:rPr>
                <w:rFonts w:ascii="Book Antiqua" w:hAnsi="Book Antiqua"/>
                <w:bCs/>
                <w:color w:val="000000"/>
              </w:rPr>
              <w:t>)</w:t>
            </w:r>
          </w:p>
        </w:tc>
        <w:tc>
          <w:tcPr>
            <w:tcW w:w="843" w:type="pct"/>
          </w:tcPr>
          <w:p w14:paraId="0286355B"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91.22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10.67</w:t>
            </w:r>
          </w:p>
        </w:tc>
        <w:tc>
          <w:tcPr>
            <w:tcW w:w="663" w:type="pct"/>
          </w:tcPr>
          <w:p w14:paraId="71B995E2"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90.37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14.24</w:t>
            </w:r>
          </w:p>
        </w:tc>
        <w:tc>
          <w:tcPr>
            <w:tcW w:w="663" w:type="pct"/>
          </w:tcPr>
          <w:p w14:paraId="77B7F749"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90.19</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12.05</w:t>
            </w:r>
          </w:p>
        </w:tc>
        <w:tc>
          <w:tcPr>
            <w:tcW w:w="602" w:type="pct"/>
          </w:tcPr>
          <w:p w14:paraId="6796A9E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0.078</w:t>
            </w:r>
          </w:p>
        </w:tc>
        <w:tc>
          <w:tcPr>
            <w:tcW w:w="362" w:type="pct"/>
          </w:tcPr>
          <w:p w14:paraId="1A01AD0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0.925</w:t>
            </w:r>
          </w:p>
        </w:tc>
        <w:tc>
          <w:tcPr>
            <w:tcW w:w="722" w:type="pct"/>
          </w:tcPr>
          <w:p w14:paraId="4D58E89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90.47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12.27</w:t>
            </w:r>
          </w:p>
        </w:tc>
      </w:tr>
      <w:tr w:rsidR="0050274A" w14:paraId="4B54897B" w14:textId="77777777">
        <w:trPr>
          <w:trHeight w:val="277"/>
        </w:trPr>
        <w:tc>
          <w:tcPr>
            <w:tcW w:w="1145" w:type="pct"/>
          </w:tcPr>
          <w:p w14:paraId="61460F1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Cr</w:t>
            </w:r>
            <w:r>
              <w:rPr>
                <w:rFonts w:ascii="Book Antiqua" w:hAnsi="Book Antiqua"/>
                <w:bCs/>
                <w:color w:val="000000"/>
                <w:lang w:eastAsia="zh-CN"/>
              </w:rPr>
              <w:t xml:space="preserve"> (</w:t>
            </w:r>
            <w:r>
              <w:rPr>
                <w:rFonts w:ascii="Book Antiqua" w:hAnsi="Book Antiqua"/>
                <w:bCs/>
                <w:color w:val="000000"/>
              </w:rPr>
              <w:t>μmol/L</w:t>
            </w:r>
            <w:r>
              <w:rPr>
                <w:rFonts w:ascii="Book Antiqua" w:hAnsi="Book Antiqua"/>
                <w:bCs/>
                <w:color w:val="000000"/>
                <w:lang w:eastAsia="zh-CN"/>
              </w:rPr>
              <w:t>)</w:t>
            </w:r>
          </w:p>
        </w:tc>
        <w:tc>
          <w:tcPr>
            <w:tcW w:w="843" w:type="pct"/>
          </w:tcPr>
          <w:p w14:paraId="57BD5CE3"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75.04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36.60</w:t>
            </w:r>
          </w:p>
        </w:tc>
        <w:tc>
          <w:tcPr>
            <w:tcW w:w="663" w:type="pct"/>
          </w:tcPr>
          <w:p w14:paraId="16A15C84"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78.07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39.72</w:t>
            </w:r>
          </w:p>
        </w:tc>
        <w:tc>
          <w:tcPr>
            <w:tcW w:w="663" w:type="pct"/>
          </w:tcPr>
          <w:p w14:paraId="4766E495"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71.56</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23.70</w:t>
            </w:r>
          </w:p>
        </w:tc>
        <w:tc>
          <w:tcPr>
            <w:tcW w:w="602" w:type="pct"/>
          </w:tcPr>
          <w:p w14:paraId="515BFD8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0.940</w:t>
            </w:r>
          </w:p>
        </w:tc>
        <w:tc>
          <w:tcPr>
            <w:tcW w:w="362" w:type="pct"/>
          </w:tcPr>
          <w:p w14:paraId="511AC06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0.349</w:t>
            </w:r>
          </w:p>
        </w:tc>
        <w:tc>
          <w:tcPr>
            <w:tcW w:w="722" w:type="pct"/>
          </w:tcPr>
          <w:p w14:paraId="0A53C90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74.04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31.51</w:t>
            </w:r>
          </w:p>
        </w:tc>
      </w:tr>
      <w:tr w:rsidR="0050274A" w14:paraId="1D2C867A" w14:textId="77777777">
        <w:trPr>
          <w:trHeight w:val="277"/>
        </w:trPr>
        <w:tc>
          <w:tcPr>
            <w:tcW w:w="1145" w:type="pct"/>
          </w:tcPr>
          <w:p w14:paraId="052B0F6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Total bilirubin (μmol/L)</w:t>
            </w:r>
          </w:p>
        </w:tc>
        <w:tc>
          <w:tcPr>
            <w:tcW w:w="843" w:type="pct"/>
          </w:tcPr>
          <w:p w14:paraId="5FFA7C1E"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36.83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14.74</w:t>
            </w:r>
          </w:p>
        </w:tc>
        <w:tc>
          <w:tcPr>
            <w:tcW w:w="663" w:type="pct"/>
          </w:tcPr>
          <w:p w14:paraId="2778705A"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38.62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17.21</w:t>
            </w:r>
          </w:p>
        </w:tc>
        <w:tc>
          <w:tcPr>
            <w:tcW w:w="663" w:type="pct"/>
          </w:tcPr>
          <w:p w14:paraId="527B0449"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34.10</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15.69</w:t>
            </w:r>
          </w:p>
        </w:tc>
        <w:tc>
          <w:tcPr>
            <w:tcW w:w="602" w:type="pct"/>
          </w:tcPr>
          <w:p w14:paraId="54604B5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0.868</w:t>
            </w:r>
          </w:p>
        </w:tc>
        <w:tc>
          <w:tcPr>
            <w:tcW w:w="362" w:type="pct"/>
          </w:tcPr>
          <w:p w14:paraId="0D366AB9"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0.387</w:t>
            </w:r>
          </w:p>
        </w:tc>
        <w:tc>
          <w:tcPr>
            <w:tcW w:w="722" w:type="pct"/>
          </w:tcPr>
          <w:p w14:paraId="7BA8FE3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35.89</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15.89</w:t>
            </w:r>
          </w:p>
        </w:tc>
      </w:tr>
      <w:tr w:rsidR="0050274A" w14:paraId="697A82DD" w14:textId="77777777">
        <w:trPr>
          <w:trHeight w:val="348"/>
        </w:trPr>
        <w:tc>
          <w:tcPr>
            <w:tcW w:w="1145" w:type="pct"/>
          </w:tcPr>
          <w:p w14:paraId="502FC6B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PPG before TIPS (mmHg)</w:t>
            </w:r>
          </w:p>
        </w:tc>
        <w:tc>
          <w:tcPr>
            <w:tcW w:w="843" w:type="pct"/>
          </w:tcPr>
          <w:p w14:paraId="53E756D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25.41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4.82</w:t>
            </w:r>
          </w:p>
        </w:tc>
        <w:tc>
          <w:tcPr>
            <w:tcW w:w="663" w:type="pct"/>
          </w:tcPr>
          <w:p w14:paraId="6CFC23D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25.71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5.49</w:t>
            </w:r>
          </w:p>
        </w:tc>
        <w:tc>
          <w:tcPr>
            <w:tcW w:w="663" w:type="pct"/>
          </w:tcPr>
          <w:p w14:paraId="1FF7DAD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25.84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5.49</w:t>
            </w:r>
          </w:p>
        </w:tc>
        <w:tc>
          <w:tcPr>
            <w:tcW w:w="602" w:type="pct"/>
          </w:tcPr>
          <w:p w14:paraId="0293BED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0.073</w:t>
            </w:r>
          </w:p>
        </w:tc>
        <w:tc>
          <w:tcPr>
            <w:tcW w:w="362" w:type="pct"/>
          </w:tcPr>
          <w:p w14:paraId="790C987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0.929</w:t>
            </w:r>
          </w:p>
        </w:tc>
        <w:tc>
          <w:tcPr>
            <w:tcW w:w="722" w:type="pct"/>
          </w:tcPr>
          <w:p w14:paraId="7342EC9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25.71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5.31</w:t>
            </w:r>
          </w:p>
        </w:tc>
      </w:tr>
      <w:tr w:rsidR="0050274A" w14:paraId="30B5AC81" w14:textId="77777777">
        <w:trPr>
          <w:trHeight w:val="313"/>
        </w:trPr>
        <w:tc>
          <w:tcPr>
            <w:tcW w:w="1145" w:type="pct"/>
          </w:tcPr>
          <w:p w14:paraId="1BFB52C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PPG after TIPS (mmHg)</w:t>
            </w:r>
          </w:p>
        </w:tc>
        <w:tc>
          <w:tcPr>
            <w:tcW w:w="843" w:type="pct"/>
          </w:tcPr>
          <w:p w14:paraId="13A40EE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9.52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2.28</w:t>
            </w:r>
          </w:p>
        </w:tc>
        <w:tc>
          <w:tcPr>
            <w:tcW w:w="663" w:type="pct"/>
          </w:tcPr>
          <w:p w14:paraId="17DCE05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9.97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3.04</w:t>
            </w:r>
          </w:p>
        </w:tc>
        <w:tc>
          <w:tcPr>
            <w:tcW w:w="663" w:type="pct"/>
          </w:tcPr>
          <w:p w14:paraId="0F96CEA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10.13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2.81</w:t>
            </w:r>
          </w:p>
        </w:tc>
        <w:tc>
          <w:tcPr>
            <w:tcW w:w="602" w:type="pct"/>
          </w:tcPr>
          <w:p w14:paraId="2781E7B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0.530</w:t>
            </w:r>
          </w:p>
        </w:tc>
        <w:tc>
          <w:tcPr>
            <w:tcW w:w="362" w:type="pct"/>
          </w:tcPr>
          <w:p w14:paraId="3DA2CFD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0.590</w:t>
            </w:r>
          </w:p>
        </w:tc>
        <w:tc>
          <w:tcPr>
            <w:tcW w:w="722" w:type="pct"/>
          </w:tcPr>
          <w:p w14:paraId="2A0C30B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9,95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2.75</w:t>
            </w:r>
          </w:p>
        </w:tc>
      </w:tr>
      <w:tr w:rsidR="0050274A" w14:paraId="41C0DDD9" w14:textId="77777777">
        <w:trPr>
          <w:trHeight w:val="311"/>
        </w:trPr>
        <w:tc>
          <w:tcPr>
            <w:tcW w:w="1145" w:type="pct"/>
          </w:tcPr>
          <w:p w14:paraId="44A7AA6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 xml:space="preserve">Deaths in 24 mo, </w:t>
            </w:r>
            <w:r>
              <w:rPr>
                <w:rFonts w:ascii="Book Antiqua" w:hAnsi="Book Antiqua"/>
                <w:bCs/>
                <w:i/>
                <w:color w:val="000000"/>
              </w:rPr>
              <w:t>n</w:t>
            </w:r>
            <w:r>
              <w:rPr>
                <w:rFonts w:ascii="Book Antiqua" w:hAnsi="Book Antiqua"/>
                <w:bCs/>
                <w:color w:val="000000"/>
              </w:rPr>
              <w:t xml:space="preserve"> (%)</w:t>
            </w:r>
          </w:p>
        </w:tc>
        <w:tc>
          <w:tcPr>
            <w:tcW w:w="843" w:type="pct"/>
          </w:tcPr>
          <w:p w14:paraId="6F410D9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3</w:t>
            </w:r>
            <w:r>
              <w:rPr>
                <w:rFonts w:ascii="Book Antiqua" w:hAnsi="Book Antiqua"/>
                <w:bCs/>
                <w:color w:val="000000"/>
                <w:lang w:eastAsia="zh-CN"/>
              </w:rPr>
              <w:t xml:space="preserve"> (</w:t>
            </w:r>
            <w:r>
              <w:rPr>
                <w:rFonts w:ascii="Book Antiqua" w:hAnsi="Book Antiqua"/>
                <w:bCs/>
                <w:color w:val="000000"/>
              </w:rPr>
              <w:t>9.4</w:t>
            </w:r>
            <w:r>
              <w:rPr>
                <w:rFonts w:ascii="Book Antiqua" w:hAnsi="Book Antiqua"/>
                <w:bCs/>
                <w:color w:val="000000"/>
                <w:lang w:eastAsia="zh-CN"/>
              </w:rPr>
              <w:t>)</w:t>
            </w:r>
          </w:p>
        </w:tc>
        <w:tc>
          <w:tcPr>
            <w:tcW w:w="663" w:type="pct"/>
          </w:tcPr>
          <w:p w14:paraId="2DB2D0A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4</w:t>
            </w:r>
            <w:r>
              <w:rPr>
                <w:rFonts w:ascii="Book Antiqua" w:hAnsi="Book Antiqua"/>
                <w:bCs/>
                <w:color w:val="000000"/>
                <w:lang w:eastAsia="zh-CN"/>
              </w:rPr>
              <w:t xml:space="preserve"> (</w:t>
            </w:r>
            <w:r>
              <w:rPr>
                <w:rFonts w:ascii="Book Antiqua" w:hAnsi="Book Antiqua"/>
                <w:bCs/>
                <w:color w:val="000000"/>
              </w:rPr>
              <w:t>11.4</w:t>
            </w:r>
            <w:r>
              <w:rPr>
                <w:rFonts w:ascii="Book Antiqua" w:hAnsi="Book Antiqua"/>
                <w:bCs/>
                <w:color w:val="000000"/>
                <w:lang w:eastAsia="zh-CN"/>
              </w:rPr>
              <w:t>)</w:t>
            </w:r>
          </w:p>
        </w:tc>
        <w:tc>
          <w:tcPr>
            <w:tcW w:w="663" w:type="pct"/>
          </w:tcPr>
          <w:p w14:paraId="3FFAF061"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10</w:t>
            </w:r>
            <w:r>
              <w:rPr>
                <w:rFonts w:ascii="Book Antiqua" w:hAnsi="Book Antiqua"/>
                <w:bCs/>
                <w:color w:val="000000"/>
                <w:lang w:eastAsia="zh-CN"/>
              </w:rPr>
              <w:t xml:space="preserve"> (</w:t>
            </w:r>
            <w:r>
              <w:rPr>
                <w:rFonts w:ascii="Book Antiqua" w:hAnsi="Book Antiqua"/>
                <w:bCs/>
                <w:color w:val="000000"/>
              </w:rPr>
              <w:t>14.3</w:t>
            </w:r>
            <w:r>
              <w:rPr>
                <w:rFonts w:ascii="Book Antiqua" w:hAnsi="Book Antiqua"/>
                <w:bCs/>
                <w:color w:val="000000"/>
                <w:lang w:eastAsia="zh-CN"/>
              </w:rPr>
              <w:t>)</w:t>
            </w:r>
          </w:p>
        </w:tc>
        <w:tc>
          <w:tcPr>
            <w:tcW w:w="602" w:type="pct"/>
          </w:tcPr>
          <w:p w14:paraId="18E49A0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vertAlign w:val="superscript"/>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0.517</w:t>
            </w:r>
          </w:p>
        </w:tc>
        <w:tc>
          <w:tcPr>
            <w:tcW w:w="362" w:type="pct"/>
          </w:tcPr>
          <w:p w14:paraId="14F68BE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0.772</w:t>
            </w:r>
          </w:p>
        </w:tc>
        <w:tc>
          <w:tcPr>
            <w:tcW w:w="722" w:type="pct"/>
          </w:tcPr>
          <w:p w14:paraId="5162436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17</w:t>
            </w:r>
            <w:r>
              <w:rPr>
                <w:rFonts w:ascii="Book Antiqua" w:hAnsi="Book Antiqua"/>
                <w:bCs/>
                <w:color w:val="000000"/>
                <w:lang w:eastAsia="zh-CN"/>
              </w:rPr>
              <w:t xml:space="preserve"> </w:t>
            </w:r>
            <w:r>
              <w:rPr>
                <w:rFonts w:ascii="Book Antiqua" w:hAnsi="Book Antiqua"/>
                <w:bCs/>
                <w:color w:val="000000"/>
              </w:rPr>
              <w:t>(13.7)</w:t>
            </w:r>
          </w:p>
        </w:tc>
      </w:tr>
      <w:tr w:rsidR="0050274A" w14:paraId="3EA31BBF" w14:textId="77777777">
        <w:trPr>
          <w:trHeight w:val="311"/>
        </w:trPr>
        <w:tc>
          <w:tcPr>
            <w:tcW w:w="1145" w:type="pct"/>
          </w:tcPr>
          <w:p w14:paraId="1F0BAB5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HCC in 24 mo,</w:t>
            </w:r>
            <w:r>
              <w:rPr>
                <w:rFonts w:ascii="Book Antiqua" w:hAnsi="Book Antiqua"/>
                <w:bCs/>
                <w:color w:val="000000"/>
                <w:lang w:eastAsia="zh-CN"/>
              </w:rPr>
              <w:t xml:space="preserve"> </w:t>
            </w:r>
            <w:r>
              <w:rPr>
                <w:rFonts w:ascii="Book Antiqua" w:hAnsi="Book Antiqua"/>
                <w:bCs/>
                <w:i/>
                <w:color w:val="000000"/>
              </w:rPr>
              <w:t>n</w:t>
            </w:r>
            <w:r>
              <w:rPr>
                <w:rFonts w:ascii="Book Antiqua" w:hAnsi="Book Antiqua"/>
                <w:bCs/>
                <w:color w:val="000000"/>
              </w:rPr>
              <w:t xml:space="preserve"> (%)</w:t>
            </w:r>
          </w:p>
        </w:tc>
        <w:tc>
          <w:tcPr>
            <w:tcW w:w="843" w:type="pct"/>
          </w:tcPr>
          <w:p w14:paraId="1DB91CD2"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2</w:t>
            </w:r>
            <w:r>
              <w:rPr>
                <w:rFonts w:ascii="Book Antiqua" w:hAnsi="Book Antiqua"/>
                <w:bCs/>
                <w:color w:val="000000"/>
                <w:lang w:eastAsia="zh-CN"/>
              </w:rPr>
              <w:t xml:space="preserve"> (</w:t>
            </w:r>
            <w:r>
              <w:rPr>
                <w:rFonts w:ascii="Book Antiqua" w:hAnsi="Book Antiqua"/>
                <w:bCs/>
                <w:color w:val="000000"/>
              </w:rPr>
              <w:t>6.3</w:t>
            </w:r>
            <w:r>
              <w:rPr>
                <w:rFonts w:ascii="Book Antiqua" w:hAnsi="Book Antiqua"/>
                <w:bCs/>
                <w:color w:val="000000"/>
                <w:lang w:eastAsia="zh-CN"/>
              </w:rPr>
              <w:t>)</w:t>
            </w:r>
          </w:p>
        </w:tc>
        <w:tc>
          <w:tcPr>
            <w:tcW w:w="663" w:type="pct"/>
          </w:tcPr>
          <w:p w14:paraId="61937390"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2</w:t>
            </w:r>
            <w:r>
              <w:rPr>
                <w:rFonts w:ascii="Book Antiqua" w:hAnsi="Book Antiqua"/>
                <w:bCs/>
                <w:color w:val="000000"/>
                <w:lang w:eastAsia="zh-CN"/>
              </w:rPr>
              <w:t xml:space="preserve"> (</w:t>
            </w:r>
            <w:r>
              <w:rPr>
                <w:rFonts w:ascii="Book Antiqua" w:hAnsi="Book Antiqua"/>
                <w:bCs/>
                <w:color w:val="000000"/>
              </w:rPr>
              <w:t>5.7</w:t>
            </w:r>
            <w:r>
              <w:rPr>
                <w:rFonts w:ascii="Book Antiqua" w:hAnsi="Book Antiqua"/>
                <w:bCs/>
                <w:color w:val="000000"/>
                <w:lang w:eastAsia="zh-CN"/>
              </w:rPr>
              <w:t>)</w:t>
            </w:r>
          </w:p>
        </w:tc>
        <w:tc>
          <w:tcPr>
            <w:tcW w:w="663" w:type="pct"/>
          </w:tcPr>
          <w:p w14:paraId="70C53BE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7</w:t>
            </w:r>
            <w:r>
              <w:rPr>
                <w:rFonts w:ascii="Book Antiqua" w:hAnsi="Book Antiqua"/>
                <w:bCs/>
                <w:color w:val="000000"/>
                <w:lang w:eastAsia="zh-CN"/>
              </w:rPr>
              <w:t xml:space="preserve"> (</w:t>
            </w:r>
            <w:r>
              <w:rPr>
                <w:rFonts w:ascii="Book Antiqua" w:hAnsi="Book Antiqua"/>
                <w:bCs/>
                <w:color w:val="000000"/>
              </w:rPr>
              <w:t>10</w:t>
            </w:r>
            <w:r>
              <w:rPr>
                <w:rFonts w:ascii="Book Antiqua" w:hAnsi="Book Antiqua"/>
                <w:bCs/>
                <w:color w:val="000000"/>
                <w:lang w:eastAsia="zh-CN"/>
              </w:rPr>
              <w:t>)</w:t>
            </w:r>
          </w:p>
        </w:tc>
        <w:tc>
          <w:tcPr>
            <w:tcW w:w="602" w:type="pct"/>
          </w:tcPr>
          <w:p w14:paraId="59979F3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0.712</w:t>
            </w:r>
          </w:p>
        </w:tc>
        <w:tc>
          <w:tcPr>
            <w:tcW w:w="362" w:type="pct"/>
          </w:tcPr>
          <w:p w14:paraId="28C34DA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0.700</w:t>
            </w:r>
          </w:p>
        </w:tc>
        <w:tc>
          <w:tcPr>
            <w:tcW w:w="722" w:type="pct"/>
          </w:tcPr>
          <w:p w14:paraId="6786EF9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11</w:t>
            </w:r>
            <w:r>
              <w:rPr>
                <w:rFonts w:ascii="Book Antiqua" w:hAnsi="Book Antiqua"/>
                <w:bCs/>
                <w:color w:val="000000"/>
                <w:lang w:eastAsia="zh-CN"/>
              </w:rPr>
              <w:t xml:space="preserve"> </w:t>
            </w:r>
            <w:r>
              <w:rPr>
                <w:rFonts w:ascii="Book Antiqua" w:hAnsi="Book Antiqua"/>
                <w:bCs/>
                <w:color w:val="000000"/>
              </w:rPr>
              <w:t>(9.3)</w:t>
            </w:r>
          </w:p>
        </w:tc>
      </w:tr>
      <w:tr w:rsidR="0050274A" w14:paraId="0DECD1B3" w14:textId="77777777">
        <w:trPr>
          <w:trHeight w:val="340"/>
        </w:trPr>
        <w:tc>
          <w:tcPr>
            <w:tcW w:w="1145" w:type="pct"/>
          </w:tcPr>
          <w:p w14:paraId="126C53B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HE in 24 mo,</w:t>
            </w:r>
            <w:r>
              <w:rPr>
                <w:rFonts w:ascii="Book Antiqua" w:hAnsi="Book Antiqua"/>
                <w:bCs/>
                <w:color w:val="000000"/>
                <w:lang w:eastAsia="zh-CN"/>
              </w:rPr>
              <w:t xml:space="preserve"> </w:t>
            </w:r>
            <w:r>
              <w:rPr>
                <w:rFonts w:ascii="Book Antiqua" w:hAnsi="Book Antiqua"/>
                <w:bCs/>
                <w:i/>
                <w:color w:val="000000"/>
              </w:rPr>
              <w:t>n</w:t>
            </w:r>
            <w:r>
              <w:rPr>
                <w:rFonts w:ascii="Book Antiqua" w:hAnsi="Book Antiqua"/>
                <w:bCs/>
                <w:color w:val="000000"/>
              </w:rPr>
              <w:t xml:space="preserve"> (%)</w:t>
            </w:r>
          </w:p>
        </w:tc>
        <w:tc>
          <w:tcPr>
            <w:tcW w:w="843" w:type="pct"/>
          </w:tcPr>
          <w:p w14:paraId="60D376F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6</w:t>
            </w:r>
            <w:r>
              <w:rPr>
                <w:rFonts w:ascii="Book Antiqua" w:hAnsi="Book Antiqua"/>
                <w:bCs/>
                <w:color w:val="000000"/>
                <w:lang w:eastAsia="zh-CN"/>
              </w:rPr>
              <w:t xml:space="preserve"> (</w:t>
            </w:r>
            <w:r>
              <w:rPr>
                <w:rFonts w:ascii="Book Antiqua" w:hAnsi="Book Antiqua"/>
                <w:bCs/>
                <w:color w:val="000000"/>
              </w:rPr>
              <w:t>18.8</w:t>
            </w:r>
            <w:r>
              <w:rPr>
                <w:rFonts w:ascii="Book Antiqua" w:hAnsi="Book Antiqua"/>
                <w:bCs/>
                <w:color w:val="000000"/>
                <w:lang w:eastAsia="zh-CN"/>
              </w:rPr>
              <w:t>)</w:t>
            </w:r>
          </w:p>
        </w:tc>
        <w:tc>
          <w:tcPr>
            <w:tcW w:w="663" w:type="pct"/>
          </w:tcPr>
          <w:p w14:paraId="2B875DB0"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8</w:t>
            </w:r>
            <w:r>
              <w:rPr>
                <w:rFonts w:ascii="Book Antiqua" w:hAnsi="Book Antiqua"/>
                <w:bCs/>
                <w:color w:val="000000"/>
                <w:lang w:eastAsia="zh-CN"/>
              </w:rPr>
              <w:t xml:space="preserve"> (</w:t>
            </w:r>
            <w:r>
              <w:rPr>
                <w:rFonts w:ascii="Book Antiqua" w:hAnsi="Book Antiqua"/>
                <w:bCs/>
                <w:color w:val="000000"/>
              </w:rPr>
              <w:t>22.9</w:t>
            </w:r>
            <w:r>
              <w:rPr>
                <w:rFonts w:ascii="Book Antiqua" w:hAnsi="Book Antiqua"/>
                <w:bCs/>
                <w:color w:val="000000"/>
                <w:lang w:eastAsia="zh-CN"/>
              </w:rPr>
              <w:t>)</w:t>
            </w:r>
          </w:p>
        </w:tc>
        <w:tc>
          <w:tcPr>
            <w:tcW w:w="663" w:type="pct"/>
          </w:tcPr>
          <w:p w14:paraId="0321E3C3"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18</w:t>
            </w:r>
            <w:r>
              <w:rPr>
                <w:rFonts w:ascii="Book Antiqua" w:hAnsi="Book Antiqua"/>
                <w:bCs/>
                <w:color w:val="000000"/>
                <w:lang w:eastAsia="zh-CN"/>
              </w:rPr>
              <w:t xml:space="preserve"> (</w:t>
            </w:r>
            <w:r>
              <w:rPr>
                <w:rFonts w:ascii="Book Antiqua" w:hAnsi="Book Antiqua"/>
                <w:bCs/>
                <w:color w:val="000000"/>
              </w:rPr>
              <w:t>25.7</w:t>
            </w:r>
            <w:r>
              <w:rPr>
                <w:rFonts w:ascii="Book Antiqua" w:hAnsi="Book Antiqua"/>
                <w:bCs/>
                <w:color w:val="000000"/>
                <w:lang w:eastAsia="zh-CN"/>
              </w:rPr>
              <w:t>)</w:t>
            </w:r>
          </w:p>
        </w:tc>
        <w:tc>
          <w:tcPr>
            <w:tcW w:w="602" w:type="pct"/>
          </w:tcPr>
          <w:p w14:paraId="462B538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0.770</w:t>
            </w:r>
          </w:p>
        </w:tc>
        <w:tc>
          <w:tcPr>
            <w:tcW w:w="362" w:type="pct"/>
          </w:tcPr>
          <w:p w14:paraId="072F6764"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0.681</w:t>
            </w:r>
          </w:p>
        </w:tc>
        <w:tc>
          <w:tcPr>
            <w:tcW w:w="722" w:type="pct"/>
          </w:tcPr>
          <w:p w14:paraId="409E248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32</w:t>
            </w:r>
            <w:r>
              <w:rPr>
                <w:rFonts w:ascii="Book Antiqua" w:hAnsi="Book Antiqua"/>
                <w:bCs/>
                <w:color w:val="000000"/>
                <w:lang w:eastAsia="zh-CN"/>
              </w:rPr>
              <w:t xml:space="preserve"> </w:t>
            </w:r>
            <w:r>
              <w:rPr>
                <w:rFonts w:ascii="Book Antiqua" w:hAnsi="Book Antiqua"/>
                <w:bCs/>
                <w:color w:val="000000"/>
              </w:rPr>
              <w:t>(25.4)</w:t>
            </w:r>
          </w:p>
        </w:tc>
      </w:tr>
    </w:tbl>
    <w:p w14:paraId="51357467" w14:textId="77777777" w:rsidR="0050274A" w:rsidRDefault="001D7A10">
      <w:pPr>
        <w:spacing w:line="360" w:lineRule="auto"/>
        <w:jc w:val="both"/>
        <w:rPr>
          <w:rFonts w:ascii="Book Antiqua" w:hAnsi="Book Antiqua"/>
          <w:bCs/>
          <w:color w:val="000000"/>
          <w:lang w:eastAsia="zh-CN"/>
        </w:rPr>
      </w:pPr>
      <w:r>
        <w:rPr>
          <w:rFonts w:ascii="Book Antiqua" w:hAnsi="Book Antiqua"/>
          <w:bCs/>
          <w:color w:val="000000"/>
        </w:rPr>
        <w:t xml:space="preserve">MELD: Model for end-stage liver disease; TIPS: Transjugular intrahepatic portosystemic shunt; PPG: Portal pressure gradient; HE: Hepatic encephalopathy; HCC: Hepatocellular carcinoma; eGFR: Estimated </w:t>
      </w:r>
      <w:r>
        <w:rPr>
          <w:rFonts w:ascii="Book Antiqua" w:hAnsi="Book Antiqua" w:hint="eastAsia"/>
          <w:bCs/>
          <w:color w:val="000000"/>
          <w:lang w:eastAsia="zh-CN"/>
        </w:rPr>
        <w:t>g</w:t>
      </w:r>
      <w:r>
        <w:rPr>
          <w:rFonts w:ascii="Book Antiqua" w:hAnsi="Book Antiqua"/>
          <w:bCs/>
          <w:color w:val="000000"/>
        </w:rPr>
        <w:t>lomerular filtration rate</w:t>
      </w:r>
      <w:r>
        <w:rPr>
          <w:rFonts w:ascii="Book Antiqua" w:hAnsi="Book Antiqua"/>
          <w:bCs/>
          <w:color w:val="000000"/>
          <w:lang w:eastAsia="zh-CN"/>
        </w:rPr>
        <w:t xml:space="preserve">; </w:t>
      </w:r>
      <w:r>
        <w:rPr>
          <w:rFonts w:ascii="Book Antiqua" w:hAnsi="Book Antiqua"/>
          <w:lang w:eastAsia="zh-CN"/>
        </w:rPr>
        <w:t xml:space="preserve">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p>
    <w:p w14:paraId="0ABF6BFD" w14:textId="77777777" w:rsidR="0050274A" w:rsidRDefault="001D7A10">
      <w:pPr>
        <w:spacing w:line="360" w:lineRule="auto"/>
        <w:jc w:val="both"/>
        <w:rPr>
          <w:rFonts w:ascii="Book Antiqua" w:eastAsia="等线" w:hAnsi="Book Antiqua"/>
          <w:b/>
          <w:bCs/>
          <w:color w:val="000000"/>
        </w:rPr>
      </w:pPr>
      <w:r>
        <w:rPr>
          <w:rFonts w:ascii="Book Antiqua" w:hAnsi="Book Antiqua"/>
          <w:lang w:eastAsia="zh-CN"/>
        </w:rPr>
        <w:br w:type="page"/>
      </w:r>
      <w:r>
        <w:rPr>
          <w:rFonts w:ascii="Book Antiqua" w:hAnsi="Book Antiqua"/>
          <w:b/>
          <w:bCs/>
          <w:color w:val="000000"/>
        </w:rPr>
        <w:t>Table 2 Child-Pugh constituent ratio</w:t>
      </w:r>
    </w:p>
    <w:tbl>
      <w:tblPr>
        <w:tblStyle w:val="a8"/>
        <w:tblW w:w="6095" w:type="pct"/>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17"/>
        <w:gridCol w:w="1560"/>
        <w:gridCol w:w="1634"/>
        <w:gridCol w:w="1828"/>
        <w:gridCol w:w="1767"/>
        <w:gridCol w:w="1765"/>
      </w:tblGrid>
      <w:tr w:rsidR="0050274A" w14:paraId="7EAB5242" w14:textId="77777777">
        <w:tc>
          <w:tcPr>
            <w:tcW w:w="729" w:type="pct"/>
            <w:tcBorders>
              <w:top w:val="single" w:sz="4" w:space="0" w:color="auto"/>
              <w:bottom w:val="single" w:sz="4" w:space="0" w:color="auto"/>
            </w:tcBorders>
          </w:tcPr>
          <w:p w14:paraId="6C9E70D8" w14:textId="77777777" w:rsidR="0050274A" w:rsidRDefault="0050274A">
            <w:pPr>
              <w:widowControl w:val="0"/>
              <w:spacing w:line="360" w:lineRule="auto"/>
              <w:jc w:val="both"/>
              <w:rPr>
                <w:rFonts w:ascii="Book Antiqua" w:hAnsi="Book Antiqua"/>
                <w:b/>
                <w:bCs/>
                <w:lang w:eastAsia="zh-CN"/>
              </w:rPr>
            </w:pPr>
          </w:p>
        </w:tc>
        <w:tc>
          <w:tcPr>
            <w:tcW w:w="607" w:type="pct"/>
            <w:tcBorders>
              <w:top w:val="single" w:sz="4" w:space="0" w:color="auto"/>
              <w:bottom w:val="single" w:sz="4" w:space="0" w:color="auto"/>
            </w:tcBorders>
          </w:tcPr>
          <w:p w14:paraId="155C078E"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Baseline</w:t>
            </w:r>
          </w:p>
        </w:tc>
        <w:tc>
          <w:tcPr>
            <w:tcW w:w="668" w:type="pct"/>
            <w:tcBorders>
              <w:top w:val="single" w:sz="4" w:space="0" w:color="auto"/>
              <w:bottom w:val="single" w:sz="4" w:space="0" w:color="auto"/>
            </w:tcBorders>
          </w:tcPr>
          <w:p w14:paraId="069A9A72"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1 mo</w:t>
            </w:r>
          </w:p>
        </w:tc>
        <w:tc>
          <w:tcPr>
            <w:tcW w:w="700" w:type="pct"/>
            <w:tcBorders>
              <w:top w:val="single" w:sz="4" w:space="0" w:color="auto"/>
              <w:bottom w:val="single" w:sz="4" w:space="0" w:color="auto"/>
            </w:tcBorders>
          </w:tcPr>
          <w:p w14:paraId="7423C24E"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3 mo</w:t>
            </w:r>
          </w:p>
        </w:tc>
        <w:tc>
          <w:tcPr>
            <w:tcW w:w="783" w:type="pct"/>
            <w:tcBorders>
              <w:top w:val="single" w:sz="4" w:space="0" w:color="auto"/>
              <w:bottom w:val="single" w:sz="4" w:space="0" w:color="auto"/>
            </w:tcBorders>
          </w:tcPr>
          <w:p w14:paraId="1AE221B3"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6 mo</w:t>
            </w:r>
          </w:p>
        </w:tc>
        <w:tc>
          <w:tcPr>
            <w:tcW w:w="757" w:type="pct"/>
            <w:tcBorders>
              <w:top w:val="single" w:sz="4" w:space="0" w:color="auto"/>
              <w:bottom w:val="single" w:sz="4" w:space="0" w:color="auto"/>
            </w:tcBorders>
          </w:tcPr>
          <w:p w14:paraId="70339123"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12 mo</w:t>
            </w:r>
          </w:p>
        </w:tc>
        <w:tc>
          <w:tcPr>
            <w:tcW w:w="756" w:type="pct"/>
            <w:tcBorders>
              <w:top w:val="single" w:sz="4" w:space="0" w:color="auto"/>
              <w:bottom w:val="single" w:sz="4" w:space="0" w:color="auto"/>
            </w:tcBorders>
          </w:tcPr>
          <w:p w14:paraId="0553E600"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24 mo</w:t>
            </w:r>
          </w:p>
        </w:tc>
      </w:tr>
      <w:tr w:rsidR="0050274A" w14:paraId="51A8F7B1" w14:textId="77777777">
        <w:tc>
          <w:tcPr>
            <w:tcW w:w="729" w:type="pct"/>
            <w:tcBorders>
              <w:top w:val="single" w:sz="4" w:space="0" w:color="auto"/>
            </w:tcBorders>
          </w:tcPr>
          <w:p w14:paraId="0D7F9A07"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TAF</w:t>
            </w:r>
            <w:r>
              <w:rPr>
                <w:rFonts w:ascii="Book Antiqua" w:hAnsi="Book Antiqua"/>
                <w:bCs/>
                <w:color w:val="000000"/>
                <w:lang w:eastAsia="zh-CN"/>
              </w:rPr>
              <w:t xml:space="preserve">, </w:t>
            </w:r>
            <w:r>
              <w:rPr>
                <w:rFonts w:ascii="Book Antiqua" w:hAnsi="Book Antiqua"/>
                <w:bCs/>
                <w:i/>
                <w:color w:val="000000"/>
                <w:lang w:eastAsia="zh-CN"/>
              </w:rPr>
              <w:t>n</w:t>
            </w:r>
            <w:r>
              <w:rPr>
                <w:rFonts w:ascii="Book Antiqua" w:hAnsi="Book Antiqua"/>
                <w:bCs/>
                <w:color w:val="000000"/>
                <w:lang w:eastAsia="zh-CN"/>
              </w:rPr>
              <w:t xml:space="preserve"> (%)</w:t>
            </w:r>
          </w:p>
        </w:tc>
        <w:tc>
          <w:tcPr>
            <w:tcW w:w="607" w:type="pct"/>
            <w:tcBorders>
              <w:top w:val="single" w:sz="4" w:space="0" w:color="auto"/>
            </w:tcBorders>
          </w:tcPr>
          <w:p w14:paraId="7344AF52" w14:textId="77777777" w:rsidR="0050274A" w:rsidRDefault="001D7A10">
            <w:pPr>
              <w:spacing w:line="360" w:lineRule="auto"/>
              <w:jc w:val="both"/>
              <w:rPr>
                <w:rFonts w:ascii="Book Antiqua" w:hAnsi="Book Antiqua"/>
                <w:lang w:eastAsia="zh-CN"/>
              </w:rPr>
            </w:pPr>
            <w:r>
              <w:rPr>
                <w:rFonts w:ascii="Book Antiqua" w:hAnsi="Book Antiqua"/>
                <w:lang w:eastAsia="zh-CN"/>
              </w:rPr>
              <w:t>9/18/5 (32)</w:t>
            </w:r>
          </w:p>
        </w:tc>
        <w:tc>
          <w:tcPr>
            <w:tcW w:w="668" w:type="pct"/>
            <w:tcBorders>
              <w:top w:val="single" w:sz="4" w:space="0" w:color="auto"/>
            </w:tcBorders>
          </w:tcPr>
          <w:p w14:paraId="2D06C025" w14:textId="77777777" w:rsidR="0050274A" w:rsidRDefault="001D7A10">
            <w:pPr>
              <w:spacing w:line="360" w:lineRule="auto"/>
              <w:jc w:val="both"/>
              <w:rPr>
                <w:rFonts w:ascii="Book Antiqua" w:hAnsi="Book Antiqua"/>
                <w:lang w:eastAsia="zh-CN"/>
              </w:rPr>
            </w:pPr>
            <w:r>
              <w:rPr>
                <w:rFonts w:ascii="Book Antiqua" w:hAnsi="Book Antiqua"/>
                <w:lang w:eastAsia="zh-CN"/>
              </w:rPr>
              <w:t>4/23/5 (32)</w:t>
            </w:r>
          </w:p>
        </w:tc>
        <w:tc>
          <w:tcPr>
            <w:tcW w:w="700" w:type="pct"/>
            <w:tcBorders>
              <w:top w:val="single" w:sz="4" w:space="0" w:color="auto"/>
            </w:tcBorders>
          </w:tcPr>
          <w:p w14:paraId="77061FE2" w14:textId="77777777" w:rsidR="0050274A" w:rsidRDefault="001D7A10">
            <w:pPr>
              <w:spacing w:line="360" w:lineRule="auto"/>
              <w:jc w:val="both"/>
              <w:rPr>
                <w:rFonts w:ascii="Book Antiqua" w:hAnsi="Book Antiqua"/>
                <w:lang w:eastAsia="zh-CN"/>
              </w:rPr>
            </w:pPr>
            <w:r>
              <w:rPr>
                <w:rFonts w:ascii="Book Antiqua" w:hAnsi="Book Antiqua"/>
                <w:lang w:eastAsia="zh-CN"/>
              </w:rPr>
              <w:t>3/23/6 (32)</w:t>
            </w:r>
          </w:p>
        </w:tc>
        <w:tc>
          <w:tcPr>
            <w:tcW w:w="783" w:type="pct"/>
            <w:tcBorders>
              <w:top w:val="single" w:sz="4" w:space="0" w:color="auto"/>
            </w:tcBorders>
          </w:tcPr>
          <w:p w14:paraId="41021624" w14:textId="77777777" w:rsidR="0050274A" w:rsidRDefault="001D7A10">
            <w:pPr>
              <w:spacing w:line="360" w:lineRule="auto"/>
              <w:jc w:val="both"/>
              <w:rPr>
                <w:rFonts w:ascii="Book Antiqua" w:hAnsi="Book Antiqua"/>
                <w:lang w:eastAsia="zh-CN"/>
              </w:rPr>
            </w:pPr>
            <w:r>
              <w:rPr>
                <w:rFonts w:ascii="Book Antiqua" w:hAnsi="Book Antiqua"/>
                <w:lang w:eastAsia="zh-CN"/>
              </w:rPr>
              <w:t>6/22/4 (32)</w:t>
            </w:r>
          </w:p>
        </w:tc>
        <w:tc>
          <w:tcPr>
            <w:tcW w:w="757" w:type="pct"/>
            <w:tcBorders>
              <w:top w:val="single" w:sz="4" w:space="0" w:color="auto"/>
            </w:tcBorders>
          </w:tcPr>
          <w:p w14:paraId="0818326E"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7/18/2 (27)</w:t>
            </w:r>
          </w:p>
        </w:tc>
        <w:tc>
          <w:tcPr>
            <w:tcW w:w="756" w:type="pct"/>
            <w:tcBorders>
              <w:top w:val="single" w:sz="4" w:space="0" w:color="auto"/>
            </w:tcBorders>
          </w:tcPr>
          <w:p w14:paraId="23536727" w14:textId="77777777" w:rsidR="0050274A" w:rsidRDefault="001D7A10">
            <w:pPr>
              <w:spacing w:line="360" w:lineRule="auto"/>
              <w:jc w:val="both"/>
              <w:rPr>
                <w:rFonts w:ascii="Book Antiqua" w:hAnsi="Book Antiqua"/>
                <w:lang w:eastAsia="zh-CN"/>
              </w:rPr>
            </w:pPr>
            <w:r>
              <w:rPr>
                <w:rFonts w:ascii="Book Antiqua" w:hAnsi="Book Antiqua"/>
                <w:lang w:eastAsia="zh-CN"/>
              </w:rPr>
              <w:t>14/8/1 (23)</w:t>
            </w:r>
          </w:p>
        </w:tc>
      </w:tr>
      <w:tr w:rsidR="0050274A" w14:paraId="761C5A19" w14:textId="77777777">
        <w:tc>
          <w:tcPr>
            <w:tcW w:w="729" w:type="pct"/>
          </w:tcPr>
          <w:p w14:paraId="5A3327CD"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Child-Pugh A/B/C (%)</w:t>
            </w:r>
          </w:p>
        </w:tc>
        <w:tc>
          <w:tcPr>
            <w:tcW w:w="607" w:type="pct"/>
          </w:tcPr>
          <w:p w14:paraId="778ACFE4" w14:textId="77777777" w:rsidR="0050274A" w:rsidRDefault="001D7A10">
            <w:pPr>
              <w:spacing w:line="360" w:lineRule="auto"/>
              <w:jc w:val="both"/>
              <w:rPr>
                <w:rFonts w:ascii="Book Antiqua" w:hAnsi="Book Antiqua"/>
                <w:lang w:eastAsia="zh-CN"/>
              </w:rPr>
            </w:pPr>
            <w:r>
              <w:rPr>
                <w:rFonts w:ascii="Book Antiqua" w:hAnsi="Book Antiqua"/>
                <w:lang w:eastAsia="zh-CN"/>
              </w:rPr>
              <w:t>28.1/56.3/15.6</w:t>
            </w:r>
          </w:p>
        </w:tc>
        <w:tc>
          <w:tcPr>
            <w:tcW w:w="668" w:type="pct"/>
          </w:tcPr>
          <w:p w14:paraId="235657AA" w14:textId="77777777" w:rsidR="0050274A" w:rsidRDefault="001D7A10">
            <w:pPr>
              <w:spacing w:line="360" w:lineRule="auto"/>
              <w:jc w:val="both"/>
              <w:rPr>
                <w:rFonts w:ascii="Book Antiqua" w:hAnsi="Book Antiqua"/>
                <w:lang w:eastAsia="zh-CN"/>
              </w:rPr>
            </w:pPr>
            <w:r>
              <w:rPr>
                <w:rFonts w:ascii="Book Antiqua" w:hAnsi="Book Antiqua"/>
                <w:lang w:eastAsia="zh-CN"/>
              </w:rPr>
              <w:t>12.5/71.9/12.7</w:t>
            </w:r>
          </w:p>
        </w:tc>
        <w:tc>
          <w:tcPr>
            <w:tcW w:w="700" w:type="pct"/>
          </w:tcPr>
          <w:p w14:paraId="426DD5B9" w14:textId="77777777" w:rsidR="0050274A" w:rsidRDefault="001D7A10">
            <w:pPr>
              <w:spacing w:line="360" w:lineRule="auto"/>
              <w:jc w:val="both"/>
              <w:rPr>
                <w:rFonts w:ascii="Book Antiqua" w:hAnsi="Book Antiqua"/>
                <w:lang w:eastAsia="zh-CN"/>
              </w:rPr>
            </w:pPr>
            <w:r>
              <w:rPr>
                <w:rFonts w:ascii="Book Antiqua" w:hAnsi="Book Antiqua"/>
                <w:lang w:eastAsia="zh-CN"/>
              </w:rPr>
              <w:t>12.7/74.6/15.6</w:t>
            </w:r>
          </w:p>
        </w:tc>
        <w:tc>
          <w:tcPr>
            <w:tcW w:w="783" w:type="pct"/>
          </w:tcPr>
          <w:p w14:paraId="0AACE032" w14:textId="77777777" w:rsidR="0050274A" w:rsidRDefault="001D7A10">
            <w:pPr>
              <w:spacing w:line="360" w:lineRule="auto"/>
              <w:jc w:val="both"/>
              <w:rPr>
                <w:rFonts w:ascii="Book Antiqua" w:hAnsi="Book Antiqua"/>
                <w:lang w:eastAsia="zh-CN"/>
              </w:rPr>
            </w:pPr>
            <w:r>
              <w:rPr>
                <w:rFonts w:ascii="Book Antiqua" w:hAnsi="Book Antiqua"/>
                <w:lang w:eastAsia="zh-CN"/>
              </w:rPr>
              <w:t>18.8/68.8/12.5</w:t>
            </w:r>
          </w:p>
        </w:tc>
        <w:tc>
          <w:tcPr>
            <w:tcW w:w="757" w:type="pct"/>
          </w:tcPr>
          <w:p w14:paraId="2521844E" w14:textId="77777777" w:rsidR="0050274A" w:rsidRDefault="001D7A10">
            <w:pPr>
              <w:spacing w:line="360" w:lineRule="auto"/>
              <w:jc w:val="both"/>
              <w:rPr>
                <w:rFonts w:ascii="Book Antiqua" w:hAnsi="Book Antiqua"/>
                <w:lang w:eastAsia="zh-CN"/>
              </w:rPr>
            </w:pPr>
            <w:r>
              <w:rPr>
                <w:rFonts w:ascii="Book Antiqua" w:hAnsi="Book Antiqua"/>
                <w:lang w:eastAsia="zh-CN"/>
              </w:rPr>
              <w:t>25.9/66.7/7.4</w:t>
            </w:r>
          </w:p>
        </w:tc>
        <w:tc>
          <w:tcPr>
            <w:tcW w:w="756" w:type="pct"/>
          </w:tcPr>
          <w:p w14:paraId="11DD6946" w14:textId="77777777" w:rsidR="0050274A" w:rsidRDefault="001D7A10">
            <w:pPr>
              <w:spacing w:line="360" w:lineRule="auto"/>
              <w:jc w:val="both"/>
              <w:rPr>
                <w:rFonts w:ascii="Book Antiqua" w:hAnsi="Book Antiqua"/>
                <w:lang w:eastAsia="zh-CN"/>
              </w:rPr>
            </w:pPr>
            <w:r>
              <w:rPr>
                <w:rFonts w:ascii="Book Antiqua" w:hAnsi="Book Antiqua"/>
                <w:lang w:eastAsia="zh-CN"/>
              </w:rPr>
              <w:t>60.9/34.8/4.3</w:t>
            </w:r>
          </w:p>
        </w:tc>
      </w:tr>
      <w:tr w:rsidR="0050274A" w14:paraId="5E7C5051" w14:textId="77777777">
        <w:tc>
          <w:tcPr>
            <w:tcW w:w="729" w:type="pct"/>
          </w:tcPr>
          <w:p w14:paraId="38B96FB6"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TDF(</w:t>
            </w:r>
            <w:r>
              <w:rPr>
                <w:rFonts w:ascii="Book Antiqua" w:hAnsi="Book Antiqua"/>
                <w:i/>
                <w:iCs/>
                <w:lang w:eastAsia="zh-CN"/>
              </w:rPr>
              <w:t>n</w:t>
            </w:r>
            <w:r>
              <w:rPr>
                <w:rFonts w:ascii="Book Antiqua" w:hAnsi="Book Antiqua"/>
                <w:lang w:eastAsia="zh-CN"/>
              </w:rPr>
              <w:t>)</w:t>
            </w:r>
          </w:p>
        </w:tc>
        <w:tc>
          <w:tcPr>
            <w:tcW w:w="607" w:type="pct"/>
          </w:tcPr>
          <w:p w14:paraId="3CFF720F" w14:textId="77777777" w:rsidR="0050274A" w:rsidRDefault="001D7A10">
            <w:pPr>
              <w:spacing w:line="360" w:lineRule="auto"/>
              <w:jc w:val="both"/>
              <w:rPr>
                <w:rFonts w:ascii="Book Antiqua" w:hAnsi="Book Antiqua"/>
                <w:lang w:eastAsia="zh-CN"/>
              </w:rPr>
            </w:pPr>
            <w:r>
              <w:rPr>
                <w:rFonts w:ascii="Book Antiqua" w:hAnsi="Book Antiqua"/>
                <w:lang w:eastAsia="zh-CN"/>
              </w:rPr>
              <w:t>14/17/4 (35)</w:t>
            </w:r>
          </w:p>
        </w:tc>
        <w:tc>
          <w:tcPr>
            <w:tcW w:w="668" w:type="pct"/>
          </w:tcPr>
          <w:p w14:paraId="2EC7743B" w14:textId="77777777" w:rsidR="0050274A" w:rsidRDefault="001D7A10">
            <w:pPr>
              <w:spacing w:line="360" w:lineRule="auto"/>
              <w:jc w:val="both"/>
              <w:rPr>
                <w:rFonts w:ascii="Book Antiqua" w:hAnsi="Book Antiqua"/>
                <w:lang w:eastAsia="zh-CN"/>
              </w:rPr>
            </w:pPr>
            <w:r>
              <w:rPr>
                <w:rFonts w:ascii="Book Antiqua" w:hAnsi="Book Antiqua"/>
                <w:lang w:eastAsia="zh-CN"/>
              </w:rPr>
              <w:t>4/25/6 (35)</w:t>
            </w:r>
          </w:p>
        </w:tc>
        <w:tc>
          <w:tcPr>
            <w:tcW w:w="700" w:type="pct"/>
          </w:tcPr>
          <w:p w14:paraId="34C2B98D" w14:textId="77777777" w:rsidR="0050274A" w:rsidRDefault="001D7A10">
            <w:pPr>
              <w:spacing w:line="360" w:lineRule="auto"/>
              <w:jc w:val="both"/>
              <w:rPr>
                <w:rFonts w:ascii="Book Antiqua" w:hAnsi="Book Antiqua"/>
                <w:lang w:eastAsia="zh-CN"/>
              </w:rPr>
            </w:pPr>
            <w:r>
              <w:rPr>
                <w:rFonts w:ascii="Book Antiqua" w:hAnsi="Book Antiqua"/>
                <w:lang w:eastAsia="zh-CN"/>
              </w:rPr>
              <w:t>4/23/8 (35)</w:t>
            </w:r>
          </w:p>
        </w:tc>
        <w:tc>
          <w:tcPr>
            <w:tcW w:w="783" w:type="pct"/>
          </w:tcPr>
          <w:p w14:paraId="2D551FF4" w14:textId="77777777" w:rsidR="0050274A" w:rsidRDefault="001D7A10">
            <w:pPr>
              <w:spacing w:line="360" w:lineRule="auto"/>
              <w:jc w:val="both"/>
              <w:rPr>
                <w:rFonts w:ascii="Book Antiqua" w:hAnsi="Book Antiqua"/>
                <w:lang w:eastAsia="zh-CN"/>
              </w:rPr>
            </w:pPr>
            <w:r>
              <w:rPr>
                <w:rFonts w:ascii="Book Antiqua" w:hAnsi="Book Antiqua"/>
                <w:lang w:eastAsia="zh-CN"/>
              </w:rPr>
              <w:t>7/21/5 (33)</w:t>
            </w:r>
          </w:p>
        </w:tc>
        <w:tc>
          <w:tcPr>
            <w:tcW w:w="757" w:type="pct"/>
          </w:tcPr>
          <w:p w14:paraId="35B7A34A" w14:textId="77777777" w:rsidR="0050274A" w:rsidRDefault="001D7A10">
            <w:pPr>
              <w:spacing w:line="360" w:lineRule="auto"/>
              <w:jc w:val="both"/>
              <w:rPr>
                <w:rFonts w:ascii="Book Antiqua" w:hAnsi="Book Antiqua"/>
                <w:lang w:eastAsia="zh-CN"/>
              </w:rPr>
            </w:pPr>
            <w:r>
              <w:rPr>
                <w:rFonts w:ascii="Book Antiqua" w:hAnsi="Book Antiqua"/>
                <w:lang w:eastAsia="zh-CN"/>
              </w:rPr>
              <w:t>6/20/3 (29)</w:t>
            </w:r>
          </w:p>
        </w:tc>
        <w:tc>
          <w:tcPr>
            <w:tcW w:w="756" w:type="pct"/>
          </w:tcPr>
          <w:p w14:paraId="61002AF1" w14:textId="77777777" w:rsidR="0050274A" w:rsidRDefault="001D7A10">
            <w:pPr>
              <w:spacing w:line="360" w:lineRule="auto"/>
              <w:jc w:val="both"/>
              <w:rPr>
                <w:rFonts w:ascii="Book Antiqua" w:hAnsi="Book Antiqua"/>
                <w:lang w:eastAsia="zh-CN"/>
              </w:rPr>
            </w:pPr>
            <w:r>
              <w:rPr>
                <w:rFonts w:ascii="Book Antiqua" w:hAnsi="Book Antiqua"/>
                <w:lang w:eastAsia="zh-CN"/>
              </w:rPr>
              <w:t>7/11/3 (21)</w:t>
            </w:r>
          </w:p>
        </w:tc>
      </w:tr>
      <w:tr w:rsidR="0050274A" w14:paraId="5965F5FD" w14:textId="77777777">
        <w:tc>
          <w:tcPr>
            <w:tcW w:w="729" w:type="pct"/>
          </w:tcPr>
          <w:p w14:paraId="62221B6D"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Child-Pugh A/B/C (%)</w:t>
            </w:r>
          </w:p>
        </w:tc>
        <w:tc>
          <w:tcPr>
            <w:tcW w:w="607" w:type="pct"/>
          </w:tcPr>
          <w:p w14:paraId="518302EE" w14:textId="77777777" w:rsidR="0050274A" w:rsidRDefault="001D7A10">
            <w:pPr>
              <w:spacing w:line="360" w:lineRule="auto"/>
              <w:jc w:val="both"/>
              <w:rPr>
                <w:rFonts w:ascii="Book Antiqua" w:hAnsi="Book Antiqua"/>
                <w:lang w:eastAsia="zh-CN"/>
              </w:rPr>
            </w:pPr>
            <w:r>
              <w:rPr>
                <w:rFonts w:ascii="Book Antiqua" w:hAnsi="Book Antiqua"/>
                <w:lang w:eastAsia="zh-CN"/>
              </w:rPr>
              <w:t>40.0/48.6/11.4</w:t>
            </w:r>
          </w:p>
        </w:tc>
        <w:tc>
          <w:tcPr>
            <w:tcW w:w="668" w:type="pct"/>
          </w:tcPr>
          <w:p w14:paraId="2A14589A" w14:textId="77777777" w:rsidR="0050274A" w:rsidRDefault="001D7A10">
            <w:pPr>
              <w:spacing w:line="360" w:lineRule="auto"/>
              <w:jc w:val="both"/>
              <w:rPr>
                <w:rFonts w:ascii="Book Antiqua" w:hAnsi="Book Antiqua"/>
                <w:lang w:eastAsia="zh-CN"/>
              </w:rPr>
            </w:pPr>
            <w:r>
              <w:rPr>
                <w:rFonts w:ascii="Book Antiqua" w:hAnsi="Book Antiqua"/>
                <w:lang w:eastAsia="zh-CN"/>
              </w:rPr>
              <w:t>11.4/71.4/12.0</w:t>
            </w:r>
          </w:p>
        </w:tc>
        <w:tc>
          <w:tcPr>
            <w:tcW w:w="700" w:type="pct"/>
          </w:tcPr>
          <w:p w14:paraId="6997D440" w14:textId="77777777" w:rsidR="0050274A" w:rsidRDefault="001D7A10">
            <w:pPr>
              <w:spacing w:line="360" w:lineRule="auto"/>
              <w:jc w:val="both"/>
              <w:rPr>
                <w:rFonts w:ascii="Book Antiqua" w:hAnsi="Book Antiqua"/>
                <w:lang w:eastAsia="zh-CN"/>
              </w:rPr>
            </w:pPr>
            <w:r>
              <w:rPr>
                <w:rFonts w:ascii="Book Antiqua" w:hAnsi="Book Antiqua"/>
                <w:lang w:eastAsia="zh-CN"/>
              </w:rPr>
              <w:t>11.4/65.8/22.8</w:t>
            </w:r>
          </w:p>
        </w:tc>
        <w:tc>
          <w:tcPr>
            <w:tcW w:w="783" w:type="pct"/>
          </w:tcPr>
          <w:p w14:paraId="00B67FF5" w14:textId="77777777" w:rsidR="0050274A" w:rsidRDefault="001D7A10">
            <w:pPr>
              <w:spacing w:line="360" w:lineRule="auto"/>
              <w:jc w:val="both"/>
              <w:rPr>
                <w:rFonts w:ascii="Book Antiqua" w:hAnsi="Book Antiqua"/>
                <w:lang w:eastAsia="zh-CN"/>
              </w:rPr>
            </w:pPr>
            <w:r>
              <w:rPr>
                <w:rFonts w:ascii="Book Antiqua" w:hAnsi="Book Antiqua"/>
                <w:lang w:eastAsia="zh-CN"/>
              </w:rPr>
              <w:t>21.2/63.6/15.2</w:t>
            </w:r>
          </w:p>
        </w:tc>
        <w:tc>
          <w:tcPr>
            <w:tcW w:w="757" w:type="pct"/>
          </w:tcPr>
          <w:p w14:paraId="74579246" w14:textId="77777777" w:rsidR="0050274A" w:rsidRDefault="001D7A10">
            <w:pPr>
              <w:spacing w:line="360" w:lineRule="auto"/>
              <w:jc w:val="both"/>
              <w:rPr>
                <w:rFonts w:ascii="Book Antiqua" w:hAnsi="Book Antiqua"/>
                <w:lang w:eastAsia="zh-CN"/>
              </w:rPr>
            </w:pPr>
            <w:r>
              <w:rPr>
                <w:rFonts w:ascii="Book Antiqua" w:hAnsi="Book Antiqua"/>
                <w:lang w:eastAsia="zh-CN"/>
              </w:rPr>
              <w:t>20.7/68.9/10.4</w:t>
            </w:r>
          </w:p>
        </w:tc>
        <w:tc>
          <w:tcPr>
            <w:tcW w:w="756" w:type="pct"/>
          </w:tcPr>
          <w:p w14:paraId="5E937114" w14:textId="77777777" w:rsidR="0050274A" w:rsidRDefault="001D7A10">
            <w:pPr>
              <w:spacing w:line="360" w:lineRule="auto"/>
              <w:jc w:val="both"/>
              <w:rPr>
                <w:rFonts w:ascii="Book Antiqua" w:hAnsi="Book Antiqua"/>
                <w:lang w:eastAsia="zh-CN"/>
              </w:rPr>
            </w:pPr>
            <w:r>
              <w:rPr>
                <w:rFonts w:ascii="Book Antiqua" w:hAnsi="Book Antiqua"/>
                <w:lang w:eastAsia="zh-CN"/>
              </w:rPr>
              <w:t>33.3/52.4/14.3</w:t>
            </w:r>
          </w:p>
        </w:tc>
      </w:tr>
      <w:tr w:rsidR="0050274A" w14:paraId="6F256453" w14:textId="77777777">
        <w:tc>
          <w:tcPr>
            <w:tcW w:w="729" w:type="pct"/>
          </w:tcPr>
          <w:p w14:paraId="379AD010"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ETV</w:t>
            </w:r>
            <w:r>
              <w:rPr>
                <w:rFonts w:ascii="Book Antiqua" w:hAnsi="Book Antiqua"/>
                <w:bCs/>
                <w:color w:val="000000"/>
                <w:lang w:eastAsia="zh-CN"/>
              </w:rPr>
              <w:t xml:space="preserve">, </w:t>
            </w:r>
            <w:r>
              <w:rPr>
                <w:rFonts w:ascii="Book Antiqua" w:hAnsi="Book Antiqua"/>
                <w:bCs/>
                <w:i/>
                <w:color w:val="000000"/>
                <w:lang w:eastAsia="zh-CN"/>
              </w:rPr>
              <w:t>n</w:t>
            </w:r>
            <w:r>
              <w:rPr>
                <w:rFonts w:ascii="Book Antiqua" w:hAnsi="Book Antiqua"/>
                <w:bCs/>
                <w:color w:val="000000"/>
                <w:lang w:eastAsia="zh-CN"/>
              </w:rPr>
              <w:t xml:space="preserve"> (%)</w:t>
            </w:r>
          </w:p>
        </w:tc>
        <w:tc>
          <w:tcPr>
            <w:tcW w:w="607" w:type="pct"/>
          </w:tcPr>
          <w:p w14:paraId="492CD7E5" w14:textId="77777777" w:rsidR="0050274A" w:rsidRDefault="001D7A10">
            <w:pPr>
              <w:spacing w:line="360" w:lineRule="auto"/>
              <w:jc w:val="both"/>
              <w:rPr>
                <w:rFonts w:ascii="Book Antiqua" w:hAnsi="Book Antiqua"/>
                <w:lang w:eastAsia="zh-CN"/>
              </w:rPr>
            </w:pPr>
            <w:r>
              <w:rPr>
                <w:rFonts w:ascii="Book Antiqua" w:hAnsi="Book Antiqua"/>
                <w:lang w:eastAsia="zh-CN"/>
              </w:rPr>
              <w:t>21/37/12 (70)</w:t>
            </w:r>
          </w:p>
        </w:tc>
        <w:tc>
          <w:tcPr>
            <w:tcW w:w="668" w:type="pct"/>
          </w:tcPr>
          <w:p w14:paraId="58633D1D" w14:textId="77777777" w:rsidR="0050274A" w:rsidRDefault="001D7A10">
            <w:pPr>
              <w:spacing w:line="360" w:lineRule="auto"/>
              <w:jc w:val="both"/>
              <w:rPr>
                <w:rFonts w:ascii="Book Antiqua" w:hAnsi="Book Antiqua"/>
                <w:lang w:eastAsia="zh-CN"/>
              </w:rPr>
            </w:pPr>
            <w:r>
              <w:rPr>
                <w:rFonts w:ascii="Book Antiqua" w:hAnsi="Book Antiqua"/>
                <w:lang w:eastAsia="zh-CN"/>
              </w:rPr>
              <w:t>9/47/13 (69)</w:t>
            </w:r>
          </w:p>
        </w:tc>
        <w:tc>
          <w:tcPr>
            <w:tcW w:w="700" w:type="pct"/>
          </w:tcPr>
          <w:p w14:paraId="722C61F7"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6/47/16 (69)</w:t>
            </w:r>
          </w:p>
        </w:tc>
        <w:tc>
          <w:tcPr>
            <w:tcW w:w="783" w:type="pct"/>
          </w:tcPr>
          <w:p w14:paraId="2BB7382B"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11/44/11 (66)</w:t>
            </w:r>
          </w:p>
        </w:tc>
        <w:tc>
          <w:tcPr>
            <w:tcW w:w="757" w:type="pct"/>
          </w:tcPr>
          <w:p w14:paraId="2EF291C7"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11/42/6 (59)</w:t>
            </w:r>
          </w:p>
        </w:tc>
        <w:tc>
          <w:tcPr>
            <w:tcW w:w="756" w:type="pct"/>
          </w:tcPr>
          <w:p w14:paraId="2ACF5610" w14:textId="77777777" w:rsidR="0050274A" w:rsidRDefault="001D7A10">
            <w:pPr>
              <w:spacing w:line="360" w:lineRule="auto"/>
              <w:jc w:val="both"/>
              <w:rPr>
                <w:rFonts w:ascii="Book Antiqua" w:hAnsi="Book Antiqua"/>
                <w:lang w:eastAsia="zh-CN"/>
              </w:rPr>
            </w:pPr>
            <w:r>
              <w:rPr>
                <w:rFonts w:ascii="Book Antiqua" w:hAnsi="Book Antiqua"/>
                <w:lang w:eastAsia="zh-CN"/>
              </w:rPr>
              <w:t>11/24/5 (40)</w:t>
            </w:r>
          </w:p>
        </w:tc>
      </w:tr>
      <w:tr w:rsidR="0050274A" w14:paraId="340B61CA" w14:textId="77777777">
        <w:tc>
          <w:tcPr>
            <w:tcW w:w="729" w:type="pct"/>
          </w:tcPr>
          <w:p w14:paraId="0886AD0E" w14:textId="77777777" w:rsidR="0050274A" w:rsidRDefault="001D7A10">
            <w:pPr>
              <w:spacing w:line="360" w:lineRule="auto"/>
              <w:jc w:val="both"/>
              <w:rPr>
                <w:rFonts w:ascii="Book Antiqua" w:hAnsi="Book Antiqua"/>
                <w:lang w:eastAsia="zh-CN"/>
              </w:rPr>
            </w:pPr>
            <w:r>
              <w:rPr>
                <w:rFonts w:ascii="Book Antiqua" w:hAnsi="Book Antiqua"/>
                <w:lang w:eastAsia="zh-CN"/>
              </w:rPr>
              <w:t>Child-Pugh A/B/C (%)</w:t>
            </w:r>
          </w:p>
        </w:tc>
        <w:tc>
          <w:tcPr>
            <w:tcW w:w="607" w:type="pct"/>
          </w:tcPr>
          <w:p w14:paraId="31A9B0F4" w14:textId="77777777" w:rsidR="0050274A" w:rsidRDefault="001D7A10">
            <w:pPr>
              <w:spacing w:line="360" w:lineRule="auto"/>
              <w:jc w:val="both"/>
              <w:rPr>
                <w:rFonts w:ascii="Book Antiqua" w:hAnsi="Book Antiqua"/>
                <w:lang w:eastAsia="zh-CN"/>
              </w:rPr>
            </w:pPr>
            <w:r>
              <w:rPr>
                <w:rFonts w:ascii="Book Antiqua" w:hAnsi="Book Antiqua"/>
                <w:lang w:eastAsia="zh-CN"/>
              </w:rPr>
              <w:t>30.3/52.9/17.1</w:t>
            </w:r>
          </w:p>
        </w:tc>
        <w:tc>
          <w:tcPr>
            <w:tcW w:w="668" w:type="pct"/>
          </w:tcPr>
          <w:p w14:paraId="55F64353" w14:textId="77777777" w:rsidR="0050274A" w:rsidRDefault="001D7A10">
            <w:pPr>
              <w:spacing w:line="360" w:lineRule="auto"/>
              <w:jc w:val="both"/>
              <w:rPr>
                <w:rFonts w:ascii="Book Antiqua" w:hAnsi="Book Antiqua"/>
                <w:lang w:eastAsia="zh-CN"/>
              </w:rPr>
            </w:pPr>
            <w:r>
              <w:rPr>
                <w:rFonts w:ascii="Book Antiqua" w:hAnsi="Book Antiqua"/>
                <w:lang w:eastAsia="zh-CN"/>
              </w:rPr>
              <w:t>13.1/68.1/18.8</w:t>
            </w:r>
          </w:p>
        </w:tc>
        <w:tc>
          <w:tcPr>
            <w:tcW w:w="700" w:type="pct"/>
          </w:tcPr>
          <w:p w14:paraId="6381BA51" w14:textId="77777777" w:rsidR="0050274A" w:rsidRDefault="001D7A10">
            <w:pPr>
              <w:spacing w:line="360" w:lineRule="auto"/>
              <w:jc w:val="both"/>
              <w:rPr>
                <w:rFonts w:ascii="Book Antiqua" w:hAnsi="Book Antiqua"/>
                <w:lang w:eastAsia="zh-CN"/>
              </w:rPr>
            </w:pPr>
            <w:r>
              <w:rPr>
                <w:rFonts w:ascii="Book Antiqua" w:hAnsi="Book Antiqua"/>
                <w:lang w:eastAsia="zh-CN"/>
              </w:rPr>
              <w:t>8.7/68.1/23.2</w:t>
            </w:r>
          </w:p>
        </w:tc>
        <w:tc>
          <w:tcPr>
            <w:tcW w:w="783" w:type="pct"/>
          </w:tcPr>
          <w:p w14:paraId="02D5963D" w14:textId="77777777" w:rsidR="0050274A" w:rsidRDefault="001D7A10">
            <w:pPr>
              <w:spacing w:line="360" w:lineRule="auto"/>
              <w:jc w:val="both"/>
              <w:rPr>
                <w:rFonts w:ascii="Book Antiqua" w:hAnsi="Book Antiqua"/>
                <w:lang w:eastAsia="zh-CN"/>
              </w:rPr>
            </w:pPr>
            <w:r>
              <w:rPr>
                <w:rFonts w:ascii="Book Antiqua" w:hAnsi="Book Antiqua"/>
                <w:lang w:eastAsia="zh-CN"/>
              </w:rPr>
              <w:t>16.7/66.6/16.7</w:t>
            </w:r>
          </w:p>
        </w:tc>
        <w:tc>
          <w:tcPr>
            <w:tcW w:w="757" w:type="pct"/>
          </w:tcPr>
          <w:p w14:paraId="56F14959" w14:textId="77777777" w:rsidR="0050274A" w:rsidRDefault="001D7A10">
            <w:pPr>
              <w:spacing w:line="360" w:lineRule="auto"/>
              <w:jc w:val="both"/>
              <w:rPr>
                <w:rFonts w:ascii="Book Antiqua" w:hAnsi="Book Antiqua"/>
                <w:lang w:eastAsia="zh-CN"/>
              </w:rPr>
            </w:pPr>
            <w:r>
              <w:rPr>
                <w:rFonts w:ascii="Book Antiqua" w:hAnsi="Book Antiqua"/>
                <w:lang w:eastAsia="zh-CN"/>
              </w:rPr>
              <w:t>18.6/71.2/10.2</w:t>
            </w:r>
          </w:p>
        </w:tc>
        <w:tc>
          <w:tcPr>
            <w:tcW w:w="756" w:type="pct"/>
          </w:tcPr>
          <w:p w14:paraId="0197B51A" w14:textId="77777777" w:rsidR="0050274A" w:rsidRDefault="001D7A10">
            <w:pPr>
              <w:spacing w:line="360" w:lineRule="auto"/>
              <w:jc w:val="both"/>
              <w:rPr>
                <w:rFonts w:ascii="Book Antiqua" w:hAnsi="Book Antiqua"/>
                <w:lang w:eastAsia="zh-CN"/>
              </w:rPr>
            </w:pPr>
            <w:r>
              <w:rPr>
                <w:rFonts w:ascii="Book Antiqua" w:hAnsi="Book Antiqua"/>
                <w:lang w:eastAsia="zh-CN"/>
              </w:rPr>
              <w:t>27.5/60.0/12.5</w:t>
            </w:r>
          </w:p>
        </w:tc>
      </w:tr>
    </w:tbl>
    <w:p w14:paraId="33B356D4" w14:textId="20A3BBB7" w:rsidR="00BD1A44" w:rsidRDefault="001D7A10">
      <w:pPr>
        <w:spacing w:line="360" w:lineRule="auto"/>
        <w:jc w:val="both"/>
        <w:rPr>
          <w:rFonts w:ascii="Book Antiqua" w:hAnsi="Book Antiqua"/>
          <w:lang w:eastAsia="zh-CN"/>
        </w:rPr>
      </w:pPr>
      <w:r>
        <w:rPr>
          <w:rFonts w:ascii="Book Antiqua" w:hAnsi="Book Antiqua"/>
          <w:lang w:eastAsia="zh-CN"/>
        </w:rPr>
        <w:t xml:space="preserve">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p>
    <w:p w14:paraId="44652DC0" w14:textId="77777777" w:rsidR="00BD1A44" w:rsidRDefault="00BD1A44">
      <w:pPr>
        <w:rPr>
          <w:rFonts w:ascii="Book Antiqua" w:hAnsi="Book Antiqua"/>
          <w:lang w:eastAsia="zh-CN"/>
        </w:rPr>
      </w:pPr>
      <w:r>
        <w:rPr>
          <w:rFonts w:ascii="Book Antiqua" w:hAnsi="Book Antiqua"/>
          <w:lang w:eastAsia="zh-CN"/>
        </w:rPr>
        <w:br w:type="page"/>
      </w:r>
    </w:p>
    <w:p w14:paraId="5512B82A" w14:textId="77777777" w:rsidR="00BD1A44" w:rsidRDefault="00BD1A44" w:rsidP="00BD1A44">
      <w:pPr>
        <w:jc w:val="center"/>
        <w:rPr>
          <w:rFonts w:ascii="Book Antiqua" w:hAnsi="Book Antiqua"/>
          <w:lang w:eastAsia="zh-CN"/>
        </w:rPr>
      </w:pPr>
      <w:bookmarkStart w:id="4" w:name="OLE_LINK1"/>
      <w:bookmarkStart w:id="5" w:name="OLE_LINK2"/>
    </w:p>
    <w:p w14:paraId="4A30196B" w14:textId="77777777" w:rsidR="00BD1A44" w:rsidRDefault="00BD1A44" w:rsidP="00BD1A44">
      <w:pPr>
        <w:jc w:val="center"/>
        <w:rPr>
          <w:rFonts w:ascii="Book Antiqua" w:hAnsi="Book Antiqua"/>
          <w:lang w:eastAsia="zh-CN"/>
        </w:rPr>
      </w:pPr>
    </w:p>
    <w:p w14:paraId="324C08DF" w14:textId="77777777" w:rsidR="00BD1A44" w:rsidRDefault="00BD1A44" w:rsidP="00BD1A44">
      <w:pPr>
        <w:jc w:val="center"/>
        <w:rPr>
          <w:rFonts w:ascii="Book Antiqua" w:hAnsi="Book Antiqua"/>
          <w:lang w:eastAsia="zh-CN"/>
        </w:rPr>
      </w:pPr>
    </w:p>
    <w:p w14:paraId="29FD152D" w14:textId="77777777" w:rsidR="00BD1A44" w:rsidRDefault="00BD1A44" w:rsidP="00BD1A44">
      <w:pPr>
        <w:jc w:val="center"/>
        <w:rPr>
          <w:rFonts w:ascii="Book Antiqua" w:hAnsi="Book Antiqua"/>
          <w:lang w:eastAsia="zh-CN"/>
        </w:rPr>
      </w:pPr>
    </w:p>
    <w:p w14:paraId="6D2221BB" w14:textId="77777777" w:rsidR="00BD1A44" w:rsidRDefault="00BD1A44" w:rsidP="00BD1A44">
      <w:pPr>
        <w:jc w:val="center"/>
        <w:rPr>
          <w:rFonts w:ascii="Book Antiqua" w:hAnsi="Book Antiqua"/>
          <w:lang w:eastAsia="zh-CN"/>
        </w:rPr>
      </w:pPr>
    </w:p>
    <w:p w14:paraId="51750096" w14:textId="77777777" w:rsidR="00BD1A44" w:rsidRDefault="00BD1A44" w:rsidP="00BD1A44">
      <w:pPr>
        <w:jc w:val="center"/>
        <w:rPr>
          <w:rFonts w:ascii="Book Antiqua" w:hAnsi="Book Antiqua"/>
          <w:lang w:eastAsia="zh-CN"/>
        </w:rPr>
      </w:pPr>
      <w:r>
        <w:rPr>
          <w:rFonts w:ascii="Book Antiqua" w:hAnsi="Book Antiqua"/>
          <w:noProof/>
          <w:lang w:eastAsia="zh-CN"/>
        </w:rPr>
        <w:drawing>
          <wp:inline distT="0" distB="0" distL="0" distR="0" wp14:anchorId="64838315" wp14:editId="2448B0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A46BDD" w14:textId="77777777" w:rsidR="00BD1A44" w:rsidRDefault="00BD1A44" w:rsidP="00BD1A44">
      <w:pPr>
        <w:jc w:val="center"/>
        <w:rPr>
          <w:rFonts w:ascii="Book Antiqua" w:hAnsi="Book Antiqua"/>
          <w:lang w:eastAsia="zh-CN"/>
        </w:rPr>
      </w:pPr>
    </w:p>
    <w:p w14:paraId="0ECAA9F2" w14:textId="77777777" w:rsidR="00BD1A44" w:rsidRPr="00763D22" w:rsidRDefault="00BD1A44" w:rsidP="00BD1A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E66649" w14:textId="77777777" w:rsidR="00BD1A44" w:rsidRPr="00763D22" w:rsidRDefault="00BD1A44" w:rsidP="00BD1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EEA8EF" w14:textId="77777777" w:rsidR="00BD1A44" w:rsidRPr="00763D22" w:rsidRDefault="00BD1A44" w:rsidP="00BD1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D384F6" w14:textId="77777777" w:rsidR="00BD1A44" w:rsidRPr="00763D22" w:rsidRDefault="00BD1A44" w:rsidP="00BD1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A08452" w14:textId="77777777" w:rsidR="00BD1A44" w:rsidRPr="00763D22" w:rsidRDefault="00BD1A44" w:rsidP="00BD1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01050C" w14:textId="77777777" w:rsidR="00BD1A44" w:rsidRPr="00763D22" w:rsidRDefault="00BD1A44" w:rsidP="00BD1A4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2B6D3C" w14:textId="77777777" w:rsidR="00BD1A44" w:rsidRDefault="00BD1A44" w:rsidP="00BD1A44">
      <w:pPr>
        <w:jc w:val="center"/>
        <w:rPr>
          <w:rFonts w:ascii="Book Antiqua" w:hAnsi="Book Antiqua"/>
          <w:lang w:eastAsia="zh-CN"/>
        </w:rPr>
      </w:pPr>
    </w:p>
    <w:p w14:paraId="0B0A6267" w14:textId="77777777" w:rsidR="00BD1A44" w:rsidRDefault="00BD1A44" w:rsidP="00BD1A44">
      <w:pPr>
        <w:jc w:val="center"/>
        <w:rPr>
          <w:rFonts w:ascii="Book Antiqua" w:hAnsi="Book Antiqua"/>
          <w:lang w:eastAsia="zh-CN"/>
        </w:rPr>
      </w:pPr>
    </w:p>
    <w:p w14:paraId="286DC776" w14:textId="77777777" w:rsidR="00BD1A44" w:rsidRDefault="00BD1A44" w:rsidP="00BD1A44">
      <w:pPr>
        <w:jc w:val="center"/>
        <w:rPr>
          <w:rFonts w:ascii="Book Antiqua" w:hAnsi="Book Antiqua"/>
          <w:lang w:eastAsia="zh-CN"/>
        </w:rPr>
      </w:pPr>
    </w:p>
    <w:p w14:paraId="1689BCA2" w14:textId="77777777" w:rsidR="00BD1A44" w:rsidRDefault="00BD1A44" w:rsidP="00BD1A44">
      <w:pPr>
        <w:jc w:val="center"/>
        <w:rPr>
          <w:rFonts w:ascii="Book Antiqua" w:hAnsi="Book Antiqua"/>
          <w:lang w:eastAsia="zh-CN"/>
        </w:rPr>
      </w:pPr>
      <w:r>
        <w:rPr>
          <w:rFonts w:ascii="Book Antiqua" w:hAnsi="Book Antiqua"/>
          <w:noProof/>
          <w:lang w:eastAsia="zh-CN"/>
        </w:rPr>
        <w:drawing>
          <wp:inline distT="0" distB="0" distL="0" distR="0" wp14:anchorId="13A3DE86" wp14:editId="109C67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164042" w14:textId="77777777" w:rsidR="00BD1A44" w:rsidRDefault="00BD1A44" w:rsidP="00BD1A44">
      <w:pPr>
        <w:jc w:val="center"/>
        <w:rPr>
          <w:rFonts w:ascii="Book Antiqua" w:hAnsi="Book Antiqua"/>
          <w:lang w:eastAsia="zh-CN"/>
        </w:rPr>
      </w:pPr>
    </w:p>
    <w:p w14:paraId="19AC00AA" w14:textId="77777777" w:rsidR="00BD1A44" w:rsidRDefault="00BD1A44" w:rsidP="00BD1A44">
      <w:pPr>
        <w:jc w:val="center"/>
        <w:rPr>
          <w:rFonts w:ascii="Book Antiqua" w:hAnsi="Book Antiqua"/>
          <w:lang w:eastAsia="zh-CN"/>
        </w:rPr>
      </w:pPr>
    </w:p>
    <w:p w14:paraId="76A247AE" w14:textId="77777777" w:rsidR="00BD1A44" w:rsidRDefault="00BD1A44" w:rsidP="00BD1A44">
      <w:pPr>
        <w:jc w:val="center"/>
        <w:rPr>
          <w:rFonts w:ascii="Book Antiqua" w:hAnsi="Book Antiqua"/>
          <w:lang w:eastAsia="zh-CN"/>
        </w:rPr>
      </w:pPr>
    </w:p>
    <w:p w14:paraId="4AA4DAD1" w14:textId="77777777" w:rsidR="00BD1A44" w:rsidRDefault="00BD1A44" w:rsidP="00BD1A44">
      <w:pPr>
        <w:jc w:val="center"/>
        <w:rPr>
          <w:rFonts w:ascii="Book Antiqua" w:hAnsi="Book Antiqua"/>
          <w:lang w:eastAsia="zh-CN"/>
        </w:rPr>
      </w:pPr>
    </w:p>
    <w:p w14:paraId="316B6077" w14:textId="77777777" w:rsidR="00BD1A44" w:rsidRDefault="00BD1A44" w:rsidP="00BD1A44">
      <w:pPr>
        <w:jc w:val="center"/>
        <w:rPr>
          <w:rFonts w:ascii="Book Antiqua" w:hAnsi="Book Antiqua"/>
          <w:lang w:eastAsia="zh-CN"/>
        </w:rPr>
      </w:pPr>
    </w:p>
    <w:p w14:paraId="7F607537" w14:textId="77777777" w:rsidR="00BD1A44" w:rsidRDefault="00BD1A44" w:rsidP="00BD1A44">
      <w:pPr>
        <w:jc w:val="center"/>
        <w:rPr>
          <w:rFonts w:ascii="Book Antiqua" w:hAnsi="Book Antiqua"/>
          <w:lang w:eastAsia="zh-CN"/>
        </w:rPr>
      </w:pPr>
    </w:p>
    <w:p w14:paraId="327DC3D4" w14:textId="77777777" w:rsidR="00BD1A44" w:rsidRDefault="00BD1A44" w:rsidP="00BD1A44">
      <w:pPr>
        <w:jc w:val="center"/>
        <w:rPr>
          <w:rFonts w:ascii="Book Antiqua" w:hAnsi="Book Antiqua"/>
          <w:lang w:eastAsia="zh-CN"/>
        </w:rPr>
      </w:pPr>
    </w:p>
    <w:p w14:paraId="1DCE77CE" w14:textId="77777777" w:rsidR="00BD1A44" w:rsidRDefault="00BD1A44" w:rsidP="00BD1A44">
      <w:pPr>
        <w:jc w:val="center"/>
        <w:rPr>
          <w:rFonts w:ascii="Book Antiqua" w:hAnsi="Book Antiqua"/>
          <w:lang w:eastAsia="zh-CN"/>
        </w:rPr>
      </w:pPr>
    </w:p>
    <w:p w14:paraId="14D6E0DF" w14:textId="77777777" w:rsidR="00BD1A44" w:rsidRDefault="00BD1A44" w:rsidP="00BD1A44">
      <w:pPr>
        <w:jc w:val="center"/>
        <w:rPr>
          <w:rFonts w:ascii="Book Antiqua" w:hAnsi="Book Antiqua"/>
          <w:lang w:eastAsia="zh-CN"/>
        </w:rPr>
      </w:pPr>
    </w:p>
    <w:p w14:paraId="127D85FC" w14:textId="77777777" w:rsidR="00BD1A44" w:rsidRPr="00763D22" w:rsidRDefault="00BD1A44" w:rsidP="00BD1A44">
      <w:pPr>
        <w:jc w:val="right"/>
        <w:rPr>
          <w:rFonts w:ascii="Book Antiqua" w:hAnsi="Book Antiqua"/>
          <w:color w:val="000000" w:themeColor="text1"/>
          <w:lang w:eastAsia="zh-CN"/>
        </w:rPr>
      </w:pPr>
    </w:p>
    <w:p w14:paraId="7489C626" w14:textId="77777777" w:rsidR="00BD1A44" w:rsidRPr="00763D22" w:rsidRDefault="00BD1A44" w:rsidP="00BD1A4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599412D8" w14:textId="77777777" w:rsidR="0050274A" w:rsidRPr="00BD1A44" w:rsidRDefault="0050274A">
      <w:pPr>
        <w:spacing w:line="360" w:lineRule="auto"/>
        <w:jc w:val="both"/>
        <w:rPr>
          <w:rFonts w:ascii="Book Antiqua" w:hAnsi="Book Antiqua"/>
          <w:lang w:eastAsia="zh-CN"/>
        </w:rPr>
      </w:pPr>
      <w:bookmarkStart w:id="6" w:name="_GoBack"/>
      <w:bookmarkEnd w:id="6"/>
    </w:p>
    <w:sectPr w:rsidR="0050274A" w:rsidRPr="00BD1A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767D5" w14:textId="77777777" w:rsidR="008343EC" w:rsidRDefault="008343EC">
      <w:r>
        <w:separator/>
      </w:r>
    </w:p>
  </w:endnote>
  <w:endnote w:type="continuationSeparator" w:id="0">
    <w:p w14:paraId="4481E655" w14:textId="77777777" w:rsidR="008343EC" w:rsidRDefault="0083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15615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6C1DE054" w14:textId="77777777" w:rsidR="002754D3" w:rsidRDefault="002754D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343EC">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343EC">
              <w:rPr>
                <w:rFonts w:ascii="Book Antiqua" w:hAnsi="Book Antiqua"/>
                <w:b/>
                <w:bCs/>
                <w:noProof/>
                <w:sz w:val="24"/>
                <w:szCs w:val="24"/>
              </w:rPr>
              <w:t>1</w:t>
            </w:r>
            <w:r>
              <w:rPr>
                <w:rFonts w:ascii="Book Antiqua" w:hAnsi="Book Antiqua"/>
                <w:b/>
                <w:bCs/>
                <w:sz w:val="24"/>
                <w:szCs w:val="24"/>
              </w:rPr>
              <w:fldChar w:fldCharType="end"/>
            </w:r>
          </w:p>
        </w:sdtContent>
      </w:sdt>
    </w:sdtContent>
  </w:sdt>
  <w:p w14:paraId="5133EDE0" w14:textId="77777777" w:rsidR="002754D3" w:rsidRDefault="002754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69C2" w14:textId="77777777" w:rsidR="008343EC" w:rsidRDefault="008343EC">
      <w:r>
        <w:separator/>
      </w:r>
    </w:p>
  </w:footnote>
  <w:footnote w:type="continuationSeparator" w:id="0">
    <w:p w14:paraId="0AA2628C" w14:textId="77777777" w:rsidR="008343EC" w:rsidRDefault="00834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79D"/>
    <w:rsid w:val="00010642"/>
    <w:rsid w:val="00033702"/>
    <w:rsid w:val="00072A29"/>
    <w:rsid w:val="0008449A"/>
    <w:rsid w:val="00087168"/>
    <w:rsid w:val="000C156F"/>
    <w:rsid w:val="000C623D"/>
    <w:rsid w:val="000E5103"/>
    <w:rsid w:val="0011640A"/>
    <w:rsid w:val="001242B6"/>
    <w:rsid w:val="001256D4"/>
    <w:rsid w:val="00133CAD"/>
    <w:rsid w:val="00187778"/>
    <w:rsid w:val="001A41C5"/>
    <w:rsid w:val="001D4B8E"/>
    <w:rsid w:val="001D7A10"/>
    <w:rsid w:val="001F2E6C"/>
    <w:rsid w:val="0025388B"/>
    <w:rsid w:val="00261A76"/>
    <w:rsid w:val="002754D3"/>
    <w:rsid w:val="00284F9B"/>
    <w:rsid w:val="00292D2B"/>
    <w:rsid w:val="002B73AC"/>
    <w:rsid w:val="002C7EB7"/>
    <w:rsid w:val="0033599E"/>
    <w:rsid w:val="00340C42"/>
    <w:rsid w:val="0036039B"/>
    <w:rsid w:val="003619B7"/>
    <w:rsid w:val="00393BA5"/>
    <w:rsid w:val="003956E9"/>
    <w:rsid w:val="00396630"/>
    <w:rsid w:val="003D7409"/>
    <w:rsid w:val="003F7A7E"/>
    <w:rsid w:val="00406DED"/>
    <w:rsid w:val="004071C3"/>
    <w:rsid w:val="00407CCA"/>
    <w:rsid w:val="0043704E"/>
    <w:rsid w:val="00475FB3"/>
    <w:rsid w:val="0047643E"/>
    <w:rsid w:val="00491377"/>
    <w:rsid w:val="004A44F7"/>
    <w:rsid w:val="004B50D4"/>
    <w:rsid w:val="004E4B18"/>
    <w:rsid w:val="004E53DF"/>
    <w:rsid w:val="0050274A"/>
    <w:rsid w:val="00527075"/>
    <w:rsid w:val="005A47FD"/>
    <w:rsid w:val="005E3BD1"/>
    <w:rsid w:val="005F7616"/>
    <w:rsid w:val="005F7D46"/>
    <w:rsid w:val="00635AD4"/>
    <w:rsid w:val="00637BCD"/>
    <w:rsid w:val="006601E2"/>
    <w:rsid w:val="00671FC4"/>
    <w:rsid w:val="0067461B"/>
    <w:rsid w:val="006823D9"/>
    <w:rsid w:val="006D2F02"/>
    <w:rsid w:val="006F61AB"/>
    <w:rsid w:val="006F6676"/>
    <w:rsid w:val="0070401F"/>
    <w:rsid w:val="00704E84"/>
    <w:rsid w:val="007376D4"/>
    <w:rsid w:val="0076127C"/>
    <w:rsid w:val="00761A92"/>
    <w:rsid w:val="00763123"/>
    <w:rsid w:val="00776973"/>
    <w:rsid w:val="007A2293"/>
    <w:rsid w:val="007A4B0D"/>
    <w:rsid w:val="007B6E72"/>
    <w:rsid w:val="00802F40"/>
    <w:rsid w:val="008343EC"/>
    <w:rsid w:val="00842129"/>
    <w:rsid w:val="00847FD9"/>
    <w:rsid w:val="00887B05"/>
    <w:rsid w:val="008E4FDA"/>
    <w:rsid w:val="00902603"/>
    <w:rsid w:val="00907CB6"/>
    <w:rsid w:val="009136EC"/>
    <w:rsid w:val="00943D93"/>
    <w:rsid w:val="00963158"/>
    <w:rsid w:val="00980D7C"/>
    <w:rsid w:val="009A5143"/>
    <w:rsid w:val="009B5BAE"/>
    <w:rsid w:val="00A044D3"/>
    <w:rsid w:val="00A052BC"/>
    <w:rsid w:val="00A30515"/>
    <w:rsid w:val="00A551FD"/>
    <w:rsid w:val="00A62EDB"/>
    <w:rsid w:val="00A77B3E"/>
    <w:rsid w:val="00A92AE7"/>
    <w:rsid w:val="00AC4943"/>
    <w:rsid w:val="00AD7E97"/>
    <w:rsid w:val="00B1510F"/>
    <w:rsid w:val="00B46B29"/>
    <w:rsid w:val="00B7016B"/>
    <w:rsid w:val="00B85F19"/>
    <w:rsid w:val="00B91AF5"/>
    <w:rsid w:val="00BB6A15"/>
    <w:rsid w:val="00BD1A44"/>
    <w:rsid w:val="00BD4DA6"/>
    <w:rsid w:val="00BE7707"/>
    <w:rsid w:val="00C11471"/>
    <w:rsid w:val="00C26999"/>
    <w:rsid w:val="00CA0035"/>
    <w:rsid w:val="00CA2A55"/>
    <w:rsid w:val="00CA4715"/>
    <w:rsid w:val="00CB4B99"/>
    <w:rsid w:val="00CC13FE"/>
    <w:rsid w:val="00CC369C"/>
    <w:rsid w:val="00D1051D"/>
    <w:rsid w:val="00D2603C"/>
    <w:rsid w:val="00D56EA0"/>
    <w:rsid w:val="00D752F3"/>
    <w:rsid w:val="00D901E8"/>
    <w:rsid w:val="00D96F24"/>
    <w:rsid w:val="00DA2663"/>
    <w:rsid w:val="00DA5880"/>
    <w:rsid w:val="00DB2F8B"/>
    <w:rsid w:val="00DB424B"/>
    <w:rsid w:val="00DD193F"/>
    <w:rsid w:val="00DD7199"/>
    <w:rsid w:val="00DD7AC1"/>
    <w:rsid w:val="00DF4900"/>
    <w:rsid w:val="00E03935"/>
    <w:rsid w:val="00E2161E"/>
    <w:rsid w:val="00E30B5A"/>
    <w:rsid w:val="00E64CB7"/>
    <w:rsid w:val="00E82810"/>
    <w:rsid w:val="00EA3B20"/>
    <w:rsid w:val="00ED72EA"/>
    <w:rsid w:val="00EF52DA"/>
    <w:rsid w:val="00F24146"/>
    <w:rsid w:val="00F24D56"/>
    <w:rsid w:val="00F30065"/>
    <w:rsid w:val="00F83ADA"/>
    <w:rsid w:val="00F9339A"/>
    <w:rsid w:val="00FE19DA"/>
    <w:rsid w:val="1484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D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99"/>
    <w:unhideWhenUsed/>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style>
  <w:style w:type="character" w:styleId="aa">
    <w:name w:val="Hyperlink"/>
    <w:basedOn w:val="a0"/>
    <w:unhideWhenUsed/>
    <w:rsid w:val="00527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99"/>
    <w:unhideWhenUsed/>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style>
  <w:style w:type="character" w:styleId="aa">
    <w:name w:val="Hyperlink"/>
    <w:basedOn w:val="a0"/>
    <w:unhideWhenUsed/>
    <w:rsid w:val="00527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7061</Words>
  <Characters>40251</Characters>
  <Application>Microsoft Office Word</Application>
  <DocSecurity>0</DocSecurity>
  <Lines>335</Lines>
  <Paragraphs>94</Paragraphs>
  <ScaleCrop>false</ScaleCrop>
  <Company>HP Inc.</Company>
  <LinksUpToDate>false</LinksUpToDate>
  <CharactersWithSpaces>47218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姚欣</dc:creator>
  <cp:lastModifiedBy>liujihong2008@qq.con</cp:lastModifiedBy>
  <cp:revision>10</cp:revision>
  <dcterms:created xsi:type="dcterms:W3CDTF">2021-07-25T23:21:00Z</dcterms:created>
  <dcterms:modified xsi:type="dcterms:W3CDTF">2021-08-09T07:55:00Z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EE31D9CDFFB04FBFB8DEC9B3D957954A</vt:lpwstr>
  </property>
</Properties>
</file>