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EDAD" w14:textId="77777777" w:rsidR="00A77B3E" w:rsidRDefault="00BC1DB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FA2CB02" w14:textId="77777777" w:rsidR="00A77B3E" w:rsidRDefault="00BC1DB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66856</w:t>
      </w:r>
    </w:p>
    <w:p w14:paraId="7352D84D" w14:textId="77777777" w:rsidR="00A77B3E" w:rsidRDefault="00BC1DB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C40F43D" w14:textId="77777777" w:rsidR="00A77B3E" w:rsidRDefault="00A77B3E">
      <w:pPr>
        <w:spacing w:line="360" w:lineRule="auto"/>
        <w:jc w:val="both"/>
      </w:pPr>
    </w:p>
    <w:p w14:paraId="72E6A225" w14:textId="5A70B6B0" w:rsidR="00A77B3E" w:rsidRDefault="00BC1DBA">
      <w:pPr>
        <w:spacing w:line="360" w:lineRule="auto"/>
        <w:jc w:val="both"/>
      </w:pPr>
      <w:r>
        <w:rPr>
          <w:rFonts w:ascii="Book Antiqua" w:eastAsia="Book Antiqua" w:hAnsi="Book Antiqua" w:cs="Book Antiqua"/>
          <w:b/>
          <w:color w:val="000000"/>
        </w:rPr>
        <w:t>Atezolizumab and bevacizumab as first line therapy in advanced hepatocellular carcinoma: Practical considerations in routine clinical practice</w:t>
      </w:r>
    </w:p>
    <w:p w14:paraId="14E76B6B" w14:textId="77777777" w:rsidR="00A77B3E" w:rsidRDefault="00A77B3E">
      <w:pPr>
        <w:spacing w:line="360" w:lineRule="auto"/>
        <w:jc w:val="both"/>
      </w:pPr>
    </w:p>
    <w:p w14:paraId="0D1092A9" w14:textId="77777777" w:rsidR="00A77B3E" w:rsidRDefault="003D19DA">
      <w:pPr>
        <w:spacing w:line="360" w:lineRule="auto"/>
        <w:jc w:val="both"/>
      </w:pPr>
      <w:r>
        <w:rPr>
          <w:rFonts w:ascii="Book Antiqua" w:eastAsia="Book Antiqua" w:hAnsi="Book Antiqua" w:cs="Book Antiqua"/>
          <w:color w:val="000000"/>
        </w:rPr>
        <w:t xml:space="preserve">Jain </w:t>
      </w:r>
      <w:r>
        <w:rPr>
          <w:rFonts w:ascii="Book Antiqua" w:hAnsi="Book Antiqua" w:cs="Book Antiqua" w:hint="eastAsia"/>
          <w:color w:val="000000"/>
          <w:lang w:eastAsia="zh-CN"/>
        </w:rPr>
        <w:t xml:space="preserve">A </w:t>
      </w:r>
      <w:r w:rsidRPr="003D19D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C1DBA">
        <w:rPr>
          <w:rFonts w:ascii="Book Antiqua" w:eastAsia="Book Antiqua" w:hAnsi="Book Antiqua" w:cs="Book Antiqua"/>
          <w:color w:val="000000"/>
        </w:rPr>
        <w:t xml:space="preserve">Atezolizumab and </w:t>
      </w:r>
      <w:r>
        <w:rPr>
          <w:rFonts w:ascii="Book Antiqua" w:hAnsi="Book Antiqua" w:cs="Book Antiqua" w:hint="eastAsia"/>
          <w:color w:val="000000"/>
          <w:lang w:eastAsia="zh-CN"/>
        </w:rPr>
        <w:t>b</w:t>
      </w:r>
      <w:r w:rsidR="00BC1DBA">
        <w:rPr>
          <w:rFonts w:ascii="Book Antiqua" w:eastAsia="Book Antiqua" w:hAnsi="Book Antiqua" w:cs="Book Antiqua"/>
          <w:color w:val="000000"/>
        </w:rPr>
        <w:t>evacizumab in advanced HCC</w:t>
      </w:r>
    </w:p>
    <w:p w14:paraId="4FD70601" w14:textId="77777777" w:rsidR="00A77B3E" w:rsidRDefault="00A77B3E">
      <w:pPr>
        <w:spacing w:line="360" w:lineRule="auto"/>
        <w:jc w:val="both"/>
      </w:pPr>
    </w:p>
    <w:p w14:paraId="070E3F71" w14:textId="77777777" w:rsidR="00A77B3E" w:rsidRDefault="00BC1DBA">
      <w:pPr>
        <w:spacing w:line="360" w:lineRule="auto"/>
        <w:jc w:val="both"/>
      </w:pPr>
      <w:r>
        <w:rPr>
          <w:rFonts w:ascii="Book Antiqua" w:eastAsia="Book Antiqua" w:hAnsi="Book Antiqua" w:cs="Book Antiqua"/>
          <w:color w:val="000000"/>
        </w:rPr>
        <w:t>Ankit Jain, Shivakumar Chitturi, Geoffrey Peters, Desmond Yip</w:t>
      </w:r>
    </w:p>
    <w:p w14:paraId="48A474D1" w14:textId="77777777" w:rsidR="00A77B3E" w:rsidRDefault="00A77B3E">
      <w:pPr>
        <w:spacing w:line="360" w:lineRule="auto"/>
        <w:jc w:val="both"/>
      </w:pPr>
    </w:p>
    <w:p w14:paraId="68225A8D" w14:textId="77BF5AC7" w:rsidR="00A77B3E" w:rsidRDefault="00BC1DBA">
      <w:pPr>
        <w:spacing w:line="360" w:lineRule="auto"/>
        <w:jc w:val="both"/>
      </w:pPr>
      <w:r>
        <w:rPr>
          <w:rFonts w:ascii="Book Antiqua" w:eastAsia="Book Antiqua" w:hAnsi="Book Antiqua" w:cs="Book Antiqua"/>
          <w:b/>
          <w:bCs/>
          <w:color w:val="000000"/>
        </w:rPr>
        <w:t xml:space="preserve">Ankit Jain, Geoffrey Peters, Desmond Yip, </w:t>
      </w:r>
      <w:r>
        <w:rPr>
          <w:rFonts w:ascii="Book Antiqua" w:eastAsia="Book Antiqua" w:hAnsi="Book Antiqua" w:cs="Book Antiqua"/>
          <w:color w:val="000000"/>
        </w:rPr>
        <w:t>Department of Medical Oncology, The Canberra Hospital, Garran 260</w:t>
      </w:r>
      <w:r w:rsidR="00C07AFE">
        <w:rPr>
          <w:rFonts w:ascii="Book Antiqua" w:eastAsia="Book Antiqua" w:hAnsi="Book Antiqua" w:cs="Book Antiqua"/>
          <w:color w:val="000000"/>
        </w:rPr>
        <w:t>5</w:t>
      </w:r>
      <w:r>
        <w:rPr>
          <w:rFonts w:ascii="Book Antiqua" w:eastAsia="Book Antiqua" w:hAnsi="Book Antiqua" w:cs="Book Antiqua"/>
          <w:color w:val="000000"/>
        </w:rPr>
        <w:t>, ACT, Australia</w:t>
      </w:r>
    </w:p>
    <w:p w14:paraId="08F8D141" w14:textId="77777777" w:rsidR="00A77B3E" w:rsidRDefault="00A77B3E">
      <w:pPr>
        <w:spacing w:line="360" w:lineRule="auto"/>
        <w:jc w:val="both"/>
      </w:pPr>
    </w:p>
    <w:p w14:paraId="4C807205" w14:textId="3445B942" w:rsidR="00A77B3E" w:rsidRDefault="00BC1DBA">
      <w:pPr>
        <w:spacing w:line="360" w:lineRule="auto"/>
        <w:jc w:val="both"/>
      </w:pPr>
      <w:r>
        <w:rPr>
          <w:rFonts w:ascii="Book Antiqua" w:eastAsia="Book Antiqua" w:hAnsi="Book Antiqua" w:cs="Book Antiqua"/>
          <w:b/>
          <w:bCs/>
          <w:color w:val="000000"/>
        </w:rPr>
        <w:t xml:space="preserve">Ankit Jain, </w:t>
      </w:r>
      <w:r w:rsidR="0004757D">
        <w:rPr>
          <w:rFonts w:ascii="Book Antiqua" w:eastAsia="Book Antiqua" w:hAnsi="Book Antiqua" w:cs="Book Antiqua"/>
          <w:b/>
          <w:bCs/>
          <w:color w:val="000000"/>
        </w:rPr>
        <w:t>Shivakuma</w:t>
      </w:r>
      <w:r w:rsidR="00C07AFE">
        <w:rPr>
          <w:rFonts w:ascii="Book Antiqua" w:eastAsia="Book Antiqua" w:hAnsi="Book Antiqua" w:cs="Book Antiqua"/>
          <w:b/>
          <w:bCs/>
          <w:color w:val="000000"/>
        </w:rPr>
        <w:t>r</w:t>
      </w:r>
      <w:r w:rsidR="0004757D">
        <w:rPr>
          <w:rFonts w:ascii="Book Antiqua" w:eastAsia="Book Antiqua" w:hAnsi="Book Antiqua" w:cs="Book Antiqua"/>
          <w:b/>
          <w:bCs/>
          <w:color w:val="000000"/>
        </w:rPr>
        <w:t xml:space="preserve"> Chitturi, </w:t>
      </w:r>
      <w:r>
        <w:rPr>
          <w:rFonts w:ascii="Book Antiqua" w:eastAsia="Book Antiqua" w:hAnsi="Book Antiqua" w:cs="Book Antiqua"/>
          <w:b/>
          <w:bCs/>
          <w:color w:val="000000"/>
        </w:rPr>
        <w:t xml:space="preserve">Geoffrey Peters, Desmond Yip, </w:t>
      </w:r>
      <w:r>
        <w:rPr>
          <w:rFonts w:ascii="Book Antiqua" w:eastAsia="Book Antiqua" w:hAnsi="Book Antiqua" w:cs="Book Antiqua"/>
          <w:color w:val="000000"/>
        </w:rPr>
        <w:t>ANU Medical School, Australian National University, Canberra 0200, ACT, Australia</w:t>
      </w:r>
    </w:p>
    <w:p w14:paraId="76A307A0" w14:textId="77777777" w:rsidR="00A77B3E" w:rsidRDefault="00A77B3E">
      <w:pPr>
        <w:spacing w:line="360" w:lineRule="auto"/>
        <w:jc w:val="both"/>
      </w:pPr>
    </w:p>
    <w:p w14:paraId="67686ED9" w14:textId="2E137E87" w:rsidR="00A77B3E" w:rsidRDefault="00BC1DBA">
      <w:pPr>
        <w:spacing w:line="360" w:lineRule="auto"/>
        <w:jc w:val="both"/>
      </w:pPr>
      <w:r>
        <w:rPr>
          <w:rFonts w:ascii="Book Antiqua" w:eastAsia="Book Antiqua" w:hAnsi="Book Antiqua" w:cs="Book Antiqua"/>
          <w:b/>
          <w:bCs/>
          <w:color w:val="000000"/>
        </w:rPr>
        <w:t xml:space="preserve">Shivakumar Chitturi, </w:t>
      </w:r>
      <w:r>
        <w:rPr>
          <w:rFonts w:ascii="Book Antiqua" w:eastAsia="Book Antiqua" w:hAnsi="Book Antiqua" w:cs="Book Antiqua"/>
          <w:color w:val="000000"/>
        </w:rPr>
        <w:t>Gastroenterol</w:t>
      </w:r>
      <w:r w:rsidR="0004757D">
        <w:rPr>
          <w:rFonts w:ascii="Book Antiqua" w:eastAsia="Book Antiqua" w:hAnsi="Book Antiqua" w:cs="Book Antiqua"/>
          <w:color w:val="000000"/>
        </w:rPr>
        <w:t>ogy</w:t>
      </w:r>
      <w:r>
        <w:rPr>
          <w:rFonts w:ascii="Book Antiqua" w:eastAsia="Book Antiqua" w:hAnsi="Book Antiqua" w:cs="Book Antiqua"/>
          <w:color w:val="000000"/>
        </w:rPr>
        <w:t xml:space="preserve"> and Hepatol</w:t>
      </w:r>
      <w:r w:rsidR="0004757D">
        <w:rPr>
          <w:rFonts w:ascii="Book Antiqua" w:eastAsia="Book Antiqua" w:hAnsi="Book Antiqua" w:cs="Book Antiqua"/>
          <w:color w:val="000000"/>
        </w:rPr>
        <w:t>ogy</w:t>
      </w:r>
      <w:r>
        <w:rPr>
          <w:rFonts w:ascii="Book Antiqua" w:eastAsia="Book Antiqua" w:hAnsi="Book Antiqua" w:cs="Book Antiqua"/>
          <w:color w:val="000000"/>
        </w:rPr>
        <w:t xml:space="preserve"> Unit, </w:t>
      </w:r>
      <w:r w:rsidR="00546D0B">
        <w:rPr>
          <w:rFonts w:ascii="Book Antiqua" w:eastAsia="Book Antiqua" w:hAnsi="Book Antiqua" w:cs="Book Antiqua"/>
          <w:color w:val="000000"/>
        </w:rPr>
        <w:t xml:space="preserve">Canberra Hospital, </w:t>
      </w:r>
      <w:r>
        <w:rPr>
          <w:rFonts w:ascii="Book Antiqua" w:eastAsia="Book Antiqua" w:hAnsi="Book Antiqua" w:cs="Book Antiqua"/>
          <w:color w:val="000000"/>
        </w:rPr>
        <w:t>Canberra 260</w:t>
      </w:r>
      <w:r w:rsidR="00C07AFE">
        <w:rPr>
          <w:rFonts w:ascii="Book Antiqua" w:eastAsia="Book Antiqua" w:hAnsi="Book Antiqua" w:cs="Book Antiqua"/>
          <w:color w:val="000000"/>
        </w:rPr>
        <w:t>5</w:t>
      </w:r>
      <w:r>
        <w:rPr>
          <w:rFonts w:ascii="Book Antiqua" w:eastAsia="Book Antiqua" w:hAnsi="Book Antiqua" w:cs="Book Antiqua"/>
          <w:color w:val="000000"/>
        </w:rPr>
        <w:t>, ACT, Australia</w:t>
      </w:r>
    </w:p>
    <w:p w14:paraId="2C716010" w14:textId="77777777" w:rsidR="00A77B3E" w:rsidRDefault="00A77B3E">
      <w:pPr>
        <w:spacing w:line="360" w:lineRule="auto"/>
        <w:jc w:val="both"/>
      </w:pPr>
    </w:p>
    <w:p w14:paraId="147F0880" w14:textId="77777777" w:rsidR="00A77B3E" w:rsidRDefault="00BC1DBA">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Jain A and Yip D</w:t>
      </w:r>
      <w:r w:rsidR="003D19DA">
        <w:rPr>
          <w:rFonts w:ascii="Book Antiqua" w:hAnsi="Book Antiqua" w:cs="Book Antiqua" w:hint="eastAsia"/>
          <w:color w:val="000000"/>
          <w:lang w:eastAsia="zh-CN"/>
        </w:rPr>
        <w:t xml:space="preserve"> </w:t>
      </w:r>
      <w:r w:rsidR="003D19DA" w:rsidRPr="003D19DA">
        <w:rPr>
          <w:rFonts w:ascii="Book Antiqua" w:hAnsi="Book Antiqua" w:cs="Book Antiqua"/>
          <w:color w:val="000000"/>
          <w:lang w:eastAsia="zh-CN"/>
        </w:rPr>
        <w:t>contribut</w:t>
      </w:r>
      <w:r w:rsidR="003D19DA">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3D19DA">
        <w:rPr>
          <w:rFonts w:ascii="Book Antiqua" w:eastAsia="Book Antiqua" w:hAnsi="Book Antiqua" w:cs="Book Antiqua"/>
          <w:color w:val="000000"/>
        </w:rPr>
        <w:t>concept and d</w:t>
      </w:r>
      <w:r>
        <w:rPr>
          <w:rFonts w:ascii="Book Antiqua" w:eastAsia="Book Antiqua" w:hAnsi="Book Antiqua" w:cs="Book Antiqua"/>
          <w:color w:val="000000"/>
        </w:rPr>
        <w:t>esign</w:t>
      </w:r>
      <w:r w:rsidR="003D19DA">
        <w:rPr>
          <w:rFonts w:ascii="Book Antiqua" w:hAnsi="Book Antiqua" w:cs="Book Antiqua" w:hint="eastAsia"/>
          <w:color w:val="000000"/>
          <w:lang w:eastAsia="zh-CN"/>
        </w:rPr>
        <w:t xml:space="preserve">, </w:t>
      </w:r>
      <w:r w:rsidR="003D19DA">
        <w:rPr>
          <w:rFonts w:ascii="Book Antiqua" w:eastAsia="Book Antiqua" w:hAnsi="Book Antiqua" w:cs="Book Antiqua"/>
          <w:color w:val="000000"/>
        </w:rPr>
        <w:t>analysis and interpretation of data</w:t>
      </w:r>
      <w:r w:rsidR="003D19DA">
        <w:rPr>
          <w:rFonts w:ascii="Book Antiqua" w:hAnsi="Book Antiqua" w:cs="Book Antiqua" w:hint="eastAsia"/>
          <w:color w:val="000000"/>
          <w:lang w:eastAsia="zh-CN"/>
        </w:rPr>
        <w:t xml:space="preserve">; </w:t>
      </w:r>
      <w:r>
        <w:rPr>
          <w:rFonts w:ascii="Book Antiqua" w:eastAsia="Book Antiqua" w:hAnsi="Book Antiqua" w:cs="Book Antiqua"/>
          <w:color w:val="000000"/>
        </w:rPr>
        <w:t>Jain A, Chitturi S, Peters G</w:t>
      </w:r>
      <w:r w:rsidR="003D19DA">
        <w:rPr>
          <w:rFonts w:ascii="Book Antiqua" w:hAnsi="Book Antiqua" w:cs="Book Antiqua" w:hint="eastAsia"/>
          <w:color w:val="000000"/>
          <w:lang w:eastAsia="zh-CN"/>
        </w:rPr>
        <w:t xml:space="preserve"> and </w:t>
      </w:r>
      <w:r>
        <w:rPr>
          <w:rFonts w:ascii="Book Antiqua" w:eastAsia="Book Antiqua" w:hAnsi="Book Antiqua" w:cs="Book Antiqua"/>
          <w:color w:val="000000"/>
        </w:rPr>
        <w:t>Yip D wrote the manuscript</w:t>
      </w:r>
      <w:r w:rsidR="003D19DA">
        <w:rPr>
          <w:rFonts w:ascii="Book Antiqua" w:hAnsi="Book Antiqua" w:cs="Book Antiqua" w:hint="eastAsia"/>
          <w:color w:val="000000"/>
          <w:lang w:eastAsia="zh-CN"/>
        </w:rPr>
        <w:t xml:space="preserve">, and </w:t>
      </w:r>
      <w:r>
        <w:rPr>
          <w:rFonts w:ascii="Book Antiqua" w:eastAsia="Book Antiqua" w:hAnsi="Book Antiqua" w:cs="Book Antiqua"/>
          <w:color w:val="000000"/>
        </w:rPr>
        <w:t>approved the final manuscript.</w:t>
      </w:r>
    </w:p>
    <w:p w14:paraId="6875E34D" w14:textId="77777777" w:rsidR="00A77B3E" w:rsidRDefault="00A77B3E">
      <w:pPr>
        <w:spacing w:line="360" w:lineRule="auto"/>
        <w:jc w:val="both"/>
      </w:pPr>
    </w:p>
    <w:p w14:paraId="0D9DE1C9" w14:textId="2CF0D2F4" w:rsidR="00A77B3E" w:rsidRDefault="00BC1DBA">
      <w:pPr>
        <w:spacing w:line="360" w:lineRule="auto"/>
        <w:jc w:val="both"/>
      </w:pPr>
      <w:r>
        <w:rPr>
          <w:rFonts w:ascii="Book Antiqua" w:eastAsia="Book Antiqua" w:hAnsi="Book Antiqua" w:cs="Book Antiqua"/>
          <w:b/>
          <w:bCs/>
          <w:color w:val="000000"/>
        </w:rPr>
        <w:t xml:space="preserve">Corresponding author: Ankit Jain, </w:t>
      </w:r>
      <w:r w:rsidR="00C07AFE">
        <w:rPr>
          <w:rFonts w:ascii="Book Antiqua" w:eastAsia="Book Antiqua" w:hAnsi="Book Antiqua" w:cs="Book Antiqua"/>
          <w:b/>
          <w:bCs/>
          <w:color w:val="000000"/>
        </w:rPr>
        <w:t xml:space="preserve">DM, </w:t>
      </w:r>
      <w:r>
        <w:rPr>
          <w:rFonts w:ascii="Book Antiqua" w:eastAsia="Book Antiqua" w:hAnsi="Book Antiqua" w:cs="Book Antiqua"/>
          <w:b/>
          <w:bCs/>
          <w:color w:val="000000"/>
        </w:rPr>
        <w:t xml:space="preserve">DNB, FRACP, MBBS, </w:t>
      </w:r>
      <w:r w:rsidR="00C5487F">
        <w:rPr>
          <w:rFonts w:ascii="Book Antiqua" w:eastAsia="Book Antiqua" w:hAnsi="Book Antiqua" w:cs="Book Antiqua"/>
          <w:b/>
          <w:bCs/>
          <w:color w:val="000000"/>
        </w:rPr>
        <w:t>MCLAM</w:t>
      </w:r>
      <w:r w:rsidR="00C5487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MD, Staff Physician, </w:t>
      </w:r>
      <w:r>
        <w:rPr>
          <w:rFonts w:ascii="Book Antiqua" w:eastAsia="Book Antiqua" w:hAnsi="Book Antiqua" w:cs="Book Antiqua"/>
          <w:color w:val="000000"/>
        </w:rPr>
        <w:t>Department of Medical Oncology, The Canberra Hospital,</w:t>
      </w:r>
      <w:r w:rsidR="00C07AFE">
        <w:rPr>
          <w:rFonts w:ascii="Book Antiqua" w:eastAsia="Book Antiqua" w:hAnsi="Book Antiqua" w:cs="Book Antiqua"/>
          <w:color w:val="000000"/>
        </w:rPr>
        <w:t xml:space="preserve"> Building 19,</w:t>
      </w:r>
      <w:r w:rsidR="00C5487F">
        <w:rPr>
          <w:rFonts w:ascii="Book Antiqua" w:hAnsi="Book Antiqua" w:cs="Book Antiqua" w:hint="eastAsia"/>
          <w:color w:val="000000"/>
          <w:lang w:eastAsia="zh-CN"/>
        </w:rPr>
        <w:t xml:space="preserve"> </w:t>
      </w:r>
      <w:r w:rsidR="00C07AFE">
        <w:rPr>
          <w:rFonts w:ascii="Book Antiqua" w:eastAsia="Book Antiqua" w:hAnsi="Book Antiqua" w:cs="Book Antiqua"/>
          <w:color w:val="000000"/>
        </w:rPr>
        <w:t>Level 5, Yamba Drive</w:t>
      </w:r>
      <w:r>
        <w:rPr>
          <w:rFonts w:ascii="Book Antiqua" w:eastAsia="Book Antiqua" w:hAnsi="Book Antiqua" w:cs="Book Antiqua"/>
          <w:color w:val="000000"/>
        </w:rPr>
        <w:t>, Garran 260</w:t>
      </w:r>
      <w:r w:rsidR="00C07AFE">
        <w:rPr>
          <w:rFonts w:ascii="Book Antiqua" w:eastAsia="Book Antiqua" w:hAnsi="Book Antiqua" w:cs="Book Antiqua"/>
          <w:color w:val="000000"/>
        </w:rPr>
        <w:t>5</w:t>
      </w:r>
      <w:r>
        <w:rPr>
          <w:rFonts w:ascii="Book Antiqua" w:eastAsia="Book Antiqua" w:hAnsi="Book Antiqua" w:cs="Book Antiqua"/>
          <w:color w:val="000000"/>
        </w:rPr>
        <w:t>, ACT, Australia. ankit.jain@anu.edu.au</w:t>
      </w:r>
    </w:p>
    <w:p w14:paraId="7CEB8334" w14:textId="77777777" w:rsidR="00A77B3E" w:rsidRDefault="00A77B3E">
      <w:pPr>
        <w:spacing w:line="360" w:lineRule="auto"/>
        <w:jc w:val="both"/>
      </w:pPr>
    </w:p>
    <w:p w14:paraId="72156204" w14:textId="77777777" w:rsidR="00A77B3E" w:rsidRDefault="00BC1DB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395E24AC" w14:textId="77777777" w:rsidR="00A77B3E" w:rsidRDefault="00BC1DB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2021</w:t>
      </w:r>
    </w:p>
    <w:p w14:paraId="6BB19FA4" w14:textId="4F888C89" w:rsidR="00A77B3E" w:rsidRDefault="00BC1DBA">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8B1582">
        <w:rPr>
          <w:rFonts w:ascii="Book Antiqua" w:eastAsia="宋体" w:hAnsi="Book Antiqua" w:hint="eastAsia"/>
          <w:color w:val="000000" w:themeColor="text1"/>
        </w:rPr>
        <w:t>Au</w:t>
      </w:r>
      <w:r w:rsidR="008B1582">
        <w:rPr>
          <w:rFonts w:ascii="Book Antiqua" w:eastAsia="宋体" w:hAnsi="Book Antiqua"/>
          <w:color w:val="000000" w:themeColor="text1"/>
        </w:rPr>
        <w:t>gust</w:t>
      </w:r>
      <w:r w:rsidR="008B1582" w:rsidRPr="00F06907">
        <w:rPr>
          <w:rFonts w:ascii="Book Antiqua" w:eastAsia="宋体" w:hAnsi="Book Antiqua"/>
          <w:color w:val="000000" w:themeColor="text1"/>
        </w:rPr>
        <w:t xml:space="preserve"> </w:t>
      </w:r>
      <w:r w:rsidR="008B1582">
        <w:rPr>
          <w:rFonts w:ascii="Book Antiqua" w:eastAsia="宋体" w:hAnsi="Book Antiqua"/>
          <w:color w:val="000000" w:themeColor="text1"/>
        </w:rPr>
        <w:t>9</w:t>
      </w:r>
      <w:r w:rsidR="008B1582" w:rsidRPr="00F06907">
        <w:rPr>
          <w:rFonts w:ascii="Book Antiqua" w:eastAsia="宋体" w:hAnsi="Book Antiqua"/>
          <w:color w:val="000000" w:themeColor="text1"/>
        </w:rPr>
        <w:t>, 2021</w:t>
      </w:r>
      <w:bookmarkEnd w:id="0"/>
      <w:bookmarkEnd w:id="1"/>
      <w:bookmarkEnd w:id="2"/>
    </w:p>
    <w:p w14:paraId="18464985" w14:textId="77777777" w:rsidR="00A77B3E" w:rsidRDefault="00BC1DBA">
      <w:pPr>
        <w:spacing w:line="360" w:lineRule="auto"/>
        <w:jc w:val="both"/>
      </w:pPr>
      <w:r>
        <w:rPr>
          <w:rFonts w:ascii="Book Antiqua" w:eastAsia="Book Antiqua" w:hAnsi="Book Antiqua" w:cs="Book Antiqua"/>
          <w:b/>
          <w:bCs/>
          <w:color w:val="000000"/>
        </w:rPr>
        <w:t xml:space="preserve">Published online: </w:t>
      </w:r>
    </w:p>
    <w:p w14:paraId="5B7F3F5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BAEE100" w14:textId="77777777" w:rsidR="00A77B3E" w:rsidRDefault="00BC1DBA">
      <w:pPr>
        <w:spacing w:line="360" w:lineRule="auto"/>
        <w:jc w:val="both"/>
      </w:pPr>
      <w:r>
        <w:rPr>
          <w:rFonts w:ascii="Book Antiqua" w:eastAsia="Book Antiqua" w:hAnsi="Book Antiqua" w:cs="Book Antiqua"/>
          <w:b/>
          <w:color w:val="000000"/>
        </w:rPr>
        <w:lastRenderedPageBreak/>
        <w:t>Abstract</w:t>
      </w:r>
    </w:p>
    <w:p w14:paraId="3EFA8D66" w14:textId="77777777" w:rsidR="00A77B3E" w:rsidRPr="003D19DA" w:rsidRDefault="00BC1DBA">
      <w:pPr>
        <w:spacing w:line="360" w:lineRule="auto"/>
        <w:jc w:val="both"/>
        <w:rPr>
          <w:lang w:eastAsia="zh-CN"/>
        </w:rPr>
      </w:pPr>
      <w:r>
        <w:rPr>
          <w:rFonts w:ascii="Book Antiqua" w:eastAsia="Book Antiqua" w:hAnsi="Book Antiqua" w:cs="Book Antiqua"/>
          <w:color w:val="000000"/>
        </w:rPr>
        <w:t>Hepatocellular carcinoma (HCC) is the most common primary liver cancer. For advanced HCC, sorafenib was considered the standard of care for more than ten years. Recently the atezolizumab and bevacizumab combination has become standard of care for these patients without contraindications to either immune checkpoint inhibitors or antiangiogenic therapy. We now review the practical aspects of the atezolizumab and bevacizumab combination, including current evidence, indications, contraindications, management of adverse events, sequencing of this combination, areas of current knowledge gaps and future areas of active clinical research of this combination for busy clinicians in clinical practice.</w:t>
      </w:r>
    </w:p>
    <w:p w14:paraId="2D0F5813" w14:textId="77777777" w:rsidR="00A77B3E" w:rsidRDefault="00A77B3E">
      <w:pPr>
        <w:spacing w:line="360" w:lineRule="auto"/>
        <w:jc w:val="both"/>
      </w:pPr>
    </w:p>
    <w:p w14:paraId="40B29876" w14:textId="77777777" w:rsidR="00A77B3E" w:rsidRDefault="00BC1DB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Atezolizumab; Bevacizumab; Immunotherapy; Chil</w:t>
      </w:r>
      <w:r w:rsidR="003D19DA">
        <w:rPr>
          <w:rFonts w:ascii="Book Antiqua" w:eastAsia="Book Antiqua" w:hAnsi="Book Antiqua" w:cs="Book Antiqua"/>
          <w:color w:val="000000"/>
        </w:rPr>
        <w:t xml:space="preserve">d </w:t>
      </w:r>
      <w:r w:rsidR="006B6363">
        <w:rPr>
          <w:rFonts w:ascii="Book Antiqua" w:hAnsi="Book Antiqua" w:cs="Book Antiqua" w:hint="eastAsia"/>
          <w:color w:val="000000"/>
          <w:lang w:eastAsia="zh-CN"/>
        </w:rPr>
        <w:t>P</w:t>
      </w:r>
      <w:r w:rsidR="003D19DA">
        <w:rPr>
          <w:rFonts w:ascii="Book Antiqua" w:eastAsia="Book Antiqua" w:hAnsi="Book Antiqua" w:cs="Book Antiqua"/>
          <w:color w:val="000000"/>
        </w:rPr>
        <w:t>ugh cirrh</w:t>
      </w:r>
      <w:r>
        <w:rPr>
          <w:rFonts w:ascii="Book Antiqua" w:eastAsia="Book Antiqua" w:hAnsi="Book Antiqua" w:cs="Book Antiqua"/>
          <w:color w:val="000000"/>
        </w:rPr>
        <w:t>osis; Anti-angiogenic therapy</w:t>
      </w:r>
    </w:p>
    <w:p w14:paraId="1E8FAC41" w14:textId="77777777" w:rsidR="00A77B3E" w:rsidRDefault="00A77B3E">
      <w:pPr>
        <w:spacing w:line="360" w:lineRule="auto"/>
        <w:jc w:val="both"/>
      </w:pPr>
    </w:p>
    <w:p w14:paraId="08CFF4BC" w14:textId="77777777" w:rsidR="00A77B3E" w:rsidRDefault="00BC1DBA">
      <w:pPr>
        <w:spacing w:line="360" w:lineRule="auto"/>
        <w:jc w:val="both"/>
      </w:pPr>
      <w:r>
        <w:rPr>
          <w:rFonts w:ascii="Book Antiqua" w:eastAsia="Book Antiqua" w:hAnsi="Book Antiqua" w:cs="Book Antiqua"/>
          <w:color w:val="000000"/>
        </w:rPr>
        <w:t xml:space="preserve">Jain A, Chitturi S, Peters G, Yip D. Atezolizumab and bevacizumab as first line therapy in advanced hepatocellular carcinoma: Practical considerations in routine clinical practice.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2CEC8FD6" w14:textId="77777777" w:rsidR="00A77B3E" w:rsidRDefault="00A77B3E">
      <w:pPr>
        <w:spacing w:line="360" w:lineRule="auto"/>
        <w:jc w:val="both"/>
      </w:pPr>
    </w:p>
    <w:p w14:paraId="0A56DFC9" w14:textId="13BCC68F" w:rsidR="00A77B3E" w:rsidRDefault="00BC1DB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are several articles about the role of </w:t>
      </w:r>
      <w:r w:rsidR="0004757D">
        <w:rPr>
          <w:rFonts w:ascii="Book Antiqua" w:eastAsia="Book Antiqua" w:hAnsi="Book Antiqua" w:cs="Book Antiqua"/>
          <w:color w:val="000000"/>
        </w:rPr>
        <w:t>a</w:t>
      </w:r>
      <w:r>
        <w:rPr>
          <w:rFonts w:ascii="Book Antiqua" w:eastAsia="Book Antiqua" w:hAnsi="Book Antiqua" w:cs="Book Antiqua"/>
          <w:color w:val="000000"/>
        </w:rPr>
        <w:t xml:space="preserve">tezolizumab and </w:t>
      </w:r>
      <w:r w:rsidR="0004757D">
        <w:rPr>
          <w:rFonts w:ascii="Book Antiqua" w:eastAsia="Book Antiqua" w:hAnsi="Book Antiqua" w:cs="Book Antiqua"/>
          <w:color w:val="000000"/>
        </w:rPr>
        <w:t>b</w:t>
      </w:r>
      <w:r>
        <w:rPr>
          <w:rFonts w:ascii="Book Antiqua" w:eastAsia="Book Antiqua" w:hAnsi="Book Antiqua" w:cs="Book Antiqua"/>
          <w:color w:val="000000"/>
        </w:rPr>
        <w:t xml:space="preserve">evacizumab combination in advanced unresectable hepatocellular carcinoma. However, this mini review focuses on practical issues for clinicians using this combination in </w:t>
      </w:r>
      <w:r w:rsidR="003D19DA">
        <w:rPr>
          <w:rFonts w:ascii="Book Antiqua" w:hAnsi="Book Antiqua" w:cs="Book Antiqua" w:hint="eastAsia"/>
          <w:color w:val="000000"/>
          <w:lang w:eastAsia="zh-CN"/>
        </w:rPr>
        <w:t>h</w:t>
      </w:r>
      <w:r w:rsidR="003D19DA">
        <w:rPr>
          <w:rFonts w:ascii="Book Antiqua" w:eastAsia="Book Antiqua" w:hAnsi="Book Antiqua" w:cs="Book Antiqua"/>
          <w:color w:val="000000"/>
        </w:rPr>
        <w:t>epatocellular carcinoma (HCC)</w:t>
      </w:r>
      <w:r>
        <w:rPr>
          <w:rFonts w:ascii="Book Antiqua" w:eastAsia="Book Antiqua" w:hAnsi="Book Antiqua" w:cs="Book Antiqua"/>
          <w:color w:val="000000"/>
        </w:rPr>
        <w:t xml:space="preserve"> patients with focus on indications, data from recent trials, criteria’s for selection of appropriate patients for this combination, sequencing strategies, overlapping toxicities, issues with Child Pugh B cirrhosis patients, future role in adjuvant settings and dealing with special subset of HCC population.</w:t>
      </w:r>
    </w:p>
    <w:p w14:paraId="41D3C9BB" w14:textId="77777777" w:rsidR="00A77B3E" w:rsidRDefault="003D19DA">
      <w:pPr>
        <w:spacing w:line="360" w:lineRule="auto"/>
        <w:jc w:val="both"/>
      </w:pPr>
      <w:r>
        <w:br w:type="page"/>
      </w:r>
      <w:r w:rsidR="00BC1DBA">
        <w:rPr>
          <w:rFonts w:ascii="Book Antiqua" w:eastAsia="Book Antiqua" w:hAnsi="Book Antiqua" w:cs="Book Antiqua"/>
          <w:b/>
          <w:caps/>
          <w:color w:val="000000"/>
          <w:u w:val="single"/>
        </w:rPr>
        <w:lastRenderedPageBreak/>
        <w:t>INTRODUCTION</w:t>
      </w:r>
    </w:p>
    <w:p w14:paraId="74EEEF1C" w14:textId="3AFF4631" w:rsidR="00A77B3E" w:rsidRDefault="00BC1DBA">
      <w:pPr>
        <w:spacing w:line="360" w:lineRule="auto"/>
        <w:jc w:val="both"/>
      </w:pPr>
      <w:r>
        <w:rPr>
          <w:rFonts w:ascii="Book Antiqua" w:eastAsia="Book Antiqua" w:hAnsi="Book Antiqua" w:cs="Book Antiqua"/>
          <w:color w:val="000000"/>
        </w:rPr>
        <w:t>Hepatocellular carcinoma (HCC) is the sixth most common cancer worldwide and leading cause of cancer related death</w:t>
      </w:r>
      <w:r w:rsidR="003D19D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Early-stage HCC can be treated by resection, liver transplantation or ablation. Unfortunately, most patients present with an intermediate or advanced-stage disease with limited systemic options and a dismal prognosis. The multikinase inhibitor sorafenib was initially approved more than a decade ago for the management of advanced HCC</w:t>
      </w:r>
      <w:r w:rsidR="003D19DA">
        <w:rPr>
          <w:rFonts w:ascii="Book Antiqua" w:eastAsia="Book Antiqua" w:hAnsi="Book Antiqua" w:cs="Book Antiqua"/>
          <w:color w:val="000000"/>
          <w:szCs w:val="30"/>
          <w:vertAlign w:val="superscript"/>
        </w:rPr>
        <w:t>[</w:t>
      </w:r>
      <w:r w:rsidR="003D19DA">
        <w:rPr>
          <w:rFonts w:ascii="Book Antiqua" w:hAnsi="Book Antiqua" w:cs="Book Antiqua" w:hint="eastAsia"/>
          <w:color w:val="000000"/>
          <w:szCs w:val="30"/>
          <w:vertAlign w:val="superscript"/>
          <w:lang w:eastAsia="zh-CN"/>
        </w:rPr>
        <w:t>2</w:t>
      </w:r>
      <w:r w:rsidR="003D19D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D19D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Recently, four additional targeted therapies were approved for advanced HCC based on positive phase III randomised controlled trials (RCTs): </w:t>
      </w:r>
      <w:r w:rsidR="008B1582">
        <w:rPr>
          <w:rFonts w:ascii="Book Antiqua" w:eastAsia="Book Antiqua" w:hAnsi="Book Antiqua" w:cs="Book Antiqua"/>
          <w:color w:val="000000"/>
        </w:rPr>
        <w:t>L</w:t>
      </w:r>
      <w:r>
        <w:rPr>
          <w:rFonts w:ascii="Book Antiqua" w:eastAsia="Book Antiqua" w:hAnsi="Book Antiqua" w:cs="Book Antiqua"/>
          <w:color w:val="000000"/>
        </w:rPr>
        <w:t>envatinib in the first-line setting and regorafenib, cabozantinib and ramucirumab, all in the second line after the failure of sorafenib therapy</w:t>
      </w:r>
      <w:r w:rsidR="003D19DA">
        <w:rPr>
          <w:rFonts w:ascii="Book Antiqua" w:eastAsia="Book Antiqua" w:hAnsi="Book Antiqua" w:cs="Book Antiqua"/>
          <w:color w:val="000000"/>
          <w:szCs w:val="30"/>
          <w:vertAlign w:val="superscript"/>
        </w:rPr>
        <w:t>[</w:t>
      </w:r>
      <w:r w:rsidR="003D19DA">
        <w:rPr>
          <w:rFonts w:ascii="Book Antiqua" w:hAnsi="Book Antiqua" w:cs="Book Antiqua" w:hint="eastAsia"/>
          <w:color w:val="000000"/>
          <w:szCs w:val="30"/>
          <w:vertAlign w:val="superscript"/>
          <w:lang w:eastAsia="zh-CN"/>
        </w:rPr>
        <w:t>2-5</w:t>
      </w:r>
      <w:r w:rsidR="003D19D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D57FFC2" w14:textId="77777777" w:rsidR="00A77B3E" w:rsidRDefault="00BC1DBA" w:rsidP="003D19D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recent publication of successful results of Phase III RCT IMbrave 150 has established the combination of atezolizumab and bevacizumab (Atezo and Beva) as first line therapy for advanced treatment naïve HCC with Child Pugh A cirrhosis</w:t>
      </w:r>
      <w:r w:rsidR="003D19D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We now review the pharmacological rationale, evolution, results, practical issues in clinical practice, current knowledge gaps and future possibilities of this combination therapy.</w:t>
      </w:r>
      <w:r w:rsidR="003D19DA">
        <w:rPr>
          <w:rFonts w:ascii="Book Antiqua" w:hAnsi="Book Antiqua" w:cs="Book Antiqua" w:hint="eastAsia"/>
          <w:color w:val="000000"/>
          <w:lang w:eastAsia="zh-CN"/>
        </w:rPr>
        <w:t xml:space="preserve"> </w:t>
      </w:r>
      <w:r>
        <w:rPr>
          <w:rFonts w:ascii="Book Antiqua" w:eastAsia="Book Antiqua" w:hAnsi="Book Antiqua" w:cs="Book Antiqua"/>
          <w:color w:val="000000"/>
        </w:rPr>
        <w:t>This is an expert review based on our current clinical knowledge of this combination.</w:t>
      </w:r>
    </w:p>
    <w:p w14:paraId="03FB6F40" w14:textId="77777777" w:rsidR="003D19DA" w:rsidRPr="003D19DA" w:rsidRDefault="003D19DA" w:rsidP="003D19DA">
      <w:pPr>
        <w:spacing w:line="360" w:lineRule="auto"/>
        <w:jc w:val="both"/>
        <w:rPr>
          <w:lang w:eastAsia="zh-CN"/>
        </w:rPr>
      </w:pPr>
    </w:p>
    <w:p w14:paraId="5FE79F73" w14:textId="77777777" w:rsidR="00A77B3E" w:rsidRPr="003D19DA" w:rsidRDefault="003D19DA">
      <w:pPr>
        <w:spacing w:line="360" w:lineRule="auto"/>
        <w:jc w:val="both"/>
        <w:rPr>
          <w:u w:val="single"/>
          <w:lang w:eastAsia="zh-CN"/>
        </w:rPr>
      </w:pPr>
      <w:r w:rsidRPr="003D19DA">
        <w:rPr>
          <w:rFonts w:ascii="Book Antiqua" w:eastAsia="Book Antiqua" w:hAnsi="Book Antiqua" w:cs="Book Antiqua"/>
          <w:b/>
          <w:bCs/>
          <w:color w:val="000000"/>
          <w:u w:val="single"/>
        </w:rPr>
        <w:t>PHARMACOLOGICAL RATIONALE OF THIS COMBINATION</w:t>
      </w:r>
    </w:p>
    <w:p w14:paraId="53DCD744" w14:textId="77777777" w:rsidR="00A77B3E" w:rsidRDefault="00BC1DB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Atezolizumab is a monoclonal antibody against programmed cell death ligand 1</w:t>
      </w:r>
      <w:r w:rsidR="003D19D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(PD-L1). PD-L1 receptors are expressed on tumour cells. The programmed cell death protein 1 (PD-1) is present on cytotoxic T lymphocytes </w:t>
      </w:r>
      <w:r w:rsidR="003D19DA">
        <w:rPr>
          <w:rFonts w:ascii="Book Antiqua" w:eastAsia="Book Antiqua" w:hAnsi="Book Antiqua" w:cs="Book Antiqua"/>
          <w:color w:val="000000"/>
        </w:rPr>
        <w:t>(CTLs)</w:t>
      </w:r>
      <w:r w:rsidR="003D19D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tumour cells. The interaction of PD-1 and PD-L1 is an immune inhibitory pathway. Atezolizumab reverses T cell suppression by preventing interaction between the inhibitory immune checkpoint molecules PD-1 and PD-L1. </w:t>
      </w:r>
      <w:r w:rsidR="003D19DA">
        <w:rPr>
          <w:rFonts w:ascii="Book Antiqua" w:hAnsi="Book Antiqua" w:cs="Book Antiqua" w:hint="eastAsia"/>
          <w:color w:val="000000"/>
          <w:lang w:eastAsia="zh-CN"/>
        </w:rPr>
        <w:t>V</w:t>
      </w:r>
      <w:r w:rsidR="003D19DA">
        <w:rPr>
          <w:rFonts w:ascii="Book Antiqua" w:eastAsia="Book Antiqua" w:hAnsi="Book Antiqua" w:cs="Book Antiqua"/>
          <w:color w:val="000000"/>
        </w:rPr>
        <w:t>ascular endothelial growth factor (VEGF)</w:t>
      </w:r>
      <w:r>
        <w:rPr>
          <w:rFonts w:ascii="Book Antiqua" w:eastAsia="Book Antiqua" w:hAnsi="Book Antiqua" w:cs="Book Antiqua"/>
          <w:color w:val="000000"/>
        </w:rPr>
        <w:t xml:space="preserve"> induces tumour angiogenesis. In addition to inducting tumour angiogenesis, VEGF also mediates immunosuppression within the tumour microenvironment by promoting immunosuppressive cells such as regulatory T cells (Treg), myeloid-derived suppressor cells (MDSCs) and tumour associated macrophages. VEGF also suppresses antigen-</w:t>
      </w:r>
      <w:r>
        <w:rPr>
          <w:rFonts w:ascii="Book Antiqua" w:eastAsia="Book Antiqua" w:hAnsi="Book Antiqua" w:cs="Book Antiqua"/>
          <w:color w:val="000000"/>
        </w:rPr>
        <w:lastRenderedPageBreak/>
        <w:t>presenting cells and CTLs.</w:t>
      </w:r>
      <w:r w:rsidR="003D19DA">
        <w:rPr>
          <w:rFonts w:ascii="Book Antiqua" w:hAnsi="Book Antiqua" w:cs="Book Antiqua" w:hint="eastAsia"/>
          <w:color w:val="000000"/>
          <w:lang w:eastAsia="zh-CN"/>
        </w:rPr>
        <w:t xml:space="preserve"> </w:t>
      </w:r>
      <w:r>
        <w:rPr>
          <w:rFonts w:ascii="Book Antiqua" w:eastAsia="Book Antiqua" w:hAnsi="Book Antiqua" w:cs="Book Antiqua"/>
          <w:color w:val="000000"/>
        </w:rPr>
        <w:t>In summary, bevacizumab not only inhibits tumour growth by inhibiting angiogenesis but also augments the immune agonistic effects of atezolizumab by reversing the immune suppressive mechanisms of VEGF pathways</w:t>
      </w:r>
      <w:r w:rsidR="003D19D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A3B3966" w14:textId="77777777" w:rsidR="003D19DA" w:rsidRPr="003D19DA" w:rsidRDefault="003D19DA">
      <w:pPr>
        <w:spacing w:line="360" w:lineRule="auto"/>
        <w:jc w:val="both"/>
        <w:rPr>
          <w:u w:val="single"/>
          <w:lang w:eastAsia="zh-CN"/>
        </w:rPr>
      </w:pPr>
    </w:p>
    <w:p w14:paraId="2D15D4E6" w14:textId="77777777" w:rsidR="00A77B3E" w:rsidRPr="003D19DA" w:rsidRDefault="003D19DA">
      <w:pPr>
        <w:spacing w:line="360" w:lineRule="auto"/>
        <w:jc w:val="both"/>
        <w:rPr>
          <w:u w:val="single"/>
        </w:rPr>
      </w:pPr>
      <w:r w:rsidRPr="003D19DA">
        <w:rPr>
          <w:rFonts w:ascii="Book Antiqua" w:eastAsia="Book Antiqua" w:hAnsi="Book Antiqua" w:cs="Book Antiqua"/>
          <w:b/>
          <w:bCs/>
          <w:color w:val="000000"/>
          <w:u w:val="single"/>
        </w:rPr>
        <w:t>EVOLUTION OF ATEZOLIZUMAB AND BEVACIZUMAB COMBINATION IN THE MANAGEMENT OF ADVANCED HCC</w:t>
      </w:r>
    </w:p>
    <w:p w14:paraId="39954309" w14:textId="77777777" w:rsidR="00A77B3E" w:rsidRDefault="00BC1DBA">
      <w:pPr>
        <w:spacing w:line="360" w:lineRule="auto"/>
        <w:jc w:val="both"/>
      </w:pPr>
      <w:r w:rsidRPr="00B3305C">
        <w:rPr>
          <w:rFonts w:ascii="Book Antiqua" w:eastAsia="Book Antiqua" w:hAnsi="Book Antiqua" w:cs="Book Antiqua"/>
          <w:b/>
          <w:bCs/>
          <w:i/>
          <w:color w:val="000000"/>
        </w:rPr>
        <w:t>Phase Ib GO30140 study</w:t>
      </w:r>
    </w:p>
    <w:p w14:paraId="2E39950D" w14:textId="79D4CB37" w:rsidR="00A77B3E" w:rsidRDefault="00BC1DBA">
      <w:pPr>
        <w:spacing w:line="360" w:lineRule="auto"/>
        <w:jc w:val="both"/>
      </w:pPr>
      <w:r>
        <w:rPr>
          <w:rFonts w:ascii="Book Antiqua" w:eastAsia="Book Antiqua" w:hAnsi="Book Antiqua" w:cs="Book Antiqua"/>
          <w:color w:val="000000"/>
        </w:rPr>
        <w:t xml:space="preserve">In this phase I B study, there were four cohorts of various malignancies. In the HCC cohort, arm A received the combination of </w:t>
      </w:r>
      <w:r w:rsidR="0004757D">
        <w:rPr>
          <w:rFonts w:ascii="Book Antiqua" w:eastAsia="Book Antiqua" w:hAnsi="Book Antiqua" w:cs="Book Antiqua"/>
          <w:color w:val="000000"/>
        </w:rPr>
        <w:t>a</w:t>
      </w:r>
      <w:r>
        <w:rPr>
          <w:rFonts w:ascii="Book Antiqua" w:eastAsia="Book Antiqua" w:hAnsi="Book Antiqua" w:cs="Book Antiqua"/>
          <w:color w:val="000000"/>
        </w:rPr>
        <w:t xml:space="preserve">tezolizumab and </w:t>
      </w:r>
      <w:r w:rsidR="0004757D">
        <w:rPr>
          <w:rFonts w:ascii="Book Antiqua" w:eastAsia="Book Antiqua" w:hAnsi="Book Antiqua" w:cs="Book Antiqua"/>
          <w:color w:val="000000"/>
        </w:rPr>
        <w:t>b</w:t>
      </w:r>
      <w:r>
        <w:rPr>
          <w:rFonts w:ascii="Book Antiqua" w:eastAsia="Book Antiqua" w:hAnsi="Book Antiqua" w:cs="Book Antiqua"/>
          <w:color w:val="000000"/>
        </w:rPr>
        <w:t xml:space="preserve">evacizumab in patients with unresectable HCC. The primary endpoint for this arm was overall response rates (ORR). Arm F of the same study randomised patients with unresectable HCC to </w:t>
      </w:r>
      <w:r w:rsidR="0004757D">
        <w:rPr>
          <w:rFonts w:ascii="Book Antiqua" w:eastAsia="Book Antiqua" w:hAnsi="Book Antiqua" w:cs="Book Antiqua"/>
          <w:color w:val="000000"/>
        </w:rPr>
        <w:t>a</w:t>
      </w:r>
      <w:r>
        <w:rPr>
          <w:rFonts w:ascii="Book Antiqua" w:eastAsia="Book Antiqua" w:hAnsi="Book Antiqua" w:cs="Book Antiqua"/>
          <w:color w:val="000000"/>
        </w:rPr>
        <w:t xml:space="preserve">tezolizumab and </w:t>
      </w:r>
      <w:r w:rsidR="0004757D">
        <w:rPr>
          <w:rFonts w:ascii="Book Antiqua" w:eastAsia="Book Antiqua" w:hAnsi="Book Antiqua" w:cs="Book Antiqua"/>
          <w:color w:val="000000"/>
        </w:rPr>
        <w:t>b</w:t>
      </w:r>
      <w:r>
        <w:rPr>
          <w:rFonts w:ascii="Book Antiqua" w:eastAsia="Book Antiqua" w:hAnsi="Book Antiqua" w:cs="Book Antiqua"/>
          <w:color w:val="000000"/>
        </w:rPr>
        <w:t xml:space="preserve">evacizumab combination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04757D">
        <w:rPr>
          <w:rFonts w:ascii="Book Antiqua" w:eastAsia="Book Antiqua" w:hAnsi="Book Antiqua" w:cs="Book Antiqua"/>
          <w:color w:val="000000"/>
        </w:rPr>
        <w:t>a</w:t>
      </w:r>
      <w:r>
        <w:rPr>
          <w:rFonts w:ascii="Book Antiqua" w:eastAsia="Book Antiqua" w:hAnsi="Book Antiqua" w:cs="Book Antiqua"/>
          <w:color w:val="000000"/>
        </w:rPr>
        <w:t xml:space="preserve">tezolizumab monotherapy arm. The primary endpoint of Arm F was progression-free survival in the intention-to-treat population. The dose of </w:t>
      </w:r>
      <w:r w:rsidR="0004757D">
        <w:rPr>
          <w:rFonts w:ascii="Book Antiqua" w:eastAsia="Book Antiqua" w:hAnsi="Book Antiqua" w:cs="Book Antiqua"/>
          <w:color w:val="000000"/>
        </w:rPr>
        <w:t>a</w:t>
      </w:r>
      <w:r>
        <w:rPr>
          <w:rFonts w:ascii="Book Antiqua" w:eastAsia="Book Antiqua" w:hAnsi="Book Antiqua" w:cs="Book Antiqua"/>
          <w:color w:val="000000"/>
        </w:rPr>
        <w:t>tezolizumab in both the arms with or without combination was 1200</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I.V. every three weeks. In the combination arm, the </w:t>
      </w:r>
      <w:r w:rsidR="0004757D">
        <w:rPr>
          <w:rFonts w:ascii="Book Antiqua" w:eastAsia="Book Antiqua" w:hAnsi="Book Antiqua" w:cs="Book Antiqua"/>
          <w:color w:val="000000"/>
        </w:rPr>
        <w:t>b</w:t>
      </w:r>
      <w:r>
        <w:rPr>
          <w:rFonts w:ascii="Book Antiqua" w:eastAsia="Book Antiqua" w:hAnsi="Book Antiqua" w:cs="Book Antiqua"/>
          <w:color w:val="000000"/>
        </w:rPr>
        <w:t>evacizumab dose was 15</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mg/kg. The critical results of the trial are summari</w:t>
      </w:r>
      <w:r w:rsidR="00441B3F">
        <w:rPr>
          <w:rFonts w:ascii="Book Antiqua" w:hAnsi="Book Antiqua" w:cs="Book Antiqua" w:hint="eastAsia"/>
          <w:color w:val="000000"/>
          <w:lang w:eastAsia="zh-CN"/>
        </w:rPr>
        <w:t>z</w:t>
      </w:r>
      <w:r>
        <w:rPr>
          <w:rFonts w:ascii="Book Antiqua" w:eastAsia="Book Antiqua" w:hAnsi="Book Antiqua" w:cs="Book Antiqua"/>
          <w:color w:val="000000"/>
        </w:rPr>
        <w:t xml:space="preserve">ed in </w:t>
      </w:r>
      <w:r w:rsidR="00B3305C">
        <w:rPr>
          <w:rFonts w:ascii="Book Antiqua" w:hAnsi="Book Antiqua" w:cs="Book Antiqua" w:hint="eastAsia"/>
          <w:color w:val="000000"/>
          <w:lang w:eastAsia="zh-CN"/>
        </w:rPr>
        <w:t>T</w:t>
      </w:r>
      <w:r>
        <w:rPr>
          <w:rFonts w:ascii="Book Antiqua" w:eastAsia="Book Antiqua" w:hAnsi="Book Antiqua" w:cs="Book Antiqua"/>
          <w:color w:val="000000"/>
        </w:rPr>
        <w:t>able 1</w:t>
      </w:r>
      <w:r w:rsidR="00B3305C">
        <w:rPr>
          <w:rFonts w:ascii="Book Antiqua" w:eastAsia="Book Antiqua" w:hAnsi="Book Antiqua" w:cs="Book Antiqua"/>
          <w:color w:val="000000"/>
          <w:szCs w:val="30"/>
          <w:vertAlign w:val="superscript"/>
        </w:rPr>
        <w:t>[</w:t>
      </w:r>
      <w:r w:rsidR="00B3305C">
        <w:rPr>
          <w:rFonts w:ascii="Book Antiqua" w:hAnsi="Book Antiqua" w:cs="Book Antiqua" w:hint="eastAsia"/>
          <w:color w:val="000000"/>
          <w:szCs w:val="30"/>
          <w:vertAlign w:val="superscript"/>
          <w:lang w:eastAsia="zh-CN"/>
        </w:rPr>
        <w:t>8</w:t>
      </w:r>
      <w:r w:rsidR="00B330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17D2F6" w14:textId="77777777" w:rsidR="00A77B3E" w:rsidRPr="00B3305C" w:rsidRDefault="00BC1DBA" w:rsidP="00B3305C">
      <w:pPr>
        <w:spacing w:line="360" w:lineRule="auto"/>
        <w:ind w:firstLineChars="100" w:firstLine="240"/>
        <w:jc w:val="both"/>
        <w:rPr>
          <w:lang w:eastAsia="zh-CN"/>
        </w:rPr>
      </w:pPr>
      <w:r>
        <w:rPr>
          <w:rFonts w:ascii="Book Antiqua" w:eastAsia="Book Antiqua" w:hAnsi="Book Antiqua" w:cs="Book Antiqua"/>
          <w:color w:val="000000"/>
        </w:rPr>
        <w:t>Kudo</w:t>
      </w:r>
      <w:r w:rsidR="00B3305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have comprehensively reviewed these results. As per Kudo</w:t>
      </w:r>
      <w:r w:rsidR="00B3305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12% C.R. rates in arm A is very impressive as this group had patients with advanced HCC with poor prognostic factors such as </w:t>
      </w:r>
      <w:r w:rsidR="00B3305C" w:rsidRPr="00B3305C">
        <w:rPr>
          <w:rFonts w:ascii="Book Antiqua" w:eastAsia="Book Antiqua" w:hAnsi="Book Antiqua" w:cs="Book Antiqua"/>
          <w:color w:val="000000"/>
        </w:rPr>
        <w:t>α-fetoprotein</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AFP</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400</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ng/mL, extrahepatic spread (EHS), major vascular invasion. These results were never achieved in the </w:t>
      </w:r>
      <w:r w:rsidR="00B3305C">
        <w:rPr>
          <w:rFonts w:ascii="Book Antiqua" w:eastAsia="Book Antiqua" w:hAnsi="Book Antiqua" w:cs="Book Antiqua"/>
          <w:color w:val="000000"/>
        </w:rPr>
        <w:t>tyrosine kinase inhibitors (TKI)</w:t>
      </w:r>
      <w:r>
        <w:rPr>
          <w:rFonts w:ascii="Book Antiqua" w:eastAsia="Book Antiqua" w:hAnsi="Book Antiqua" w:cs="Book Antiqua"/>
          <w:color w:val="000000"/>
        </w:rPr>
        <w:t xml:space="preserve"> era. The other important finding was the ORR of 62% (8/13) in intermediate stage disease with a high tumour burden.</w:t>
      </w:r>
    </w:p>
    <w:p w14:paraId="17050CE6" w14:textId="77777777" w:rsidR="00A77B3E" w:rsidRPr="00B3305C" w:rsidRDefault="00BC1DBA" w:rsidP="00B3305C">
      <w:pPr>
        <w:spacing w:line="360" w:lineRule="auto"/>
        <w:ind w:firstLineChars="100" w:firstLine="240"/>
        <w:jc w:val="both"/>
        <w:rPr>
          <w:lang w:eastAsia="zh-CN"/>
        </w:rPr>
      </w:pPr>
      <w:r>
        <w:rPr>
          <w:rFonts w:ascii="Book Antiqua" w:eastAsia="Book Antiqua" w:hAnsi="Book Antiqua" w:cs="Book Antiqua"/>
          <w:color w:val="000000"/>
        </w:rPr>
        <w:t>As per Kudo</w:t>
      </w:r>
      <w:r w:rsidR="00B3305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Arm F is an essential proof of concept study that demonstrates the favourable results obtained in Arm A are not solely due to the efficacy of atezolizumab monotherapy but precisely due to a combination of atezolizumab and bevacizumab. The Arm F scientifically reinforces the synergistic combination of antiangiogenic therapy and immunotherapy.</w:t>
      </w:r>
    </w:p>
    <w:p w14:paraId="37CC8BD4" w14:textId="77777777" w:rsidR="00A77B3E" w:rsidRPr="00B3305C" w:rsidRDefault="00BC1DBA" w:rsidP="00B3305C">
      <w:pPr>
        <w:spacing w:line="360" w:lineRule="auto"/>
        <w:ind w:firstLineChars="100" w:firstLine="240"/>
        <w:jc w:val="both"/>
        <w:rPr>
          <w:lang w:eastAsia="zh-CN"/>
        </w:rPr>
      </w:pPr>
      <w:r>
        <w:rPr>
          <w:rFonts w:ascii="Book Antiqua" w:eastAsia="Book Antiqua" w:hAnsi="Book Antiqua" w:cs="Book Antiqua"/>
          <w:color w:val="000000"/>
        </w:rPr>
        <w:t xml:space="preserve">In Arm A, The most common grade 3-4 treatment-related adverse events were hypertension (13%) and proteinuria (7%). Treatment-related adverse events occurred in </w:t>
      </w:r>
      <w:r>
        <w:rPr>
          <w:rFonts w:ascii="Book Antiqua" w:eastAsia="Book Antiqua" w:hAnsi="Book Antiqua" w:cs="Book Antiqua"/>
          <w:color w:val="000000"/>
        </w:rPr>
        <w:lastRenderedPageBreak/>
        <w:t>25 (24%) patients. There were three (3%) treatment-related deaths due to abnormal hepatic function, hepatic cirrhosis and pneumonitis.</w:t>
      </w:r>
    </w:p>
    <w:p w14:paraId="3D1D074D" w14:textId="77777777" w:rsidR="00B3305C" w:rsidRDefault="00B3305C">
      <w:pPr>
        <w:spacing w:line="360" w:lineRule="auto"/>
        <w:jc w:val="both"/>
        <w:rPr>
          <w:lang w:eastAsia="zh-CN"/>
        </w:rPr>
      </w:pPr>
    </w:p>
    <w:p w14:paraId="1DADF329" w14:textId="77777777" w:rsidR="00A77B3E" w:rsidRPr="00B3305C" w:rsidRDefault="00BC1DBA">
      <w:pPr>
        <w:spacing w:line="360" w:lineRule="auto"/>
        <w:jc w:val="both"/>
        <w:rPr>
          <w:i/>
          <w:lang w:eastAsia="zh-CN"/>
        </w:rPr>
      </w:pPr>
      <w:r w:rsidRPr="00B3305C">
        <w:rPr>
          <w:rFonts w:ascii="Book Antiqua" w:eastAsia="Book Antiqua" w:hAnsi="Book Antiqua" w:cs="Book Antiqua"/>
          <w:b/>
          <w:bCs/>
          <w:i/>
          <w:color w:val="000000"/>
        </w:rPr>
        <w:t>IMBrave 150 trial</w:t>
      </w:r>
    </w:p>
    <w:p w14:paraId="35562BBC" w14:textId="77777777" w:rsidR="00A77B3E" w:rsidRDefault="00BC1DBA">
      <w:pPr>
        <w:spacing w:line="360" w:lineRule="auto"/>
        <w:jc w:val="both"/>
      </w:pPr>
      <w:r>
        <w:rPr>
          <w:rFonts w:ascii="Book Antiqua" w:eastAsia="Book Antiqua" w:hAnsi="Book Antiqua" w:cs="Book Antiqua"/>
          <w:color w:val="000000"/>
        </w:rPr>
        <w:t xml:space="preserve">IMbrave 150 was a global, open-label, randomised phase III trial comparing atezolizumab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systemic treatment-naive unresectable HCC</w:t>
      </w:r>
      <w:r w:rsidR="00B3305C" w:rsidRPr="00B3305C">
        <w:rPr>
          <w:rFonts w:ascii="Book Antiqua" w:eastAsia="Book Antiqua" w:hAnsi="Book Antiqua" w:cs="Book Antiqua"/>
          <w:bCs/>
          <w:color w:val="000000"/>
          <w:szCs w:val="30"/>
          <w:vertAlign w:val="superscript"/>
        </w:rPr>
        <w:t>[6]</w:t>
      </w:r>
      <w:r>
        <w:rPr>
          <w:rFonts w:ascii="Book Antiqua" w:eastAsia="Book Antiqua" w:hAnsi="Book Antiqua" w:cs="Book Antiqua"/>
          <w:color w:val="000000"/>
        </w:rPr>
        <w:t>. Patients were randomly assigned in a 2:1 ratio either to atezolizumab plus bevacizumab or sorafenib until unacceptable toxic effects occurred or loss of clinical benefit</w:t>
      </w:r>
      <w:r w:rsidR="00B3305C" w:rsidRPr="00B3305C">
        <w:rPr>
          <w:rFonts w:ascii="Book Antiqua" w:eastAsia="Book Antiqua" w:hAnsi="Book Antiqua" w:cs="Book Antiqua"/>
          <w:bCs/>
          <w:color w:val="000000"/>
          <w:szCs w:val="30"/>
          <w:vertAlign w:val="superscript"/>
        </w:rPr>
        <w:t>[</w:t>
      </w:r>
      <w:r w:rsidR="00B3305C">
        <w:rPr>
          <w:rFonts w:ascii="Book Antiqua" w:hAnsi="Book Antiqua" w:cs="Book Antiqua" w:hint="eastAsia"/>
          <w:bCs/>
          <w:color w:val="000000"/>
          <w:szCs w:val="30"/>
          <w:vertAlign w:val="superscript"/>
          <w:lang w:eastAsia="zh-CN"/>
        </w:rPr>
        <w:t>7</w:t>
      </w:r>
      <w:r w:rsidR="00B3305C" w:rsidRPr="00B3305C">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coprimary endpoints were overall survival and progression free survival in the intent to treat population, as assessed at an independent review facility according to Response Evaluation Criteria </w:t>
      </w:r>
      <w:r w:rsidR="00441B3F">
        <w:rPr>
          <w:rFonts w:ascii="Book Antiqua" w:eastAsia="Book Antiqua" w:hAnsi="Book Antiqua" w:cs="Book Antiqua"/>
          <w:color w:val="000000"/>
        </w:rPr>
        <w:t>in Solid tumours, version 1.1 (</w:t>
      </w:r>
      <w:r>
        <w:rPr>
          <w:rFonts w:ascii="Book Antiqua" w:eastAsia="Book Antiqua" w:hAnsi="Book Antiqua" w:cs="Book Antiqua"/>
          <w:color w:val="000000"/>
        </w:rPr>
        <w:t>RECIST 1.1).</w:t>
      </w:r>
    </w:p>
    <w:p w14:paraId="45D89BD8" w14:textId="77777777" w:rsidR="00A77B3E" w:rsidRPr="00B3305C" w:rsidRDefault="00BC1DBA" w:rsidP="00B3305C">
      <w:pPr>
        <w:spacing w:line="360" w:lineRule="auto"/>
        <w:ind w:firstLineChars="100" w:firstLine="240"/>
        <w:jc w:val="both"/>
        <w:rPr>
          <w:lang w:eastAsia="zh-CN"/>
        </w:rPr>
      </w:pPr>
      <w:r>
        <w:rPr>
          <w:rFonts w:ascii="Book Antiqua" w:eastAsia="Book Antiqua" w:hAnsi="Book Antiqua" w:cs="Book Antiqua"/>
          <w:color w:val="000000"/>
        </w:rPr>
        <w:t>The main inclusion criteria for the study were unresectable or metastatic HCC patients with ECOG-PS (East</w:t>
      </w:r>
      <w:r w:rsidR="00B3305C">
        <w:rPr>
          <w:rFonts w:ascii="Book Antiqua" w:eastAsia="Book Antiqua" w:hAnsi="Book Antiqua" w:cs="Book Antiqua"/>
          <w:color w:val="000000"/>
        </w:rPr>
        <w:t>ern Cooperative Oncology Group-</w:t>
      </w:r>
      <w:r>
        <w:rPr>
          <w:rFonts w:ascii="Book Antiqua" w:eastAsia="Book Antiqua" w:hAnsi="Book Antiqua" w:cs="Book Antiqua"/>
          <w:color w:val="000000"/>
        </w:rPr>
        <w:t>Performance Status) of 0 or 1, Child-Pugh A cirrhosis. Patients with disease not amenable to curative surgical and or locoregional therapies or progressive disease after surgical or locoregional therapies were eligible. For patients with active hepatitis B virus (HBV), the trial requirement was quantitative HBV DNA &lt;</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500 IU/mL obtained within 28 d</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before initiation of therapy, and patients who have taken at least two weeks of anti-HBV treatment and willing to continue throughout the study duration.</w:t>
      </w:r>
    </w:p>
    <w:p w14:paraId="21DF916D" w14:textId="77777777" w:rsidR="00A77B3E" w:rsidRPr="00B3305C" w:rsidRDefault="00BC1DBA" w:rsidP="00B3305C">
      <w:pPr>
        <w:spacing w:line="360" w:lineRule="auto"/>
        <w:ind w:firstLineChars="100" w:firstLine="240"/>
        <w:jc w:val="both"/>
        <w:rPr>
          <w:lang w:eastAsia="zh-CN"/>
        </w:rPr>
      </w:pPr>
      <w:r>
        <w:rPr>
          <w:rFonts w:ascii="Book Antiqua" w:eastAsia="Book Antiqua" w:hAnsi="Book Antiqua" w:cs="Book Antiqua"/>
          <w:color w:val="000000"/>
        </w:rPr>
        <w:t>The key exclusion criteria were a history of autoimmune disease and untreated or incompletely treated oesophageal or gastric varices (assessed with esophagogastroduodenoscopy)</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with bleeding or higher risk of bleeding. The trial required mandatory assessment of oesophageal or gastric varices within six months of initiation of trial therapy.</w:t>
      </w:r>
    </w:p>
    <w:p w14:paraId="18DAC1EA" w14:textId="77777777" w:rsidR="00A77B3E" w:rsidRPr="00B3305C" w:rsidRDefault="00BC1DBA" w:rsidP="00B3305C">
      <w:pPr>
        <w:spacing w:line="360" w:lineRule="auto"/>
        <w:ind w:firstLineChars="100" w:firstLine="240"/>
        <w:jc w:val="both"/>
        <w:rPr>
          <w:lang w:eastAsia="zh-CN"/>
        </w:rPr>
      </w:pPr>
      <w:r>
        <w:rPr>
          <w:rFonts w:ascii="Book Antiqua" w:eastAsia="Book Antiqua" w:hAnsi="Book Antiqua" w:cs="Book Antiqua"/>
          <w:color w:val="000000"/>
        </w:rPr>
        <w:t xml:space="preserve">The most important autoimmune diseases in the exclusion criteria were myasthenia gravis, myositis, autoimmune hepatitis, systemic lupus erythematosus, rheumatoid arthritis, inflammatory bowel disease, antiphospholipid antibody syndrome, Wegener granulomatosis, Sjogren’s syndrome, Guillain-Barre syndrome or multiple sclerosis. </w:t>
      </w:r>
      <w:r>
        <w:rPr>
          <w:rFonts w:ascii="Book Antiqua" w:eastAsia="Book Antiqua" w:hAnsi="Book Antiqua" w:cs="Book Antiqua"/>
          <w:color w:val="000000"/>
        </w:rPr>
        <w:lastRenderedPageBreak/>
        <w:t>Patient with known fibrolamellar variant, sarcomatoid HCC or mixed cholangiocarcinoma and HCC were excluded from the study.</w:t>
      </w:r>
    </w:p>
    <w:p w14:paraId="1B4DF425" w14:textId="77777777" w:rsidR="00A77B3E" w:rsidRDefault="00BC1DBA" w:rsidP="00B3305C">
      <w:pPr>
        <w:spacing w:line="360" w:lineRule="auto"/>
        <w:ind w:firstLineChars="100" w:firstLine="240"/>
        <w:jc w:val="both"/>
      </w:pPr>
      <w:r>
        <w:rPr>
          <w:rFonts w:ascii="Book Antiqua" w:eastAsia="Book Antiqua" w:hAnsi="Book Antiqua" w:cs="Book Antiqua"/>
          <w:color w:val="000000"/>
        </w:rPr>
        <w:t xml:space="preserve">The patients were stratified by geographical region (Asia excluding Japan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rest of the world), macrovascular invasion or </w:t>
      </w:r>
      <w:r w:rsidR="00B3305C">
        <w:rPr>
          <w:rFonts w:ascii="Book Antiqua" w:eastAsia="Book Antiqua" w:hAnsi="Book Antiqua" w:cs="Book Antiqua"/>
          <w:color w:val="000000"/>
        </w:rPr>
        <w:t>EHS</w:t>
      </w:r>
      <w:r>
        <w:rPr>
          <w:rFonts w:ascii="Book Antiqua" w:eastAsia="Book Antiqua" w:hAnsi="Book Antiqua" w:cs="Book Antiqua"/>
          <w:color w:val="000000"/>
        </w:rPr>
        <w:t xml:space="preserve"> of disease (presence </w:t>
      </w:r>
      <w:r>
        <w:rPr>
          <w:rFonts w:ascii="Book Antiqua" w:eastAsia="Book Antiqua" w:hAnsi="Book Antiqua" w:cs="Book Antiqua"/>
          <w:i/>
          <w:iCs/>
          <w:color w:val="000000"/>
        </w:rPr>
        <w:t>vs</w:t>
      </w:r>
      <w:r>
        <w:rPr>
          <w:rFonts w:ascii="Book Antiqua" w:eastAsia="Book Antiqua" w:hAnsi="Book Antiqua" w:cs="Book Antiqua"/>
          <w:color w:val="000000"/>
        </w:rPr>
        <w:t xml:space="preserve"> absence), baseline alfa fetoprotein levels of (&lt;</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400 </w:t>
      </w:r>
      <w:r w:rsidR="00B3305C">
        <w:rPr>
          <w:rFonts w:ascii="Book Antiqua" w:eastAsia="Book Antiqua" w:hAnsi="Book Antiqua" w:cs="Book Antiqua"/>
          <w:color w:val="000000"/>
        </w:rPr>
        <w:t>ng</w:t>
      </w:r>
      <w:r w:rsidR="00B3305C">
        <w:rPr>
          <w:rFonts w:ascii="Book Antiqua" w:hAnsi="Book Antiqua" w:cs="Book Antiqua" w:hint="eastAsia"/>
          <w:color w:val="000000"/>
          <w:lang w:eastAsia="zh-CN"/>
        </w:rPr>
        <w:t>/mL</w:t>
      </w:r>
      <w:r w:rsidR="00B3305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&gt;</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400</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ng</w:t>
      </w:r>
      <w:r w:rsidR="00B3305C">
        <w:rPr>
          <w:rFonts w:ascii="Book Antiqua" w:hAnsi="Book Antiqua" w:cs="Book Antiqua" w:hint="eastAsia"/>
          <w:color w:val="000000"/>
          <w:lang w:eastAsia="zh-CN"/>
        </w:rPr>
        <w:t>/mL</w:t>
      </w:r>
      <w:r>
        <w:rPr>
          <w:rFonts w:ascii="Book Antiqua" w:eastAsia="Book Antiqua" w:hAnsi="Book Antiqua" w:cs="Book Antiqua"/>
          <w:color w:val="000000"/>
        </w:rPr>
        <w:t>), ECOG of 0 or 1.</w:t>
      </w:r>
    </w:p>
    <w:p w14:paraId="189BE385" w14:textId="7384E8A6" w:rsidR="00A77B3E" w:rsidRDefault="00BC1DBA" w:rsidP="00B3305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Patients assigned to the atezolizumab -bevacizumab group received 1200mg of atezolizumab plus 15mg/kg of body weight of bevacizumab intravenously every three weeks. Dose modifications were not permitted in the atezolizumab group but were allowed in the sorafenib group. Patients who transiently or permanently discontinued either atezolizumab or bevacizumab because of an adverse event were allowed to continue taking the single-agent therapy as long as the investigator determined that there was a clinical benefit. Table </w:t>
      </w:r>
      <w:r w:rsidR="00E51E83">
        <w:rPr>
          <w:rFonts w:ascii="Book Antiqua" w:eastAsia="Book Antiqua" w:hAnsi="Book Antiqua" w:cs="Book Antiqua"/>
          <w:color w:val="000000"/>
        </w:rPr>
        <w:t>2</w:t>
      </w:r>
      <w:r>
        <w:rPr>
          <w:rFonts w:ascii="Book Antiqua" w:eastAsia="Book Antiqua" w:hAnsi="Book Antiqua" w:cs="Book Antiqua"/>
          <w:color w:val="000000"/>
        </w:rPr>
        <w:t xml:space="preserve"> describes the confirmed response rates, progression-free survival, overall survival and disease control rate in the IMBrave 150 trial.</w:t>
      </w:r>
    </w:p>
    <w:p w14:paraId="2F742202" w14:textId="77777777" w:rsidR="00B3305C" w:rsidRPr="00B3305C" w:rsidRDefault="00B3305C" w:rsidP="00B3305C">
      <w:pPr>
        <w:spacing w:line="360" w:lineRule="auto"/>
        <w:jc w:val="both"/>
        <w:rPr>
          <w:lang w:eastAsia="zh-CN"/>
        </w:rPr>
      </w:pPr>
    </w:p>
    <w:p w14:paraId="15498584" w14:textId="77777777" w:rsidR="00A77B3E" w:rsidRDefault="00BC1DBA">
      <w:pPr>
        <w:spacing w:line="360" w:lineRule="auto"/>
        <w:jc w:val="both"/>
      </w:pPr>
      <w:r w:rsidRPr="00B3305C">
        <w:rPr>
          <w:rFonts w:ascii="Book Antiqua" w:eastAsia="Book Antiqua" w:hAnsi="Book Antiqua" w:cs="Book Antiqua"/>
          <w:b/>
          <w:color w:val="000000"/>
        </w:rPr>
        <w:t>Quality of life</w:t>
      </w:r>
      <w:r w:rsidR="00B3305C">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Atezolizumab-bevacizumab delayed deterioration of patient-reported quality of life (median time to deterioration), 11.2 mo with atezolizumab- bevacizumab combination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3.6 mo with sorafenib arm. The deterioration in physical functioning and role functioning were also delayed in the experimental arm by an additional 8.2 </w:t>
      </w:r>
      <w:r w:rsidR="00B3305C">
        <w:rPr>
          <w:rFonts w:ascii="Book Antiqua" w:eastAsia="Book Antiqua" w:hAnsi="Book Antiqua" w:cs="Book Antiqua"/>
          <w:color w:val="000000"/>
        </w:rPr>
        <w:t xml:space="preserve">mo </w:t>
      </w:r>
      <w:r>
        <w:rPr>
          <w:rFonts w:ascii="Book Antiqua" w:eastAsia="Book Antiqua" w:hAnsi="Book Antiqua" w:cs="Book Antiqua"/>
          <w:color w:val="000000"/>
        </w:rPr>
        <w:t>and 5.5 mo, respectively.</w:t>
      </w:r>
    </w:p>
    <w:p w14:paraId="4093C3D0" w14:textId="77777777" w:rsidR="00A77B3E" w:rsidRDefault="00BC1DBA" w:rsidP="00B3305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IMBrave 150 investigators have recently published the patient reported outcomes (PROs) of this study. The PROs were prespecified exploratory endpoints of the study. The study showed clinically meaningful benefit in terms of patient reported quality of life, functioning and disease symptoms with atezolizumab and bevacizumab as compared to sorafenib.</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patients completed the European Organisation for Research and Treatment of Cancer quality-of-life questionnaire for cancer (QLQ-30) and quality </w:t>
      </w:r>
      <w:r w:rsidR="00B3305C">
        <w:rPr>
          <w:rFonts w:ascii="Book Antiqua" w:eastAsia="Book Antiqua" w:hAnsi="Book Antiqua" w:cs="Book Antiqua"/>
          <w:color w:val="000000"/>
        </w:rPr>
        <w:t>of life questionnaire for HCC (</w:t>
      </w:r>
      <w:r>
        <w:rPr>
          <w:rFonts w:ascii="Book Antiqua" w:eastAsia="Book Antiqua" w:hAnsi="Book Antiqua" w:cs="Book Antiqua"/>
          <w:color w:val="000000"/>
        </w:rPr>
        <w:t>QLQ-HCC18). As compared to Sorafenib, atezolizumab and bevacizumab combination reduced the risk of deterioration for appetite loss, diarrhoea, fatigue and pain. The benefits for fatigue and pain were maintained in QLQ-HCC18 scale too</w:t>
      </w:r>
      <w:r w:rsidR="00B3305C">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FCBD880" w14:textId="77777777" w:rsidR="00B3305C" w:rsidRPr="00B3305C" w:rsidRDefault="00B3305C" w:rsidP="00B3305C">
      <w:pPr>
        <w:spacing w:line="360" w:lineRule="auto"/>
        <w:jc w:val="both"/>
        <w:rPr>
          <w:lang w:eastAsia="zh-CN"/>
        </w:rPr>
      </w:pPr>
    </w:p>
    <w:p w14:paraId="4A3DB3D1" w14:textId="77777777" w:rsidR="00A77B3E" w:rsidRPr="00B3305C" w:rsidRDefault="00BC1DBA">
      <w:pPr>
        <w:spacing w:line="360" w:lineRule="auto"/>
        <w:jc w:val="both"/>
        <w:rPr>
          <w:lang w:eastAsia="zh-CN"/>
        </w:rPr>
      </w:pPr>
      <w:r w:rsidRPr="00B3305C">
        <w:rPr>
          <w:rFonts w:ascii="Book Antiqua" w:eastAsia="Book Antiqua" w:hAnsi="Book Antiqua" w:cs="Book Antiqua"/>
          <w:b/>
          <w:color w:val="000000"/>
        </w:rPr>
        <w:t>Safety</w:t>
      </w:r>
      <w:r w:rsidR="00B3305C">
        <w:rPr>
          <w:rFonts w:ascii="Book Antiqua" w:hAnsi="Book Antiqua" w:cs="Book Antiqua" w:hint="eastAsia"/>
          <w:b/>
          <w:color w:val="000000"/>
          <w:lang w:eastAsia="zh-CN"/>
        </w:rPr>
        <w:t xml:space="preserve">: </w:t>
      </w:r>
      <w:r>
        <w:rPr>
          <w:rFonts w:ascii="Book Antiqua" w:eastAsia="Book Antiqua" w:hAnsi="Book Antiqua" w:cs="Book Antiqua"/>
          <w:color w:val="000000"/>
        </w:rPr>
        <w:t>Adverse events of any grade were reported in 323 patients (98.2%) who received the atezolizumab- bevacizumab and 154 patients (98.7%) who received sorafenib. Grade 5 events occurred in 15 patients (4.6%) in the experimental group and in 9 patients (5.8%) in the sorafenib group. Table 3 tabulates the number of Grade 5 events in both arms.</w:t>
      </w:r>
    </w:p>
    <w:p w14:paraId="3C282295" w14:textId="77777777" w:rsidR="00A77B3E" w:rsidRDefault="00BC1DBA" w:rsidP="00B3305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most common grade 3 or 4 adverse event with atezolizumab-bevacizumab was hypertension (15.2%). Grade III HTN is defined as Stage II HTN with blood pressure (≥</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160/≥</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mmHg). Serious adverse events occurred more frequently with atezolizumab and bevacizumab combination 125 patients </w:t>
      </w:r>
      <w:r w:rsidR="00B3305C">
        <w:rPr>
          <w:rFonts w:ascii="Book Antiqua" w:hAnsi="Book Antiqua" w:cs="Book Antiqua" w:hint="eastAsia"/>
          <w:color w:val="000000"/>
          <w:lang w:eastAsia="zh-CN"/>
        </w:rPr>
        <w:t>(</w:t>
      </w:r>
      <w:r w:rsidR="00B3305C">
        <w:rPr>
          <w:rFonts w:ascii="Book Antiqua" w:eastAsia="Book Antiqua" w:hAnsi="Book Antiqua" w:cs="Book Antiqua"/>
          <w:color w:val="000000"/>
        </w:rPr>
        <w:t>38%</w:t>
      </w:r>
      <w:r w:rsidR="00B3305C">
        <w:rPr>
          <w:rFonts w:ascii="Book Antiqua" w:hAnsi="Book Antiqua" w:cs="Book Antiqua"/>
          <w:color w:val="000000"/>
          <w:lang w:eastAsia="zh-CN"/>
        </w:rPr>
        <w:t>)</w:t>
      </w:r>
      <w:r>
        <w:rPr>
          <w:rFonts w:ascii="Book Antiqua" w:eastAsia="Book Antiqua" w:hAnsi="Book Antiqua" w:cs="Book Antiqua"/>
          <w:color w:val="000000"/>
        </w:rPr>
        <w:t xml:space="preserve"> than with sorafenib 48 patients</w:t>
      </w:r>
      <w:r w:rsidR="00B3305C">
        <w:rPr>
          <w:rFonts w:ascii="Book Antiqua" w:hAnsi="Book Antiqua" w:cs="Book Antiqua" w:hint="eastAsia"/>
          <w:color w:val="000000"/>
          <w:lang w:eastAsia="zh-CN"/>
        </w:rPr>
        <w:t xml:space="preserve"> (</w:t>
      </w:r>
      <w:r>
        <w:rPr>
          <w:rFonts w:ascii="Book Antiqua" w:eastAsia="Book Antiqua" w:hAnsi="Book Antiqua" w:cs="Book Antiqua"/>
          <w:color w:val="000000"/>
        </w:rPr>
        <w:t>30.8%</w:t>
      </w:r>
      <w:r w:rsidR="00487F8E">
        <w:rPr>
          <w:rFonts w:ascii="Book Antiqua" w:hAnsi="Book Antiqua" w:cs="Book Antiqua" w:hint="eastAsia"/>
          <w:color w:val="000000"/>
          <w:lang w:eastAsia="zh-CN"/>
        </w:rPr>
        <w:t>)</w:t>
      </w:r>
      <w:r>
        <w:rPr>
          <w:rFonts w:ascii="Book Antiqua" w:eastAsia="Book Antiqua" w:hAnsi="Book Antiqua" w:cs="Book Antiqua"/>
          <w:color w:val="000000"/>
        </w:rPr>
        <w:t>.</w:t>
      </w:r>
    </w:p>
    <w:p w14:paraId="6AC376CF" w14:textId="77777777" w:rsidR="00487F8E" w:rsidRPr="00487F8E" w:rsidRDefault="00487F8E" w:rsidP="00487F8E">
      <w:pPr>
        <w:spacing w:line="360" w:lineRule="auto"/>
        <w:jc w:val="both"/>
        <w:rPr>
          <w:lang w:eastAsia="zh-CN"/>
        </w:rPr>
      </w:pPr>
    </w:p>
    <w:p w14:paraId="67B1C461" w14:textId="77777777" w:rsidR="00A77B3E" w:rsidRPr="00487F8E" w:rsidRDefault="00487F8E">
      <w:pPr>
        <w:spacing w:line="360" w:lineRule="auto"/>
        <w:jc w:val="both"/>
        <w:rPr>
          <w:u w:val="single"/>
          <w:lang w:eastAsia="zh-CN"/>
        </w:rPr>
      </w:pPr>
      <w:r w:rsidRPr="00487F8E">
        <w:rPr>
          <w:rFonts w:ascii="Book Antiqua" w:eastAsia="Book Antiqua" w:hAnsi="Book Antiqua" w:cs="Book Antiqua"/>
          <w:b/>
          <w:bCs/>
          <w:color w:val="000000"/>
          <w:u w:val="single"/>
        </w:rPr>
        <w:t>SELECTING APPROPRIATE PATIENTS FOR THE ATEZOLIZUMAB AND BEVACIZUMAB COMBINATION</w:t>
      </w:r>
    </w:p>
    <w:p w14:paraId="29C7ADA2" w14:textId="77777777" w:rsidR="00A77B3E" w:rsidRDefault="00BC1DBA">
      <w:pPr>
        <w:spacing w:line="360" w:lineRule="auto"/>
        <w:jc w:val="both"/>
      </w:pPr>
      <w:r>
        <w:rPr>
          <w:rFonts w:ascii="Book Antiqua" w:eastAsia="Book Antiqua" w:hAnsi="Book Antiqua" w:cs="Book Antiqua"/>
          <w:color w:val="000000"/>
        </w:rPr>
        <w:t>It will be crucial for multidisciplinary teams (MDTs) to cautiously choose the most suitable patients for this combination. Patients with locally advanced unresectable tumours not suitable for locoregional therapies such as transarterial chemoembolization (TACE) and metastatic HCC with Child-Pugh A liver disease will be the most appropriate patients provided they have no other major contraindications to immunotherapy or VEGF inhibition therapy. The patients not amenable to locoregional therapies will be patients with severely impaired main portal vein flow (resulting from occlusive thrombus, tumour invasion or hepatofugal blood flow) because of dependence on the arterial inflow to adequately supply the liver</w:t>
      </w:r>
      <w:r w:rsidR="00487F8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6C5CE502" w14:textId="77777777" w:rsidR="00A77B3E" w:rsidRDefault="00BC1DBA" w:rsidP="00487F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TACE has not shown any survival benefit in patients with extensive bilobar involvement, so these patient will need upfront consideration of systemic therapy</w:t>
      </w:r>
      <w:r w:rsidR="00487F8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2CA70AB" w14:textId="77777777" w:rsidR="00487F8E" w:rsidRPr="00487F8E" w:rsidRDefault="00487F8E" w:rsidP="00487F8E">
      <w:pPr>
        <w:spacing w:line="360" w:lineRule="auto"/>
        <w:jc w:val="both"/>
        <w:rPr>
          <w:lang w:eastAsia="zh-CN"/>
        </w:rPr>
      </w:pPr>
    </w:p>
    <w:p w14:paraId="6B511C2C" w14:textId="77777777" w:rsidR="00A77B3E" w:rsidRPr="00487F8E" w:rsidRDefault="00BC1DBA">
      <w:pPr>
        <w:spacing w:line="360" w:lineRule="auto"/>
        <w:jc w:val="both"/>
        <w:rPr>
          <w:b/>
          <w:i/>
          <w:lang w:eastAsia="zh-CN"/>
        </w:rPr>
      </w:pPr>
      <w:r w:rsidRPr="00487F8E">
        <w:rPr>
          <w:rFonts w:ascii="Book Antiqua" w:eastAsia="Book Antiqua" w:hAnsi="Book Antiqua" w:cs="Book Antiqua"/>
          <w:b/>
          <w:i/>
          <w:color w:val="000000"/>
        </w:rPr>
        <w:t>Stopping rules for TACE</w:t>
      </w:r>
    </w:p>
    <w:p w14:paraId="21B2ABD6" w14:textId="77777777" w:rsidR="00A77B3E" w:rsidRPr="00487F8E" w:rsidRDefault="00BC1DBA">
      <w:pPr>
        <w:spacing w:line="360" w:lineRule="auto"/>
        <w:jc w:val="both"/>
        <w:rPr>
          <w:lang w:eastAsia="zh-CN"/>
        </w:rPr>
      </w:pPr>
      <w:r>
        <w:rPr>
          <w:rFonts w:ascii="Book Antiqua" w:eastAsia="Book Antiqua" w:hAnsi="Book Antiqua" w:cs="Book Antiqua"/>
          <w:color w:val="000000"/>
        </w:rPr>
        <w:t>TACE sessions are scheduled</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more often performed on-demand than on a predetermined time line. Decisions to continue or cease TACE are based on repeat liver imaging and the tumour response to treatment. Many algorithms have been developed </w:t>
      </w:r>
      <w:r>
        <w:rPr>
          <w:rFonts w:ascii="Book Antiqua" w:eastAsia="Book Antiqua" w:hAnsi="Book Antiqua" w:cs="Book Antiqua"/>
          <w:color w:val="000000"/>
        </w:rPr>
        <w:lastRenderedPageBreak/>
        <w:t>to help with these decisions but are not universally validated</w:t>
      </w:r>
      <w:r w:rsidR="00487F8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general, the appearance of extrahepatic metastases, vascular invasion or worsening clinical status would usually lead to ceasing further TACE procedures. Further, the concept of TACE-‘refractoriness’ is also to be considered. First proposed by the Japanese Society of Hepatology, the primary definition includes lack of objective response to 2 sessions of TACE (viable lesion &gt;</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50% or two or more consecutive increases in tumour number), the continuous elevation of tumour markers after TACE, vascular invasion and metastasis.</w:t>
      </w:r>
    </w:p>
    <w:p w14:paraId="5E77014A" w14:textId="77777777" w:rsidR="00A77B3E" w:rsidRDefault="00BC1DBA" w:rsidP="00487F8E">
      <w:pPr>
        <w:spacing w:line="360" w:lineRule="auto"/>
        <w:ind w:firstLineChars="100" w:firstLine="240"/>
        <w:jc w:val="both"/>
      </w:pPr>
      <w:r>
        <w:rPr>
          <w:rFonts w:ascii="Book Antiqua" w:eastAsia="Book Antiqua" w:hAnsi="Book Antiqua" w:cs="Book Antiqua"/>
          <w:color w:val="000000"/>
        </w:rPr>
        <w:t>Repeated TACE procedures can lead to worsening liver function due to hepatic devascularisation</w:t>
      </w:r>
      <w:r w:rsidR="00487F8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This can preclude effective systemic therapies.</w:t>
      </w:r>
    </w:p>
    <w:p w14:paraId="167957D7" w14:textId="77777777" w:rsidR="00A77B3E" w:rsidRPr="00487F8E" w:rsidRDefault="00BC1DBA" w:rsidP="00487F8E">
      <w:pPr>
        <w:spacing w:line="360" w:lineRule="auto"/>
        <w:ind w:firstLineChars="100" w:firstLine="240"/>
        <w:jc w:val="both"/>
        <w:rPr>
          <w:lang w:eastAsia="zh-CN"/>
        </w:rPr>
      </w:pPr>
      <w:r>
        <w:rPr>
          <w:rFonts w:ascii="Book Antiqua" w:eastAsia="Book Antiqua" w:hAnsi="Book Antiqua" w:cs="Book Antiqua"/>
          <w:color w:val="000000"/>
        </w:rPr>
        <w:t>OPTIMIS was an international prospective observational study enrolling patients with unresectable HCC who were being considered for TACE. The authors noted that over 90% of patients continued to receive TACE despite an inadequate response. Those who transitioned to sorafenib earlier at the time of TACE-‘refractoriness’ had longer overall survival rates than those who were treated later. A recent Korean retrospective study also reiterated early transitioning to systemic therapy in patients without an objective response to 2 consecutive TACE procedures</w:t>
      </w:r>
      <w:r w:rsidR="00487F8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482B926B" w14:textId="77777777" w:rsidR="00A77B3E" w:rsidRPr="00487F8E" w:rsidRDefault="00BC1DBA" w:rsidP="00487F8E">
      <w:pPr>
        <w:spacing w:line="360" w:lineRule="auto"/>
        <w:ind w:firstLineChars="100" w:firstLine="240"/>
        <w:jc w:val="both"/>
        <w:rPr>
          <w:lang w:eastAsia="zh-CN"/>
        </w:rPr>
      </w:pPr>
      <w:r>
        <w:rPr>
          <w:rFonts w:ascii="Book Antiqua" w:eastAsia="Book Antiqua" w:hAnsi="Book Antiqua" w:cs="Book Antiqua"/>
          <w:color w:val="000000"/>
        </w:rPr>
        <w:t xml:space="preserve">These patients need discussion at </w:t>
      </w:r>
      <w:r w:rsidR="00487F8E">
        <w:rPr>
          <w:rFonts w:ascii="Book Antiqua" w:eastAsia="Book Antiqua" w:hAnsi="Book Antiqua" w:cs="Book Antiqua"/>
          <w:color w:val="000000"/>
        </w:rPr>
        <w:t>MDT</w:t>
      </w:r>
      <w:r>
        <w:rPr>
          <w:rFonts w:ascii="Book Antiqua" w:eastAsia="Book Antiqua" w:hAnsi="Book Antiqua" w:cs="Book Antiqua"/>
          <w:color w:val="000000"/>
        </w:rPr>
        <w:t xml:space="preserve"> meetings for consideration of alternative treatment options such as the atezolizumab and bevacizumab combination if there are no contraindications for this protocol.</w:t>
      </w:r>
    </w:p>
    <w:p w14:paraId="4A9CFF5E" w14:textId="77777777" w:rsidR="00A77B3E" w:rsidRDefault="00A77B3E">
      <w:pPr>
        <w:spacing w:line="360" w:lineRule="auto"/>
        <w:jc w:val="both"/>
      </w:pPr>
    </w:p>
    <w:p w14:paraId="03FD9397" w14:textId="77777777" w:rsidR="00A77B3E" w:rsidRPr="00487F8E" w:rsidRDefault="00487F8E">
      <w:pPr>
        <w:spacing w:line="360" w:lineRule="auto"/>
        <w:jc w:val="both"/>
        <w:rPr>
          <w:u w:val="single"/>
          <w:lang w:eastAsia="zh-CN"/>
        </w:rPr>
      </w:pPr>
      <w:r w:rsidRPr="00487F8E">
        <w:rPr>
          <w:rFonts w:ascii="Book Antiqua" w:eastAsia="Book Antiqua" w:hAnsi="Book Antiqua" w:cs="Book Antiqua"/>
          <w:b/>
          <w:bCs/>
          <w:color w:val="000000"/>
          <w:u w:val="single"/>
        </w:rPr>
        <w:t>SYSTEMATIC REVIEW AND META-ANALYSIS SUPPORTING ATEZOLIZUMAB AND BEVACIZUMAB IN FIRST LINE SETTINGS FOR MANAGEMENT OF ADVANCED HCC</w:t>
      </w:r>
    </w:p>
    <w:p w14:paraId="3213C48C" w14:textId="77777777" w:rsidR="00A77B3E" w:rsidRDefault="00BC1DB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the most recent systematic review and network meta-analysis of eight first line trials with a total of 6290 patients, the combination of atezolizumab and bevacizumab was superior to lenvatinib </w:t>
      </w:r>
      <w:r w:rsidR="00487F8E">
        <w:rPr>
          <w:rFonts w:ascii="Book Antiqua" w:hAnsi="Book Antiqua" w:cs="Book Antiqua" w:hint="eastAsia"/>
          <w:color w:val="000000"/>
          <w:lang w:eastAsia="zh-CN"/>
        </w:rPr>
        <w:t>[</w:t>
      </w:r>
      <w:bookmarkStart w:id="3" w:name="_Hlk62042000"/>
      <w:r w:rsidR="00487F8E" w:rsidRPr="00616F4C">
        <w:rPr>
          <w:rFonts w:ascii="Book Antiqua" w:eastAsia="Book Antiqua" w:hAnsi="Book Antiqua" w:cs="Book Antiqua"/>
          <w:color w:val="000000"/>
        </w:rPr>
        <w:t>hazard ratio</w:t>
      </w:r>
      <w:bookmarkEnd w:id="3"/>
      <w:r w:rsidR="00487F8E">
        <w:rPr>
          <w:rFonts w:ascii="Book Antiqua" w:eastAsia="Book Antiqua" w:hAnsi="Book Antiqua" w:cs="Book Antiqua"/>
          <w:color w:val="000000"/>
        </w:rPr>
        <w:t xml:space="preserve"> </w:t>
      </w:r>
      <w:r>
        <w:rPr>
          <w:rFonts w:ascii="Book Antiqua" w:eastAsia="Book Antiqua" w:hAnsi="Book Antiqua" w:cs="Book Antiqua"/>
          <w:color w:val="000000"/>
        </w:rPr>
        <w:t>(HR</w:t>
      </w:r>
      <w:r w:rsidR="00487F8E">
        <w:rPr>
          <w:rFonts w:ascii="Book Antiqua" w:hAnsi="Book Antiqua" w:cs="Book Antiqua" w:hint="eastAsia"/>
          <w:color w:val="000000"/>
          <w:lang w:eastAsia="zh-CN"/>
        </w:rPr>
        <w:t>)</w:t>
      </w:r>
      <w:r>
        <w:rPr>
          <w:rFonts w:ascii="Book Antiqua" w:eastAsia="Book Antiqua" w:hAnsi="Book Antiqua" w:cs="Book Antiqua"/>
          <w:color w:val="000000"/>
        </w:rPr>
        <w:t xml:space="preserve"> 0.63</w:t>
      </w:r>
      <w:r w:rsidR="00487F8E">
        <w:rPr>
          <w:rFonts w:ascii="Book Antiqua" w:hAnsi="Book Antiqua" w:cs="Book Antiqua" w:hint="eastAsia"/>
          <w:color w:val="000000"/>
          <w:lang w:eastAsia="zh-CN"/>
        </w:rPr>
        <w:t>]</w:t>
      </w:r>
      <w:r>
        <w:rPr>
          <w:rFonts w:ascii="Book Antiqua" w:eastAsia="Book Antiqua" w:hAnsi="Book Antiqua" w:cs="Book Antiqua"/>
          <w:color w:val="000000"/>
        </w:rPr>
        <w:t>, sorafenib (HR 0.58) and nivolumab (0.68)</w:t>
      </w:r>
      <w:r w:rsidR="00487F8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B680DA5" w14:textId="77777777" w:rsidR="00487F8E" w:rsidRPr="00487F8E" w:rsidRDefault="00487F8E">
      <w:pPr>
        <w:spacing w:line="360" w:lineRule="auto"/>
        <w:jc w:val="both"/>
        <w:rPr>
          <w:lang w:eastAsia="zh-CN"/>
        </w:rPr>
      </w:pPr>
    </w:p>
    <w:p w14:paraId="21E0442A" w14:textId="0AD47FBB" w:rsidR="00A77B3E" w:rsidRPr="00C5487F" w:rsidRDefault="00045F3E">
      <w:pPr>
        <w:spacing w:line="360" w:lineRule="auto"/>
        <w:jc w:val="both"/>
        <w:rPr>
          <w:i/>
          <w:u w:val="single"/>
          <w:lang w:eastAsia="zh-CN"/>
        </w:rPr>
      </w:pPr>
      <w:bookmarkStart w:id="4" w:name="_Hlk79353603"/>
      <w:r w:rsidRPr="00C5487F">
        <w:rPr>
          <w:rFonts w:ascii="Book Antiqua" w:eastAsia="Book Antiqua" w:hAnsi="Book Antiqua" w:cs="Book Antiqua"/>
          <w:b/>
          <w:bCs/>
          <w:iCs/>
          <w:color w:val="000000"/>
          <w:u w:val="single"/>
        </w:rPr>
        <w:lastRenderedPageBreak/>
        <w:t xml:space="preserve">ROLE OF ATEZOLIZUMAB AND BEVACIZUMAB IN </w:t>
      </w:r>
      <w:bookmarkEnd w:id="4"/>
      <w:r w:rsidRPr="00C5487F">
        <w:rPr>
          <w:rFonts w:ascii="Book Antiqua" w:eastAsia="Book Antiqua" w:hAnsi="Book Antiqua" w:cs="Book Antiqua"/>
          <w:b/>
          <w:bCs/>
          <w:iCs/>
          <w:color w:val="000000"/>
          <w:u w:val="single"/>
        </w:rPr>
        <w:t>COMBINATION WITH LOCOREGIONAL THERAPIES</w:t>
      </w:r>
    </w:p>
    <w:p w14:paraId="33A3D534" w14:textId="1534DA2A" w:rsidR="00A77B3E" w:rsidRPr="00487F8E" w:rsidRDefault="00BC1DBA" w:rsidP="00487F8E">
      <w:pPr>
        <w:spacing w:line="360" w:lineRule="auto"/>
        <w:jc w:val="both"/>
        <w:rPr>
          <w:lang w:eastAsia="zh-CN"/>
        </w:rPr>
      </w:pPr>
      <w:r>
        <w:rPr>
          <w:rFonts w:ascii="Book Antiqua" w:eastAsia="Book Antiqua" w:hAnsi="Book Antiqua" w:cs="Book Antiqua"/>
          <w:color w:val="000000"/>
        </w:rPr>
        <w:t>Locoregional therapies such as radiofrequency ablation, TACE and cryoablation can induce multiple immunogenic effects. These procedures have multiple mechanisms to stimulate the immune system. These mechanisms are:</w:t>
      </w:r>
      <w:r w:rsidR="00487F8E">
        <w:rPr>
          <w:rFonts w:ascii="Book Antiqua" w:hAnsi="Book Antiqua" w:cs="Book Antiqua" w:hint="eastAsia"/>
          <w:color w:val="000000"/>
          <w:lang w:eastAsia="zh-CN"/>
        </w:rPr>
        <w:t xml:space="preserve"> (1) </w:t>
      </w:r>
      <w:r>
        <w:rPr>
          <w:rFonts w:ascii="Book Antiqua" w:eastAsia="Book Antiqua" w:hAnsi="Book Antiqua" w:cs="Book Antiqua"/>
          <w:color w:val="000000"/>
        </w:rPr>
        <w:t>Inhibiting immunosu</w:t>
      </w:r>
      <w:r w:rsidR="00487F8E">
        <w:rPr>
          <w:rFonts w:ascii="Book Antiqua" w:eastAsia="Book Antiqua" w:hAnsi="Book Antiqua" w:cs="Book Antiqua"/>
          <w:color w:val="000000"/>
        </w:rPr>
        <w:t>ppressive cells like MDSC and T</w:t>
      </w:r>
      <w:r>
        <w:rPr>
          <w:rFonts w:ascii="Book Antiqua" w:eastAsia="Book Antiqua" w:hAnsi="Book Antiqua" w:cs="Book Antiqua"/>
          <w:color w:val="000000"/>
        </w:rPr>
        <w:t>regs</w:t>
      </w:r>
      <w:r w:rsidR="00487F8E">
        <w:rPr>
          <w:rFonts w:ascii="Book Antiqua" w:hAnsi="Book Antiqua" w:cs="Book Antiqua" w:hint="eastAsia"/>
          <w:color w:val="000000"/>
          <w:lang w:eastAsia="zh-CN"/>
        </w:rPr>
        <w:t xml:space="preserve">; (2) </w:t>
      </w:r>
      <w:r>
        <w:rPr>
          <w:rFonts w:ascii="Book Antiqua" w:eastAsia="Book Antiqua" w:hAnsi="Book Antiqua" w:cs="Book Antiqua"/>
          <w:color w:val="000000"/>
        </w:rPr>
        <w:t>PD-L1 upregulation</w:t>
      </w:r>
      <w:r w:rsidR="00487F8E">
        <w:rPr>
          <w:rFonts w:ascii="Book Antiqua" w:hAnsi="Book Antiqua" w:cs="Book Antiqua" w:hint="eastAsia"/>
          <w:color w:val="000000"/>
          <w:lang w:eastAsia="zh-CN"/>
        </w:rPr>
        <w:t xml:space="preserve">; (3) </w:t>
      </w:r>
      <w:r>
        <w:rPr>
          <w:rFonts w:ascii="Book Antiqua" w:eastAsia="Book Antiqua" w:hAnsi="Book Antiqua" w:cs="Book Antiqua"/>
          <w:color w:val="000000"/>
        </w:rPr>
        <w:t xml:space="preserve">Increased effector immune cells like </w:t>
      </w:r>
      <w:r w:rsidR="0004757D">
        <w:rPr>
          <w:rFonts w:ascii="Book Antiqua" w:eastAsia="Book Antiqua" w:hAnsi="Book Antiqua" w:cs="Book Antiqua"/>
          <w:color w:val="000000"/>
        </w:rPr>
        <w:t>d</w:t>
      </w:r>
      <w:r>
        <w:rPr>
          <w:rFonts w:ascii="Book Antiqua" w:eastAsia="Book Antiqua" w:hAnsi="Book Antiqua" w:cs="Book Antiqua"/>
          <w:color w:val="000000"/>
        </w:rPr>
        <w:t xml:space="preserve">endritic cells, </w:t>
      </w:r>
      <w:r w:rsidR="00487F8E" w:rsidRPr="00487F8E">
        <w:rPr>
          <w:rFonts w:ascii="Book Antiqua" w:eastAsia="Book Antiqua" w:hAnsi="Book Antiqua" w:cs="Book Antiqua"/>
          <w:color w:val="000000"/>
        </w:rPr>
        <w:t>natural killer</w:t>
      </w:r>
      <w:r>
        <w:rPr>
          <w:rFonts w:ascii="Book Antiqua" w:eastAsia="Book Antiqua" w:hAnsi="Book Antiqua" w:cs="Book Antiqua"/>
          <w:color w:val="000000"/>
        </w:rPr>
        <w:t xml:space="preserve"> cells and T cells</w:t>
      </w:r>
      <w:r w:rsidR="00487F8E">
        <w:rPr>
          <w:rFonts w:ascii="Book Antiqua" w:hAnsi="Book Antiqua" w:cs="Book Antiqua" w:hint="eastAsia"/>
          <w:color w:val="000000"/>
          <w:lang w:eastAsia="zh-CN"/>
        </w:rPr>
        <w:t xml:space="preserve">; and (4) </w:t>
      </w:r>
      <w:r>
        <w:rPr>
          <w:rFonts w:ascii="Book Antiqua" w:eastAsia="Book Antiqua" w:hAnsi="Book Antiqua" w:cs="Book Antiqua"/>
          <w:color w:val="000000"/>
        </w:rPr>
        <w:t xml:space="preserve">Increased release of tumour antigens like </w:t>
      </w:r>
      <w:r w:rsidR="00487F8E">
        <w:rPr>
          <w:rFonts w:ascii="Book Antiqua" w:hAnsi="Book Antiqua" w:cs="Book Antiqua" w:hint="eastAsia"/>
          <w:color w:val="000000"/>
          <w:lang w:eastAsia="zh-CN"/>
        </w:rPr>
        <w:t>g</w:t>
      </w:r>
      <w:r>
        <w:rPr>
          <w:rFonts w:ascii="Book Antiqua" w:eastAsia="Book Antiqua" w:hAnsi="Book Antiqua" w:cs="Book Antiqua"/>
          <w:color w:val="000000"/>
        </w:rPr>
        <w:t>lypican 1, AFP</w:t>
      </w:r>
      <w:r w:rsidR="00487F8E">
        <w:rPr>
          <w:rFonts w:ascii="Book Antiqua" w:hAnsi="Book Antiqua" w:cs="Book Antiqua" w:hint="eastAsia"/>
          <w:color w:val="000000"/>
          <w:lang w:eastAsia="zh-CN"/>
        </w:rPr>
        <w:t>.</w:t>
      </w:r>
    </w:p>
    <w:p w14:paraId="2F36EC7B" w14:textId="77777777" w:rsidR="00A77B3E" w:rsidRDefault="00BC1DBA" w:rsidP="00487F8E">
      <w:pPr>
        <w:spacing w:line="360" w:lineRule="auto"/>
        <w:ind w:firstLineChars="100" w:firstLine="240"/>
        <w:jc w:val="both"/>
      </w:pPr>
      <w:r>
        <w:rPr>
          <w:rFonts w:ascii="Book Antiqua" w:eastAsia="Book Antiqua" w:hAnsi="Book Antiqua" w:cs="Book Antiqua"/>
          <w:color w:val="000000"/>
        </w:rPr>
        <w:t>Several trials are examining combinations of various locoregional modalities with different immune checkpoint inhibitors (ICI). Multiple biomarkers will</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be evaluated in these studiesincluding</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AFP, cell death biomarkers like sRAGE and circulating GPC3 cytotoxic lymphocytes</w:t>
      </w:r>
      <w:r w:rsidR="00487F8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691AF430" w14:textId="77777777" w:rsidR="00A77B3E" w:rsidRPr="00487F8E" w:rsidRDefault="00BC1DBA" w:rsidP="00487F8E">
      <w:pPr>
        <w:spacing w:line="360" w:lineRule="auto"/>
        <w:ind w:firstLineChars="100" w:firstLine="240"/>
        <w:jc w:val="both"/>
        <w:rPr>
          <w:lang w:eastAsia="zh-CN"/>
        </w:rPr>
      </w:pPr>
      <w:r>
        <w:rPr>
          <w:rFonts w:ascii="Book Antiqua" w:eastAsia="Book Antiqua" w:hAnsi="Book Antiqua" w:cs="Book Antiqua"/>
          <w:color w:val="000000"/>
        </w:rPr>
        <w:t>TACE-induced tissue hypoxia leads to upregulation of hypoxia-inducible factor-1a, which facilitates VEGF and platelet derived growth factor expression</w:t>
      </w:r>
      <w:r w:rsidR="00487F8E">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latter promotes neoangiogenesis and tumour revascularisation. These diverse mechanisms provide a rationale for combining atezolizumab and bevacizumab with locoregional therapies.</w:t>
      </w:r>
    </w:p>
    <w:p w14:paraId="4A16B68B" w14:textId="27A23DB3" w:rsidR="00A77B3E" w:rsidRDefault="00BC1DBA" w:rsidP="00487F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Currently NCT04224636 trial is recruiting patients for treatment with TACE in combination with </w:t>
      </w:r>
      <w:r w:rsidR="0004757D">
        <w:rPr>
          <w:rFonts w:ascii="Book Antiqua" w:eastAsia="Book Antiqua" w:hAnsi="Book Antiqua" w:cs="Book Antiqua"/>
          <w:color w:val="000000"/>
        </w:rPr>
        <w:t>a</w:t>
      </w:r>
      <w:r>
        <w:rPr>
          <w:rFonts w:ascii="Book Antiqua" w:eastAsia="Book Antiqua" w:hAnsi="Book Antiqua" w:cs="Book Antiqua"/>
          <w:color w:val="000000"/>
        </w:rPr>
        <w:t>tezolizumab and bevacizumab. There are many unanswered questions about sequencing of locoregional therapies and various ICIs.</w:t>
      </w:r>
    </w:p>
    <w:p w14:paraId="6465DBEB" w14:textId="77777777" w:rsidR="00487F8E" w:rsidRPr="00487F8E" w:rsidRDefault="00487F8E" w:rsidP="00487F8E">
      <w:pPr>
        <w:spacing w:line="360" w:lineRule="auto"/>
        <w:jc w:val="both"/>
        <w:rPr>
          <w:lang w:eastAsia="zh-CN"/>
        </w:rPr>
      </w:pPr>
    </w:p>
    <w:p w14:paraId="733059DD" w14:textId="77777777" w:rsidR="00C5487F" w:rsidRPr="00C5487F" w:rsidRDefault="00045F3E" w:rsidP="00487F8E">
      <w:pPr>
        <w:spacing w:line="360" w:lineRule="auto"/>
        <w:jc w:val="both"/>
        <w:rPr>
          <w:rFonts w:ascii="Book Antiqua" w:hAnsi="Book Antiqua" w:cs="Book Antiqua"/>
          <w:b/>
          <w:bCs/>
          <w:iCs/>
          <w:color w:val="000000"/>
          <w:u w:val="single"/>
          <w:lang w:eastAsia="zh-CN"/>
        </w:rPr>
      </w:pPr>
      <w:r w:rsidRPr="00C5487F">
        <w:rPr>
          <w:rFonts w:ascii="Book Antiqua" w:eastAsia="Book Antiqua" w:hAnsi="Book Antiqua" w:cs="Book Antiqua"/>
          <w:b/>
          <w:bCs/>
          <w:iCs/>
          <w:color w:val="000000"/>
          <w:u w:val="single"/>
        </w:rPr>
        <w:t xml:space="preserve">ROLE OF ATEZOLIZUMAB AND BEVACIZUMAB IN </w:t>
      </w:r>
      <w:r w:rsidR="008D4A10" w:rsidRPr="00C5487F">
        <w:rPr>
          <w:rFonts w:ascii="Book Antiqua" w:eastAsia="Book Antiqua" w:hAnsi="Book Antiqua" w:cs="Book Antiqua"/>
          <w:b/>
          <w:bCs/>
          <w:iCs/>
          <w:color w:val="000000"/>
          <w:u w:val="single"/>
        </w:rPr>
        <w:t>ADJUVANT SETTINGS</w:t>
      </w:r>
    </w:p>
    <w:p w14:paraId="0CFD83A9" w14:textId="20F46554" w:rsidR="00A77B3E" w:rsidRDefault="00BC1DBA" w:rsidP="00487F8E">
      <w:pPr>
        <w:spacing w:line="360" w:lineRule="auto"/>
        <w:jc w:val="both"/>
        <w:rPr>
          <w:lang w:eastAsia="zh-CN"/>
        </w:rPr>
      </w:pPr>
      <w:r>
        <w:rPr>
          <w:rFonts w:ascii="Book Antiqua" w:eastAsia="Book Antiqua" w:hAnsi="Book Antiqua" w:cs="Book Antiqua"/>
          <w:color w:val="000000"/>
        </w:rPr>
        <w:t>Up to 70% of patients can develop recurrence in 5 years after curative intent resection for early stage HCC</w:t>
      </w:r>
      <w:r w:rsidR="00487F8E">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487F8E">
        <w:rPr>
          <w:rFonts w:ascii="Book Antiqua" w:eastAsia="Book Antiqua" w:hAnsi="Book Antiqua" w:cs="Book Antiqua"/>
          <w:color w:val="000000"/>
        </w:rPr>
        <w:t xml:space="preserve"> </w:t>
      </w:r>
      <w:r>
        <w:rPr>
          <w:rFonts w:ascii="Book Antiqua" w:eastAsia="Book Antiqua" w:hAnsi="Book Antiqua" w:cs="Book Antiqua"/>
          <w:color w:val="000000"/>
        </w:rPr>
        <w:t>There is high rate of intrahepatic recurrences in patients with large tumour size, an incomplete tumour capsule, venous or microvascular invasion. There are multiple mechanisms by which surgery or radiofrequency ablation can alter the immune microenvironment of liver</w:t>
      </w:r>
      <w:r w:rsidR="00487F8E">
        <w:rPr>
          <w:rFonts w:ascii="Book Antiqua" w:eastAsia="Book Antiqua" w:hAnsi="Book Antiqua" w:cs="Book Antiqua"/>
          <w:color w:val="000000"/>
          <w:szCs w:val="30"/>
          <w:vertAlign w:val="superscript"/>
        </w:rPr>
        <w:t>[19]</w:t>
      </w:r>
      <w:r w:rsidR="00487F8E">
        <w:rPr>
          <w:rFonts w:ascii="Book Antiqua" w:hAnsi="Book Antiqua" w:cs="Book Antiqua" w:hint="eastAsia"/>
          <w:color w:val="000000"/>
          <w:lang w:eastAsia="zh-CN"/>
        </w:rPr>
        <w:t xml:space="preserve">: (1) </w:t>
      </w:r>
      <w:r>
        <w:rPr>
          <w:rFonts w:ascii="Book Antiqua" w:eastAsia="Book Antiqua" w:hAnsi="Book Antiqua" w:cs="Book Antiqua"/>
          <w:color w:val="000000"/>
        </w:rPr>
        <w:t>More MDSC accumulates, leading to the immunosuppressive microenvironment</w:t>
      </w:r>
      <w:r w:rsidR="00487F8E">
        <w:rPr>
          <w:rFonts w:ascii="Book Antiqua" w:hAnsi="Book Antiqua" w:cs="Book Antiqua" w:hint="eastAsia"/>
          <w:color w:val="000000"/>
          <w:lang w:eastAsia="zh-CN"/>
        </w:rPr>
        <w:t xml:space="preserve">; (2) </w:t>
      </w:r>
      <w:r>
        <w:rPr>
          <w:rFonts w:ascii="Book Antiqua" w:eastAsia="Book Antiqua" w:hAnsi="Book Antiqua" w:cs="Book Antiqua"/>
          <w:color w:val="000000"/>
        </w:rPr>
        <w:t>The balance of proinflammatory phenotype 1 helper T cell is altered to a more immunosuppressive T-helper 2 phenotype</w:t>
      </w:r>
      <w:r w:rsidR="00487F8E">
        <w:rPr>
          <w:rFonts w:ascii="Book Antiqua" w:hAnsi="Book Antiqua" w:cs="Book Antiqua" w:hint="eastAsia"/>
          <w:color w:val="000000"/>
          <w:lang w:eastAsia="zh-CN"/>
        </w:rPr>
        <w:t xml:space="preserve">; and (3) </w:t>
      </w:r>
      <w:r>
        <w:rPr>
          <w:rFonts w:ascii="Book Antiqua" w:eastAsia="Book Antiqua" w:hAnsi="Book Antiqua" w:cs="Book Antiqua"/>
          <w:color w:val="000000"/>
        </w:rPr>
        <w:lastRenderedPageBreak/>
        <w:t>Tumour macrophages are polari</w:t>
      </w:r>
      <w:r w:rsidR="00487F8E">
        <w:rPr>
          <w:rFonts w:ascii="Book Antiqua" w:hAnsi="Book Antiqua" w:cs="Book Antiqua" w:hint="eastAsia"/>
          <w:color w:val="000000"/>
          <w:lang w:eastAsia="zh-CN"/>
        </w:rPr>
        <w:t>z</w:t>
      </w:r>
      <w:r>
        <w:rPr>
          <w:rFonts w:ascii="Book Antiqua" w:eastAsia="Book Antiqua" w:hAnsi="Book Antiqua" w:cs="Book Antiqua"/>
          <w:color w:val="000000"/>
        </w:rPr>
        <w:t>ed to an immunosuppressive M2 phenotype during postoperative wound healing.</w:t>
      </w:r>
      <w:r w:rsidR="00487F8E">
        <w:rPr>
          <w:rFonts w:hint="eastAsia"/>
          <w:lang w:eastAsia="zh-CN"/>
        </w:rPr>
        <w:t xml:space="preserve"> </w:t>
      </w:r>
      <w:r>
        <w:rPr>
          <w:rFonts w:ascii="Book Antiqua" w:eastAsia="Book Antiqua" w:hAnsi="Book Antiqua" w:cs="Book Antiqua"/>
          <w:color w:val="000000"/>
        </w:rPr>
        <w:t>So, there is a solid rationale for considering immunotherapy in the postoperative adjuvant setting for HCC.</w:t>
      </w:r>
    </w:p>
    <w:p w14:paraId="74B09374" w14:textId="4E2007CB" w:rsidR="00A77B3E" w:rsidRDefault="00BC1DBA" w:rsidP="00487F8E">
      <w:pPr>
        <w:spacing w:line="360" w:lineRule="auto"/>
        <w:ind w:firstLineChars="100" w:firstLine="240"/>
        <w:jc w:val="both"/>
      </w:pPr>
      <w:r>
        <w:rPr>
          <w:rFonts w:ascii="Book Antiqua" w:eastAsia="Book Antiqua" w:hAnsi="Book Antiqua" w:cs="Book Antiqua"/>
          <w:color w:val="000000"/>
        </w:rPr>
        <w:t xml:space="preserve">The major success of atezolizumab and bevacizumab in the metastatic setting has led to new trials of this combination in the adjuvant setting and in combination with other locoregional therapies. IMbrave050 (NCT0410298) is testing atezolizumab and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active surveillance as adjuvant therapy in patients with </w:t>
      </w:r>
      <w:r w:rsidR="003D19DA">
        <w:rPr>
          <w:rFonts w:ascii="Book Antiqua" w:eastAsia="Book Antiqua" w:hAnsi="Book Antiqua" w:cs="Book Antiqua"/>
          <w:color w:val="000000"/>
        </w:rPr>
        <w:t>HCC</w:t>
      </w:r>
      <w:r>
        <w:rPr>
          <w:rFonts w:ascii="Book Antiqua" w:eastAsia="Book Antiqua" w:hAnsi="Book Antiqua" w:cs="Book Antiqua"/>
          <w:color w:val="000000"/>
        </w:rPr>
        <w:t xml:space="preserve"> at high risk of recurrence after surgical resection or ablation. The primary outcome of the study is recurrence-free survival.</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r w:rsidR="00C5487F" w:rsidRPr="00A512D9">
        <w:rPr>
          <w:rFonts w:ascii="Book Antiqua" w:eastAsia="Book Antiqua" w:hAnsi="Book Antiqua" w:cs="Book Antiqua"/>
          <w:color w:val="000000"/>
        </w:rPr>
        <w:t>Supplementary material</w:t>
      </w:r>
      <w:r w:rsidR="00C5487F">
        <w:rPr>
          <w:rFonts w:ascii="Book Antiqua" w:hAnsi="Book Antiqua" w:cs="Book Antiqua" w:hint="eastAsia"/>
          <w:color w:val="000000"/>
          <w:lang w:eastAsia="zh-CN"/>
        </w:rPr>
        <w:t>,</w:t>
      </w:r>
      <w:r w:rsidR="00C5487F">
        <w:rPr>
          <w:rFonts w:ascii="Book Antiqua" w:eastAsia="Book Antiqua" w:hAnsi="Book Antiqua" w:cs="Book Antiqua"/>
          <w:color w:val="000000"/>
        </w:rPr>
        <w:t xml:space="preserve"> </w:t>
      </w:r>
      <w:r w:rsidR="00C5487F">
        <w:rPr>
          <w:rFonts w:ascii="Book Antiqua" w:hAnsi="Book Antiqua" w:cs="Book Antiqua" w:hint="eastAsia"/>
          <w:color w:val="000000"/>
          <w:lang w:eastAsia="zh-CN"/>
        </w:rPr>
        <w:t>A</w:t>
      </w:r>
      <w:r w:rsidR="00C5487F">
        <w:rPr>
          <w:rFonts w:ascii="Book Antiqua" w:eastAsia="Book Antiqua" w:hAnsi="Book Antiqua" w:cs="Book Antiqua"/>
          <w:color w:val="000000"/>
        </w:rPr>
        <w:t xml:space="preserve">ppendix </w:t>
      </w:r>
      <w:r w:rsidR="00C5487F">
        <w:rPr>
          <w:rFonts w:ascii="Book Antiqua" w:hAnsi="Book Antiqua" w:cs="Book Antiqua" w:hint="eastAsia"/>
          <w:color w:val="000000"/>
          <w:lang w:eastAsia="zh-CN"/>
        </w:rPr>
        <w:t>1</w:t>
      </w:r>
      <w:r>
        <w:rPr>
          <w:rFonts w:ascii="Book Antiqua" w:eastAsia="Book Antiqua" w:hAnsi="Book Antiqua" w:cs="Book Antiqua"/>
          <w:color w:val="000000"/>
        </w:rPr>
        <w:t xml:space="preserve"> provides information on currently listed trials of this combination in various settings at clinical trial.gov website.</w:t>
      </w:r>
    </w:p>
    <w:p w14:paraId="3515B7A9" w14:textId="77777777" w:rsidR="00A77B3E" w:rsidRDefault="00A77B3E">
      <w:pPr>
        <w:spacing w:line="360" w:lineRule="auto"/>
        <w:jc w:val="both"/>
      </w:pPr>
    </w:p>
    <w:p w14:paraId="1D33A53D" w14:textId="77777777" w:rsidR="00A77B3E" w:rsidRPr="00487F8E" w:rsidRDefault="00487F8E">
      <w:pPr>
        <w:spacing w:line="360" w:lineRule="auto"/>
        <w:jc w:val="both"/>
        <w:rPr>
          <w:u w:val="single"/>
          <w:lang w:eastAsia="zh-CN"/>
        </w:rPr>
      </w:pPr>
      <w:r w:rsidRPr="00487F8E">
        <w:rPr>
          <w:rFonts w:ascii="Book Antiqua" w:eastAsia="Book Antiqua" w:hAnsi="Book Antiqua" w:cs="Book Antiqua"/>
          <w:b/>
          <w:bCs/>
          <w:color w:val="000000"/>
          <w:u w:val="single"/>
        </w:rPr>
        <w:t>BIOMARKERS WITH THE PROGNOSTIC AND PREDICTIVE ROLE FOR THE USE OF A COMBINATION OF ATEZOLIZUMAB AND BEVACIZUMAB IN ADVANCED HCC</w:t>
      </w:r>
    </w:p>
    <w:p w14:paraId="6156DCA4" w14:textId="77777777" w:rsidR="00A77B3E" w:rsidRPr="00487F8E" w:rsidRDefault="00BC1DBA">
      <w:pPr>
        <w:spacing w:line="360" w:lineRule="auto"/>
        <w:jc w:val="both"/>
        <w:rPr>
          <w:lang w:eastAsia="zh-CN"/>
        </w:rPr>
      </w:pPr>
      <w:r>
        <w:rPr>
          <w:rFonts w:ascii="Book Antiqua" w:eastAsia="Book Antiqua" w:hAnsi="Book Antiqua" w:cs="Book Antiqua"/>
          <w:color w:val="000000"/>
        </w:rPr>
        <w:t>In the phase Ib exploratory analysis, higher expression of PD-L1 in tumour tissue, higher expression of VEGF receptor 2, and higher T-regulatory cells immunophenotype were associated with better survival</w:t>
      </w:r>
      <w:r w:rsidR="00487F8E">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487F8E">
        <w:rPr>
          <w:rFonts w:ascii="Book Antiqua" w:eastAsia="Book Antiqua" w:hAnsi="Book Antiqua" w:cs="Book Antiqua"/>
          <w:color w:val="000000"/>
        </w:rPr>
        <w:t xml:space="preserve"> </w:t>
      </w:r>
      <w:r>
        <w:rPr>
          <w:rFonts w:ascii="Book Antiqua" w:eastAsia="Book Antiqua" w:hAnsi="Book Antiqua" w:cs="Book Antiqua"/>
          <w:color w:val="000000"/>
        </w:rPr>
        <w:t>Currently, this analysis is pending for the IMBrave phase III trial. In this trial, the combination showed more benefits in patients with AFP of &lt;</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400</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ng/mL, viral aetiology (HBV and HCV associated HCC) had more benefits than non-viral aetiology</w:t>
      </w:r>
      <w:r w:rsidR="00487F8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487F8E">
        <w:rPr>
          <w:rFonts w:ascii="Book Antiqua" w:eastAsia="Book Antiqua" w:hAnsi="Book Antiqua" w:cs="Book Antiqua"/>
          <w:color w:val="000000"/>
        </w:rPr>
        <w:t xml:space="preserve"> </w:t>
      </w:r>
      <w:r>
        <w:rPr>
          <w:rFonts w:ascii="Book Antiqua" w:eastAsia="Book Antiqua" w:hAnsi="Book Antiqua" w:cs="Book Antiqua"/>
          <w:color w:val="000000"/>
        </w:rPr>
        <w:t xml:space="preserve">This can be due to the immune stimulatory environment due to chronic inflammation associated with viral aetiology associated with HCC. The prevalence of </w:t>
      </w:r>
      <w:r w:rsidR="00487F8E">
        <w:rPr>
          <w:rFonts w:ascii="Book Antiqua" w:eastAsia="Book Antiqua" w:hAnsi="Book Antiqua" w:cs="Book Antiqua"/>
          <w:color w:val="000000"/>
        </w:rPr>
        <w:t>microsatellite instability (MSI)</w:t>
      </w:r>
      <w:r>
        <w:rPr>
          <w:rFonts w:ascii="Book Antiqua" w:eastAsia="Book Antiqua" w:hAnsi="Book Antiqua" w:cs="Book Antiqua"/>
          <w:color w:val="000000"/>
        </w:rPr>
        <w:t>-</w:t>
      </w:r>
      <w:r w:rsidR="00487F8E">
        <w:rPr>
          <w:rFonts w:ascii="Book Antiqua" w:hAnsi="Book Antiqua" w:cs="Book Antiqua" w:hint="eastAsia"/>
          <w:color w:val="000000"/>
          <w:lang w:eastAsia="zh-CN"/>
        </w:rPr>
        <w:t>high</w:t>
      </w:r>
      <w:r>
        <w:rPr>
          <w:rFonts w:ascii="Book Antiqua" w:eastAsia="Book Antiqua" w:hAnsi="Book Antiqua" w:cs="Book Antiqua"/>
          <w:color w:val="000000"/>
        </w:rPr>
        <w:t xml:space="preserve"> disease and TMB is very low in HCC. In a study of 755 patients out of 542 cases assessed for </w:t>
      </w:r>
      <w:r w:rsidR="00487F8E">
        <w:rPr>
          <w:rFonts w:ascii="Book Antiqua" w:eastAsia="Book Antiqua" w:hAnsi="Book Antiqua" w:cs="Book Antiqua"/>
          <w:color w:val="000000"/>
        </w:rPr>
        <w:t>MSI</w:t>
      </w:r>
      <w:r>
        <w:rPr>
          <w:rFonts w:ascii="Book Antiqua" w:eastAsia="Book Antiqua" w:hAnsi="Book Antiqua" w:cs="Book Antiqua"/>
          <w:color w:val="000000"/>
        </w:rPr>
        <w:t>, only one patient (0.2%) was MSI-high and TMB-high</w:t>
      </w:r>
      <w:r w:rsidR="00487F8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C5B645B" w14:textId="77777777" w:rsidR="00A77B3E" w:rsidRPr="00747430" w:rsidRDefault="00BC1DBA" w:rsidP="00487F8E">
      <w:pPr>
        <w:spacing w:line="360" w:lineRule="auto"/>
        <w:ind w:firstLineChars="100" w:firstLine="240"/>
        <w:jc w:val="both"/>
        <w:rPr>
          <w:lang w:eastAsia="zh-CN"/>
        </w:rPr>
      </w:pPr>
      <w:r>
        <w:rPr>
          <w:rFonts w:ascii="Book Antiqua" w:eastAsia="Book Antiqua" w:hAnsi="Book Antiqua" w:cs="Book Antiqua"/>
          <w:color w:val="000000"/>
        </w:rPr>
        <w:t xml:space="preserve">At this stage, aetiology (viral or non-viral) should not be used in triaging the types of systemic treatments in advanced HCC. There are preclinical and clinical signals that the atezolizumab and bevacizumab combination may not be very effective in patients with HCC associated with non-alcoholic fatty liver disease (NAFLD). There is preclinical </w:t>
      </w:r>
      <w:r>
        <w:rPr>
          <w:rFonts w:ascii="Book Antiqua" w:eastAsia="Book Antiqua" w:hAnsi="Book Antiqua" w:cs="Book Antiqua"/>
          <w:color w:val="000000"/>
        </w:rPr>
        <w:lastRenderedPageBreak/>
        <w:t>evidence that NAFLD decreases CD4+T cells and induces tumour promoting functions in CD8+T cells, natural killer cells and Th17 cells</w:t>
      </w:r>
      <w:r w:rsidR="00487F8E">
        <w:rPr>
          <w:rFonts w:ascii="Book Antiqua" w:eastAsia="Book Antiqua" w:hAnsi="Book Antiqua" w:cs="Book Antiqua"/>
          <w:color w:val="000000"/>
          <w:szCs w:val="30"/>
          <w:vertAlign w:val="superscript"/>
        </w:rPr>
        <w:t>[21</w:t>
      </w:r>
      <w:r w:rsidR="00487F8E">
        <w:rPr>
          <w:rFonts w:ascii="Book Antiqua" w:hAnsi="Book Antiqua" w:cs="Book Antiqua" w:hint="eastAsia"/>
          <w:color w:val="000000"/>
          <w:szCs w:val="30"/>
          <w:vertAlign w:val="superscript"/>
          <w:lang w:eastAsia="zh-CN"/>
        </w:rPr>
        <w:t>,</w:t>
      </w:r>
      <w:r w:rsidR="00487F8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More than 50% of patients with NAFLD are obese, and obesity may increase the resistance to VEGF therapy</w:t>
      </w:r>
      <w:r w:rsidR="00487F8E">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the IMbrave 150 trial,</w:t>
      </w:r>
      <w:r w:rsidR="00487F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combination of atezolizumab and bevacizumab was less effective in patients with non-viral </w:t>
      </w:r>
      <w:r>
        <w:rPr>
          <w:rFonts w:ascii="Book Antiqua" w:eastAsia="Book Antiqua" w:hAnsi="Book Antiqua" w:cs="Book Antiqua"/>
          <w:i/>
          <w:iCs/>
          <w:color w:val="000000"/>
        </w:rPr>
        <w:t>vs</w:t>
      </w:r>
      <w:r>
        <w:rPr>
          <w:rFonts w:ascii="Book Antiqua" w:eastAsia="Book Antiqua" w:hAnsi="Book Antiqua" w:cs="Book Antiqua"/>
          <w:color w:val="000000"/>
        </w:rPr>
        <w:t xml:space="preserve"> viral etiology with a HR of 0.91 as compared to sorafenib</w:t>
      </w:r>
      <w:r w:rsidR="0074743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925DCA9" w14:textId="77777777" w:rsidR="00A77B3E" w:rsidRPr="00747430" w:rsidRDefault="00BC1DBA" w:rsidP="00747430">
      <w:pPr>
        <w:spacing w:line="360" w:lineRule="auto"/>
        <w:ind w:firstLineChars="100" w:firstLine="240"/>
        <w:jc w:val="both"/>
        <w:rPr>
          <w:lang w:eastAsia="zh-CN"/>
        </w:rPr>
      </w:pPr>
      <w:r>
        <w:rPr>
          <w:rFonts w:ascii="Book Antiqua" w:eastAsia="Book Antiqua" w:hAnsi="Book Antiqua" w:cs="Book Antiqua"/>
          <w:color w:val="000000"/>
        </w:rPr>
        <w:t>There is emerging evidence that WNT/B-Catenin signalling is associated with a lack of T cell infiltrates and predict resistance to immunotherapy like atezolizumab</w:t>
      </w:r>
      <w:r w:rsidR="0074743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There is a proposed immunological classification in HCC, which divides HCC into three subclasses</w:t>
      </w:r>
      <w:r w:rsidR="007474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sidR="00747430">
        <w:rPr>
          <w:rFonts w:ascii="Book Antiqua" w:hAnsi="Book Antiqua" w:cs="Book Antiqua" w:hint="eastAsia"/>
          <w:color w:val="000000"/>
          <w:lang w:eastAsia="zh-CN"/>
        </w:rPr>
        <w:t>I</w:t>
      </w:r>
      <w:r>
        <w:rPr>
          <w:rFonts w:ascii="Book Antiqua" w:eastAsia="Book Antiqua" w:hAnsi="Book Antiqua" w:cs="Book Antiqua"/>
          <w:color w:val="000000"/>
        </w:rPr>
        <w:t>mmune (30%)</w:t>
      </w:r>
      <w:r w:rsidR="00747430">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747430">
        <w:rPr>
          <w:rFonts w:ascii="Book Antiqua" w:hAnsi="Book Antiqua" w:cs="Book Antiqua" w:hint="eastAsia"/>
          <w:color w:val="000000"/>
          <w:lang w:eastAsia="zh-CN"/>
        </w:rPr>
        <w:t>I</w:t>
      </w:r>
      <w:r>
        <w:rPr>
          <w:rFonts w:ascii="Book Antiqua" w:eastAsia="Book Antiqua" w:hAnsi="Book Antiqua" w:cs="Book Antiqua"/>
          <w:color w:val="000000"/>
        </w:rPr>
        <w:t>mmune intermediate (45%)</w:t>
      </w:r>
      <w:r w:rsidR="00747430">
        <w:rPr>
          <w:rFonts w:ascii="Book Antiqua" w:hAnsi="Book Antiqua" w:cs="Book Antiqua" w:hint="eastAsia"/>
          <w:color w:val="000000"/>
          <w:lang w:eastAsia="zh-CN"/>
        </w:rPr>
        <w:t>;</w:t>
      </w:r>
      <w:r>
        <w:rPr>
          <w:rFonts w:ascii="Book Antiqua" w:eastAsia="Book Antiqua" w:hAnsi="Book Antiqua" w:cs="Book Antiqua"/>
          <w:color w:val="000000"/>
        </w:rPr>
        <w:t xml:space="preserve"> and (3) </w:t>
      </w:r>
      <w:r w:rsidR="00747430">
        <w:rPr>
          <w:rFonts w:ascii="Book Antiqua" w:hAnsi="Book Antiqua" w:cs="Book Antiqua" w:hint="eastAsia"/>
          <w:color w:val="000000"/>
          <w:lang w:eastAsia="zh-CN"/>
        </w:rPr>
        <w:t>I</w:t>
      </w:r>
      <w:r w:rsidR="00747430">
        <w:rPr>
          <w:rFonts w:ascii="Book Antiqua" w:eastAsia="Book Antiqua" w:hAnsi="Book Antiqua" w:cs="Book Antiqua"/>
          <w:color w:val="000000"/>
        </w:rPr>
        <w:t>mmune excluded class (</w:t>
      </w:r>
      <w:r>
        <w:rPr>
          <w:rFonts w:ascii="Book Antiqua" w:eastAsia="Book Antiqua" w:hAnsi="Book Antiqua" w:cs="Book Antiqua"/>
          <w:color w:val="000000"/>
        </w:rPr>
        <w:t>25%). There is preclinical and clinical data of activation of WNT/B-catenin pathway leading to resistance to immunotherapy in immune excluded subtype of HCC.</w:t>
      </w:r>
    </w:p>
    <w:p w14:paraId="7C8F24EB" w14:textId="77777777" w:rsidR="00A77B3E" w:rsidRDefault="00BC1DBA" w:rsidP="0074743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summary, there are currently no proven biomarkers that can be used to select patients for this particular combination.</w:t>
      </w:r>
    </w:p>
    <w:p w14:paraId="1A88504C" w14:textId="77777777" w:rsidR="00747430" w:rsidRPr="00747430" w:rsidRDefault="00747430" w:rsidP="00747430">
      <w:pPr>
        <w:spacing w:line="360" w:lineRule="auto"/>
        <w:jc w:val="both"/>
        <w:rPr>
          <w:lang w:eastAsia="zh-CN"/>
        </w:rPr>
      </w:pPr>
    </w:p>
    <w:p w14:paraId="7A7D3013" w14:textId="77777777" w:rsidR="00A77B3E" w:rsidRPr="00747430" w:rsidRDefault="00747430">
      <w:pPr>
        <w:spacing w:line="360" w:lineRule="auto"/>
        <w:jc w:val="both"/>
        <w:rPr>
          <w:u w:val="single"/>
          <w:lang w:eastAsia="zh-CN"/>
        </w:rPr>
      </w:pPr>
      <w:r w:rsidRPr="00747430">
        <w:rPr>
          <w:rFonts w:ascii="Book Antiqua" w:eastAsia="Book Antiqua" w:hAnsi="Book Antiqua" w:cs="Book Antiqua"/>
          <w:b/>
          <w:bCs/>
          <w:color w:val="000000"/>
          <w:u w:val="single"/>
        </w:rPr>
        <w:t>COMMON OVERLAPPING TOXICITIES IN CIRRHOTIC PATIENTS TREATED WITH IMMUNOTHERAPY</w:t>
      </w:r>
    </w:p>
    <w:p w14:paraId="2FAA3925" w14:textId="77777777" w:rsidR="00A77B3E" w:rsidRDefault="00BC1DBA">
      <w:pPr>
        <w:spacing w:line="360" w:lineRule="auto"/>
        <w:jc w:val="both"/>
      </w:pPr>
      <w:r>
        <w:rPr>
          <w:rFonts w:ascii="Book Antiqua" w:eastAsia="Book Antiqua" w:hAnsi="Book Antiqua" w:cs="Book Antiqua"/>
          <w:color w:val="000000"/>
        </w:rPr>
        <w:t xml:space="preserve">Meriggi </w:t>
      </w:r>
      <w:r w:rsidR="00747430">
        <w:rPr>
          <w:rFonts w:ascii="Book Antiqua" w:hAnsi="Book Antiqua" w:cs="Book Antiqua" w:hint="eastAsia"/>
          <w:iCs/>
          <w:color w:val="000000"/>
          <w:lang w:eastAsia="zh-CN"/>
        </w:rPr>
        <w:t xml:space="preserve">and </w:t>
      </w:r>
      <w:r w:rsidR="00747430">
        <w:rPr>
          <w:rFonts w:ascii="Book Antiqua" w:eastAsia="Book Antiqua" w:hAnsi="Book Antiqua" w:cs="Book Antiqua"/>
          <w:color w:val="000000"/>
        </w:rPr>
        <w:t>Graffeo</w:t>
      </w:r>
      <w:r w:rsidR="00747430">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have comprehensively reviewed the toxicities due to cirrhosis but overlap with immunotherapy agents and TKI. Due to the secretion of gastrin and vasoactive peptides, diarrhoea or loose stools can be a common symptom in patients with cirrhosis. Both immunotherapy and TKI can worsen</w:t>
      </w:r>
      <w:r w:rsidR="007474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diarrhoea. It is essential to adequately investigate the diarrhoea with stool culture, Clostridium difficile toxin assessment and standard biochemical tests. Diarrhoea associated with abdominal pain and signs of colonic inflammation is most likely related to immune-mediated colitis. It is helpful to do a baseline calprotectin when patients are admitted with diarrhoea to rule out immune-mediated colitis. Titrating the dose of lactulose used to prevent encephalopathy may be necessary to control the diarrhoea. Adequate doses of loperamide and steroids should be used to manage patients with possible immune-mediated colitis, once the common causes of diarrhoea are ruled out. Colonoscopy </w:t>
      </w:r>
      <w:r>
        <w:rPr>
          <w:rFonts w:ascii="Book Antiqua" w:eastAsia="Book Antiqua" w:hAnsi="Book Antiqua" w:cs="Book Antiqua"/>
          <w:color w:val="000000"/>
        </w:rPr>
        <w:lastRenderedPageBreak/>
        <w:t>should be reserved for patients with severe diarrhoea with a high index of suspicion for immune-mediated colitis or those who remain steroid refractory. For those patients with steroid-resistant or refractory colitis, the use of infliximab will be challenging, given it can cause liver injury in susceptible patients.</w:t>
      </w:r>
    </w:p>
    <w:p w14:paraId="305F1E2E" w14:textId="77777777" w:rsidR="00A77B3E" w:rsidRDefault="00BC1DBA" w:rsidP="00747430">
      <w:pPr>
        <w:spacing w:line="360" w:lineRule="auto"/>
        <w:ind w:firstLineChars="100" w:firstLine="240"/>
        <w:jc w:val="both"/>
      </w:pPr>
      <w:r>
        <w:rPr>
          <w:rFonts w:ascii="Book Antiqua" w:eastAsia="Book Antiqua" w:hAnsi="Book Antiqua" w:cs="Book Antiqua"/>
          <w:color w:val="000000"/>
        </w:rPr>
        <w:t xml:space="preserve">Cancer-related fatigue is also one of the symptoms common to cirrhotic patients and can worsen with ICI therapy. Education about exercise and physical activity is crucial at the start of treatment. According to </w:t>
      </w:r>
      <w:r w:rsidR="00747430">
        <w:rPr>
          <w:rFonts w:ascii="Book Antiqua" w:eastAsia="Book Antiqua" w:hAnsi="Book Antiqua" w:cs="Book Antiqua"/>
          <w:color w:val="000000"/>
        </w:rPr>
        <w:t xml:space="preserve">Meriggi </w:t>
      </w:r>
      <w:r w:rsidR="00747430">
        <w:rPr>
          <w:rFonts w:ascii="Book Antiqua" w:hAnsi="Book Antiqua" w:cs="Book Antiqua" w:hint="eastAsia"/>
          <w:iCs/>
          <w:color w:val="000000"/>
          <w:lang w:eastAsia="zh-CN"/>
        </w:rPr>
        <w:t xml:space="preserve">and </w:t>
      </w:r>
      <w:r w:rsidR="00747430">
        <w:rPr>
          <w:rFonts w:ascii="Book Antiqua" w:eastAsia="Book Antiqua" w:hAnsi="Book Antiqua" w:cs="Book Antiqua"/>
          <w:color w:val="000000"/>
        </w:rPr>
        <w:t>Graffeo</w:t>
      </w:r>
      <w:r w:rsidR="00747430">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profound asthenia is common in HCC patients and can be multifactorial due to electrolyte imbalance, thyroid dysfunction, increased cytokine production, serotonin imbalances and vagal response activation</w:t>
      </w:r>
      <w:r w:rsidR="00747430">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Baseline assessment of thyroid function can dictate the need to initiate the thyroxine therapy before starting ICIs as autoimmune thyroiditis is a common side effect in the first 3-6 mo after initiation of ICIs.</w:t>
      </w:r>
    </w:p>
    <w:p w14:paraId="4C15871A" w14:textId="77777777" w:rsidR="00A77B3E" w:rsidRDefault="00BC1DBA" w:rsidP="00747430">
      <w:pPr>
        <w:spacing w:line="360" w:lineRule="auto"/>
        <w:ind w:firstLineChars="100" w:firstLine="240"/>
        <w:jc w:val="both"/>
      </w:pPr>
      <w:r>
        <w:rPr>
          <w:rFonts w:ascii="Book Antiqua" w:eastAsia="Book Antiqua" w:hAnsi="Book Antiqua" w:cs="Book Antiqua"/>
          <w:color w:val="000000"/>
        </w:rPr>
        <w:t>Pruritis is also an overlapping symptom in HCC patients treated with ICIs. It is a common symptom of chronic liver disease and can be exacerbated by ICIs and potentially impact the quality of life.</w:t>
      </w:r>
    </w:p>
    <w:p w14:paraId="70ECD9B8" w14:textId="77777777" w:rsidR="00A77B3E" w:rsidRDefault="00BC1DBA" w:rsidP="0074743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Adrenal insufficiency caused by ICI therapy will usually pose challenges in patients with HCC. The hemodynamic changes in cirrhosis, hyponatremia due to hemodilution and use of diuretics can pose a significant challenge will mask the diagnosis of adrenal insufficiency in these patients</w:t>
      </w:r>
      <w:r w:rsidR="00747430">
        <w:rPr>
          <w:rFonts w:ascii="Book Antiqua" w:eastAsia="Book Antiqua" w:hAnsi="Book Antiqua" w:cs="Book Antiqua"/>
          <w:color w:val="000000"/>
          <w:szCs w:val="30"/>
          <w:vertAlign w:val="superscript"/>
        </w:rPr>
        <w:t>[2</w:t>
      </w:r>
      <w:r w:rsidR="00747430">
        <w:rPr>
          <w:rFonts w:ascii="Book Antiqua" w:hAnsi="Book Antiqua" w:cs="Book Antiqua" w:hint="eastAsia"/>
          <w:color w:val="000000"/>
          <w:szCs w:val="30"/>
          <w:vertAlign w:val="superscript"/>
          <w:lang w:eastAsia="zh-CN"/>
        </w:rPr>
        <w:t>6</w:t>
      </w:r>
      <w:r w:rsidR="00747430">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969498D" w14:textId="77777777" w:rsidR="00747430" w:rsidRPr="00747430" w:rsidRDefault="00747430" w:rsidP="00747430">
      <w:pPr>
        <w:spacing w:line="360" w:lineRule="auto"/>
        <w:jc w:val="both"/>
        <w:rPr>
          <w:lang w:eastAsia="zh-CN"/>
        </w:rPr>
      </w:pPr>
    </w:p>
    <w:p w14:paraId="67377AAA" w14:textId="77777777" w:rsidR="00A77B3E" w:rsidRPr="00747430" w:rsidRDefault="00747430">
      <w:pPr>
        <w:spacing w:line="360" w:lineRule="auto"/>
        <w:jc w:val="both"/>
        <w:rPr>
          <w:lang w:eastAsia="zh-CN"/>
        </w:rPr>
      </w:pPr>
      <w:r w:rsidRPr="00747430">
        <w:rPr>
          <w:rFonts w:ascii="Book Antiqua" w:eastAsia="Book Antiqua" w:hAnsi="Book Antiqua" w:cs="Book Antiqua"/>
          <w:b/>
          <w:bCs/>
          <w:color w:val="000000"/>
          <w:u w:val="single"/>
        </w:rPr>
        <w:t>CHILD PUGH B CIRRHOSIS AND COMBINATION OF ATEZOLIZUMAB AND BEVACIZUMAB</w:t>
      </w:r>
    </w:p>
    <w:p w14:paraId="5669C0CB" w14:textId="604D55AE" w:rsidR="00A77B3E" w:rsidRDefault="00BC1DBA">
      <w:pPr>
        <w:spacing w:line="360" w:lineRule="auto"/>
        <w:jc w:val="both"/>
      </w:pPr>
      <w:r>
        <w:rPr>
          <w:rFonts w:ascii="Book Antiqua" w:eastAsia="Book Antiqua" w:hAnsi="Book Antiqua" w:cs="Book Antiqua"/>
          <w:color w:val="000000"/>
        </w:rPr>
        <w:t xml:space="preserve">The IMBrave 150 trial excluded the patients with Child-Pugh B cirrhosis. Currently, the data for the use of </w:t>
      </w:r>
      <w:r w:rsidR="006B6363" w:rsidRPr="006B6363">
        <w:rPr>
          <w:rFonts w:ascii="Book Antiqua" w:eastAsia="Book Antiqua" w:hAnsi="Book Antiqua" w:cs="Book Antiqua"/>
          <w:color w:val="000000"/>
        </w:rPr>
        <w:t>individualized care plan</w:t>
      </w:r>
      <w:r>
        <w:rPr>
          <w:rFonts w:ascii="Book Antiqua" w:eastAsia="Book Antiqua" w:hAnsi="Book Antiqua" w:cs="Book Antiqua"/>
          <w:color w:val="000000"/>
        </w:rPr>
        <w:t>s, in general, is scarce in patients with HCC. The largest retrospective series of 18 patients assessed the role of nivolumab in patients with Child-Pugh B cirrhosis after progression on sorafenib. In this study cohort,</w:t>
      </w:r>
      <w:r w:rsidR="00747430">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7474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of patients had ascites, and 28% of patients had a </w:t>
      </w:r>
      <w:r w:rsidR="008D4A10">
        <w:rPr>
          <w:rFonts w:ascii="Book Antiqua" w:eastAsia="Book Antiqua" w:hAnsi="Book Antiqua" w:cs="Book Antiqua"/>
          <w:color w:val="000000"/>
        </w:rPr>
        <w:t>Child-Pugh B</w:t>
      </w:r>
      <w:r w:rsidR="00C548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score of 9. There were higher rates of adverse events, but the frequency of irAEs ( immune-related adverse events) was similar to patients with Child-Pugh A cirrhosis in the CheckMate 40 trial. </w:t>
      </w:r>
      <w:r>
        <w:rPr>
          <w:rFonts w:ascii="Book Antiqua" w:eastAsia="Book Antiqua" w:hAnsi="Book Antiqua" w:cs="Book Antiqua"/>
          <w:color w:val="000000"/>
        </w:rPr>
        <w:lastRenderedPageBreak/>
        <w:t>Interestingly there was no significant increase in aminotransferases, which is the anticipated side effect in this subset of patients</w:t>
      </w:r>
      <w:r w:rsidR="0074743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3216214F" w14:textId="77777777" w:rsidR="00A77B3E" w:rsidRDefault="00BC1DBA" w:rsidP="0074743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 is a single case report of the combination of lenvatinib and pembrolizumab in a patient with advanced HCC with Child-Pugh B</w:t>
      </w:r>
      <w:r w:rsidR="006B6363">
        <w:rPr>
          <w:rFonts w:ascii="Book Antiqua" w:hAnsi="Book Antiqua" w:cs="Book Antiqua" w:hint="eastAsia"/>
          <w:color w:val="000000"/>
          <w:lang w:eastAsia="zh-CN"/>
        </w:rPr>
        <w:t xml:space="preserve"> </w:t>
      </w:r>
      <w:r>
        <w:rPr>
          <w:rFonts w:ascii="Book Antiqua" w:eastAsia="Book Antiqua" w:hAnsi="Book Antiqua" w:cs="Book Antiqua"/>
          <w:color w:val="000000"/>
        </w:rPr>
        <w:t>8 with an overall survival of 22 mo at the time of initial presentation</w:t>
      </w:r>
      <w:r w:rsidR="00747430">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It will be essential to see the effect of atezolizumab and bevacizumab in patients with Child-Pugh B cirrhosis. Patients with ascites will be of interest, as bevacizumab can reduced ascites in patients with various gynaecological malignancies.</w:t>
      </w:r>
    </w:p>
    <w:p w14:paraId="1608AD51" w14:textId="77777777" w:rsidR="00747430" w:rsidRPr="00747430" w:rsidRDefault="00747430" w:rsidP="00747430">
      <w:pPr>
        <w:spacing w:line="360" w:lineRule="auto"/>
        <w:jc w:val="both"/>
        <w:rPr>
          <w:lang w:eastAsia="zh-CN"/>
        </w:rPr>
      </w:pPr>
    </w:p>
    <w:p w14:paraId="65EDB931" w14:textId="77777777" w:rsidR="00A77B3E" w:rsidRPr="00747430" w:rsidRDefault="00747430">
      <w:pPr>
        <w:spacing w:line="360" w:lineRule="auto"/>
        <w:jc w:val="both"/>
        <w:rPr>
          <w:lang w:eastAsia="zh-CN"/>
        </w:rPr>
      </w:pPr>
      <w:r w:rsidRPr="00747430">
        <w:rPr>
          <w:rFonts w:ascii="Book Antiqua" w:eastAsia="Book Antiqua" w:hAnsi="Book Antiqua" w:cs="Book Antiqua"/>
          <w:b/>
          <w:bCs/>
          <w:color w:val="000000"/>
          <w:u w:val="single"/>
        </w:rPr>
        <w:t>ICI INDUCED HEPATITIS IN PATIENTS OF HCC</w:t>
      </w:r>
    </w:p>
    <w:p w14:paraId="6BE6728D" w14:textId="2CF14669" w:rsidR="00A77B3E" w:rsidRDefault="00BC1DB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ICI induced hepatitis is a vital complication that needs particular emphasis in patients with HCC. Patients with HCC have mild hepatic dysfunction due to underlying cirrhosis, and this can make the diagnosis of ICI induced hepatitis more challenging. In the IMBrave 150 trial, 14% of patients in the </w:t>
      </w:r>
      <w:r w:rsidR="008D4A10">
        <w:rPr>
          <w:rFonts w:ascii="Book Antiqua" w:eastAsia="Book Antiqua" w:hAnsi="Book Antiqua" w:cs="Book Antiqua"/>
          <w:color w:val="000000"/>
        </w:rPr>
        <w:t>a</w:t>
      </w:r>
      <w:r>
        <w:rPr>
          <w:rFonts w:ascii="Book Antiqua" w:eastAsia="Book Antiqua" w:hAnsi="Book Antiqua" w:cs="Book Antiqua"/>
          <w:color w:val="000000"/>
        </w:rPr>
        <w:t>tezo</w:t>
      </w:r>
      <w:r w:rsidR="008D4A10">
        <w:rPr>
          <w:rFonts w:ascii="Book Antiqua" w:eastAsia="Book Antiqua" w:hAnsi="Book Antiqua" w:cs="Book Antiqua"/>
          <w:color w:val="000000"/>
        </w:rPr>
        <w:t>lizumab</w:t>
      </w:r>
      <w:r>
        <w:rPr>
          <w:rFonts w:ascii="Book Antiqua" w:eastAsia="Book Antiqua" w:hAnsi="Book Antiqua" w:cs="Book Antiqua"/>
          <w:color w:val="000000"/>
        </w:rPr>
        <w:t xml:space="preserve"> </w:t>
      </w:r>
      <w:r w:rsidR="008D4A10">
        <w:rPr>
          <w:rFonts w:ascii="Book Antiqua" w:eastAsia="Book Antiqua" w:hAnsi="Book Antiqua" w:cs="Book Antiqua"/>
          <w:color w:val="000000"/>
        </w:rPr>
        <w:t>b</w:t>
      </w:r>
      <w:r>
        <w:rPr>
          <w:rFonts w:ascii="Book Antiqua" w:eastAsia="Book Antiqua" w:hAnsi="Book Antiqua" w:cs="Book Antiqua"/>
          <w:color w:val="000000"/>
        </w:rPr>
        <w:t>eva</w:t>
      </w:r>
      <w:r w:rsidR="008D4A10">
        <w:rPr>
          <w:rFonts w:ascii="Book Antiqua" w:eastAsia="Book Antiqua" w:hAnsi="Book Antiqua" w:cs="Book Antiqua"/>
          <w:color w:val="000000"/>
        </w:rPr>
        <w:t>cizumab</w:t>
      </w:r>
      <w:r>
        <w:rPr>
          <w:rFonts w:ascii="Book Antiqua" w:eastAsia="Book Antiqua" w:hAnsi="Book Antiqua" w:cs="Book Antiqua"/>
          <w:color w:val="000000"/>
        </w:rPr>
        <w:t xml:space="preserve"> arm developed a rise in ALT with 3.6% developing grade 3 or 4 increase</w:t>
      </w:r>
      <w:r>
        <w:rPr>
          <w:rFonts w:ascii="Book Antiqua" w:eastAsia="Book Antiqua" w:hAnsi="Book Antiqua" w:cs="Book Antiqua"/>
          <w:color w:val="000000"/>
          <w:szCs w:val="30"/>
          <w:vertAlign w:val="superscript"/>
        </w:rPr>
        <w:t>[6]</w:t>
      </w:r>
      <w:r w:rsidR="0074743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In a large multicentre retrospective analysis of 164 patients with ICI induced hepatitis, 30.5% and 45.7% of patients developed grade 2 and grade 3 hepatitis, respectively, with a median time of onset of 61 d. The most common presentation was asymptomatic laboratory abnormalities. In patients with symptomatic presentations, flu-like symptoms like fatigue/anorexia, nausea, emesis, abdominal/back pain and arthralgia/myalgia were the most common. Steroids were used in 92.1% of patients and second-line immunosuppression was required in 22.6% of patients. On rechallenge, there was a modest risk of hepatitis recurrence. Out of 164 patients, only one had HCC and only two patients received atezolizumab as one of the ICIs</w:t>
      </w:r>
      <w:r w:rsidR="0074743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02C57EB1" w14:textId="77777777" w:rsidR="00747430" w:rsidRPr="00747430" w:rsidRDefault="00747430">
      <w:pPr>
        <w:spacing w:line="360" w:lineRule="auto"/>
        <w:jc w:val="both"/>
        <w:rPr>
          <w:lang w:eastAsia="zh-CN"/>
        </w:rPr>
      </w:pPr>
    </w:p>
    <w:p w14:paraId="6D99FC54" w14:textId="77777777" w:rsidR="00A77B3E" w:rsidRPr="00747430" w:rsidRDefault="00747430">
      <w:pPr>
        <w:spacing w:line="360" w:lineRule="auto"/>
        <w:jc w:val="both"/>
        <w:rPr>
          <w:u w:val="single"/>
          <w:lang w:eastAsia="zh-CN"/>
        </w:rPr>
      </w:pPr>
      <w:r w:rsidRPr="00747430">
        <w:rPr>
          <w:rFonts w:ascii="Book Antiqua" w:eastAsia="Book Antiqua" w:hAnsi="Book Antiqua" w:cs="Book Antiqua"/>
          <w:b/>
          <w:bCs/>
          <w:color w:val="000000"/>
          <w:u w:val="single"/>
        </w:rPr>
        <w:t>ROLE OF ATEZOLIZUMAB AND BEVACIZUMAB IN MANAGEMENT OF ADVANCED HCC IN SPECIAL SUBSETS OF PATIENTS</w:t>
      </w:r>
    </w:p>
    <w:p w14:paraId="47720CEB" w14:textId="77777777" w:rsidR="00A77B3E" w:rsidRDefault="00BC1DB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Multifocal HCC or advanced HCC can occur in a special subgroup of patients like patients with a history of autoimmune hepatitis, pre-existing autoimmune disease, solid </w:t>
      </w:r>
      <w:r>
        <w:rPr>
          <w:rFonts w:ascii="Book Antiqua" w:eastAsia="Book Antiqua" w:hAnsi="Book Antiqua" w:cs="Book Antiqua"/>
          <w:color w:val="000000"/>
        </w:rPr>
        <w:lastRenderedPageBreak/>
        <w:t xml:space="preserve">organ transplants, inflammatory bowel disease, significant cardiovascular disease, patients on haemodialysis, active </w:t>
      </w:r>
      <w:r w:rsidR="006B6363" w:rsidRPr="006B6363">
        <w:rPr>
          <w:rFonts w:ascii="Book Antiqua" w:eastAsia="Book Antiqua" w:hAnsi="Book Antiqua" w:cs="Book Antiqua"/>
          <w:color w:val="000000"/>
        </w:rPr>
        <w:t>human immunodeficiency virus</w:t>
      </w:r>
      <w:r w:rsidR="006B6363">
        <w:rPr>
          <w:rFonts w:ascii="Book Antiqua" w:hAnsi="Book Antiqua" w:cs="Book Antiqua" w:hint="eastAsia"/>
          <w:color w:val="000000"/>
          <w:lang w:eastAsia="zh-CN"/>
        </w:rPr>
        <w:t xml:space="preserve"> (</w:t>
      </w:r>
      <w:r>
        <w:rPr>
          <w:rFonts w:ascii="Book Antiqua" w:eastAsia="Book Antiqua" w:hAnsi="Book Antiqua" w:cs="Book Antiqua"/>
          <w:color w:val="000000"/>
        </w:rPr>
        <w:t>HIV</w:t>
      </w:r>
      <w:r w:rsidR="006B6363">
        <w:rPr>
          <w:rFonts w:ascii="Book Antiqua" w:hAnsi="Book Antiqua" w:cs="Book Antiqua" w:hint="eastAsia"/>
          <w:color w:val="000000"/>
          <w:lang w:eastAsia="zh-CN"/>
        </w:rPr>
        <w:t>)</w:t>
      </w:r>
      <w:r>
        <w:rPr>
          <w:rFonts w:ascii="Book Antiqua" w:eastAsia="Book Antiqua" w:hAnsi="Book Antiqua" w:cs="Book Antiqua"/>
          <w:color w:val="000000"/>
        </w:rPr>
        <w:t xml:space="preserve"> infection or patients living with HIV disease. These patients provide unique challenges during the management of advanced HCC. Pinter </w:t>
      </w:r>
      <w:r>
        <w:rPr>
          <w:rFonts w:ascii="Book Antiqua" w:eastAsia="Book Antiqua" w:hAnsi="Book Antiqua" w:cs="Book Antiqua"/>
          <w:i/>
          <w:iCs/>
          <w:color w:val="000000"/>
        </w:rPr>
        <w:t>et al</w:t>
      </w:r>
      <w:r w:rsidR="0074743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Rimassa </w:t>
      </w:r>
      <w:r>
        <w:rPr>
          <w:rFonts w:ascii="Book Antiqua" w:eastAsia="Book Antiqua" w:hAnsi="Book Antiqua" w:cs="Book Antiqua"/>
          <w:i/>
          <w:iCs/>
          <w:color w:val="000000"/>
        </w:rPr>
        <w:t>et al</w:t>
      </w:r>
      <w:r w:rsidR="00747430">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comprehensively review the challenges in managing these patients. Table 4 summaries the most suitable lines of therapy for these subsets of patients.</w:t>
      </w:r>
    </w:p>
    <w:p w14:paraId="7D665B39" w14:textId="77777777" w:rsidR="00747430" w:rsidRPr="00747430" w:rsidRDefault="00747430">
      <w:pPr>
        <w:spacing w:line="360" w:lineRule="auto"/>
        <w:jc w:val="both"/>
        <w:rPr>
          <w:lang w:eastAsia="zh-CN"/>
        </w:rPr>
      </w:pPr>
    </w:p>
    <w:p w14:paraId="5AC6A153" w14:textId="77777777" w:rsidR="00A77B3E" w:rsidRPr="00747430" w:rsidRDefault="00747430">
      <w:pPr>
        <w:spacing w:line="360" w:lineRule="auto"/>
        <w:jc w:val="both"/>
        <w:rPr>
          <w:u w:val="single"/>
          <w:lang w:eastAsia="zh-CN"/>
        </w:rPr>
      </w:pPr>
      <w:r w:rsidRPr="00747430">
        <w:rPr>
          <w:rFonts w:ascii="Book Antiqua" w:eastAsia="Book Antiqua" w:hAnsi="Book Antiqua" w:cs="Book Antiqua"/>
          <w:b/>
          <w:bCs/>
          <w:color w:val="000000"/>
          <w:u w:val="single"/>
        </w:rPr>
        <w:t>FUTURE CONSIDERATION FOR CHANGE IN THERAPEUTIC LANDSCAPE FOR SECOND LINE SETTINGS IN ADVANCED HCC FOR PATIENTS PROGRESSED ON THE ATEZOLIZUMAB AND BEVACIZUMAB COMBINATION</w:t>
      </w:r>
    </w:p>
    <w:p w14:paraId="1127E4AB" w14:textId="77777777" w:rsidR="00A77B3E" w:rsidRDefault="00BC1DBA">
      <w:pPr>
        <w:spacing w:line="360" w:lineRule="auto"/>
        <w:jc w:val="both"/>
      </w:pPr>
      <w:r>
        <w:rPr>
          <w:rFonts w:ascii="Book Antiqua" w:eastAsia="Book Antiqua" w:hAnsi="Book Antiqua" w:cs="Book Antiqua"/>
          <w:color w:val="000000"/>
        </w:rPr>
        <w:t>The choice of second-line therapies for patients developing progressive disease on atezolizumab and bevacizumab combination is uncertain. The regorafenib and cabozantinib studies included prior VEGF exposure and 3% of patient in the CELESTIAL trial received prior immunotherapy</w:t>
      </w:r>
      <w:r w:rsidR="00747430">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Sonbol </w:t>
      </w:r>
      <w:r>
        <w:rPr>
          <w:rFonts w:ascii="Book Antiqua" w:eastAsia="Book Antiqua" w:hAnsi="Book Antiqua" w:cs="Book Antiqua"/>
          <w:i/>
          <w:iCs/>
          <w:color w:val="000000"/>
        </w:rPr>
        <w:t>et al</w:t>
      </w:r>
      <w:r w:rsidR="0074743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their network meta-analysis speculate that cabozantinib and regorafenib may be more suitable second-line therapies as compared to sorafenib and lenvatinib as they were only used in VEGF naïve patients. The efficacy of the VEGF directed antibody ramucirumab and single-agent checkpoint inhibitors such as nivolumab and pembrolizumab is also questionable in second-line settings for patients treated with this combination. It will be important to consider trials with dual checkpoint blockade, such as the combination of the anti-CTLA-4 antibody line ipilimumab and PD-1 inhibitor nivolumab or PD</w:t>
      </w:r>
      <w:r w:rsidR="00747430">
        <w:rPr>
          <w:rFonts w:ascii="Book Antiqua" w:hAnsi="Book Antiqua" w:cs="Book Antiqua" w:hint="eastAsia"/>
          <w:color w:val="000000"/>
          <w:lang w:eastAsia="zh-CN"/>
        </w:rPr>
        <w:t>-</w:t>
      </w:r>
      <w:r>
        <w:rPr>
          <w:rFonts w:ascii="Book Antiqua" w:eastAsia="Book Antiqua" w:hAnsi="Book Antiqua" w:cs="Book Antiqua"/>
          <w:color w:val="000000"/>
        </w:rPr>
        <w:t>1 inhibitors with TKIs like cabozantinib and regorafenib in second-line settings for patients who have progressed on the atezolizumab and bevacizumab combination</w:t>
      </w:r>
      <w:r w:rsidR="0074743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427C1CBB" w14:textId="77777777" w:rsidR="00A77B3E" w:rsidRDefault="00A77B3E">
      <w:pPr>
        <w:spacing w:line="360" w:lineRule="auto"/>
        <w:jc w:val="both"/>
      </w:pPr>
    </w:p>
    <w:p w14:paraId="2E671D02" w14:textId="77777777" w:rsidR="00A77B3E" w:rsidRDefault="00BC1DBA">
      <w:pPr>
        <w:spacing w:line="360" w:lineRule="auto"/>
        <w:jc w:val="both"/>
      </w:pPr>
      <w:r>
        <w:rPr>
          <w:rFonts w:ascii="Book Antiqua" w:eastAsia="Book Antiqua" w:hAnsi="Book Antiqua" w:cs="Book Antiqua"/>
          <w:b/>
          <w:caps/>
          <w:color w:val="000000"/>
          <w:u w:val="single"/>
        </w:rPr>
        <w:t>CONCLUSION</w:t>
      </w:r>
    </w:p>
    <w:p w14:paraId="44D09EDB" w14:textId="77777777" w:rsidR="00A77B3E" w:rsidRDefault="00BC1DBA">
      <w:pPr>
        <w:spacing w:line="360" w:lineRule="auto"/>
        <w:jc w:val="both"/>
      </w:pPr>
      <w:r>
        <w:rPr>
          <w:rFonts w:ascii="Book Antiqua" w:eastAsia="Book Antiqua" w:hAnsi="Book Antiqua" w:cs="Book Antiqua"/>
          <w:color w:val="000000"/>
        </w:rPr>
        <w:t>Atezolizumab and bevacizumab is the current first-line standard of care systemic therapy option for patients with advanced or unresectable HCC unsuitable for locoregional therapy with Child-Pugh A cirrhosis with no contraindication to either atezolizumab and bevacizumab.</w:t>
      </w:r>
      <w:r w:rsidR="007474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 ESMO and NCCN guidelines support this </w:t>
      </w:r>
      <w:r>
        <w:rPr>
          <w:rFonts w:ascii="Book Antiqua" w:eastAsia="Book Antiqua" w:hAnsi="Book Antiqua" w:cs="Book Antiqua"/>
          <w:color w:val="000000"/>
        </w:rPr>
        <w:lastRenderedPageBreak/>
        <w:t>recommendation</w:t>
      </w:r>
      <w:r w:rsidR="00747430">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ESMO guidelines report the substantial benefit with this combination with estimated ESMO magnitude of clinical benefit score of 5 with an absolute survival gain of additional 9.6 mo as compared to sorafenib</w:t>
      </w:r>
      <w:r w:rsidR="00747430">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126B1C31" w14:textId="77777777" w:rsidR="00A77B3E" w:rsidRDefault="00A77B3E">
      <w:pPr>
        <w:spacing w:line="360" w:lineRule="auto"/>
        <w:jc w:val="both"/>
      </w:pPr>
    </w:p>
    <w:p w14:paraId="3225351B" w14:textId="77777777" w:rsidR="00A77B3E" w:rsidRDefault="00BC1DBA">
      <w:pPr>
        <w:spacing w:line="360" w:lineRule="auto"/>
        <w:jc w:val="both"/>
      </w:pPr>
      <w:r>
        <w:rPr>
          <w:rFonts w:ascii="Book Antiqua" w:eastAsia="Book Antiqua" w:hAnsi="Book Antiqua" w:cs="Book Antiqua"/>
          <w:b/>
          <w:color w:val="000000"/>
        </w:rPr>
        <w:t>REFERENCES</w:t>
      </w:r>
    </w:p>
    <w:p w14:paraId="58731437" w14:textId="77777777" w:rsidR="00A77B3E" w:rsidRDefault="00BC1DBA">
      <w:pPr>
        <w:spacing w:line="360" w:lineRule="auto"/>
        <w:jc w:val="both"/>
      </w:pPr>
      <w:bookmarkStart w:id="5" w:name="OLE_LINK18"/>
      <w:r>
        <w:rPr>
          <w:rFonts w:ascii="Book Antiqua" w:eastAsia="Book Antiqua" w:hAnsi="Book Antiqua" w:cs="Book Antiqua"/>
          <w:color w:val="000000"/>
        </w:rPr>
        <w:t xml:space="preserve">1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51DB5FCA" w14:textId="77777777" w:rsidR="00A77B3E" w:rsidRDefault="00BC1DB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randomised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67F6B21B" w14:textId="77777777" w:rsidR="00A77B3E" w:rsidRDefault="00BC1DB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7E1B9AF5" w14:textId="77777777" w:rsidR="00A77B3E" w:rsidRDefault="00BC1DB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54-63 [PMID: 29972759 DOI: 10.1056/NEJMoa1717002]</w:t>
      </w:r>
    </w:p>
    <w:p w14:paraId="0414B174" w14:textId="77777777" w:rsidR="00A77B3E" w:rsidRDefault="00BC1DB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Zhu AX</w:t>
      </w:r>
      <w:r>
        <w:rPr>
          <w:rFonts w:ascii="Book Antiqua" w:eastAsia="Book Antiqua" w:hAnsi="Book Antiqua" w:cs="Book Antiqua"/>
          <w:color w:val="000000"/>
        </w:rPr>
        <w:t xml:space="preserve">, Kang YK, Yen CJ, Finn RS, Galle PR, Llovet JM, Assenat E, Brandi G, Pracht M, Lim HY, Rau KM, Motomura K, Ohno I, Merle P, Daniele B, Shin DB, Gerken G, </w:t>
      </w:r>
      <w:r>
        <w:rPr>
          <w:rFonts w:ascii="Book Antiqua" w:eastAsia="Book Antiqua" w:hAnsi="Book Antiqua" w:cs="Book Antiqua"/>
          <w:color w:val="000000"/>
        </w:rPr>
        <w:lastRenderedPageBreak/>
        <w:t xml:space="preserve">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282-296 [PMID: 30665869 DOI: 10.1016/S1470-2045(18)30937-9]</w:t>
      </w:r>
    </w:p>
    <w:p w14:paraId="28E859C7" w14:textId="77777777" w:rsidR="00A77B3E" w:rsidRDefault="00BC1DB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74C8E854" w14:textId="77777777" w:rsidR="00A77B3E" w:rsidRDefault="00BC1DB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Kudo M</w:t>
      </w:r>
      <w:r>
        <w:rPr>
          <w:rFonts w:ascii="Book Antiqua" w:eastAsia="Book Antiqua" w:hAnsi="Book Antiqua" w:cs="Book Antiqua"/>
          <w:color w:val="000000"/>
        </w:rPr>
        <w:t xml:space="preserve">. A New Era in Systemic Therapy for Hepatocellular Carcinoma: Atezolizumab plus Bevacizumab Combination Therapy.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119-137 [PMID: 32399427 DOI: 10.1159/000505189]</w:t>
      </w:r>
    </w:p>
    <w:p w14:paraId="5A85D1D4" w14:textId="77777777" w:rsidR="00A77B3E" w:rsidRDefault="00BC1DB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MS</w:t>
      </w:r>
      <w:r>
        <w:rPr>
          <w:rFonts w:ascii="Book Antiqua" w:eastAsia="Book Antiqua" w:hAnsi="Book Antiqua" w:cs="Book Antiqua"/>
          <w:color w:val="000000"/>
        </w:rPr>
        <w:t xml:space="preserve">, Ryoo BY, Hsu CH, Numata K, Stein S, Verret W, Hack SP, Spahn J, Liu B, Abdullah H, Wang Y, He AR, Lee KH; GO30140 investigators. Atezolizumab with or without bevacizumab in unresectable hepatocellular carcinoma (GO30140): an open-label, multicentre, phase 1b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808-820 [PMID: 32502443 DOI: 10.1016/S1470-2045(20)30156-X]</w:t>
      </w:r>
    </w:p>
    <w:p w14:paraId="5ACFA0D5" w14:textId="77777777" w:rsidR="00A77B3E" w:rsidRDefault="00BC1DB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Galle PR</w:t>
      </w:r>
      <w:r w:rsidRPr="005F4451">
        <w:rPr>
          <w:rFonts w:ascii="Book Antiqua" w:eastAsia="Book Antiqua" w:hAnsi="Book Antiqua" w:cs="Book Antiqua"/>
          <w:bCs/>
          <w:color w:val="000000"/>
        </w:rPr>
        <w:t>,</w:t>
      </w:r>
      <w:r w:rsidRPr="005F4451">
        <w:rPr>
          <w:rFonts w:ascii="Book Antiqua" w:eastAsia="Book Antiqua" w:hAnsi="Book Antiqua" w:cs="Book Antiqua"/>
          <w:color w:val="000000"/>
        </w:rPr>
        <w:t xml:space="preserve"> </w:t>
      </w:r>
      <w:r>
        <w:rPr>
          <w:rFonts w:ascii="Book Antiqua" w:eastAsia="Book Antiqua" w:hAnsi="Book Antiqua" w:cs="Book Antiqua"/>
          <w:color w:val="000000"/>
        </w:rPr>
        <w:t xml:space="preserve">Finn RS, Qin S, Ikeda M, Zhu AX, Kim TY, Kudo M, Breder V, Merle P, Kaseb A, Li D, Mulla S, Verret W, Xu DZ, Hernandez S, Ding B, Liu J, Huang C, Lim HY, Cheng AL, Ducreux M. Patient-reported outcomes with atezolizumab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 unresectable hepatocellular carcinoma (IMbrave150): an open-label, randomised, phase 3 trial. </w:t>
      </w:r>
      <w:r w:rsidRPr="005F4451">
        <w:rPr>
          <w:rFonts w:ascii="Book Antiqua" w:eastAsia="Book Antiqua" w:hAnsi="Book Antiqua" w:cs="Book Antiqua"/>
          <w:i/>
          <w:color w:val="000000"/>
        </w:rPr>
        <w:t>Lancet Oncol</w:t>
      </w:r>
      <w:r>
        <w:rPr>
          <w:rFonts w:ascii="Book Antiqua" w:eastAsia="Book Antiqua" w:hAnsi="Book Antiqua" w:cs="Book Antiqua"/>
          <w:color w:val="000000"/>
        </w:rPr>
        <w:t xml:space="preserve"> 2021</w:t>
      </w:r>
      <w:r w:rsidR="005F4451">
        <w:rPr>
          <w:rFonts w:ascii="Book Antiqua" w:hAnsi="Book Antiqua" w:cs="Book Antiqua" w:hint="eastAsia"/>
          <w:color w:val="000000"/>
          <w:lang w:eastAsia="zh-CN"/>
        </w:rPr>
        <w:t xml:space="preserve">; </w:t>
      </w:r>
      <w:r w:rsidR="005F4451" w:rsidRPr="005F4451">
        <w:rPr>
          <w:rFonts w:ascii="Book Antiqua" w:hAnsi="Book Antiqua" w:cs="Book Antiqua" w:hint="eastAsia"/>
          <w:b/>
          <w:color w:val="000000"/>
          <w:lang w:eastAsia="zh-CN"/>
        </w:rPr>
        <w:t>22</w:t>
      </w:r>
      <w:r w:rsidR="005F4451">
        <w:rPr>
          <w:rFonts w:ascii="Book Antiqua" w:hAnsi="Book Antiqua" w:cs="Book Antiqua" w:hint="eastAsia"/>
          <w:color w:val="000000"/>
          <w:lang w:eastAsia="zh-CN"/>
        </w:rPr>
        <w:t>:</w:t>
      </w:r>
      <w:r w:rsidR="005F4451" w:rsidRPr="005F4451">
        <w:t xml:space="preserve"> </w:t>
      </w:r>
      <w:r w:rsidR="005F4451" w:rsidRPr="005F4451">
        <w:rPr>
          <w:rFonts w:ascii="Book Antiqua" w:hAnsi="Book Antiqua" w:cs="Book Antiqua"/>
          <w:color w:val="000000"/>
          <w:lang w:eastAsia="zh-CN"/>
        </w:rPr>
        <w:t>991-1001</w:t>
      </w:r>
      <w:r>
        <w:rPr>
          <w:rFonts w:ascii="Book Antiqua" w:eastAsia="Book Antiqua" w:hAnsi="Book Antiqua" w:cs="Book Antiqua"/>
          <w:color w:val="000000"/>
        </w:rPr>
        <w:t xml:space="preserve"> [DOI:</w:t>
      </w:r>
      <w:r w:rsidR="005F4451">
        <w:rPr>
          <w:rFonts w:ascii="Book Antiqua" w:hAnsi="Book Antiqua" w:cs="Book Antiqua" w:hint="eastAsia"/>
          <w:color w:val="000000"/>
          <w:lang w:eastAsia="zh-CN"/>
        </w:rPr>
        <w:t xml:space="preserve"> </w:t>
      </w:r>
      <w:r>
        <w:rPr>
          <w:rFonts w:ascii="Book Antiqua" w:eastAsia="Book Antiqua" w:hAnsi="Book Antiqua" w:cs="Book Antiqua"/>
          <w:color w:val="000000"/>
        </w:rPr>
        <w:t>10.1016/s1470-2045(21)00151-0]</w:t>
      </w:r>
    </w:p>
    <w:p w14:paraId="6A59FE04" w14:textId="77777777" w:rsidR="00A77B3E" w:rsidRDefault="00BC1DB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Eipel C</w:t>
      </w:r>
      <w:r>
        <w:rPr>
          <w:rFonts w:ascii="Book Antiqua" w:eastAsia="Book Antiqua" w:hAnsi="Book Antiqua" w:cs="Book Antiqua"/>
          <w:color w:val="000000"/>
        </w:rPr>
        <w:t xml:space="preserve">, Abshagen K, Vollmar B. Regulation of hepatic blood flow: the hepatic arterial buffer response revisited.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6046-6057 [PMID: 21182219 DOI: 10.3748/wjg.v16.i48.6046]</w:t>
      </w:r>
    </w:p>
    <w:p w14:paraId="1972DC36" w14:textId="77777777" w:rsidR="00A77B3E" w:rsidRDefault="00BC1DB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Cardarelli-Leite L</w:t>
      </w:r>
      <w:r>
        <w:rPr>
          <w:rFonts w:ascii="Book Antiqua" w:eastAsia="Book Antiqua" w:hAnsi="Book Antiqua" w:cs="Book Antiqua"/>
          <w:color w:val="000000"/>
        </w:rPr>
        <w:t xml:space="preserve">, Hadjivassiliou A, Klass D, Chung J, Ho SGF, Lim HJ, Kim PTW, Mujoomdar A, Liu DM. Current locoregional therapies and treatment strategies in </w:t>
      </w:r>
      <w:r>
        <w:rPr>
          <w:rFonts w:ascii="Book Antiqua" w:eastAsia="Book Antiqua" w:hAnsi="Book Antiqua" w:cs="Book Antiqua"/>
          <w:color w:val="000000"/>
        </w:rPr>
        <w:lastRenderedPageBreak/>
        <w:t xml:space="preserve">hepatocellular carcinoma. </w:t>
      </w:r>
      <w:r>
        <w:rPr>
          <w:rFonts w:ascii="Book Antiqua" w:eastAsia="Book Antiqua" w:hAnsi="Book Antiqua" w:cs="Book Antiqua"/>
          <w:i/>
          <w:iCs/>
          <w:color w:val="000000"/>
        </w:rPr>
        <w:t>Curr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S144-S151 [PMID: 33343208 DOI: 10.3747/co.27.7171]</w:t>
      </w:r>
    </w:p>
    <w:p w14:paraId="6676C7A6" w14:textId="77777777" w:rsidR="00A77B3E" w:rsidRDefault="00BC1DB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Han G</w:t>
      </w:r>
      <w:r>
        <w:rPr>
          <w:rFonts w:ascii="Book Antiqua" w:eastAsia="Book Antiqua" w:hAnsi="Book Antiqua" w:cs="Book Antiqua"/>
          <w:color w:val="000000"/>
        </w:rPr>
        <w:t xml:space="preserve">, Berhane S, Toyoda H, Bettinger D, Elshaarawy O, Chan AWH, Kirstein M, Mosconi C, Hucke F, Palmer D, Pinato DJ, Sharma R, Ottaviani D, Jang JW, Labeur TA, van Delden OM, Pirisi M, Stern N, Sangro B, Meyer T, Fateen W, García-Fiñana M, Gomaa A, Waked I, Rewisha E, Aithal GP, Travis S, Kudo M, Cucchetti A, Peck-Radosavljevic M, Takkenberg RB, Chan SL, Vogel A, Johnson PJ. Prediction of Survival Among Patients Receiving Transarterial Chemoembolization for Hepatocellular Carcinoma: A Response-Based Approach.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198-212 [PMID: 31698504 DOI: 10.1002/hep.31022]</w:t>
      </w:r>
    </w:p>
    <w:p w14:paraId="75D628CE" w14:textId="77777777" w:rsidR="00A77B3E" w:rsidRDefault="00BC1DB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Miksad RA</w:t>
      </w:r>
      <w:r>
        <w:rPr>
          <w:rFonts w:ascii="Book Antiqua" w:eastAsia="Book Antiqua" w:hAnsi="Book Antiqua" w:cs="Book Antiqua"/>
          <w:color w:val="000000"/>
        </w:rPr>
        <w:t xml:space="preserve">, Ogasawara S, Xia F, Fellous M, Piscaglia F. Liver function changes after transarterial chemoembolization in US hepatocellular carcinoma patients: the LiverT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795 [PMID: 31409405 DOI: 10.1186/s12885-019-5989-2]</w:t>
      </w:r>
    </w:p>
    <w:p w14:paraId="33E8708E" w14:textId="77777777" w:rsidR="00A77B3E" w:rsidRDefault="00BC1DB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Choi J</w:t>
      </w:r>
      <w:r>
        <w:rPr>
          <w:rFonts w:ascii="Book Antiqua" w:eastAsia="Book Antiqua" w:hAnsi="Book Antiqua" w:cs="Book Antiqua"/>
          <w:color w:val="000000"/>
        </w:rPr>
        <w:t xml:space="preserve">, Lee D, Shim JH, Kim KM, Lim YS, Lee YS, Lee HC. Evaluation of transarterial chemoembolization refractoriness in patients with hepatocellular 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e0229696 [PMID: 32130270 DOI: 10.1371/journal.pone.0229696]</w:t>
      </w:r>
    </w:p>
    <w:p w14:paraId="7732CC07" w14:textId="77777777" w:rsidR="00A77B3E" w:rsidRDefault="00BC1DB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Sonbol MB</w:t>
      </w:r>
      <w:r>
        <w:rPr>
          <w:rFonts w:ascii="Book Antiqua" w:eastAsia="Book Antiqua" w:hAnsi="Book Antiqua" w:cs="Book Antiqua"/>
          <w:color w:val="000000"/>
        </w:rPr>
        <w:t xml:space="preserve">, Riaz IB, Naqvi SAA, Almquist DR, Mina S, Almasri J, Shah S, Almader-Douglas D, Uson Junior PLS, Mahipal A, Ma WW, Jin Z, Mody K, Starr J, Borad MJ, Ahn DH, Murad MH, Bekaii-Saab T. Systemic Therapy and Sequencing Options in Advanced Hepatocellular Carcinoma: A Systematic Review and Network Meta-analysis.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e204930 [PMID: 33090186 DOI: 10.1001/jamaoncol.2020.4930]</w:t>
      </w:r>
    </w:p>
    <w:p w14:paraId="72CA1D94" w14:textId="77777777" w:rsidR="00A77B3E" w:rsidRDefault="00BC1DB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Toom S, Avula A, Kumar V, Rahma OE. The Immune Modulation Effect of Locoregional Therapies and Its Potential Synergy with Immunotherapy in Hepatocellular Carcinoma.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11-17 [PMID: 32104669 DOI: 10.2147/JHC.S187121]</w:t>
      </w:r>
    </w:p>
    <w:p w14:paraId="4EDDAC7A" w14:textId="77777777" w:rsidR="00A77B3E" w:rsidRDefault="00BC1DB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B</w:t>
      </w:r>
      <w:r>
        <w:rPr>
          <w:rFonts w:ascii="Book Antiqua" w:eastAsia="Book Antiqua" w:hAnsi="Book Antiqua" w:cs="Book Antiqua"/>
          <w:color w:val="000000"/>
        </w:rPr>
        <w:t xml:space="preserve">, Xu H, Gao ZQ, Ning HF, Sun YQ, Cao GW. Increased expression of vascular endothelial growth factor in hepatocellular carcinoma after transcatheter arterial chemoembolization.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523-529 [PMID: 18568538 DOI: 10.1080/02841850801958890]</w:t>
      </w:r>
    </w:p>
    <w:p w14:paraId="292EABF3" w14:textId="77777777" w:rsidR="00A77B3E" w:rsidRDefault="00BC1DBA">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Zucman-Rossi J, Pikarsky E, Sangro B, Schwartz M, Sherman M, Gores G. Hepatocellular 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16018 [PMID: 27158749 DOI: 10.1038/nrdp.2016.18]</w:t>
      </w:r>
    </w:p>
    <w:p w14:paraId="7E8744C4" w14:textId="77777777" w:rsidR="00A77B3E" w:rsidRDefault="00BC1DB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Brown ZJ</w:t>
      </w:r>
      <w:r>
        <w:rPr>
          <w:rFonts w:ascii="Book Antiqua" w:eastAsia="Book Antiqua" w:hAnsi="Book Antiqua" w:cs="Book Antiqua"/>
          <w:color w:val="000000"/>
        </w:rPr>
        <w:t xml:space="preserve">, Greten TF, Heinrich B. Adjuvant Treatment of Hepatocellular Carcinoma: Prospect of Immunotherapy.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1437-1442 [PMID: 30927283 DOI: 10.1002/hep.30633]</w:t>
      </w:r>
    </w:p>
    <w:p w14:paraId="26661BF3" w14:textId="77777777" w:rsidR="00A77B3E" w:rsidRDefault="00BC1DB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Piñero F</w:t>
      </w:r>
      <w:r>
        <w:rPr>
          <w:rFonts w:ascii="Book Antiqua" w:eastAsia="Book Antiqua" w:hAnsi="Book Antiqua" w:cs="Book Antiqua"/>
          <w:color w:val="000000"/>
        </w:rPr>
        <w:t xml:space="preserve">, Dirchwolf M, Pessôa MG. Biomarkers in Hepatocellular Carcinoma: Diagnosis, Prognosis and Treatment Response Assessment.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32492896 DOI: 10.3390/cells9061370]</w:t>
      </w:r>
    </w:p>
    <w:p w14:paraId="364AFFC9" w14:textId="77777777" w:rsidR="00A77B3E" w:rsidRDefault="00BC1DB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Anstee QM</w:t>
      </w:r>
      <w:r>
        <w:rPr>
          <w:rFonts w:ascii="Book Antiqua" w:eastAsia="Book Antiqua" w:hAnsi="Book Antiqua" w:cs="Book Antiqua"/>
          <w:color w:val="000000"/>
        </w:rPr>
        <w:t xml:space="preserve">, Reeves HL, Kotsiliti E, Govaere O, Heikenwalder M. From NASH to HCC: current concepts and future challenges.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411-428 [PMID: 31028350 DOI: 10.1038/s41575-019-0145-7]</w:t>
      </w:r>
    </w:p>
    <w:p w14:paraId="764398EF" w14:textId="77777777" w:rsidR="00A77B3E" w:rsidRDefault="00BC1DB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 C</w:t>
      </w:r>
      <w:r>
        <w:rPr>
          <w:rFonts w:ascii="Book Antiqua" w:eastAsia="Book Antiqua" w:hAnsi="Book Antiqua" w:cs="Book Antiqua"/>
          <w:color w:val="000000"/>
        </w:rPr>
        <w:t xml:space="preserve">, Kesarwala AH, Eggert T, Medina-Echeverz J, Kleiner DE, Jin P, Stroncek DF, Terabe M, Kapoor V, ElGindi M, Han M, Thornton AM, Zhang H, Egger M, Luo J, Felsher DW, McVicar DW, Weber A, Heikenwalder M, Greten TF. NAFLD causes selective CD4(+) T lymphocyte loss and promotes hepatocarcinogenesis.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253-257 [PMID: 26934227 DOI: 10.1038/nature16969]</w:t>
      </w:r>
    </w:p>
    <w:p w14:paraId="1A4EFDA4" w14:textId="77777777" w:rsidR="00A77B3E" w:rsidRDefault="00BC1DB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636536F2" w14:textId="77777777" w:rsidR="00A77B3E" w:rsidRDefault="00BC1DB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Pinter M</w:t>
      </w:r>
      <w:r>
        <w:rPr>
          <w:rFonts w:ascii="Book Antiqua" w:eastAsia="Book Antiqua" w:hAnsi="Book Antiqua" w:cs="Book Antiqua"/>
          <w:color w:val="000000"/>
        </w:rPr>
        <w:t xml:space="preserve">, Scheiner B, Peck-Radosavljevic M. Immunotherapy for advanced hepatocellular carcinoma: a focus on special subgroups.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204-214 [PMID: 32747413 DOI: 10.1136/gutjnl-2020-321702]</w:t>
      </w:r>
    </w:p>
    <w:p w14:paraId="3CF9CEDC" w14:textId="77777777" w:rsidR="00A77B3E" w:rsidRDefault="00BC1DB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Meriggi F</w:t>
      </w:r>
      <w:r>
        <w:rPr>
          <w:rFonts w:ascii="Book Antiqua" w:eastAsia="Book Antiqua" w:hAnsi="Book Antiqua" w:cs="Book Antiqua"/>
          <w:color w:val="000000"/>
        </w:rPr>
        <w:t xml:space="preserve">, Graffeo M. Clinical Characterisation and Management of the Main Treatment-Induced Toxicities in Patients with Hepatocellular Carcinoma and Cirrhosis.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33540870 DOI: 10.3390/cancers13030584]</w:t>
      </w:r>
    </w:p>
    <w:p w14:paraId="5681ABCE" w14:textId="77777777" w:rsidR="00A77B3E" w:rsidRDefault="00BC1DB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Tovoli F</w:t>
      </w:r>
      <w:r>
        <w:rPr>
          <w:rFonts w:ascii="Book Antiqua" w:eastAsia="Book Antiqua" w:hAnsi="Book Antiqua" w:cs="Book Antiqua"/>
          <w:color w:val="000000"/>
        </w:rPr>
        <w:t xml:space="preserve">, De Lorenzo S, Trevisani F. Immunotherapy with Checkpoint Inhibitors for Hepatocellular Carcinoma: Where Are We Now?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33023131 DOI: 10.3390/vaccines8040578]</w:t>
      </w:r>
    </w:p>
    <w:p w14:paraId="47A8EE87" w14:textId="77777777" w:rsidR="00A77B3E" w:rsidRDefault="00BC1DB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Kambhampati S</w:t>
      </w:r>
      <w:r>
        <w:rPr>
          <w:rFonts w:ascii="Book Antiqua" w:eastAsia="Book Antiqua" w:hAnsi="Book Antiqua" w:cs="Book Antiqua"/>
          <w:color w:val="000000"/>
        </w:rPr>
        <w:t xml:space="preserve">, Bauer KE, Bracci PM, Keenan BP, Behr SC, Gordan JD, Kelley RK. Nivolumab in patients with advanced hepatocellular carcinoma and Child-Pugh class B cirrhosis: Safety and clinical outcomes in a retrospective case series.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3234-3241 [PMID: 31154669 DOI: 10.1002/cncr.32206]</w:t>
      </w:r>
    </w:p>
    <w:p w14:paraId="36D39213" w14:textId="77777777" w:rsidR="00A77B3E" w:rsidRDefault="00BC1DB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 X, He X, Xu Y, Wang X. Complete response to the combination of Lenvatinib and Pembrolizumab in an advanced hepatocellular carcinoma patient: a case report.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1062 [PMID: 31703571 DOI: 10.1186/s12885-019-6287-8]</w:t>
      </w:r>
    </w:p>
    <w:p w14:paraId="6D97C55B" w14:textId="77777777" w:rsidR="00A77B3E" w:rsidRDefault="00BC1DB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Patrinely JR Jr</w:t>
      </w:r>
      <w:r>
        <w:rPr>
          <w:rFonts w:ascii="Book Antiqua" w:eastAsia="Book Antiqua" w:hAnsi="Book Antiqua" w:cs="Book Antiqua"/>
          <w:color w:val="000000"/>
        </w:rPr>
        <w:t xml:space="preserve">, McGuigan B, Chandra S, Fenton SE, Chowdhary A, Kennedy LB, Mooradian MJ, Palmeri M, Portal D, Horst SN, Scoville EA, Long GV, Shi C, Mehnert JM, Sullivan RJ, Salama AK, Sosman JA, Menzies AM, Johnson DB. A multicenter characterization of hepatitis associated with immune checkpoint inhibitors.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1875639 [PMID: 33628621 DOI: 10.1080/2162402X.2021.1875639]</w:t>
      </w:r>
    </w:p>
    <w:p w14:paraId="727B27D2" w14:textId="77777777" w:rsidR="00A77B3E" w:rsidRDefault="00BC1DB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Rimassa L</w:t>
      </w:r>
      <w:r>
        <w:rPr>
          <w:rFonts w:ascii="Book Antiqua" w:eastAsia="Book Antiqua" w:hAnsi="Book Antiqua" w:cs="Book Antiqua"/>
          <w:color w:val="000000"/>
        </w:rPr>
        <w:t xml:space="preserve">, Personeni N, Czauderna C, Foerster F, Galle P. Systemic treatment of HCC in special populations.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931-943 [PMID: 33248171 DOI: 10.1016/j.jhep.2020.11.026]</w:t>
      </w:r>
    </w:p>
    <w:p w14:paraId="79B3958D" w14:textId="77777777" w:rsidR="00A77B3E" w:rsidRDefault="00BC1DB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Martinelli E; ESMO Guidelines Committee. Electronic address: clinicalguidelines@esmo.org; ESMO Guidelines Committee. Updated treatment recommendations for hepatocellular carcinoma (HCC) from the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801-805 [PMID: 33716105 DOI: 10.1016/j.annonc.2021.02.014]</w:t>
      </w:r>
    </w:p>
    <w:p w14:paraId="797D4292" w14:textId="77777777" w:rsidR="00A77B3E" w:rsidRDefault="00BC1DB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w:t>
      </w:r>
      <w:r>
        <w:rPr>
          <w:rFonts w:ascii="Book Antiqua" w:eastAsia="Book Antiqua" w:hAnsi="Book Antiqua" w:cs="Book Antiqua"/>
          <w:color w:val="000000"/>
        </w:rPr>
        <w:lastRenderedPageBreak/>
        <w:t xml:space="preserve">NCCN Clinical Practice Guidelines in Oncology.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541-565 [PMID: 34030131]</w:t>
      </w:r>
    </w:p>
    <w:bookmarkEnd w:id="5"/>
    <w:p w14:paraId="556FE11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01AE12F" w14:textId="77777777" w:rsidR="00A77B3E" w:rsidRDefault="00BC1DBA">
      <w:pPr>
        <w:spacing w:line="360" w:lineRule="auto"/>
        <w:jc w:val="both"/>
      </w:pPr>
      <w:r>
        <w:rPr>
          <w:rFonts w:ascii="Book Antiqua" w:eastAsia="Book Antiqua" w:hAnsi="Book Antiqua" w:cs="Book Antiqua"/>
          <w:b/>
          <w:color w:val="000000"/>
        </w:rPr>
        <w:lastRenderedPageBreak/>
        <w:t>Footnotes</w:t>
      </w:r>
    </w:p>
    <w:p w14:paraId="623D99E5" w14:textId="77777777" w:rsidR="00A77B3E" w:rsidRPr="00747430" w:rsidRDefault="00BC1DBA">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report any conflict-of-interest.</w:t>
      </w:r>
    </w:p>
    <w:p w14:paraId="7045CD84" w14:textId="77777777" w:rsidR="00A77B3E" w:rsidRDefault="00A77B3E">
      <w:pPr>
        <w:spacing w:line="360" w:lineRule="auto"/>
        <w:jc w:val="both"/>
      </w:pPr>
    </w:p>
    <w:p w14:paraId="40EA2D4D" w14:textId="77777777" w:rsidR="00A77B3E" w:rsidRDefault="00BC1DB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D8AF9F" w14:textId="77777777" w:rsidR="00A77B3E" w:rsidRDefault="00A77B3E">
      <w:pPr>
        <w:spacing w:line="360" w:lineRule="auto"/>
        <w:jc w:val="both"/>
      </w:pPr>
    </w:p>
    <w:p w14:paraId="7DD65FFE" w14:textId="77777777" w:rsidR="00A77B3E" w:rsidRDefault="00BC1DB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F445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42D8F95" w14:textId="77777777" w:rsidR="00A77B3E" w:rsidRDefault="00A77B3E">
      <w:pPr>
        <w:spacing w:line="360" w:lineRule="auto"/>
        <w:jc w:val="both"/>
      </w:pPr>
    </w:p>
    <w:p w14:paraId="02EA07CC" w14:textId="77777777" w:rsidR="00A77B3E" w:rsidRDefault="00BC1DB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6739C738" w14:textId="77777777" w:rsidR="00A77B3E" w:rsidRDefault="00BC1DB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2E9C8C55" w14:textId="77777777" w:rsidR="00A77B3E" w:rsidRDefault="00BC1DBA">
      <w:pPr>
        <w:spacing w:line="360" w:lineRule="auto"/>
        <w:jc w:val="both"/>
      </w:pPr>
      <w:r>
        <w:rPr>
          <w:rFonts w:ascii="Book Antiqua" w:eastAsia="Book Antiqua" w:hAnsi="Book Antiqua" w:cs="Book Antiqua"/>
          <w:b/>
          <w:color w:val="000000"/>
        </w:rPr>
        <w:t xml:space="preserve">Article in press: </w:t>
      </w:r>
    </w:p>
    <w:p w14:paraId="46C07351" w14:textId="77777777" w:rsidR="00A77B3E" w:rsidRDefault="00A77B3E">
      <w:pPr>
        <w:spacing w:line="360" w:lineRule="auto"/>
        <w:jc w:val="both"/>
      </w:pPr>
    </w:p>
    <w:p w14:paraId="6014CD7B" w14:textId="77777777" w:rsidR="00A77B3E" w:rsidRDefault="00BC1DBA">
      <w:pPr>
        <w:spacing w:line="360" w:lineRule="auto"/>
        <w:jc w:val="both"/>
      </w:pPr>
      <w:r>
        <w:rPr>
          <w:rFonts w:ascii="Book Antiqua" w:eastAsia="Book Antiqua" w:hAnsi="Book Antiqua" w:cs="Book Antiqua"/>
          <w:b/>
          <w:color w:val="000000"/>
        </w:rPr>
        <w:t xml:space="preserve">Specialty type: </w:t>
      </w:r>
      <w:r w:rsidR="005F4451" w:rsidRPr="00E700C2">
        <w:rPr>
          <w:rFonts w:ascii="Book Antiqua" w:eastAsia="微软雅黑" w:hAnsi="Book Antiqua" w:cs="宋体"/>
        </w:rPr>
        <w:t>Gastroenterology and hepatology</w:t>
      </w:r>
    </w:p>
    <w:p w14:paraId="191BC678" w14:textId="77777777" w:rsidR="00A77B3E" w:rsidRDefault="00BC1DB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5999BAD1" w14:textId="77777777" w:rsidR="00A77B3E" w:rsidRDefault="00BC1DBA">
      <w:pPr>
        <w:spacing w:line="360" w:lineRule="auto"/>
        <w:jc w:val="both"/>
      </w:pPr>
      <w:r>
        <w:rPr>
          <w:rFonts w:ascii="Book Antiqua" w:eastAsia="Book Antiqua" w:hAnsi="Book Antiqua" w:cs="Book Antiqua"/>
          <w:b/>
          <w:color w:val="000000"/>
        </w:rPr>
        <w:t>Peer-review report’s scientific quality classification</w:t>
      </w:r>
    </w:p>
    <w:p w14:paraId="79A0B9DE" w14:textId="77777777" w:rsidR="00A77B3E" w:rsidRDefault="00BC1DBA">
      <w:pPr>
        <w:spacing w:line="360" w:lineRule="auto"/>
        <w:jc w:val="both"/>
      </w:pPr>
      <w:r>
        <w:rPr>
          <w:rFonts w:ascii="Book Antiqua" w:eastAsia="Book Antiqua" w:hAnsi="Book Antiqua" w:cs="Book Antiqua"/>
          <w:color w:val="000000"/>
        </w:rPr>
        <w:t>Grade A (Excellent): 0</w:t>
      </w:r>
    </w:p>
    <w:p w14:paraId="2607609A" w14:textId="77777777" w:rsidR="00A77B3E" w:rsidRDefault="00BC1DBA">
      <w:pPr>
        <w:spacing w:line="360" w:lineRule="auto"/>
        <w:jc w:val="both"/>
      </w:pPr>
      <w:r>
        <w:rPr>
          <w:rFonts w:ascii="Book Antiqua" w:eastAsia="Book Antiqua" w:hAnsi="Book Antiqua" w:cs="Book Antiqua"/>
          <w:color w:val="000000"/>
        </w:rPr>
        <w:t>Grade B (Very good): 0</w:t>
      </w:r>
    </w:p>
    <w:p w14:paraId="0411BD9B" w14:textId="77777777" w:rsidR="00A77B3E" w:rsidRDefault="00BC1DBA">
      <w:pPr>
        <w:spacing w:line="360" w:lineRule="auto"/>
        <w:jc w:val="both"/>
      </w:pPr>
      <w:r>
        <w:rPr>
          <w:rFonts w:ascii="Book Antiqua" w:eastAsia="Book Antiqua" w:hAnsi="Book Antiqua" w:cs="Book Antiqua"/>
          <w:color w:val="000000"/>
        </w:rPr>
        <w:t>Grade C (Good): C</w:t>
      </w:r>
    </w:p>
    <w:p w14:paraId="37A385A0" w14:textId="77777777" w:rsidR="00A77B3E" w:rsidRDefault="00BC1DBA">
      <w:pPr>
        <w:spacing w:line="360" w:lineRule="auto"/>
        <w:jc w:val="both"/>
      </w:pPr>
      <w:r>
        <w:rPr>
          <w:rFonts w:ascii="Book Antiqua" w:eastAsia="Book Antiqua" w:hAnsi="Book Antiqua" w:cs="Book Antiqua"/>
          <w:color w:val="000000"/>
        </w:rPr>
        <w:t>Grade D (Fair): 0</w:t>
      </w:r>
    </w:p>
    <w:p w14:paraId="174A2C4F" w14:textId="77777777" w:rsidR="00A77B3E" w:rsidRDefault="00BC1DBA">
      <w:pPr>
        <w:spacing w:line="360" w:lineRule="auto"/>
        <w:jc w:val="both"/>
      </w:pPr>
      <w:r>
        <w:rPr>
          <w:rFonts w:ascii="Book Antiqua" w:eastAsia="Book Antiqua" w:hAnsi="Book Antiqua" w:cs="Book Antiqua"/>
          <w:color w:val="000000"/>
        </w:rPr>
        <w:t>Grade E (Poor): 0</w:t>
      </w:r>
    </w:p>
    <w:p w14:paraId="13929CBB" w14:textId="77777777" w:rsidR="00A77B3E" w:rsidRDefault="00A77B3E">
      <w:pPr>
        <w:spacing w:line="360" w:lineRule="auto"/>
        <w:jc w:val="both"/>
      </w:pPr>
    </w:p>
    <w:p w14:paraId="7A937717" w14:textId="77777777" w:rsidR="00747430" w:rsidRDefault="00BC1DB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Kwee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3538769" w14:textId="3A9D87CA" w:rsidR="008D4A10" w:rsidRPr="008D4A10" w:rsidRDefault="00747430" w:rsidP="008D4A10">
      <w:pPr>
        <w:spacing w:line="360" w:lineRule="auto"/>
        <w:jc w:val="both"/>
        <w:rPr>
          <w:iCs/>
        </w:rPr>
      </w:pPr>
      <w:r>
        <w:rPr>
          <w:rFonts w:ascii="Book Antiqua" w:eastAsia="Book Antiqua" w:hAnsi="Book Antiqua" w:cs="Book Antiqua"/>
          <w:b/>
          <w:color w:val="000000"/>
        </w:rPr>
        <w:br w:type="page"/>
      </w:r>
      <w:r w:rsidRPr="00747430">
        <w:rPr>
          <w:rFonts w:ascii="Book Antiqua" w:eastAsia="Book Antiqua" w:hAnsi="Book Antiqua" w:cs="Book Antiqua"/>
          <w:b/>
          <w:color w:val="000000"/>
        </w:rPr>
        <w:lastRenderedPageBreak/>
        <w:t>Table 1</w:t>
      </w:r>
      <w:r w:rsidR="008D4A10">
        <w:rPr>
          <w:rFonts w:ascii="Book Antiqua" w:eastAsia="Book Antiqua" w:hAnsi="Book Antiqua" w:cs="Book Antiqua"/>
          <w:b/>
          <w:color w:val="000000"/>
        </w:rPr>
        <w:t xml:space="preserve"> Results of </w:t>
      </w:r>
      <w:r w:rsidR="00C5487F">
        <w:rPr>
          <w:rFonts w:ascii="Book Antiqua" w:hAnsi="Book Antiqua" w:cs="Book Antiqua" w:hint="eastAsia"/>
          <w:b/>
          <w:bCs/>
          <w:iCs/>
          <w:color w:val="000000"/>
          <w:lang w:eastAsia="zh-CN"/>
        </w:rPr>
        <w:t>p</w:t>
      </w:r>
      <w:r w:rsidR="008D4A10" w:rsidRPr="00C5487F">
        <w:rPr>
          <w:rFonts w:ascii="Book Antiqua" w:eastAsia="Book Antiqua" w:hAnsi="Book Antiqua" w:cs="Book Antiqua"/>
          <w:b/>
          <w:bCs/>
          <w:iCs/>
          <w:color w:val="000000"/>
        </w:rPr>
        <w:t>hase Ib GO30140 study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747430" w:rsidRPr="00747430" w14:paraId="7186419C" w14:textId="77777777" w:rsidTr="00747430">
        <w:tc>
          <w:tcPr>
            <w:tcW w:w="2254" w:type="dxa"/>
            <w:tcBorders>
              <w:top w:val="single" w:sz="4" w:space="0" w:color="auto"/>
              <w:bottom w:val="single" w:sz="4" w:space="0" w:color="auto"/>
            </w:tcBorders>
            <w:shd w:val="clear" w:color="auto" w:fill="auto"/>
          </w:tcPr>
          <w:p w14:paraId="44AE4FA9" w14:textId="36183640" w:rsidR="00747430" w:rsidRPr="00747430" w:rsidRDefault="00747430" w:rsidP="00747430">
            <w:pPr>
              <w:spacing w:line="360" w:lineRule="auto"/>
              <w:jc w:val="both"/>
              <w:rPr>
                <w:rFonts w:ascii="Book Antiqua" w:hAnsi="Book Antiqua" w:cs="Times New Roman"/>
                <w:b/>
              </w:rPr>
            </w:pPr>
          </w:p>
        </w:tc>
        <w:tc>
          <w:tcPr>
            <w:tcW w:w="2254" w:type="dxa"/>
            <w:tcBorders>
              <w:top w:val="single" w:sz="4" w:space="0" w:color="auto"/>
              <w:bottom w:val="single" w:sz="4" w:space="0" w:color="auto"/>
            </w:tcBorders>
            <w:shd w:val="clear" w:color="auto" w:fill="auto"/>
          </w:tcPr>
          <w:p w14:paraId="6E32EE3E" w14:textId="77777777" w:rsidR="00747430" w:rsidRPr="00747430" w:rsidRDefault="00747430" w:rsidP="00747430">
            <w:pPr>
              <w:spacing w:line="360" w:lineRule="auto"/>
              <w:jc w:val="both"/>
              <w:rPr>
                <w:rFonts w:ascii="Book Antiqua" w:hAnsi="Book Antiqua" w:cs="Times New Roman"/>
                <w:b/>
                <w:lang w:eastAsia="zh-CN"/>
              </w:rPr>
            </w:pPr>
            <w:r w:rsidRPr="00747430">
              <w:rPr>
                <w:rFonts w:ascii="Book Antiqua" w:hAnsi="Book Antiqua" w:cs="Times New Roman"/>
                <w:b/>
              </w:rPr>
              <w:t>Arm A</w:t>
            </w:r>
          </w:p>
        </w:tc>
        <w:tc>
          <w:tcPr>
            <w:tcW w:w="4508" w:type="dxa"/>
            <w:gridSpan w:val="2"/>
            <w:tcBorders>
              <w:top w:val="single" w:sz="4" w:space="0" w:color="auto"/>
              <w:bottom w:val="single" w:sz="4" w:space="0" w:color="auto"/>
            </w:tcBorders>
            <w:shd w:val="clear" w:color="auto" w:fill="auto"/>
          </w:tcPr>
          <w:p w14:paraId="32EAB749" w14:textId="77777777" w:rsidR="00747430" w:rsidRPr="00747430" w:rsidRDefault="00747430" w:rsidP="00747430">
            <w:pPr>
              <w:spacing w:line="360" w:lineRule="auto"/>
              <w:jc w:val="both"/>
              <w:rPr>
                <w:rFonts w:ascii="Book Antiqua" w:hAnsi="Book Antiqua" w:cs="Times New Roman"/>
                <w:b/>
                <w:lang w:eastAsia="zh-CN"/>
              </w:rPr>
            </w:pPr>
            <w:r w:rsidRPr="00747430">
              <w:rPr>
                <w:rFonts w:ascii="Book Antiqua" w:hAnsi="Book Antiqua" w:cs="Times New Roman"/>
                <w:b/>
              </w:rPr>
              <w:t>Arm F</w:t>
            </w:r>
          </w:p>
        </w:tc>
      </w:tr>
      <w:tr w:rsidR="00747430" w:rsidRPr="00747430" w14:paraId="6E28A9DA" w14:textId="77777777" w:rsidTr="00747430">
        <w:tc>
          <w:tcPr>
            <w:tcW w:w="2254" w:type="dxa"/>
            <w:tcBorders>
              <w:top w:val="single" w:sz="4" w:space="0" w:color="auto"/>
              <w:bottom w:val="single" w:sz="4" w:space="0" w:color="auto"/>
            </w:tcBorders>
            <w:shd w:val="clear" w:color="auto" w:fill="auto"/>
          </w:tcPr>
          <w:p w14:paraId="468FF28F" w14:textId="77777777" w:rsidR="00747430" w:rsidRPr="00747430" w:rsidRDefault="00747430" w:rsidP="00747430">
            <w:pPr>
              <w:spacing w:line="360" w:lineRule="auto"/>
              <w:jc w:val="both"/>
              <w:rPr>
                <w:rFonts w:ascii="Book Antiqua" w:hAnsi="Book Antiqua" w:cs="Times New Roman"/>
                <w:b/>
              </w:rPr>
            </w:pPr>
          </w:p>
        </w:tc>
        <w:tc>
          <w:tcPr>
            <w:tcW w:w="2254" w:type="dxa"/>
            <w:tcBorders>
              <w:top w:val="single" w:sz="4" w:space="0" w:color="auto"/>
              <w:bottom w:val="single" w:sz="4" w:space="0" w:color="auto"/>
            </w:tcBorders>
            <w:shd w:val="clear" w:color="auto" w:fill="auto"/>
          </w:tcPr>
          <w:p w14:paraId="1B593F94" w14:textId="77777777" w:rsidR="00747430" w:rsidRPr="00747430" w:rsidRDefault="00747430" w:rsidP="00747430">
            <w:pPr>
              <w:spacing w:line="360" w:lineRule="auto"/>
              <w:jc w:val="both"/>
              <w:rPr>
                <w:rFonts w:ascii="Book Antiqua" w:hAnsi="Book Antiqua" w:cs="Times New Roman"/>
                <w:b/>
                <w:lang w:eastAsia="zh-CN"/>
              </w:rPr>
            </w:pPr>
            <w:r w:rsidRPr="00747430">
              <w:rPr>
                <w:rFonts w:ascii="Book Antiqua" w:hAnsi="Book Antiqua" w:cs="Times New Roman"/>
                <w:b/>
              </w:rPr>
              <w:t>Atezolizumab and bevacizumab combination (</w:t>
            </w:r>
            <w:r w:rsidRPr="00747430">
              <w:rPr>
                <w:rFonts w:ascii="Book Antiqua" w:hAnsi="Book Antiqua" w:cs="Times New Roman"/>
                <w:b/>
                <w:i/>
              </w:rPr>
              <w:t>n</w:t>
            </w:r>
            <w:r w:rsidRPr="00747430">
              <w:rPr>
                <w:rFonts w:ascii="Book Antiqua" w:hAnsi="Book Antiqua" w:cs="Times New Roman" w:hint="eastAsia"/>
                <w:b/>
                <w:lang w:eastAsia="zh-CN"/>
              </w:rPr>
              <w:t xml:space="preserve"> </w:t>
            </w:r>
            <w:r w:rsidRPr="00747430">
              <w:rPr>
                <w:rFonts w:ascii="Book Antiqua" w:hAnsi="Book Antiqua" w:cs="Times New Roman"/>
                <w:b/>
              </w:rPr>
              <w:t>=</w:t>
            </w:r>
            <w:r w:rsidRPr="00747430">
              <w:rPr>
                <w:rFonts w:ascii="Book Antiqua" w:hAnsi="Book Antiqua" w:cs="Times New Roman" w:hint="eastAsia"/>
                <w:b/>
                <w:lang w:eastAsia="zh-CN"/>
              </w:rPr>
              <w:t xml:space="preserve"> </w:t>
            </w:r>
            <w:r w:rsidRPr="00747430">
              <w:rPr>
                <w:rFonts w:ascii="Book Antiqua" w:hAnsi="Book Antiqua" w:cs="Times New Roman"/>
                <w:b/>
              </w:rPr>
              <w:t>104)</w:t>
            </w:r>
            <w:r w:rsidRPr="00747430">
              <w:rPr>
                <w:rFonts w:ascii="Book Antiqua" w:hAnsi="Book Antiqua" w:cs="Times New Roman" w:hint="eastAsia"/>
                <w:b/>
                <w:lang w:eastAsia="zh-CN"/>
              </w:rPr>
              <w:t>, m</w:t>
            </w:r>
            <w:r w:rsidRPr="00747430">
              <w:rPr>
                <w:rFonts w:ascii="Book Antiqua" w:hAnsi="Book Antiqua" w:cs="Times New Roman"/>
                <w:b/>
              </w:rPr>
              <w:t>edian follow up 12.4 mo</w:t>
            </w:r>
          </w:p>
        </w:tc>
        <w:tc>
          <w:tcPr>
            <w:tcW w:w="2254" w:type="dxa"/>
            <w:tcBorders>
              <w:top w:val="single" w:sz="4" w:space="0" w:color="auto"/>
              <w:bottom w:val="single" w:sz="4" w:space="0" w:color="auto"/>
            </w:tcBorders>
            <w:shd w:val="clear" w:color="auto" w:fill="auto"/>
          </w:tcPr>
          <w:p w14:paraId="49E8CC42" w14:textId="77777777" w:rsidR="00747430" w:rsidRPr="00747430" w:rsidRDefault="00747430" w:rsidP="00747430">
            <w:pPr>
              <w:spacing w:line="360" w:lineRule="auto"/>
              <w:jc w:val="both"/>
              <w:rPr>
                <w:rFonts w:ascii="Book Antiqua" w:hAnsi="Book Antiqua" w:cs="Times New Roman"/>
                <w:b/>
              </w:rPr>
            </w:pPr>
            <w:r w:rsidRPr="00747430">
              <w:rPr>
                <w:rFonts w:ascii="Book Antiqua" w:hAnsi="Book Antiqua" w:cs="Times New Roman"/>
                <w:b/>
              </w:rPr>
              <w:t>Atezolizumab and bevacizumab combination (</w:t>
            </w:r>
            <w:r w:rsidRPr="00747430">
              <w:rPr>
                <w:rFonts w:ascii="Book Antiqua" w:hAnsi="Book Antiqua" w:cs="Times New Roman"/>
                <w:b/>
                <w:i/>
              </w:rPr>
              <w:t>n</w:t>
            </w:r>
            <w:r w:rsidRPr="00747430">
              <w:rPr>
                <w:rFonts w:ascii="Book Antiqua" w:hAnsi="Book Antiqua" w:cs="Times New Roman" w:hint="eastAsia"/>
                <w:b/>
                <w:lang w:eastAsia="zh-CN"/>
              </w:rPr>
              <w:t xml:space="preserve"> </w:t>
            </w:r>
            <w:r w:rsidRPr="00747430">
              <w:rPr>
                <w:rFonts w:ascii="Book Antiqua" w:hAnsi="Book Antiqua" w:cs="Times New Roman"/>
                <w:b/>
              </w:rPr>
              <w:t>=</w:t>
            </w:r>
            <w:r w:rsidRPr="00747430">
              <w:rPr>
                <w:rFonts w:ascii="Book Antiqua" w:hAnsi="Book Antiqua" w:cs="Times New Roman" w:hint="eastAsia"/>
                <w:b/>
                <w:lang w:eastAsia="zh-CN"/>
              </w:rPr>
              <w:t xml:space="preserve"> </w:t>
            </w:r>
            <w:r w:rsidRPr="00747430">
              <w:rPr>
                <w:rFonts w:ascii="Book Antiqua" w:hAnsi="Book Antiqua" w:cs="Times New Roman"/>
                <w:b/>
              </w:rPr>
              <w:t>60)</w:t>
            </w:r>
            <w:r w:rsidRPr="00747430">
              <w:rPr>
                <w:rFonts w:ascii="Book Antiqua" w:hAnsi="Book Antiqua" w:cs="Times New Roman" w:hint="eastAsia"/>
                <w:b/>
                <w:lang w:eastAsia="zh-CN"/>
              </w:rPr>
              <w:t>, m</w:t>
            </w:r>
            <w:r w:rsidRPr="00747430">
              <w:rPr>
                <w:rFonts w:ascii="Book Antiqua" w:hAnsi="Book Antiqua" w:cs="Times New Roman"/>
                <w:b/>
              </w:rPr>
              <w:t>edian follow up 6.6 mo</w:t>
            </w:r>
          </w:p>
        </w:tc>
        <w:tc>
          <w:tcPr>
            <w:tcW w:w="2254" w:type="dxa"/>
            <w:tcBorders>
              <w:top w:val="single" w:sz="4" w:space="0" w:color="auto"/>
              <w:bottom w:val="single" w:sz="4" w:space="0" w:color="auto"/>
            </w:tcBorders>
            <w:shd w:val="clear" w:color="auto" w:fill="auto"/>
          </w:tcPr>
          <w:p w14:paraId="02F0E25D" w14:textId="77777777" w:rsidR="00747430" w:rsidRPr="00747430" w:rsidRDefault="00747430" w:rsidP="00747430">
            <w:pPr>
              <w:spacing w:line="360" w:lineRule="auto"/>
              <w:jc w:val="both"/>
              <w:rPr>
                <w:rFonts w:ascii="Book Antiqua" w:hAnsi="Book Antiqua" w:cs="Times New Roman"/>
                <w:b/>
                <w:lang w:eastAsia="zh-CN"/>
              </w:rPr>
            </w:pPr>
            <w:r w:rsidRPr="00747430">
              <w:rPr>
                <w:rFonts w:ascii="Book Antiqua" w:hAnsi="Book Antiqua" w:cs="Times New Roman"/>
                <w:b/>
              </w:rPr>
              <w:t>Atezolizumab monotherapy (</w:t>
            </w:r>
            <w:r w:rsidRPr="00747430">
              <w:rPr>
                <w:rFonts w:ascii="Book Antiqua" w:hAnsi="Book Antiqua" w:cs="Times New Roman"/>
                <w:b/>
                <w:i/>
              </w:rPr>
              <w:t>n</w:t>
            </w:r>
            <w:r w:rsidRPr="00747430">
              <w:rPr>
                <w:rFonts w:ascii="Book Antiqua" w:hAnsi="Book Antiqua" w:cs="Times New Roman" w:hint="eastAsia"/>
                <w:b/>
                <w:lang w:eastAsia="zh-CN"/>
              </w:rPr>
              <w:t xml:space="preserve"> </w:t>
            </w:r>
            <w:r w:rsidRPr="00747430">
              <w:rPr>
                <w:rFonts w:ascii="Book Antiqua" w:hAnsi="Book Antiqua" w:cs="Times New Roman"/>
                <w:b/>
              </w:rPr>
              <w:t>=</w:t>
            </w:r>
            <w:r w:rsidRPr="00747430">
              <w:rPr>
                <w:rFonts w:ascii="Book Antiqua" w:hAnsi="Book Antiqua" w:cs="Times New Roman" w:hint="eastAsia"/>
                <w:b/>
                <w:lang w:eastAsia="zh-CN"/>
              </w:rPr>
              <w:t xml:space="preserve"> </w:t>
            </w:r>
            <w:r w:rsidRPr="00747430">
              <w:rPr>
                <w:rFonts w:ascii="Book Antiqua" w:hAnsi="Book Antiqua" w:cs="Times New Roman"/>
                <w:b/>
              </w:rPr>
              <w:t>59)</w:t>
            </w:r>
            <w:r w:rsidRPr="00747430">
              <w:rPr>
                <w:rFonts w:ascii="Book Antiqua" w:hAnsi="Book Antiqua" w:cs="Times New Roman" w:hint="eastAsia"/>
                <w:b/>
                <w:lang w:eastAsia="zh-CN"/>
              </w:rPr>
              <w:t>, m</w:t>
            </w:r>
            <w:r w:rsidRPr="00747430">
              <w:rPr>
                <w:rFonts w:ascii="Book Antiqua" w:hAnsi="Book Antiqua" w:cs="Times New Roman"/>
                <w:b/>
              </w:rPr>
              <w:t>edian follow up 6.7 mo</w:t>
            </w:r>
          </w:p>
        </w:tc>
      </w:tr>
      <w:tr w:rsidR="00747430" w:rsidRPr="00747430" w14:paraId="1FA8DD84" w14:textId="77777777" w:rsidTr="00747430">
        <w:tc>
          <w:tcPr>
            <w:tcW w:w="2254" w:type="dxa"/>
            <w:tcBorders>
              <w:top w:val="single" w:sz="4" w:space="0" w:color="auto"/>
            </w:tcBorders>
            <w:shd w:val="clear" w:color="auto" w:fill="auto"/>
          </w:tcPr>
          <w:p w14:paraId="29090683"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ORR,</w:t>
            </w:r>
            <w:r>
              <w:rPr>
                <w:rFonts w:ascii="Book Antiqua" w:hAnsi="Book Antiqua" w:cs="Times New Roman" w:hint="eastAsia"/>
                <w:lang w:eastAsia="zh-CN"/>
              </w:rPr>
              <w:t xml:space="preserve"> </w:t>
            </w:r>
            <w:r w:rsidRPr="00747430">
              <w:rPr>
                <w:rFonts w:ascii="Book Antiqua" w:hAnsi="Book Antiqua" w:cs="Times New Roman"/>
                <w:i/>
              </w:rPr>
              <w:t>n</w:t>
            </w:r>
            <w:r w:rsidRPr="00747430">
              <w:rPr>
                <w:rFonts w:ascii="Book Antiqua" w:hAnsi="Book Antiqua" w:cs="Times New Roman"/>
              </w:rPr>
              <w:t xml:space="preserve"> (%)</w:t>
            </w:r>
          </w:p>
        </w:tc>
        <w:tc>
          <w:tcPr>
            <w:tcW w:w="2254" w:type="dxa"/>
            <w:tcBorders>
              <w:top w:val="single" w:sz="4" w:space="0" w:color="auto"/>
            </w:tcBorders>
            <w:shd w:val="clear" w:color="auto" w:fill="auto"/>
          </w:tcPr>
          <w:p w14:paraId="5A4B92CD" w14:textId="77777777" w:rsidR="00747430" w:rsidRPr="00747430" w:rsidRDefault="00747430" w:rsidP="00747430">
            <w:pPr>
              <w:spacing w:line="360" w:lineRule="auto"/>
              <w:jc w:val="both"/>
              <w:rPr>
                <w:rFonts w:ascii="Book Antiqua" w:hAnsi="Book Antiqua" w:cs="Times New Roman"/>
                <w:lang w:eastAsia="zh-CN"/>
              </w:rPr>
            </w:pPr>
            <w:r>
              <w:rPr>
                <w:rFonts w:ascii="Book Antiqua" w:hAnsi="Book Antiqua" w:cs="Times New Roman"/>
              </w:rPr>
              <w:t>37 (</w:t>
            </w:r>
            <w:r w:rsidRPr="00747430">
              <w:rPr>
                <w:rFonts w:ascii="Book Antiqua" w:hAnsi="Book Antiqua" w:cs="Times New Roman"/>
              </w:rPr>
              <w:t>36)</w:t>
            </w:r>
          </w:p>
        </w:tc>
        <w:tc>
          <w:tcPr>
            <w:tcW w:w="2254" w:type="dxa"/>
            <w:tcBorders>
              <w:top w:val="single" w:sz="4" w:space="0" w:color="auto"/>
            </w:tcBorders>
            <w:shd w:val="clear" w:color="auto" w:fill="auto"/>
          </w:tcPr>
          <w:p w14:paraId="204B99B1"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12 (20</w:t>
            </w:r>
            <w:r w:rsidRPr="00747430">
              <w:rPr>
                <w:rFonts w:ascii="Book Antiqua" w:hAnsi="Book Antiqua" w:cs="Times New Roman"/>
              </w:rPr>
              <w:t>)</w:t>
            </w:r>
          </w:p>
        </w:tc>
        <w:tc>
          <w:tcPr>
            <w:tcW w:w="2254" w:type="dxa"/>
            <w:tcBorders>
              <w:top w:val="single" w:sz="4" w:space="0" w:color="auto"/>
            </w:tcBorders>
            <w:shd w:val="clear" w:color="auto" w:fill="auto"/>
          </w:tcPr>
          <w:p w14:paraId="0F53DF44"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10 (17</w:t>
            </w:r>
            <w:r w:rsidRPr="00747430">
              <w:rPr>
                <w:rFonts w:ascii="Book Antiqua" w:hAnsi="Book Antiqua" w:cs="Times New Roman"/>
              </w:rPr>
              <w:t>)</w:t>
            </w:r>
          </w:p>
        </w:tc>
      </w:tr>
      <w:tr w:rsidR="00747430" w:rsidRPr="00747430" w14:paraId="0A3C0BD0" w14:textId="77777777" w:rsidTr="00747430">
        <w:tc>
          <w:tcPr>
            <w:tcW w:w="2254" w:type="dxa"/>
            <w:shd w:val="clear" w:color="auto" w:fill="auto"/>
          </w:tcPr>
          <w:p w14:paraId="2C46D211"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CR,</w:t>
            </w:r>
            <w:r>
              <w:rPr>
                <w:rFonts w:ascii="Book Antiqua" w:hAnsi="Book Antiqua" w:cs="Times New Roman" w:hint="eastAsia"/>
                <w:lang w:eastAsia="zh-CN"/>
              </w:rPr>
              <w:t xml:space="preserve"> </w:t>
            </w:r>
            <w:r w:rsidRPr="00747430">
              <w:rPr>
                <w:rFonts w:ascii="Book Antiqua" w:hAnsi="Book Antiqua" w:cs="Times New Roman"/>
                <w:i/>
              </w:rPr>
              <w:t>n</w:t>
            </w:r>
            <w:r>
              <w:rPr>
                <w:rFonts w:ascii="Book Antiqua" w:hAnsi="Book Antiqua" w:cs="Times New Roman" w:hint="eastAsia"/>
                <w:lang w:eastAsia="zh-CN"/>
              </w:rPr>
              <w:t xml:space="preserve"> </w:t>
            </w:r>
            <w:r w:rsidRPr="00747430">
              <w:rPr>
                <w:rFonts w:ascii="Book Antiqua" w:hAnsi="Book Antiqua" w:cs="Times New Roman"/>
              </w:rPr>
              <w:t>(%)</w:t>
            </w:r>
          </w:p>
        </w:tc>
        <w:tc>
          <w:tcPr>
            <w:tcW w:w="2254" w:type="dxa"/>
            <w:shd w:val="clear" w:color="auto" w:fill="auto"/>
          </w:tcPr>
          <w:p w14:paraId="33F5AA19"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12</w:t>
            </w:r>
            <w:r>
              <w:rPr>
                <w:rFonts w:ascii="Book Antiqua" w:hAnsi="Book Antiqua" w:cs="Times New Roman" w:hint="eastAsia"/>
                <w:lang w:eastAsia="zh-CN"/>
              </w:rPr>
              <w:t xml:space="preserve"> </w:t>
            </w:r>
            <w:r>
              <w:rPr>
                <w:rFonts w:ascii="Book Antiqua" w:hAnsi="Book Antiqua" w:cs="Times New Roman"/>
              </w:rPr>
              <w:t>(12</w:t>
            </w:r>
            <w:r w:rsidRPr="00747430">
              <w:rPr>
                <w:rFonts w:ascii="Book Antiqua" w:hAnsi="Book Antiqua" w:cs="Times New Roman"/>
              </w:rPr>
              <w:t>)</w:t>
            </w:r>
          </w:p>
        </w:tc>
        <w:tc>
          <w:tcPr>
            <w:tcW w:w="2254" w:type="dxa"/>
            <w:shd w:val="clear" w:color="auto" w:fill="auto"/>
          </w:tcPr>
          <w:p w14:paraId="728B4557"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1 (2</w:t>
            </w:r>
            <w:r w:rsidRPr="00747430">
              <w:rPr>
                <w:rFonts w:ascii="Book Antiqua" w:hAnsi="Book Antiqua" w:cs="Times New Roman"/>
              </w:rPr>
              <w:t>)</w:t>
            </w:r>
          </w:p>
        </w:tc>
        <w:tc>
          <w:tcPr>
            <w:tcW w:w="2254" w:type="dxa"/>
            <w:shd w:val="clear" w:color="auto" w:fill="auto"/>
          </w:tcPr>
          <w:p w14:paraId="63F006A6"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3 (5</w:t>
            </w:r>
            <w:r w:rsidRPr="00747430">
              <w:rPr>
                <w:rFonts w:ascii="Book Antiqua" w:hAnsi="Book Antiqua" w:cs="Times New Roman"/>
              </w:rPr>
              <w:t>)</w:t>
            </w:r>
          </w:p>
        </w:tc>
      </w:tr>
      <w:tr w:rsidR="00747430" w:rsidRPr="00747430" w14:paraId="219772BA" w14:textId="77777777" w:rsidTr="00747430">
        <w:tc>
          <w:tcPr>
            <w:tcW w:w="2254" w:type="dxa"/>
            <w:shd w:val="clear" w:color="auto" w:fill="auto"/>
          </w:tcPr>
          <w:p w14:paraId="3C9DE78E"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DCR,</w:t>
            </w:r>
            <w:r>
              <w:rPr>
                <w:rFonts w:ascii="Book Antiqua" w:hAnsi="Book Antiqua" w:cs="Times New Roman" w:hint="eastAsia"/>
                <w:lang w:eastAsia="zh-CN"/>
              </w:rPr>
              <w:t xml:space="preserve"> </w:t>
            </w:r>
            <w:r w:rsidRPr="00747430">
              <w:rPr>
                <w:rFonts w:ascii="Book Antiqua" w:hAnsi="Book Antiqua" w:cs="Times New Roman"/>
                <w:i/>
              </w:rPr>
              <w:t>n</w:t>
            </w:r>
            <w:r w:rsidRPr="00747430">
              <w:rPr>
                <w:rFonts w:ascii="Book Antiqua" w:hAnsi="Book Antiqua" w:cs="Times New Roman"/>
              </w:rPr>
              <w:t xml:space="preserve"> (%)</w:t>
            </w:r>
          </w:p>
        </w:tc>
        <w:tc>
          <w:tcPr>
            <w:tcW w:w="2254" w:type="dxa"/>
            <w:shd w:val="clear" w:color="auto" w:fill="auto"/>
          </w:tcPr>
          <w:p w14:paraId="10C906E2" w14:textId="77777777" w:rsidR="00747430" w:rsidRPr="00747430" w:rsidRDefault="00747430" w:rsidP="00747430">
            <w:pPr>
              <w:spacing w:line="360" w:lineRule="auto"/>
              <w:jc w:val="both"/>
              <w:rPr>
                <w:rFonts w:ascii="Book Antiqua" w:hAnsi="Book Antiqua" w:cs="Times New Roman"/>
                <w:lang w:eastAsia="zh-CN"/>
              </w:rPr>
            </w:pPr>
            <w:r w:rsidRPr="00747430">
              <w:rPr>
                <w:rFonts w:ascii="Book Antiqua" w:hAnsi="Book Antiqua" w:cs="Times New Roman"/>
              </w:rPr>
              <w:t>78</w:t>
            </w:r>
            <w:r>
              <w:rPr>
                <w:rFonts w:ascii="Book Antiqua" w:hAnsi="Book Antiqua" w:cs="Times New Roman" w:hint="eastAsia"/>
                <w:lang w:eastAsia="zh-CN"/>
              </w:rPr>
              <w:t xml:space="preserve"> </w:t>
            </w:r>
            <w:r>
              <w:rPr>
                <w:rFonts w:ascii="Book Antiqua" w:hAnsi="Book Antiqua" w:cs="Times New Roman"/>
              </w:rPr>
              <w:t>(75</w:t>
            </w:r>
            <w:r w:rsidRPr="00747430">
              <w:rPr>
                <w:rFonts w:ascii="Book Antiqua" w:hAnsi="Book Antiqua" w:cs="Times New Roman"/>
              </w:rPr>
              <w:t>)</w:t>
            </w:r>
          </w:p>
        </w:tc>
        <w:tc>
          <w:tcPr>
            <w:tcW w:w="2254" w:type="dxa"/>
            <w:shd w:val="clear" w:color="auto" w:fill="auto"/>
          </w:tcPr>
          <w:p w14:paraId="0B19CCD8"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40 (67</w:t>
            </w:r>
            <w:r w:rsidRPr="00747430">
              <w:rPr>
                <w:rFonts w:ascii="Book Antiqua" w:hAnsi="Book Antiqua" w:cs="Times New Roman"/>
              </w:rPr>
              <w:t>)</w:t>
            </w:r>
          </w:p>
        </w:tc>
        <w:tc>
          <w:tcPr>
            <w:tcW w:w="2254" w:type="dxa"/>
            <w:shd w:val="clear" w:color="auto" w:fill="auto"/>
          </w:tcPr>
          <w:p w14:paraId="77D42B8B"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29 (49</w:t>
            </w:r>
            <w:r w:rsidRPr="00747430">
              <w:rPr>
                <w:rFonts w:ascii="Book Antiqua" w:hAnsi="Book Antiqua" w:cs="Times New Roman"/>
              </w:rPr>
              <w:t>)</w:t>
            </w:r>
          </w:p>
        </w:tc>
      </w:tr>
      <w:tr w:rsidR="00747430" w:rsidRPr="00747430" w14:paraId="2643CEAD" w14:textId="77777777" w:rsidTr="00747430">
        <w:tc>
          <w:tcPr>
            <w:tcW w:w="2254" w:type="dxa"/>
            <w:shd w:val="clear" w:color="auto" w:fill="auto"/>
          </w:tcPr>
          <w:p w14:paraId="4A190D88"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Median PFS, mo</w:t>
            </w:r>
          </w:p>
        </w:tc>
        <w:tc>
          <w:tcPr>
            <w:tcW w:w="2254" w:type="dxa"/>
            <w:shd w:val="clear" w:color="auto" w:fill="auto"/>
          </w:tcPr>
          <w:p w14:paraId="3E28EA94"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7.4 (5.6-10.7)</w:t>
            </w:r>
          </w:p>
        </w:tc>
        <w:tc>
          <w:tcPr>
            <w:tcW w:w="2254" w:type="dxa"/>
            <w:shd w:val="clear" w:color="auto" w:fill="auto"/>
          </w:tcPr>
          <w:p w14:paraId="42BC173E"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5.6 (3.6-2.4)</w:t>
            </w:r>
          </w:p>
        </w:tc>
        <w:tc>
          <w:tcPr>
            <w:tcW w:w="2254" w:type="dxa"/>
            <w:shd w:val="clear" w:color="auto" w:fill="auto"/>
          </w:tcPr>
          <w:p w14:paraId="44D47971"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3.4 (1.9-5.2)</w:t>
            </w:r>
          </w:p>
        </w:tc>
      </w:tr>
      <w:tr w:rsidR="00747430" w:rsidRPr="00747430" w14:paraId="7A45847E" w14:textId="77777777" w:rsidTr="00747430">
        <w:tc>
          <w:tcPr>
            <w:tcW w:w="2254" w:type="dxa"/>
            <w:shd w:val="clear" w:color="auto" w:fill="auto"/>
          </w:tcPr>
          <w:p w14:paraId="125C8889" w14:textId="77777777" w:rsidR="00747430" w:rsidRPr="00747430" w:rsidRDefault="00747430" w:rsidP="00747430">
            <w:pPr>
              <w:spacing w:line="360" w:lineRule="auto"/>
              <w:jc w:val="both"/>
              <w:rPr>
                <w:rFonts w:ascii="Book Antiqua" w:hAnsi="Book Antiqua" w:cs="Times New Roman"/>
              </w:rPr>
            </w:pPr>
            <w:r>
              <w:rPr>
                <w:rFonts w:ascii="Book Antiqua" w:hAnsi="Book Antiqua" w:cs="Times New Roman"/>
              </w:rPr>
              <w:t>HR (80%</w:t>
            </w:r>
            <w:r w:rsidRPr="00747430">
              <w:rPr>
                <w:rFonts w:ascii="Book Antiqua" w:hAnsi="Book Antiqua" w:cs="Times New Roman"/>
              </w:rPr>
              <w:t>CI)</w:t>
            </w:r>
          </w:p>
        </w:tc>
        <w:tc>
          <w:tcPr>
            <w:tcW w:w="2254" w:type="dxa"/>
            <w:shd w:val="clear" w:color="auto" w:fill="auto"/>
          </w:tcPr>
          <w:p w14:paraId="02EEA067"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w:t>
            </w:r>
          </w:p>
        </w:tc>
        <w:tc>
          <w:tcPr>
            <w:tcW w:w="4508" w:type="dxa"/>
            <w:gridSpan w:val="2"/>
            <w:shd w:val="clear" w:color="auto" w:fill="auto"/>
          </w:tcPr>
          <w:p w14:paraId="178C3E7A"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 xml:space="preserve"> 0.55 (0.40-0.74) </w:t>
            </w:r>
            <w:r>
              <w:rPr>
                <w:rFonts w:ascii="Book Antiqua" w:hAnsi="Book Antiqua" w:cs="Times New Roman" w:hint="eastAsia"/>
                <w:i/>
                <w:lang w:eastAsia="zh-CN"/>
              </w:rPr>
              <w:t>P</w:t>
            </w:r>
            <w:r>
              <w:rPr>
                <w:rFonts w:ascii="Book Antiqua" w:hAnsi="Book Antiqua" w:cs="Times New Roman"/>
              </w:rPr>
              <w:t xml:space="preserve"> value (</w:t>
            </w:r>
            <w:r w:rsidRPr="00747430">
              <w:rPr>
                <w:rFonts w:ascii="Book Antiqua" w:hAnsi="Book Antiqua" w:cs="Times New Roman"/>
              </w:rPr>
              <w:t>0.0108)</w:t>
            </w:r>
          </w:p>
        </w:tc>
      </w:tr>
      <w:tr w:rsidR="00747430" w:rsidRPr="00747430" w14:paraId="443EEDFB" w14:textId="77777777" w:rsidTr="00747430">
        <w:tc>
          <w:tcPr>
            <w:tcW w:w="2254" w:type="dxa"/>
            <w:shd w:val="clear" w:color="auto" w:fill="auto"/>
          </w:tcPr>
          <w:p w14:paraId="57F8D321" w14:textId="77777777"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12 mo</w:t>
            </w:r>
            <w:r>
              <w:rPr>
                <w:rFonts w:ascii="Book Antiqua" w:hAnsi="Book Antiqua" w:cs="Times New Roman" w:hint="eastAsia"/>
                <w:lang w:eastAsia="zh-CN"/>
              </w:rPr>
              <w:t xml:space="preserve"> </w:t>
            </w:r>
            <w:r w:rsidRPr="00747430">
              <w:rPr>
                <w:rFonts w:ascii="Book Antiqua" w:hAnsi="Book Antiqua" w:cs="Times New Roman"/>
              </w:rPr>
              <w:t>PFS (%)</w:t>
            </w:r>
          </w:p>
        </w:tc>
        <w:tc>
          <w:tcPr>
            <w:tcW w:w="2254" w:type="dxa"/>
            <w:shd w:val="clear" w:color="auto" w:fill="auto"/>
          </w:tcPr>
          <w:p w14:paraId="7FC86E7A" w14:textId="77777777" w:rsidR="00747430" w:rsidRPr="00747430" w:rsidRDefault="00747430" w:rsidP="00747430">
            <w:pPr>
              <w:spacing w:line="360" w:lineRule="auto"/>
              <w:jc w:val="both"/>
              <w:rPr>
                <w:rFonts w:ascii="Book Antiqua" w:hAnsi="Book Antiqua" w:cs="Times New Roman"/>
                <w:lang w:eastAsia="zh-CN"/>
              </w:rPr>
            </w:pPr>
            <w:r w:rsidRPr="00747430">
              <w:rPr>
                <w:rFonts w:ascii="Book Antiqua" w:hAnsi="Book Antiqua" w:cs="Times New Roman"/>
              </w:rPr>
              <w:t>38</w:t>
            </w:r>
          </w:p>
        </w:tc>
        <w:tc>
          <w:tcPr>
            <w:tcW w:w="2254" w:type="dxa"/>
            <w:shd w:val="clear" w:color="auto" w:fill="auto"/>
          </w:tcPr>
          <w:p w14:paraId="47434830" w14:textId="77777777" w:rsidR="00747430" w:rsidRPr="00747430" w:rsidRDefault="00747430" w:rsidP="00747430">
            <w:pPr>
              <w:spacing w:line="360" w:lineRule="auto"/>
              <w:jc w:val="both"/>
              <w:rPr>
                <w:rFonts w:ascii="Book Antiqua" w:hAnsi="Book Antiqua" w:cs="Times New Roman"/>
              </w:rPr>
            </w:pPr>
          </w:p>
        </w:tc>
        <w:tc>
          <w:tcPr>
            <w:tcW w:w="2254" w:type="dxa"/>
            <w:shd w:val="clear" w:color="auto" w:fill="auto"/>
          </w:tcPr>
          <w:p w14:paraId="7B353BAA" w14:textId="77777777" w:rsidR="00747430" w:rsidRPr="00747430" w:rsidRDefault="00747430" w:rsidP="00747430">
            <w:pPr>
              <w:spacing w:line="360" w:lineRule="auto"/>
              <w:jc w:val="both"/>
              <w:rPr>
                <w:rFonts w:ascii="Book Antiqua" w:hAnsi="Book Antiqua" w:cs="Times New Roman"/>
              </w:rPr>
            </w:pPr>
          </w:p>
        </w:tc>
      </w:tr>
      <w:tr w:rsidR="00747430" w:rsidRPr="00747430" w14:paraId="0BE77A38" w14:textId="77777777" w:rsidTr="00747430">
        <w:tc>
          <w:tcPr>
            <w:tcW w:w="2254" w:type="dxa"/>
            <w:tcBorders>
              <w:bottom w:val="single" w:sz="4" w:space="0" w:color="auto"/>
            </w:tcBorders>
            <w:shd w:val="clear" w:color="auto" w:fill="auto"/>
          </w:tcPr>
          <w:p w14:paraId="3D3C8E86" w14:textId="6E34936D" w:rsidR="00747430" w:rsidRPr="00747430" w:rsidRDefault="00747430" w:rsidP="00747430">
            <w:pPr>
              <w:spacing w:line="360" w:lineRule="auto"/>
              <w:jc w:val="both"/>
              <w:rPr>
                <w:rFonts w:ascii="Book Antiqua" w:hAnsi="Book Antiqua" w:cs="Times New Roman"/>
              </w:rPr>
            </w:pPr>
            <w:r w:rsidRPr="00747430">
              <w:rPr>
                <w:rFonts w:ascii="Book Antiqua" w:hAnsi="Book Antiqua" w:cs="Times New Roman"/>
              </w:rPr>
              <w:t>12 mo</w:t>
            </w:r>
            <w:r>
              <w:rPr>
                <w:rFonts w:ascii="Book Antiqua" w:hAnsi="Book Antiqua" w:cs="Times New Roman" w:hint="eastAsia"/>
                <w:lang w:eastAsia="zh-CN"/>
              </w:rPr>
              <w:t xml:space="preserve"> </w:t>
            </w:r>
            <w:r w:rsidRPr="00747430">
              <w:rPr>
                <w:rFonts w:ascii="Book Antiqua" w:hAnsi="Book Antiqua" w:cs="Times New Roman"/>
              </w:rPr>
              <w:t>OS</w:t>
            </w:r>
            <w:r>
              <w:rPr>
                <w:rFonts w:ascii="Book Antiqua" w:hAnsi="Book Antiqua" w:cs="Times New Roman" w:hint="eastAsia"/>
                <w:lang w:eastAsia="zh-CN"/>
              </w:rPr>
              <w:t xml:space="preserve"> </w:t>
            </w:r>
            <w:r w:rsidRPr="00747430">
              <w:rPr>
                <w:rFonts w:ascii="Book Antiqua" w:hAnsi="Book Antiqua" w:cs="Times New Roman"/>
              </w:rPr>
              <w:t>(%)</w:t>
            </w:r>
          </w:p>
        </w:tc>
        <w:tc>
          <w:tcPr>
            <w:tcW w:w="2254" w:type="dxa"/>
            <w:tcBorders>
              <w:bottom w:val="single" w:sz="4" w:space="0" w:color="auto"/>
            </w:tcBorders>
            <w:shd w:val="clear" w:color="auto" w:fill="auto"/>
          </w:tcPr>
          <w:p w14:paraId="57348A70" w14:textId="77777777" w:rsidR="00747430" w:rsidRPr="00747430" w:rsidRDefault="00747430" w:rsidP="00747430">
            <w:pPr>
              <w:spacing w:line="360" w:lineRule="auto"/>
              <w:jc w:val="both"/>
              <w:rPr>
                <w:rFonts w:ascii="Book Antiqua" w:hAnsi="Book Antiqua" w:cs="Times New Roman"/>
                <w:lang w:eastAsia="zh-CN"/>
              </w:rPr>
            </w:pPr>
            <w:r w:rsidRPr="00747430">
              <w:rPr>
                <w:rFonts w:ascii="Book Antiqua" w:hAnsi="Book Antiqua" w:cs="Times New Roman"/>
              </w:rPr>
              <w:t>63</w:t>
            </w:r>
          </w:p>
        </w:tc>
        <w:tc>
          <w:tcPr>
            <w:tcW w:w="2254" w:type="dxa"/>
            <w:tcBorders>
              <w:bottom w:val="single" w:sz="4" w:space="0" w:color="auto"/>
            </w:tcBorders>
            <w:shd w:val="clear" w:color="auto" w:fill="auto"/>
          </w:tcPr>
          <w:p w14:paraId="15AFC9C6" w14:textId="77777777" w:rsidR="00747430" w:rsidRPr="00747430" w:rsidRDefault="00747430" w:rsidP="00747430">
            <w:pPr>
              <w:spacing w:line="360" w:lineRule="auto"/>
              <w:jc w:val="both"/>
              <w:rPr>
                <w:rFonts w:ascii="Book Antiqua" w:hAnsi="Book Antiqua" w:cs="Times New Roman"/>
              </w:rPr>
            </w:pPr>
          </w:p>
        </w:tc>
        <w:tc>
          <w:tcPr>
            <w:tcW w:w="2254" w:type="dxa"/>
            <w:tcBorders>
              <w:bottom w:val="single" w:sz="4" w:space="0" w:color="auto"/>
            </w:tcBorders>
            <w:shd w:val="clear" w:color="auto" w:fill="auto"/>
          </w:tcPr>
          <w:p w14:paraId="13DC77AA" w14:textId="77777777" w:rsidR="00747430" w:rsidRPr="00747430" w:rsidRDefault="00747430" w:rsidP="00747430">
            <w:pPr>
              <w:spacing w:line="360" w:lineRule="auto"/>
              <w:jc w:val="both"/>
              <w:rPr>
                <w:rFonts w:ascii="Book Antiqua" w:hAnsi="Book Antiqua" w:cs="Times New Roman"/>
              </w:rPr>
            </w:pPr>
          </w:p>
        </w:tc>
      </w:tr>
    </w:tbl>
    <w:p w14:paraId="4A48786E" w14:textId="77777777" w:rsidR="001F1572" w:rsidRDefault="00747430">
      <w:pPr>
        <w:spacing w:line="360" w:lineRule="auto"/>
        <w:jc w:val="both"/>
        <w:rPr>
          <w:rFonts w:ascii="Book Antiqua" w:hAnsi="Book Antiqua"/>
          <w:lang w:eastAsia="zh-CN"/>
        </w:rPr>
      </w:pPr>
      <w:r w:rsidRPr="00747430">
        <w:rPr>
          <w:rFonts w:ascii="Book Antiqua" w:hAnsi="Book Antiqua"/>
          <w:lang w:eastAsia="zh-CN"/>
        </w:rPr>
        <w:t>O</w:t>
      </w:r>
      <w:r>
        <w:rPr>
          <w:rFonts w:ascii="Book Antiqua" w:hAnsi="Book Antiqua"/>
          <w:lang w:eastAsia="zh-CN"/>
        </w:rPr>
        <w:t>RR: Over all response rates; CR</w:t>
      </w:r>
      <w:r w:rsidRPr="00747430">
        <w:rPr>
          <w:rFonts w:ascii="Book Antiqua" w:hAnsi="Book Antiqua"/>
          <w:lang w:eastAsia="zh-CN"/>
        </w:rPr>
        <w:t>:</w:t>
      </w:r>
      <w:r>
        <w:rPr>
          <w:rFonts w:ascii="Book Antiqua" w:hAnsi="Book Antiqua" w:hint="eastAsia"/>
          <w:lang w:eastAsia="zh-CN"/>
        </w:rPr>
        <w:t xml:space="preserve"> C</w:t>
      </w:r>
      <w:r w:rsidRPr="00747430">
        <w:rPr>
          <w:rFonts w:ascii="Book Antiqua" w:hAnsi="Book Antiqua"/>
          <w:lang w:eastAsia="zh-CN"/>
        </w:rPr>
        <w:t xml:space="preserve">omplete response; DCR: </w:t>
      </w:r>
      <w:r>
        <w:rPr>
          <w:rFonts w:ascii="Book Antiqua" w:hAnsi="Book Antiqua" w:hint="eastAsia"/>
          <w:lang w:eastAsia="zh-CN"/>
        </w:rPr>
        <w:t>D</w:t>
      </w:r>
      <w:r w:rsidRPr="00747430">
        <w:rPr>
          <w:rFonts w:ascii="Book Antiqua" w:hAnsi="Book Antiqua"/>
          <w:lang w:eastAsia="zh-CN"/>
        </w:rPr>
        <w:t xml:space="preserve">isease control rate; PFS: </w:t>
      </w:r>
      <w:r>
        <w:rPr>
          <w:rFonts w:ascii="Book Antiqua" w:hAnsi="Book Antiqua" w:hint="eastAsia"/>
          <w:lang w:eastAsia="zh-CN"/>
        </w:rPr>
        <w:t>P</w:t>
      </w:r>
      <w:r w:rsidRPr="00747430">
        <w:rPr>
          <w:rFonts w:ascii="Book Antiqua" w:hAnsi="Book Antiqua"/>
          <w:lang w:eastAsia="zh-CN"/>
        </w:rPr>
        <w:t>rogression free survival; HR: Hazard ratio; OS:</w:t>
      </w:r>
      <w:r w:rsidR="00455B75">
        <w:rPr>
          <w:rFonts w:ascii="Book Antiqua" w:hAnsi="Book Antiqua" w:hint="eastAsia"/>
          <w:lang w:eastAsia="zh-CN"/>
        </w:rPr>
        <w:t xml:space="preserve"> </w:t>
      </w:r>
      <w:r w:rsidR="00F45916">
        <w:rPr>
          <w:rFonts w:ascii="Book Antiqua" w:hAnsi="Book Antiqua"/>
          <w:lang w:eastAsia="zh-CN"/>
        </w:rPr>
        <w:t>Over</w:t>
      </w:r>
      <w:r w:rsidRPr="00747430">
        <w:rPr>
          <w:rFonts w:ascii="Book Antiqua" w:hAnsi="Book Antiqua"/>
          <w:lang w:eastAsia="zh-CN"/>
        </w:rPr>
        <w:t>all survival.</w:t>
      </w:r>
    </w:p>
    <w:p w14:paraId="5940F5BE" w14:textId="6A7A4C79" w:rsidR="001F1572" w:rsidRPr="00C5487F" w:rsidRDefault="001F1572" w:rsidP="001F1572">
      <w:pPr>
        <w:spacing w:line="360" w:lineRule="auto"/>
        <w:jc w:val="both"/>
        <w:rPr>
          <w:iCs/>
          <w:lang w:eastAsia="zh-CN"/>
        </w:rPr>
      </w:pPr>
      <w:r>
        <w:rPr>
          <w:rFonts w:ascii="Book Antiqua" w:hAnsi="Book Antiqua"/>
          <w:lang w:eastAsia="zh-CN"/>
        </w:rPr>
        <w:br w:type="page"/>
      </w:r>
      <w:r w:rsidRPr="00747430">
        <w:rPr>
          <w:rFonts w:ascii="Book Antiqua" w:eastAsia="Book Antiqua" w:hAnsi="Book Antiqua" w:cs="Book Antiqua"/>
          <w:b/>
          <w:color w:val="000000"/>
        </w:rPr>
        <w:lastRenderedPageBreak/>
        <w:t xml:space="preserve">Table </w:t>
      </w:r>
      <w:r>
        <w:rPr>
          <w:rFonts w:ascii="Book Antiqua" w:hAnsi="Book Antiqua" w:cs="Book Antiqua" w:hint="eastAsia"/>
          <w:b/>
          <w:color w:val="000000"/>
          <w:lang w:eastAsia="zh-CN"/>
        </w:rPr>
        <w:t>2</w:t>
      </w:r>
      <w:r w:rsidR="008D4A10">
        <w:rPr>
          <w:rFonts w:ascii="Book Antiqua" w:hAnsi="Book Antiqua" w:cs="Book Antiqua"/>
          <w:b/>
          <w:color w:val="000000"/>
          <w:lang w:eastAsia="zh-CN"/>
        </w:rPr>
        <w:t xml:space="preserve"> Results of </w:t>
      </w:r>
      <w:r w:rsidR="00E51E83" w:rsidRPr="00C5487F">
        <w:rPr>
          <w:rFonts w:ascii="Book Antiqua" w:eastAsia="Book Antiqua" w:hAnsi="Book Antiqua" w:cs="Book Antiqua"/>
          <w:b/>
          <w:bCs/>
          <w:iCs/>
          <w:color w:val="000000"/>
        </w:rPr>
        <w:t>IMBrave 150 trial</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445"/>
        <w:gridCol w:w="2285"/>
        <w:gridCol w:w="1924"/>
      </w:tblGrid>
      <w:tr w:rsidR="001F1572" w:rsidRPr="001F1572" w14:paraId="55CE1B9D" w14:textId="77777777" w:rsidTr="001F1572">
        <w:tc>
          <w:tcPr>
            <w:tcW w:w="2362" w:type="dxa"/>
            <w:tcBorders>
              <w:top w:val="single" w:sz="4" w:space="0" w:color="auto"/>
              <w:bottom w:val="single" w:sz="4" w:space="0" w:color="auto"/>
            </w:tcBorders>
            <w:shd w:val="clear" w:color="auto" w:fill="auto"/>
          </w:tcPr>
          <w:p w14:paraId="2C205570" w14:textId="77777777" w:rsidR="001F1572" w:rsidRPr="001F1572" w:rsidRDefault="001F1572" w:rsidP="001F1572">
            <w:pPr>
              <w:spacing w:line="360" w:lineRule="auto"/>
              <w:jc w:val="both"/>
              <w:rPr>
                <w:rFonts w:ascii="Book Antiqua" w:hAnsi="Book Antiqua" w:cs="Times New Roman"/>
                <w:b/>
                <w:lang w:eastAsia="zh-CN"/>
              </w:rPr>
            </w:pPr>
            <w:r w:rsidRPr="001F1572">
              <w:rPr>
                <w:rFonts w:ascii="Book Antiqua" w:hAnsi="Book Antiqua" w:cs="Times New Roman"/>
                <w:b/>
              </w:rPr>
              <w:t>Results</w:t>
            </w:r>
          </w:p>
        </w:tc>
        <w:tc>
          <w:tcPr>
            <w:tcW w:w="2445" w:type="dxa"/>
            <w:tcBorders>
              <w:top w:val="single" w:sz="4" w:space="0" w:color="auto"/>
              <w:bottom w:val="single" w:sz="4" w:space="0" w:color="auto"/>
            </w:tcBorders>
            <w:shd w:val="clear" w:color="auto" w:fill="auto"/>
          </w:tcPr>
          <w:p w14:paraId="6F7A743D" w14:textId="77777777" w:rsidR="001F1572" w:rsidRPr="001F1572" w:rsidRDefault="001F1572" w:rsidP="001F1572">
            <w:pPr>
              <w:spacing w:line="360" w:lineRule="auto"/>
              <w:jc w:val="both"/>
              <w:rPr>
                <w:rFonts w:ascii="Book Antiqua" w:hAnsi="Book Antiqua" w:cs="Times New Roman"/>
                <w:b/>
                <w:lang w:eastAsia="zh-CN"/>
              </w:rPr>
            </w:pPr>
            <w:r w:rsidRPr="001F1572">
              <w:rPr>
                <w:rFonts w:ascii="Book Antiqua" w:hAnsi="Book Antiqua" w:cs="Times New Roman"/>
                <w:b/>
              </w:rPr>
              <w:t xml:space="preserve">Atezolizumab and bevacizumab </w:t>
            </w:r>
            <w:r>
              <w:rPr>
                <w:rFonts w:ascii="Book Antiqua" w:hAnsi="Book Antiqua" w:cs="Times New Roman" w:hint="eastAsia"/>
                <w:b/>
                <w:lang w:eastAsia="zh-CN"/>
              </w:rPr>
              <w:t>a</w:t>
            </w:r>
            <w:r w:rsidRPr="001F1572">
              <w:rPr>
                <w:rFonts w:ascii="Book Antiqua" w:hAnsi="Book Antiqua" w:cs="Times New Roman"/>
                <w:b/>
              </w:rPr>
              <w:t>rm</w:t>
            </w:r>
          </w:p>
        </w:tc>
        <w:tc>
          <w:tcPr>
            <w:tcW w:w="2285" w:type="dxa"/>
            <w:tcBorders>
              <w:top w:val="single" w:sz="4" w:space="0" w:color="auto"/>
              <w:bottom w:val="single" w:sz="4" w:space="0" w:color="auto"/>
            </w:tcBorders>
            <w:shd w:val="clear" w:color="auto" w:fill="auto"/>
          </w:tcPr>
          <w:p w14:paraId="47CA3E19" w14:textId="77777777" w:rsidR="001F1572" w:rsidRPr="001F1572" w:rsidRDefault="001F1572" w:rsidP="001F1572">
            <w:pPr>
              <w:spacing w:line="360" w:lineRule="auto"/>
              <w:jc w:val="both"/>
              <w:rPr>
                <w:rFonts w:ascii="Book Antiqua" w:hAnsi="Book Antiqua" w:cs="Times New Roman"/>
                <w:b/>
                <w:lang w:eastAsia="zh-CN"/>
              </w:rPr>
            </w:pPr>
            <w:r w:rsidRPr="001F1572">
              <w:rPr>
                <w:rFonts w:ascii="Book Antiqua" w:hAnsi="Book Antiqua" w:cs="Times New Roman"/>
                <w:b/>
              </w:rPr>
              <w:t xml:space="preserve">Sorafenib </w:t>
            </w:r>
            <w:r>
              <w:rPr>
                <w:rFonts w:ascii="Book Antiqua" w:hAnsi="Book Antiqua" w:cs="Times New Roman" w:hint="eastAsia"/>
                <w:b/>
                <w:lang w:eastAsia="zh-CN"/>
              </w:rPr>
              <w:t>a</w:t>
            </w:r>
            <w:r w:rsidRPr="001F1572">
              <w:rPr>
                <w:rFonts w:ascii="Book Antiqua" w:hAnsi="Book Antiqua" w:cs="Times New Roman"/>
                <w:b/>
              </w:rPr>
              <w:t>rm</w:t>
            </w:r>
          </w:p>
        </w:tc>
        <w:tc>
          <w:tcPr>
            <w:tcW w:w="1924" w:type="dxa"/>
            <w:tcBorders>
              <w:top w:val="single" w:sz="4" w:space="0" w:color="auto"/>
              <w:bottom w:val="single" w:sz="4" w:space="0" w:color="auto"/>
            </w:tcBorders>
            <w:shd w:val="clear" w:color="auto" w:fill="auto"/>
          </w:tcPr>
          <w:p w14:paraId="34BD1B53" w14:textId="77777777" w:rsidR="001F1572" w:rsidRPr="001F1572" w:rsidRDefault="001F1572" w:rsidP="001F1572">
            <w:pPr>
              <w:spacing w:line="360" w:lineRule="auto"/>
              <w:jc w:val="both"/>
              <w:rPr>
                <w:rFonts w:ascii="Book Antiqua" w:hAnsi="Book Antiqua" w:cs="Times New Roman"/>
                <w:b/>
                <w:lang w:eastAsia="zh-CN"/>
              </w:rPr>
            </w:pPr>
            <w:r w:rsidRPr="001F1572">
              <w:rPr>
                <w:rFonts w:ascii="Book Antiqua" w:hAnsi="Book Antiqua" w:cs="Times New Roman"/>
                <w:b/>
              </w:rPr>
              <w:t>Statistically significant</w:t>
            </w:r>
          </w:p>
        </w:tc>
      </w:tr>
      <w:tr w:rsidR="001F1572" w:rsidRPr="001F1572" w14:paraId="0822C608" w14:textId="77777777" w:rsidTr="001F1572">
        <w:tc>
          <w:tcPr>
            <w:tcW w:w="2362" w:type="dxa"/>
            <w:tcBorders>
              <w:top w:val="single" w:sz="4" w:space="0" w:color="auto"/>
            </w:tcBorders>
            <w:shd w:val="clear" w:color="auto" w:fill="auto"/>
          </w:tcPr>
          <w:p w14:paraId="5F06356B" w14:textId="77777777" w:rsidR="001F1572" w:rsidRPr="001F1572" w:rsidRDefault="001F1572" w:rsidP="001F1572">
            <w:pPr>
              <w:spacing w:line="360" w:lineRule="auto"/>
              <w:jc w:val="both"/>
              <w:rPr>
                <w:rFonts w:ascii="Book Antiqua" w:hAnsi="Book Antiqua" w:cs="Times New Roman"/>
              </w:rPr>
            </w:pPr>
            <w:r>
              <w:rPr>
                <w:rFonts w:ascii="Book Antiqua" w:hAnsi="Book Antiqua" w:cs="Times New Roman"/>
              </w:rPr>
              <w:t>Estimated OS at 6 mo (</w:t>
            </w:r>
            <w:r w:rsidRPr="001F1572">
              <w:rPr>
                <w:rFonts w:ascii="Book Antiqua" w:hAnsi="Book Antiqua" w:cs="Times New Roman"/>
              </w:rPr>
              <w:t>%)</w:t>
            </w:r>
          </w:p>
        </w:tc>
        <w:tc>
          <w:tcPr>
            <w:tcW w:w="2445" w:type="dxa"/>
            <w:tcBorders>
              <w:top w:val="single" w:sz="4" w:space="0" w:color="auto"/>
            </w:tcBorders>
            <w:shd w:val="clear" w:color="auto" w:fill="auto"/>
          </w:tcPr>
          <w:p w14:paraId="0C3C2C7B"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84.8</w:t>
            </w:r>
          </w:p>
        </w:tc>
        <w:tc>
          <w:tcPr>
            <w:tcW w:w="2285" w:type="dxa"/>
            <w:tcBorders>
              <w:top w:val="single" w:sz="4" w:space="0" w:color="auto"/>
            </w:tcBorders>
            <w:shd w:val="clear" w:color="auto" w:fill="auto"/>
          </w:tcPr>
          <w:p w14:paraId="7B831FA8"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72.2</w:t>
            </w:r>
          </w:p>
        </w:tc>
        <w:tc>
          <w:tcPr>
            <w:tcW w:w="1924" w:type="dxa"/>
            <w:tcBorders>
              <w:top w:val="single" w:sz="4" w:space="0" w:color="auto"/>
            </w:tcBorders>
            <w:shd w:val="clear" w:color="auto" w:fill="auto"/>
          </w:tcPr>
          <w:p w14:paraId="706259FA" w14:textId="77777777" w:rsidR="001F1572" w:rsidRPr="001F1572" w:rsidRDefault="001F1572" w:rsidP="001F1572">
            <w:pPr>
              <w:spacing w:line="360" w:lineRule="auto"/>
              <w:jc w:val="both"/>
              <w:rPr>
                <w:rFonts w:ascii="Book Antiqua" w:hAnsi="Book Antiqua" w:cs="Times New Roman"/>
              </w:rPr>
            </w:pPr>
          </w:p>
        </w:tc>
      </w:tr>
      <w:tr w:rsidR="001F1572" w:rsidRPr="001F1572" w14:paraId="0C272D6B" w14:textId="77777777" w:rsidTr="001F1572">
        <w:tc>
          <w:tcPr>
            <w:tcW w:w="2362" w:type="dxa"/>
            <w:shd w:val="clear" w:color="auto" w:fill="auto"/>
          </w:tcPr>
          <w:p w14:paraId="3913DE46" w14:textId="77777777" w:rsidR="001F1572" w:rsidRPr="001F1572" w:rsidRDefault="001F1572" w:rsidP="001F1572">
            <w:pPr>
              <w:spacing w:line="360" w:lineRule="auto"/>
              <w:jc w:val="both"/>
              <w:rPr>
                <w:rFonts w:ascii="Book Antiqua" w:hAnsi="Book Antiqua" w:cs="Times New Roman"/>
              </w:rPr>
            </w:pPr>
            <w:r w:rsidRPr="001F1572">
              <w:rPr>
                <w:rFonts w:ascii="Book Antiqua" w:hAnsi="Book Antiqua" w:cs="Times New Roman"/>
              </w:rPr>
              <w:t>Estimated OS at 12 mo</w:t>
            </w:r>
            <w:r>
              <w:rPr>
                <w:rFonts w:ascii="Book Antiqua" w:hAnsi="Book Antiqua" w:cs="Times New Roman" w:hint="eastAsia"/>
                <w:lang w:eastAsia="zh-CN"/>
              </w:rPr>
              <w:t xml:space="preserve"> </w:t>
            </w:r>
            <w:r>
              <w:rPr>
                <w:rFonts w:ascii="Book Antiqua" w:hAnsi="Book Antiqua" w:cs="Times New Roman"/>
              </w:rPr>
              <w:t>(</w:t>
            </w:r>
            <w:r w:rsidRPr="001F1572">
              <w:rPr>
                <w:rFonts w:ascii="Book Antiqua" w:hAnsi="Book Antiqua" w:cs="Times New Roman"/>
              </w:rPr>
              <w:t>%)</w:t>
            </w:r>
          </w:p>
        </w:tc>
        <w:tc>
          <w:tcPr>
            <w:tcW w:w="2445" w:type="dxa"/>
            <w:shd w:val="clear" w:color="auto" w:fill="auto"/>
          </w:tcPr>
          <w:p w14:paraId="4A42F434"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67.2</w:t>
            </w:r>
          </w:p>
        </w:tc>
        <w:tc>
          <w:tcPr>
            <w:tcW w:w="2285" w:type="dxa"/>
            <w:shd w:val="clear" w:color="auto" w:fill="auto"/>
          </w:tcPr>
          <w:p w14:paraId="059F4164"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54.6</w:t>
            </w:r>
          </w:p>
        </w:tc>
        <w:tc>
          <w:tcPr>
            <w:tcW w:w="1924" w:type="dxa"/>
            <w:shd w:val="clear" w:color="auto" w:fill="auto"/>
          </w:tcPr>
          <w:p w14:paraId="499C4C47" w14:textId="77777777" w:rsidR="001F1572" w:rsidRPr="001F1572" w:rsidRDefault="001F1572" w:rsidP="001F1572">
            <w:pPr>
              <w:spacing w:line="360" w:lineRule="auto"/>
              <w:jc w:val="both"/>
              <w:rPr>
                <w:rFonts w:ascii="Book Antiqua" w:hAnsi="Book Antiqua" w:cs="Times New Roman"/>
              </w:rPr>
            </w:pPr>
          </w:p>
        </w:tc>
      </w:tr>
      <w:tr w:rsidR="001F1572" w:rsidRPr="001F1572" w14:paraId="0BF2A749" w14:textId="77777777" w:rsidTr="001F1572">
        <w:tc>
          <w:tcPr>
            <w:tcW w:w="2362" w:type="dxa"/>
            <w:shd w:val="clear" w:color="auto" w:fill="auto"/>
          </w:tcPr>
          <w:p w14:paraId="56060B61"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 xml:space="preserve">PFS </w:t>
            </w:r>
            <w:r>
              <w:rPr>
                <w:rFonts w:ascii="Book Antiqua" w:hAnsi="Book Antiqua" w:cs="Times New Roman" w:hint="eastAsia"/>
                <w:lang w:eastAsia="zh-CN"/>
              </w:rPr>
              <w:t>(mo)</w:t>
            </w:r>
          </w:p>
        </w:tc>
        <w:tc>
          <w:tcPr>
            <w:tcW w:w="2445" w:type="dxa"/>
            <w:shd w:val="clear" w:color="auto" w:fill="auto"/>
          </w:tcPr>
          <w:p w14:paraId="40EF7A34"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6.8</w:t>
            </w:r>
          </w:p>
        </w:tc>
        <w:tc>
          <w:tcPr>
            <w:tcW w:w="2285" w:type="dxa"/>
            <w:shd w:val="clear" w:color="auto" w:fill="auto"/>
          </w:tcPr>
          <w:p w14:paraId="3E30014C"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4.3</w:t>
            </w:r>
          </w:p>
        </w:tc>
        <w:tc>
          <w:tcPr>
            <w:tcW w:w="1924" w:type="dxa"/>
            <w:shd w:val="clear" w:color="auto" w:fill="auto"/>
          </w:tcPr>
          <w:p w14:paraId="52AE835F" w14:textId="77777777" w:rsidR="001F1572" w:rsidRPr="001F1572" w:rsidRDefault="001F1572" w:rsidP="001F1572">
            <w:pPr>
              <w:spacing w:line="360" w:lineRule="auto"/>
              <w:jc w:val="both"/>
              <w:rPr>
                <w:rFonts w:ascii="Book Antiqua" w:hAnsi="Book Antiqua" w:cs="Times New Roman"/>
              </w:rPr>
            </w:pPr>
            <w:r w:rsidRPr="001F1572">
              <w:rPr>
                <w:rFonts w:ascii="Book Antiqua" w:hAnsi="Book Antiqua" w:cs="Times New Roman"/>
              </w:rPr>
              <w:t xml:space="preserve">HR for </w:t>
            </w:r>
            <w:r>
              <w:rPr>
                <w:rFonts w:ascii="Book Antiqua" w:hAnsi="Book Antiqua" w:cs="Times New Roman"/>
              </w:rPr>
              <w:t>progression or death was 0.59 (</w:t>
            </w:r>
            <w:r w:rsidRPr="001F1572">
              <w:rPr>
                <w:rFonts w:ascii="Book Antiqua" w:hAnsi="Book Antiqua" w:cs="Times New Roman"/>
              </w:rPr>
              <w:t xml:space="preserve">0.47-0.76)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1F1572">
              <w:rPr>
                <w:rFonts w:ascii="Book Antiqua" w:hAnsi="Book Antiqua" w:cs="Times New Roman"/>
              </w:rPr>
              <w:t>&lt;</w:t>
            </w:r>
            <w:r>
              <w:rPr>
                <w:rFonts w:ascii="Book Antiqua" w:hAnsi="Book Antiqua" w:cs="Times New Roman" w:hint="eastAsia"/>
                <w:lang w:eastAsia="zh-CN"/>
              </w:rPr>
              <w:t xml:space="preserve"> </w:t>
            </w:r>
            <w:r w:rsidRPr="001F1572">
              <w:rPr>
                <w:rFonts w:ascii="Book Antiqua" w:hAnsi="Book Antiqua" w:cs="Times New Roman"/>
              </w:rPr>
              <w:t>0.0001</w:t>
            </w:r>
          </w:p>
        </w:tc>
      </w:tr>
      <w:tr w:rsidR="001F1572" w:rsidRPr="001F1572" w14:paraId="69255DE7" w14:textId="77777777" w:rsidTr="001F1572">
        <w:tc>
          <w:tcPr>
            <w:tcW w:w="2362" w:type="dxa"/>
            <w:shd w:val="clear" w:color="auto" w:fill="auto"/>
          </w:tcPr>
          <w:p w14:paraId="770851D7"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Confirmed ORR as per independent mRECIST assessment</w:t>
            </w:r>
            <w:r>
              <w:rPr>
                <w:rFonts w:ascii="Book Antiqua" w:hAnsi="Book Antiqua" w:cs="Times New Roman" w:hint="eastAsia"/>
                <w:lang w:eastAsia="zh-CN"/>
              </w:rPr>
              <w:t xml:space="preserve"> </w:t>
            </w:r>
            <w:r>
              <w:rPr>
                <w:rFonts w:ascii="Book Antiqua" w:hAnsi="Book Antiqua" w:cs="Times New Roman"/>
              </w:rPr>
              <w:t>(</w:t>
            </w:r>
            <w:r w:rsidRPr="001F1572">
              <w:rPr>
                <w:rFonts w:ascii="Book Antiqua" w:hAnsi="Book Antiqua" w:cs="Times New Roman"/>
              </w:rPr>
              <w:t>%)</w:t>
            </w:r>
          </w:p>
        </w:tc>
        <w:tc>
          <w:tcPr>
            <w:tcW w:w="2445" w:type="dxa"/>
            <w:shd w:val="clear" w:color="auto" w:fill="auto"/>
          </w:tcPr>
          <w:p w14:paraId="15389966"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27.3</w:t>
            </w:r>
          </w:p>
        </w:tc>
        <w:tc>
          <w:tcPr>
            <w:tcW w:w="2285" w:type="dxa"/>
            <w:shd w:val="clear" w:color="auto" w:fill="auto"/>
          </w:tcPr>
          <w:p w14:paraId="37618DEF"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11.9</w:t>
            </w:r>
          </w:p>
        </w:tc>
        <w:tc>
          <w:tcPr>
            <w:tcW w:w="1924" w:type="dxa"/>
            <w:shd w:val="clear" w:color="auto" w:fill="auto"/>
          </w:tcPr>
          <w:p w14:paraId="348EE649" w14:textId="77777777" w:rsidR="001F1572" w:rsidRPr="001F1572" w:rsidRDefault="001F1572" w:rsidP="001F1572">
            <w:pPr>
              <w:spacing w:line="360" w:lineRule="auto"/>
              <w:jc w:val="both"/>
              <w:rPr>
                <w:rFonts w:ascii="Book Antiqua" w:hAnsi="Book Antiqua" w:cs="Times New Roman"/>
              </w:rPr>
            </w:pPr>
          </w:p>
        </w:tc>
      </w:tr>
      <w:tr w:rsidR="001F1572" w:rsidRPr="001F1572" w14:paraId="79E9A940" w14:textId="77777777" w:rsidTr="001F1572">
        <w:tc>
          <w:tcPr>
            <w:tcW w:w="2362" w:type="dxa"/>
            <w:shd w:val="clear" w:color="auto" w:fill="auto"/>
          </w:tcPr>
          <w:p w14:paraId="59904986" w14:textId="77777777" w:rsidR="001F1572" w:rsidRPr="001F1572" w:rsidRDefault="001F1572" w:rsidP="001F1572">
            <w:pPr>
              <w:spacing w:line="360" w:lineRule="auto"/>
              <w:jc w:val="both"/>
              <w:rPr>
                <w:rFonts w:ascii="Book Antiqua" w:hAnsi="Book Antiqua" w:cs="Times New Roman"/>
              </w:rPr>
            </w:pPr>
            <w:r w:rsidRPr="001F1572">
              <w:rPr>
                <w:rFonts w:ascii="Book Antiqua" w:hAnsi="Book Antiqua" w:cs="Times New Roman"/>
              </w:rPr>
              <w:t xml:space="preserve">As per HCC specific mRECIST CR </w:t>
            </w:r>
            <w:r>
              <w:rPr>
                <w:rFonts w:ascii="Book Antiqua" w:hAnsi="Book Antiqua" w:cs="Times New Roman"/>
              </w:rPr>
              <w:t>(</w:t>
            </w:r>
            <w:r w:rsidRPr="001F1572">
              <w:rPr>
                <w:rFonts w:ascii="Book Antiqua" w:hAnsi="Book Antiqua" w:cs="Times New Roman"/>
              </w:rPr>
              <w:t>%)</w:t>
            </w:r>
          </w:p>
        </w:tc>
        <w:tc>
          <w:tcPr>
            <w:tcW w:w="2445" w:type="dxa"/>
            <w:shd w:val="clear" w:color="auto" w:fill="auto"/>
          </w:tcPr>
          <w:p w14:paraId="0F617505"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5.5</w:t>
            </w:r>
          </w:p>
        </w:tc>
        <w:tc>
          <w:tcPr>
            <w:tcW w:w="2285" w:type="dxa"/>
            <w:shd w:val="clear" w:color="auto" w:fill="auto"/>
          </w:tcPr>
          <w:p w14:paraId="28D30467" w14:textId="77777777" w:rsidR="001F1572" w:rsidRPr="001F1572" w:rsidRDefault="001F1572" w:rsidP="001F1572">
            <w:pPr>
              <w:spacing w:line="360" w:lineRule="auto"/>
              <w:jc w:val="both"/>
              <w:rPr>
                <w:rFonts w:ascii="Book Antiqua" w:hAnsi="Book Antiqua" w:cs="Times New Roman"/>
              </w:rPr>
            </w:pPr>
            <w:r w:rsidRPr="001F1572">
              <w:rPr>
                <w:rFonts w:ascii="Book Antiqua" w:hAnsi="Book Antiqua" w:cs="Times New Roman"/>
              </w:rPr>
              <w:t>-</w:t>
            </w:r>
          </w:p>
        </w:tc>
        <w:tc>
          <w:tcPr>
            <w:tcW w:w="1924" w:type="dxa"/>
            <w:shd w:val="clear" w:color="auto" w:fill="auto"/>
          </w:tcPr>
          <w:p w14:paraId="425CB71D" w14:textId="77777777" w:rsidR="001F1572" w:rsidRPr="001F1572" w:rsidRDefault="001F1572" w:rsidP="001F1572">
            <w:pPr>
              <w:spacing w:line="360" w:lineRule="auto"/>
              <w:jc w:val="both"/>
              <w:rPr>
                <w:rFonts w:ascii="Book Antiqua" w:hAnsi="Book Antiqua" w:cs="Times New Roman"/>
              </w:rPr>
            </w:pPr>
          </w:p>
        </w:tc>
      </w:tr>
      <w:tr w:rsidR="001F1572" w:rsidRPr="001F1572" w14:paraId="0297E74F" w14:textId="77777777" w:rsidTr="001F1572">
        <w:trPr>
          <w:trHeight w:val="416"/>
        </w:trPr>
        <w:tc>
          <w:tcPr>
            <w:tcW w:w="2362" w:type="dxa"/>
            <w:tcBorders>
              <w:bottom w:val="single" w:sz="4" w:space="0" w:color="auto"/>
            </w:tcBorders>
            <w:shd w:val="clear" w:color="auto" w:fill="auto"/>
          </w:tcPr>
          <w:p w14:paraId="140EF4AA" w14:textId="77777777" w:rsidR="001F1572" w:rsidRPr="001F1572" w:rsidRDefault="001F1572" w:rsidP="001F1572">
            <w:pPr>
              <w:spacing w:line="360" w:lineRule="auto"/>
              <w:jc w:val="both"/>
              <w:rPr>
                <w:rFonts w:ascii="Book Antiqua" w:hAnsi="Book Antiqua" w:cs="Times New Roman"/>
              </w:rPr>
            </w:pPr>
            <w:r w:rsidRPr="001F1572">
              <w:rPr>
                <w:rFonts w:ascii="Book Antiqua" w:hAnsi="Book Antiqua" w:cs="Times New Roman"/>
              </w:rPr>
              <w:t>Disease Control Rate</w:t>
            </w:r>
            <w:r>
              <w:rPr>
                <w:rFonts w:ascii="Book Antiqua" w:hAnsi="Book Antiqua" w:cs="Times New Roman" w:hint="eastAsia"/>
                <w:lang w:eastAsia="zh-CN"/>
              </w:rPr>
              <w:t xml:space="preserve"> </w:t>
            </w:r>
            <w:r w:rsidRPr="001F1572">
              <w:rPr>
                <w:rFonts w:ascii="Book Antiqua" w:hAnsi="Book Antiqua" w:cs="Times New Roman"/>
              </w:rPr>
              <w:t>(ORR</w:t>
            </w:r>
            <w:r>
              <w:rPr>
                <w:rFonts w:ascii="Book Antiqua" w:hAnsi="Book Antiqua" w:cs="Times New Roman" w:hint="eastAsia"/>
                <w:lang w:eastAsia="zh-CN"/>
              </w:rPr>
              <w:t xml:space="preserve"> </w:t>
            </w:r>
            <w:r w:rsidRPr="001F1572">
              <w:rPr>
                <w:rFonts w:ascii="Book Antiqua" w:hAnsi="Book Antiqua" w:cs="Times New Roman"/>
              </w:rPr>
              <w:t>+</w:t>
            </w:r>
            <w:r>
              <w:rPr>
                <w:rFonts w:ascii="Book Antiqua" w:hAnsi="Book Antiqua" w:cs="Times New Roman" w:hint="eastAsia"/>
                <w:lang w:eastAsia="zh-CN"/>
              </w:rPr>
              <w:t xml:space="preserve"> </w:t>
            </w:r>
            <w:r w:rsidRPr="001F1572">
              <w:rPr>
                <w:rFonts w:ascii="Book Antiqua" w:hAnsi="Book Antiqua" w:cs="Times New Roman"/>
              </w:rPr>
              <w:t xml:space="preserve">SD) </w:t>
            </w:r>
            <w:r>
              <w:rPr>
                <w:rFonts w:ascii="Book Antiqua" w:hAnsi="Book Antiqua" w:cs="Times New Roman"/>
              </w:rPr>
              <w:t>(</w:t>
            </w:r>
            <w:r w:rsidRPr="001F1572">
              <w:rPr>
                <w:rFonts w:ascii="Book Antiqua" w:hAnsi="Book Antiqua" w:cs="Times New Roman"/>
              </w:rPr>
              <w:t>%)</w:t>
            </w:r>
          </w:p>
        </w:tc>
        <w:tc>
          <w:tcPr>
            <w:tcW w:w="2445" w:type="dxa"/>
            <w:tcBorders>
              <w:bottom w:val="single" w:sz="4" w:space="0" w:color="auto"/>
            </w:tcBorders>
            <w:shd w:val="clear" w:color="auto" w:fill="auto"/>
          </w:tcPr>
          <w:p w14:paraId="1CCCCD57"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73.6</w:t>
            </w:r>
          </w:p>
        </w:tc>
        <w:tc>
          <w:tcPr>
            <w:tcW w:w="2285" w:type="dxa"/>
            <w:tcBorders>
              <w:bottom w:val="single" w:sz="4" w:space="0" w:color="auto"/>
            </w:tcBorders>
            <w:shd w:val="clear" w:color="auto" w:fill="auto"/>
          </w:tcPr>
          <w:p w14:paraId="77EE4331" w14:textId="77777777" w:rsidR="001F1572" w:rsidRPr="001F1572" w:rsidRDefault="001F1572" w:rsidP="001F1572">
            <w:pPr>
              <w:spacing w:line="360" w:lineRule="auto"/>
              <w:jc w:val="both"/>
              <w:rPr>
                <w:rFonts w:ascii="Book Antiqua" w:hAnsi="Book Antiqua" w:cs="Times New Roman"/>
                <w:lang w:eastAsia="zh-CN"/>
              </w:rPr>
            </w:pPr>
            <w:r w:rsidRPr="001F1572">
              <w:rPr>
                <w:rFonts w:ascii="Book Antiqua" w:hAnsi="Book Antiqua" w:cs="Times New Roman"/>
              </w:rPr>
              <w:t>55.3</w:t>
            </w:r>
          </w:p>
        </w:tc>
        <w:tc>
          <w:tcPr>
            <w:tcW w:w="1924" w:type="dxa"/>
            <w:tcBorders>
              <w:bottom w:val="single" w:sz="4" w:space="0" w:color="auto"/>
            </w:tcBorders>
            <w:shd w:val="clear" w:color="auto" w:fill="auto"/>
          </w:tcPr>
          <w:p w14:paraId="0A949EAC" w14:textId="77777777" w:rsidR="001F1572" w:rsidRPr="001F1572" w:rsidRDefault="001F1572" w:rsidP="001F1572">
            <w:pPr>
              <w:spacing w:line="360" w:lineRule="auto"/>
              <w:jc w:val="both"/>
              <w:rPr>
                <w:rFonts w:ascii="Book Antiqua" w:hAnsi="Book Antiqua" w:cs="Times New Roman"/>
              </w:rPr>
            </w:pPr>
          </w:p>
        </w:tc>
      </w:tr>
    </w:tbl>
    <w:p w14:paraId="1891655E" w14:textId="77777777" w:rsidR="00BC1DBA" w:rsidRDefault="00BC1DBA">
      <w:pPr>
        <w:spacing w:line="360" w:lineRule="auto"/>
        <w:jc w:val="both"/>
        <w:rPr>
          <w:rFonts w:ascii="Book Antiqua" w:hAnsi="Book Antiqua"/>
          <w:lang w:eastAsia="zh-CN"/>
        </w:rPr>
      </w:pPr>
      <w:r>
        <w:rPr>
          <w:rFonts w:ascii="Book Antiqua" w:hAnsi="Book Antiqua" w:hint="eastAsia"/>
          <w:lang w:eastAsia="zh-CN"/>
        </w:rPr>
        <w:t>HCC: H</w:t>
      </w:r>
      <w:r w:rsidRPr="00BC1DBA">
        <w:rPr>
          <w:rFonts w:ascii="Book Antiqua" w:hAnsi="Book Antiqua"/>
          <w:lang w:eastAsia="zh-CN"/>
        </w:rPr>
        <w:t>epatocellular carcinoma</w:t>
      </w:r>
      <w:r>
        <w:rPr>
          <w:rFonts w:ascii="Book Antiqua" w:hAnsi="Book Antiqua" w:hint="eastAsia"/>
          <w:lang w:eastAsia="zh-CN"/>
        </w:rPr>
        <w:t>;</w:t>
      </w:r>
      <w:r w:rsidRPr="00BC1DBA">
        <w:rPr>
          <w:rFonts w:ascii="Book Antiqua" w:hAnsi="Book Antiqua"/>
          <w:lang w:eastAsia="zh-CN"/>
        </w:rPr>
        <w:t xml:space="preserve"> </w:t>
      </w:r>
      <w:r w:rsidR="001F1572">
        <w:rPr>
          <w:rFonts w:ascii="Book Antiqua" w:hAnsi="Book Antiqua"/>
          <w:lang w:eastAsia="zh-CN"/>
        </w:rPr>
        <w:t>OS: Over</w:t>
      </w:r>
      <w:r w:rsidR="001F1572" w:rsidRPr="001F1572">
        <w:rPr>
          <w:rFonts w:ascii="Book Antiqua" w:hAnsi="Book Antiqua"/>
          <w:lang w:eastAsia="zh-CN"/>
        </w:rPr>
        <w:t xml:space="preserve">all </w:t>
      </w:r>
      <w:r w:rsidR="001F1572">
        <w:rPr>
          <w:rFonts w:ascii="Book Antiqua" w:hAnsi="Book Antiqua" w:hint="eastAsia"/>
          <w:lang w:eastAsia="zh-CN"/>
        </w:rPr>
        <w:t>s</w:t>
      </w:r>
      <w:r w:rsidR="001F1572" w:rsidRPr="001F1572">
        <w:rPr>
          <w:rFonts w:ascii="Book Antiqua" w:hAnsi="Book Antiqua"/>
          <w:lang w:eastAsia="zh-CN"/>
        </w:rPr>
        <w:t>urvival; PFS: Progression free survival; ORR: Objective response rate; mRECIST</w:t>
      </w:r>
      <w:r w:rsidR="001F1572">
        <w:rPr>
          <w:rFonts w:ascii="Book Antiqua" w:hAnsi="Book Antiqua" w:hint="eastAsia"/>
          <w:lang w:eastAsia="zh-CN"/>
        </w:rPr>
        <w:t>: M</w:t>
      </w:r>
      <w:r w:rsidR="001F1572" w:rsidRPr="001F1572">
        <w:rPr>
          <w:rFonts w:ascii="Book Antiqua" w:hAnsi="Book Antiqua"/>
          <w:lang w:eastAsia="zh-CN"/>
        </w:rPr>
        <w:t>odified response evaluation criteria in solid tumours.</w:t>
      </w:r>
    </w:p>
    <w:p w14:paraId="1CEA8C50" w14:textId="74F2E11F" w:rsidR="00747430" w:rsidRDefault="00BC1DBA">
      <w:pPr>
        <w:spacing w:line="360" w:lineRule="auto"/>
        <w:jc w:val="both"/>
        <w:rPr>
          <w:rFonts w:ascii="Book Antiqua" w:hAnsi="Book Antiqua"/>
          <w:b/>
          <w:lang w:eastAsia="zh-CN"/>
        </w:rPr>
      </w:pPr>
      <w:r>
        <w:rPr>
          <w:rFonts w:ascii="Book Antiqua" w:hAnsi="Book Antiqua"/>
          <w:lang w:eastAsia="zh-CN"/>
        </w:rPr>
        <w:br w:type="page"/>
      </w:r>
      <w:r w:rsidRPr="00BC1DBA">
        <w:rPr>
          <w:rFonts w:ascii="Book Antiqua" w:hAnsi="Book Antiqua"/>
          <w:b/>
          <w:lang w:eastAsia="zh-CN"/>
        </w:rPr>
        <w:lastRenderedPageBreak/>
        <w:t>Table 3</w:t>
      </w:r>
      <w:r w:rsidRPr="00BC1DBA">
        <w:rPr>
          <w:rFonts w:ascii="Book Antiqua" w:hAnsi="Book Antiqua" w:hint="eastAsia"/>
          <w:b/>
          <w:lang w:eastAsia="zh-CN"/>
        </w:rPr>
        <w:t xml:space="preserve"> </w:t>
      </w:r>
      <w:r w:rsidRPr="00BC1DBA">
        <w:rPr>
          <w:rFonts w:ascii="Book Antiqua" w:hAnsi="Book Antiqua"/>
          <w:b/>
          <w:lang w:eastAsia="zh-CN"/>
        </w:rPr>
        <w:t>Grade 5 events in both</w:t>
      </w:r>
      <w:r>
        <w:rPr>
          <w:rFonts w:ascii="Book Antiqua" w:hAnsi="Book Antiqua" w:hint="eastAsia"/>
          <w:b/>
          <w:lang w:eastAsia="zh-CN"/>
        </w:rPr>
        <w:t xml:space="preserve"> </w:t>
      </w:r>
      <w:r w:rsidRPr="00BC1DBA">
        <w:rPr>
          <w:rFonts w:ascii="Book Antiqua" w:hAnsi="Book Antiqua"/>
          <w:b/>
          <w:lang w:eastAsia="zh-CN"/>
        </w:rPr>
        <w:t>the arms</w:t>
      </w:r>
      <w:r w:rsidR="00E51E83">
        <w:rPr>
          <w:rFonts w:ascii="Book Antiqua" w:hAnsi="Book Antiqua"/>
          <w:b/>
          <w:lang w:eastAsia="zh-CN"/>
        </w:rPr>
        <w:t xml:space="preserve"> IMBrave 150 trial</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9"/>
        <w:gridCol w:w="3637"/>
      </w:tblGrid>
      <w:tr w:rsidR="00BC1DBA" w:rsidRPr="00BC1DBA" w14:paraId="71398D02" w14:textId="77777777" w:rsidTr="00BC1DBA">
        <w:tc>
          <w:tcPr>
            <w:tcW w:w="0" w:type="auto"/>
            <w:tcBorders>
              <w:top w:val="single" w:sz="4" w:space="0" w:color="auto"/>
              <w:bottom w:val="single" w:sz="4" w:space="0" w:color="auto"/>
            </w:tcBorders>
            <w:shd w:val="clear" w:color="auto" w:fill="auto"/>
          </w:tcPr>
          <w:p w14:paraId="6D159647" w14:textId="77777777" w:rsidR="00BC1DBA" w:rsidRPr="00BC1DBA" w:rsidRDefault="00BC1DBA" w:rsidP="00BC1DBA">
            <w:pPr>
              <w:spacing w:line="360" w:lineRule="auto"/>
              <w:jc w:val="both"/>
              <w:rPr>
                <w:rFonts w:ascii="Book Antiqua" w:hAnsi="Book Antiqua" w:cs="Times New Roman"/>
                <w:b/>
                <w:lang w:eastAsia="zh-CN"/>
              </w:rPr>
            </w:pPr>
            <w:r w:rsidRPr="00BC1DBA">
              <w:rPr>
                <w:rFonts w:ascii="Book Antiqua" w:hAnsi="Book Antiqua" w:cs="Times New Roman"/>
                <w:b/>
              </w:rPr>
              <w:t>Atezolizumab and bevacizumab</w:t>
            </w:r>
            <w:r w:rsidRPr="00BC1DBA">
              <w:rPr>
                <w:rFonts w:ascii="Book Antiqua" w:hAnsi="Book Antiqua" w:cs="Times New Roman" w:hint="eastAsia"/>
                <w:b/>
                <w:lang w:eastAsia="zh-CN"/>
              </w:rPr>
              <w:t xml:space="preserve"> </w:t>
            </w:r>
            <w:r w:rsidRPr="00BC1DBA">
              <w:rPr>
                <w:rFonts w:ascii="Book Antiqua" w:hAnsi="Book Antiqua" w:cs="Times New Roman"/>
                <w:b/>
              </w:rPr>
              <w:t>(</w:t>
            </w:r>
            <w:r w:rsidRPr="00BC1DBA">
              <w:rPr>
                <w:rFonts w:ascii="Book Antiqua" w:hAnsi="Book Antiqua" w:cs="Times New Roman"/>
                <w:b/>
                <w:i/>
              </w:rPr>
              <w:t>n</w:t>
            </w:r>
            <w:r w:rsidRPr="00BC1DBA">
              <w:rPr>
                <w:rFonts w:ascii="Book Antiqua" w:hAnsi="Book Antiqua" w:cs="Times New Roman" w:hint="eastAsia"/>
                <w:b/>
                <w:lang w:eastAsia="zh-CN"/>
              </w:rPr>
              <w:t xml:space="preserve"> = </w:t>
            </w:r>
            <w:r w:rsidRPr="00BC1DBA">
              <w:rPr>
                <w:rFonts w:ascii="Book Antiqua" w:hAnsi="Book Antiqua" w:cs="Times New Roman"/>
                <w:b/>
              </w:rPr>
              <w:t>15)</w:t>
            </w:r>
            <w:r w:rsidRPr="00BC1DBA">
              <w:rPr>
                <w:rFonts w:ascii="Book Antiqua" w:hAnsi="Book Antiqua" w:cs="Times New Roman" w:hint="eastAsia"/>
                <w:b/>
                <w:lang w:eastAsia="zh-CN"/>
              </w:rPr>
              <w:t>, g</w:t>
            </w:r>
            <w:r w:rsidRPr="00BC1DBA">
              <w:rPr>
                <w:rFonts w:ascii="Book Antiqua" w:hAnsi="Book Antiqua" w:cs="Times New Roman"/>
                <w:b/>
              </w:rPr>
              <w:t>rade 5 adverse events</w:t>
            </w:r>
          </w:p>
        </w:tc>
        <w:tc>
          <w:tcPr>
            <w:tcW w:w="0" w:type="auto"/>
            <w:tcBorders>
              <w:top w:val="single" w:sz="4" w:space="0" w:color="auto"/>
              <w:bottom w:val="single" w:sz="4" w:space="0" w:color="auto"/>
            </w:tcBorders>
            <w:shd w:val="clear" w:color="auto" w:fill="auto"/>
          </w:tcPr>
          <w:p w14:paraId="70330AFD" w14:textId="77777777" w:rsidR="00BC1DBA" w:rsidRPr="00BC1DBA" w:rsidRDefault="00BC1DBA" w:rsidP="00BC1DBA">
            <w:pPr>
              <w:spacing w:line="360" w:lineRule="auto"/>
              <w:jc w:val="both"/>
              <w:rPr>
                <w:rFonts w:ascii="Book Antiqua" w:hAnsi="Book Antiqua" w:cs="Times New Roman"/>
                <w:b/>
                <w:lang w:eastAsia="zh-CN"/>
              </w:rPr>
            </w:pPr>
            <w:r w:rsidRPr="00BC1DBA">
              <w:rPr>
                <w:rFonts w:ascii="Book Antiqua" w:hAnsi="Book Antiqua" w:cs="Times New Roman"/>
                <w:b/>
              </w:rPr>
              <w:t>Sorafenib (</w:t>
            </w:r>
            <w:r w:rsidRPr="00BC1DBA">
              <w:rPr>
                <w:rFonts w:ascii="Book Antiqua" w:hAnsi="Book Antiqua" w:cs="Times New Roman"/>
                <w:b/>
                <w:i/>
              </w:rPr>
              <w:t>n</w:t>
            </w:r>
            <w:r w:rsidRPr="00BC1DBA">
              <w:rPr>
                <w:rFonts w:ascii="Book Antiqua" w:hAnsi="Book Antiqua" w:cs="Times New Roman" w:hint="eastAsia"/>
                <w:b/>
                <w:lang w:eastAsia="zh-CN"/>
              </w:rPr>
              <w:t xml:space="preserve"> = </w:t>
            </w:r>
            <w:r w:rsidRPr="00BC1DBA">
              <w:rPr>
                <w:rFonts w:ascii="Book Antiqua" w:hAnsi="Book Antiqua" w:cs="Times New Roman"/>
                <w:b/>
              </w:rPr>
              <w:t>9)</w:t>
            </w:r>
            <w:r w:rsidRPr="00BC1DBA">
              <w:rPr>
                <w:rFonts w:ascii="Book Antiqua" w:hAnsi="Book Antiqua" w:cs="Times New Roman" w:hint="eastAsia"/>
                <w:b/>
                <w:lang w:eastAsia="zh-CN"/>
              </w:rPr>
              <w:t>,</w:t>
            </w:r>
            <w:r w:rsidRPr="00BC1DBA">
              <w:rPr>
                <w:rFonts w:ascii="Book Antiqua" w:hAnsi="Book Antiqua" w:cs="Times New Roman"/>
                <w:b/>
              </w:rPr>
              <w:t xml:space="preserve"> </w:t>
            </w:r>
            <w:r w:rsidRPr="00BC1DBA">
              <w:rPr>
                <w:rFonts w:ascii="Book Antiqua" w:hAnsi="Book Antiqua" w:cs="Times New Roman" w:hint="eastAsia"/>
                <w:b/>
                <w:lang w:eastAsia="zh-CN"/>
              </w:rPr>
              <w:t>g</w:t>
            </w:r>
            <w:r w:rsidRPr="00BC1DBA">
              <w:rPr>
                <w:rFonts w:ascii="Book Antiqua" w:hAnsi="Book Antiqua" w:cs="Times New Roman"/>
                <w:b/>
              </w:rPr>
              <w:t>rade 5 adverse events</w:t>
            </w:r>
          </w:p>
        </w:tc>
      </w:tr>
      <w:tr w:rsidR="00BC1DBA" w:rsidRPr="00BC1DBA" w14:paraId="6F87AC5C" w14:textId="77777777" w:rsidTr="00BC1DBA">
        <w:tc>
          <w:tcPr>
            <w:tcW w:w="0" w:type="auto"/>
            <w:tcBorders>
              <w:top w:val="single" w:sz="4" w:space="0" w:color="auto"/>
            </w:tcBorders>
            <w:shd w:val="clear" w:color="auto" w:fill="auto"/>
          </w:tcPr>
          <w:p w14:paraId="47E384BB"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Gastrointestinal Haemorrhage</w:t>
            </w:r>
            <w:r>
              <w:rPr>
                <w:rFonts w:ascii="Book Antiqua" w:hAnsi="Book Antiqua" w:cs="Times New Roman"/>
              </w:rPr>
              <w:t xml:space="preserve"> (</w:t>
            </w:r>
            <w:r w:rsidRPr="00BC1DBA">
              <w:rPr>
                <w:rFonts w:ascii="Book Antiqua" w:hAnsi="Book Antiqua" w:cs="Times New Roman"/>
              </w:rPr>
              <w:t>3)</w:t>
            </w:r>
          </w:p>
        </w:tc>
        <w:tc>
          <w:tcPr>
            <w:tcW w:w="0" w:type="auto"/>
            <w:tcBorders>
              <w:top w:val="single" w:sz="4" w:space="0" w:color="auto"/>
            </w:tcBorders>
            <w:shd w:val="clear" w:color="auto" w:fill="auto"/>
          </w:tcPr>
          <w:p w14:paraId="7E67CF46"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t>Death (2)</w:t>
            </w:r>
          </w:p>
        </w:tc>
      </w:tr>
      <w:tr w:rsidR="00BC1DBA" w:rsidRPr="00BC1DBA" w14:paraId="53EA16DC" w14:textId="77777777" w:rsidTr="00BC1DBA">
        <w:tc>
          <w:tcPr>
            <w:tcW w:w="0" w:type="auto"/>
            <w:shd w:val="clear" w:color="auto" w:fill="auto"/>
          </w:tcPr>
          <w:p w14:paraId="42EC300C"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t>Pneumonia (2)</w:t>
            </w:r>
          </w:p>
        </w:tc>
        <w:tc>
          <w:tcPr>
            <w:tcW w:w="0" w:type="auto"/>
            <w:shd w:val="clear" w:color="auto" w:fill="auto"/>
          </w:tcPr>
          <w:p w14:paraId="79FC021D"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 xml:space="preserve">Hepatic </w:t>
            </w:r>
            <w:r>
              <w:rPr>
                <w:rFonts w:ascii="Book Antiqua" w:hAnsi="Book Antiqua" w:cs="Times New Roman" w:hint="eastAsia"/>
                <w:lang w:eastAsia="zh-CN"/>
              </w:rPr>
              <w:t>c</w:t>
            </w:r>
            <w:r w:rsidRPr="00BC1DBA">
              <w:rPr>
                <w:rFonts w:ascii="Book Antiqua" w:hAnsi="Book Antiqua" w:cs="Times New Roman"/>
              </w:rPr>
              <w:t>irrhosis (2)</w:t>
            </w:r>
          </w:p>
        </w:tc>
      </w:tr>
      <w:tr w:rsidR="00BC1DBA" w:rsidRPr="00BC1DBA" w14:paraId="381C503A" w14:textId="77777777" w:rsidTr="00BC1DBA">
        <w:tc>
          <w:tcPr>
            <w:tcW w:w="0" w:type="auto"/>
            <w:tcBorders>
              <w:bottom w:val="single" w:sz="4" w:space="0" w:color="auto"/>
            </w:tcBorders>
            <w:shd w:val="clear" w:color="auto" w:fill="auto"/>
          </w:tcPr>
          <w:p w14:paraId="567BC75E"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Empyema, gastric ulcer perforation, abnormal hepatic function, liver injury, multi-organ dysfunction syndrome, esophageal varices haemorrhage, subarachnoid haemorrhage, respiratory distres</w:t>
            </w:r>
            <w:r>
              <w:rPr>
                <w:rFonts w:ascii="Book Antiqua" w:hAnsi="Book Antiqua" w:cs="Times New Roman"/>
              </w:rPr>
              <w:t>s, sepsis and cardiac arrest</w:t>
            </w:r>
            <w:r>
              <w:rPr>
                <w:rFonts w:ascii="Book Antiqua" w:hAnsi="Book Antiqua" w:cs="Times New Roman" w:hint="eastAsia"/>
                <w:lang w:eastAsia="zh-CN"/>
              </w:rPr>
              <w:t xml:space="preserve"> </w:t>
            </w:r>
            <w:r>
              <w:rPr>
                <w:rFonts w:ascii="Book Antiqua" w:hAnsi="Book Antiqua" w:cs="Times New Roman"/>
              </w:rPr>
              <w:t>(</w:t>
            </w:r>
            <w:r w:rsidRPr="00BC1DBA">
              <w:rPr>
                <w:rFonts w:ascii="Book Antiqua" w:hAnsi="Book Antiqua" w:cs="Times New Roman"/>
              </w:rPr>
              <w:t>1 in each patient)</w:t>
            </w:r>
          </w:p>
        </w:tc>
        <w:tc>
          <w:tcPr>
            <w:tcW w:w="0" w:type="auto"/>
            <w:tcBorders>
              <w:bottom w:val="single" w:sz="4" w:space="0" w:color="auto"/>
            </w:tcBorders>
            <w:shd w:val="clear" w:color="auto" w:fill="auto"/>
          </w:tcPr>
          <w:p w14:paraId="659C4BFF"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Cardiac arrest, cardiac failure, general physical health deterioration, hepati</w:t>
            </w:r>
            <w:r>
              <w:rPr>
                <w:rFonts w:ascii="Book Antiqua" w:hAnsi="Book Antiqua" w:cs="Times New Roman"/>
              </w:rPr>
              <w:t>tis E, peritoneal haemorrhage (</w:t>
            </w:r>
            <w:r w:rsidRPr="00BC1DBA">
              <w:rPr>
                <w:rFonts w:ascii="Book Antiqua" w:hAnsi="Book Antiqua" w:cs="Times New Roman"/>
              </w:rPr>
              <w:t>1 in each patient)</w:t>
            </w:r>
          </w:p>
        </w:tc>
      </w:tr>
    </w:tbl>
    <w:p w14:paraId="313E8BB3" w14:textId="77777777" w:rsidR="00BC1DBA" w:rsidRDefault="00BC1DBA">
      <w:pPr>
        <w:spacing w:line="360" w:lineRule="auto"/>
        <w:jc w:val="both"/>
        <w:rPr>
          <w:rFonts w:ascii="Book Antiqua" w:hAnsi="Book Antiqua"/>
          <w:b/>
          <w:lang w:eastAsia="zh-CN"/>
        </w:rPr>
      </w:pPr>
    </w:p>
    <w:p w14:paraId="47822892" w14:textId="77777777" w:rsidR="00BC1DBA" w:rsidRDefault="00BC1DBA">
      <w:pPr>
        <w:spacing w:line="360" w:lineRule="auto"/>
        <w:jc w:val="both"/>
        <w:rPr>
          <w:rFonts w:ascii="Book Antiqua" w:hAnsi="Book Antiqua"/>
          <w:b/>
          <w:lang w:eastAsia="zh-CN"/>
        </w:rPr>
      </w:pPr>
      <w:r>
        <w:rPr>
          <w:rFonts w:ascii="Book Antiqua" w:hAnsi="Book Antiqua"/>
          <w:b/>
          <w:lang w:eastAsia="zh-CN"/>
        </w:rPr>
        <w:br w:type="page"/>
      </w:r>
      <w:r w:rsidRPr="00BC1DBA">
        <w:rPr>
          <w:rFonts w:ascii="Book Antiqua" w:hAnsi="Book Antiqua"/>
          <w:b/>
          <w:lang w:eastAsia="zh-CN"/>
        </w:rPr>
        <w:lastRenderedPageBreak/>
        <w:t>Table 4</w:t>
      </w:r>
      <w:r>
        <w:rPr>
          <w:rFonts w:ascii="Book Antiqua" w:hAnsi="Book Antiqua" w:hint="eastAsia"/>
          <w:b/>
          <w:lang w:eastAsia="zh-CN"/>
        </w:rPr>
        <w:t xml:space="preserve"> </w:t>
      </w:r>
      <w:r w:rsidRPr="00BC1DBA">
        <w:rPr>
          <w:rFonts w:ascii="Book Antiqua" w:hAnsi="Book Antiqua"/>
          <w:b/>
          <w:lang w:eastAsia="zh-CN"/>
        </w:rPr>
        <w:t xml:space="preserve">Advanced </w:t>
      </w:r>
      <w:r>
        <w:rPr>
          <w:rFonts w:ascii="Book Antiqua" w:hAnsi="Book Antiqua" w:hint="eastAsia"/>
          <w:b/>
          <w:lang w:eastAsia="zh-CN"/>
        </w:rPr>
        <w:t>h</w:t>
      </w:r>
      <w:r w:rsidRPr="00BC1DBA">
        <w:rPr>
          <w:rFonts w:ascii="Book Antiqua" w:hAnsi="Book Antiqua"/>
          <w:b/>
          <w:lang w:eastAsia="zh-CN"/>
        </w:rPr>
        <w:t>epatocellular carcinoma in special subset of population with absolute and relative contraindication for atezolizumab and bevacizumab combination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5"/>
        <w:gridCol w:w="2106"/>
        <w:gridCol w:w="1891"/>
        <w:gridCol w:w="2384"/>
      </w:tblGrid>
      <w:tr w:rsidR="00BC1DBA" w:rsidRPr="00BC1DBA" w14:paraId="666619B8" w14:textId="77777777" w:rsidTr="00441B3F">
        <w:tc>
          <w:tcPr>
            <w:tcW w:w="3195" w:type="dxa"/>
            <w:tcBorders>
              <w:top w:val="single" w:sz="4" w:space="0" w:color="auto"/>
              <w:bottom w:val="single" w:sz="4" w:space="0" w:color="auto"/>
            </w:tcBorders>
            <w:shd w:val="clear" w:color="auto" w:fill="auto"/>
          </w:tcPr>
          <w:p w14:paraId="675B3B02" w14:textId="77777777" w:rsidR="00BC1DBA" w:rsidRPr="00BC1DBA" w:rsidRDefault="00BC1DBA" w:rsidP="00BC1DBA">
            <w:pPr>
              <w:spacing w:line="360" w:lineRule="auto"/>
              <w:jc w:val="both"/>
              <w:rPr>
                <w:rFonts w:ascii="Book Antiqua" w:hAnsi="Book Antiqua" w:cs="Times New Roman"/>
                <w:b/>
                <w:lang w:eastAsia="zh-CN"/>
              </w:rPr>
            </w:pPr>
            <w:r w:rsidRPr="00BC1DBA">
              <w:rPr>
                <w:rFonts w:ascii="Book Antiqua" w:hAnsi="Book Antiqua" w:cs="Times New Roman"/>
                <w:b/>
              </w:rPr>
              <w:t xml:space="preserve">Special </w:t>
            </w:r>
            <w:r>
              <w:rPr>
                <w:rFonts w:ascii="Book Antiqua" w:hAnsi="Book Antiqua" w:cs="Times New Roman" w:hint="eastAsia"/>
                <w:b/>
                <w:lang w:eastAsia="zh-CN"/>
              </w:rPr>
              <w:t>p</w:t>
            </w:r>
            <w:r w:rsidRPr="00BC1DBA">
              <w:rPr>
                <w:rFonts w:ascii="Book Antiqua" w:hAnsi="Book Antiqua" w:cs="Times New Roman"/>
                <w:b/>
              </w:rPr>
              <w:t>opulation</w:t>
            </w:r>
          </w:p>
        </w:tc>
        <w:tc>
          <w:tcPr>
            <w:tcW w:w="2106" w:type="dxa"/>
            <w:tcBorders>
              <w:top w:val="single" w:sz="4" w:space="0" w:color="auto"/>
              <w:bottom w:val="single" w:sz="4" w:space="0" w:color="auto"/>
            </w:tcBorders>
            <w:shd w:val="clear" w:color="auto" w:fill="auto"/>
          </w:tcPr>
          <w:p w14:paraId="31F3B0FE" w14:textId="77777777" w:rsidR="00BC1DBA" w:rsidRPr="00BC1DBA" w:rsidRDefault="00BC1DBA" w:rsidP="00BC1DBA">
            <w:pPr>
              <w:spacing w:line="360" w:lineRule="auto"/>
              <w:jc w:val="both"/>
              <w:rPr>
                <w:rFonts w:ascii="Book Antiqua" w:hAnsi="Book Antiqua" w:cs="Times New Roman"/>
                <w:b/>
                <w:lang w:eastAsia="zh-CN"/>
              </w:rPr>
            </w:pPr>
            <w:r w:rsidRPr="00BC1DBA">
              <w:rPr>
                <w:rFonts w:ascii="Book Antiqua" w:hAnsi="Book Antiqua" w:cs="Times New Roman"/>
                <w:b/>
              </w:rPr>
              <w:t xml:space="preserve">Absolute contraindication for </w:t>
            </w:r>
            <w:r>
              <w:rPr>
                <w:rFonts w:ascii="Book Antiqua" w:hAnsi="Book Antiqua" w:cs="Times New Roman" w:hint="eastAsia"/>
                <w:b/>
                <w:lang w:eastAsia="zh-CN"/>
              </w:rPr>
              <w:t>a</w:t>
            </w:r>
            <w:r w:rsidRPr="00BC1DBA">
              <w:rPr>
                <w:rFonts w:ascii="Book Antiqua" w:hAnsi="Book Antiqua" w:cs="Times New Roman"/>
                <w:b/>
              </w:rPr>
              <w:t>tezolizumab and bevacizumab combination</w:t>
            </w:r>
          </w:p>
        </w:tc>
        <w:tc>
          <w:tcPr>
            <w:tcW w:w="1891" w:type="dxa"/>
            <w:tcBorders>
              <w:top w:val="single" w:sz="4" w:space="0" w:color="auto"/>
              <w:bottom w:val="single" w:sz="4" w:space="0" w:color="auto"/>
            </w:tcBorders>
            <w:shd w:val="clear" w:color="auto" w:fill="auto"/>
          </w:tcPr>
          <w:p w14:paraId="6CD9BE03" w14:textId="77777777" w:rsidR="00BC1DBA" w:rsidRPr="00BC1DBA" w:rsidRDefault="00BC1DBA" w:rsidP="00BC1DBA">
            <w:pPr>
              <w:spacing w:line="360" w:lineRule="auto"/>
              <w:jc w:val="both"/>
              <w:rPr>
                <w:rFonts w:ascii="Book Antiqua" w:hAnsi="Book Antiqua" w:cs="Times New Roman"/>
                <w:b/>
                <w:lang w:eastAsia="zh-CN"/>
              </w:rPr>
            </w:pPr>
            <w:r w:rsidRPr="00BC1DBA">
              <w:rPr>
                <w:rFonts w:ascii="Book Antiqua" w:hAnsi="Book Antiqua" w:cs="Times New Roman"/>
                <w:b/>
              </w:rPr>
              <w:t xml:space="preserve">Relative contraindication for </w:t>
            </w:r>
            <w:r>
              <w:rPr>
                <w:rFonts w:ascii="Book Antiqua" w:hAnsi="Book Antiqua" w:cs="Times New Roman" w:hint="eastAsia"/>
                <w:b/>
                <w:lang w:eastAsia="zh-CN"/>
              </w:rPr>
              <w:t>a</w:t>
            </w:r>
            <w:r w:rsidRPr="00BC1DBA">
              <w:rPr>
                <w:rFonts w:ascii="Book Antiqua" w:hAnsi="Book Antiqua" w:cs="Times New Roman"/>
                <w:b/>
              </w:rPr>
              <w:t>tezolizumab and bevacizumab combination</w:t>
            </w:r>
          </w:p>
        </w:tc>
        <w:tc>
          <w:tcPr>
            <w:tcW w:w="2384" w:type="dxa"/>
            <w:tcBorders>
              <w:top w:val="single" w:sz="4" w:space="0" w:color="auto"/>
              <w:bottom w:val="single" w:sz="4" w:space="0" w:color="auto"/>
            </w:tcBorders>
            <w:shd w:val="clear" w:color="auto" w:fill="auto"/>
          </w:tcPr>
          <w:p w14:paraId="785B6CB3" w14:textId="77777777" w:rsidR="00BC1DBA" w:rsidRPr="00BC1DBA" w:rsidRDefault="00BC1DBA" w:rsidP="00BC1DBA">
            <w:pPr>
              <w:spacing w:line="360" w:lineRule="auto"/>
              <w:jc w:val="both"/>
              <w:rPr>
                <w:rFonts w:ascii="Book Antiqua" w:hAnsi="Book Antiqua" w:cs="Times New Roman"/>
                <w:b/>
                <w:lang w:eastAsia="zh-CN"/>
              </w:rPr>
            </w:pPr>
            <w:r w:rsidRPr="00BC1DBA">
              <w:rPr>
                <w:rFonts w:ascii="Book Antiqua" w:hAnsi="Book Antiqua" w:cs="Times New Roman"/>
                <w:b/>
              </w:rPr>
              <w:t>Comments</w:t>
            </w:r>
          </w:p>
        </w:tc>
      </w:tr>
      <w:tr w:rsidR="00BC1DBA" w:rsidRPr="00BC1DBA" w14:paraId="6D3BA4AD" w14:textId="77777777" w:rsidTr="00441B3F">
        <w:tc>
          <w:tcPr>
            <w:tcW w:w="3195" w:type="dxa"/>
            <w:tcBorders>
              <w:top w:val="single" w:sz="4" w:space="0" w:color="auto"/>
            </w:tcBorders>
            <w:shd w:val="clear" w:color="auto" w:fill="auto"/>
          </w:tcPr>
          <w:p w14:paraId="75F58A12"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Solid organ transplantation</w:t>
            </w:r>
          </w:p>
        </w:tc>
        <w:tc>
          <w:tcPr>
            <w:tcW w:w="2106" w:type="dxa"/>
            <w:tcBorders>
              <w:top w:val="single" w:sz="4" w:space="0" w:color="auto"/>
            </w:tcBorders>
            <w:shd w:val="clear" w:color="auto" w:fill="auto"/>
          </w:tcPr>
          <w:p w14:paraId="67BED9C2"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t>Yes</w:t>
            </w:r>
          </w:p>
        </w:tc>
        <w:tc>
          <w:tcPr>
            <w:tcW w:w="1891" w:type="dxa"/>
            <w:tcBorders>
              <w:top w:val="single" w:sz="4" w:space="0" w:color="auto"/>
            </w:tcBorders>
            <w:shd w:val="clear" w:color="auto" w:fill="auto"/>
          </w:tcPr>
          <w:p w14:paraId="1FB4E62F"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N/A</w:t>
            </w:r>
          </w:p>
        </w:tc>
        <w:tc>
          <w:tcPr>
            <w:tcW w:w="2384" w:type="dxa"/>
            <w:tcBorders>
              <w:top w:val="single" w:sz="4" w:space="0" w:color="auto"/>
            </w:tcBorders>
            <w:shd w:val="clear" w:color="auto" w:fill="auto"/>
          </w:tcPr>
          <w:p w14:paraId="79EF5277"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 xml:space="preserve">If HCC in patients with liver transplant, transplant rejection can be potentially lethal. Sorafenib or </w:t>
            </w:r>
            <w:r>
              <w:rPr>
                <w:rFonts w:ascii="Book Antiqua" w:hAnsi="Book Antiqua" w:cs="Times New Roman" w:hint="eastAsia"/>
                <w:lang w:eastAsia="zh-CN"/>
              </w:rPr>
              <w:t>l</w:t>
            </w:r>
            <w:r w:rsidRPr="00BC1DBA">
              <w:rPr>
                <w:rFonts w:ascii="Book Antiqua" w:hAnsi="Book Antiqua" w:cs="Times New Roman"/>
              </w:rPr>
              <w:t>envatinib are preferred first line options</w:t>
            </w:r>
          </w:p>
        </w:tc>
      </w:tr>
      <w:tr w:rsidR="00BC1DBA" w:rsidRPr="00BC1DBA" w14:paraId="28F985DE" w14:textId="77777777" w:rsidTr="00441B3F">
        <w:tc>
          <w:tcPr>
            <w:tcW w:w="3195" w:type="dxa"/>
            <w:shd w:val="clear" w:color="auto" w:fill="auto"/>
          </w:tcPr>
          <w:p w14:paraId="24296E05"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HIV patients</w:t>
            </w:r>
          </w:p>
        </w:tc>
        <w:tc>
          <w:tcPr>
            <w:tcW w:w="2106" w:type="dxa"/>
            <w:shd w:val="clear" w:color="auto" w:fill="auto"/>
          </w:tcPr>
          <w:p w14:paraId="646E8251"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t>N/A</w:t>
            </w:r>
          </w:p>
        </w:tc>
        <w:tc>
          <w:tcPr>
            <w:tcW w:w="1891" w:type="dxa"/>
            <w:shd w:val="clear" w:color="auto" w:fill="auto"/>
          </w:tcPr>
          <w:p w14:paraId="7E8A48B8"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No data</w:t>
            </w:r>
          </w:p>
        </w:tc>
        <w:tc>
          <w:tcPr>
            <w:tcW w:w="2384" w:type="dxa"/>
            <w:shd w:val="clear" w:color="auto" w:fill="auto"/>
          </w:tcPr>
          <w:p w14:paraId="1A14BF3F"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 xml:space="preserve">This was an exclusion criteria in IMBrave150 trial. The NCT04487067 AMETHISTA study of </w:t>
            </w:r>
            <w:r>
              <w:rPr>
                <w:rFonts w:ascii="Book Antiqua" w:hAnsi="Book Antiqua" w:cs="Times New Roman" w:hint="eastAsia"/>
                <w:lang w:eastAsia="zh-CN"/>
              </w:rPr>
              <w:t>a</w:t>
            </w:r>
            <w:r w:rsidRPr="00BC1DBA">
              <w:rPr>
                <w:rFonts w:ascii="Book Antiqua" w:hAnsi="Book Antiqua" w:cs="Times New Roman"/>
              </w:rPr>
              <w:t xml:space="preserve">tezolizumab and bevacizumab in HCC is including patients with HIV disease who are </w:t>
            </w:r>
            <w:r w:rsidRPr="00BC1DBA">
              <w:rPr>
                <w:rFonts w:ascii="Book Antiqua" w:hAnsi="Book Antiqua" w:cs="Times New Roman"/>
              </w:rPr>
              <w:lastRenderedPageBreak/>
              <w:t>stable on HA</w:t>
            </w:r>
            <w:r>
              <w:rPr>
                <w:rFonts w:ascii="Book Antiqua" w:hAnsi="Book Antiqua" w:cs="Times New Roman"/>
              </w:rPr>
              <w:t>ART, with CD4+T</w:t>
            </w:r>
            <w:r>
              <w:rPr>
                <w:rFonts w:ascii="Book Antiqua" w:hAnsi="Book Antiqua" w:cs="Times New Roman" w:hint="eastAsia"/>
                <w:lang w:eastAsia="zh-CN"/>
              </w:rPr>
              <w:t xml:space="preserve"> </w:t>
            </w:r>
            <w:r w:rsidRPr="00BC1DBA">
              <w:rPr>
                <w:rFonts w:ascii="Book Antiqua" w:hAnsi="Book Antiqua" w:cs="Times New Roman"/>
              </w:rPr>
              <w:t>cell count ≥</w:t>
            </w:r>
            <w:r>
              <w:rPr>
                <w:rFonts w:ascii="Book Antiqua" w:hAnsi="Book Antiqua" w:cs="Times New Roman" w:hint="eastAsia"/>
                <w:lang w:eastAsia="zh-CN"/>
              </w:rPr>
              <w:t xml:space="preserve"> </w:t>
            </w:r>
            <w:r w:rsidRPr="00BC1DBA">
              <w:rPr>
                <w:rFonts w:ascii="Book Antiqua" w:hAnsi="Book Antiqua" w:cs="Times New Roman"/>
              </w:rPr>
              <w:t>200/µ</w:t>
            </w:r>
            <w:r>
              <w:rPr>
                <w:rFonts w:ascii="Book Antiqua" w:hAnsi="Book Antiqua" w:cs="Times New Roman" w:hint="eastAsia"/>
                <w:lang w:eastAsia="zh-CN"/>
              </w:rPr>
              <w:t>L</w:t>
            </w:r>
            <w:r w:rsidRPr="00BC1DBA">
              <w:rPr>
                <w:rFonts w:ascii="Book Antiqua" w:hAnsi="Book Antiqua" w:cs="Times New Roman"/>
              </w:rPr>
              <w:t>, and an undetectable viral load</w:t>
            </w:r>
          </w:p>
        </w:tc>
      </w:tr>
      <w:tr w:rsidR="00BC1DBA" w:rsidRPr="00BC1DBA" w14:paraId="01FF57FA" w14:textId="77777777" w:rsidTr="00441B3F">
        <w:tc>
          <w:tcPr>
            <w:tcW w:w="3195" w:type="dxa"/>
            <w:shd w:val="clear" w:color="auto" w:fill="auto"/>
          </w:tcPr>
          <w:p w14:paraId="07914F0C"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lastRenderedPageBreak/>
              <w:t>Prior or active autoimmune disease (AID)</w:t>
            </w:r>
          </w:p>
        </w:tc>
        <w:tc>
          <w:tcPr>
            <w:tcW w:w="2106" w:type="dxa"/>
            <w:shd w:val="clear" w:color="auto" w:fill="auto"/>
          </w:tcPr>
          <w:p w14:paraId="6C923814"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Yes, in patients when AID including autoimmune hepatitis, reactivation can be life threatening, neurological or neuromuscular disorders, poorly controlled AID on high dose immunosuppression</w:t>
            </w:r>
          </w:p>
        </w:tc>
        <w:tc>
          <w:tcPr>
            <w:tcW w:w="1891" w:type="dxa"/>
            <w:shd w:val="clear" w:color="auto" w:fill="auto"/>
          </w:tcPr>
          <w:p w14:paraId="407E445D"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Can be used after discussion with patients and care givers about risk and benefit if do not fall in subgroups described in absolute contraindications</w:t>
            </w:r>
          </w:p>
        </w:tc>
        <w:tc>
          <w:tcPr>
            <w:tcW w:w="2384" w:type="dxa"/>
            <w:shd w:val="clear" w:color="auto" w:fill="auto"/>
          </w:tcPr>
          <w:p w14:paraId="4711693E"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t xml:space="preserve">Patients with symptomatic AID are at higher risk for flare. Sorafenib or </w:t>
            </w:r>
            <w:r>
              <w:rPr>
                <w:rFonts w:ascii="Book Antiqua" w:hAnsi="Book Antiqua" w:cs="Times New Roman" w:hint="eastAsia"/>
                <w:lang w:eastAsia="zh-CN"/>
              </w:rPr>
              <w:t>l</w:t>
            </w:r>
            <w:r w:rsidRPr="00BC1DBA">
              <w:rPr>
                <w:rFonts w:ascii="Book Antiqua" w:hAnsi="Book Antiqua" w:cs="Times New Roman"/>
              </w:rPr>
              <w:t>envatinib are preferred firs</w:t>
            </w:r>
            <w:r>
              <w:rPr>
                <w:rFonts w:ascii="Book Antiqua" w:hAnsi="Book Antiqua" w:cs="Times New Roman"/>
              </w:rPr>
              <w:t>t line options in such patients</w:t>
            </w:r>
          </w:p>
        </w:tc>
      </w:tr>
      <w:tr w:rsidR="00BC1DBA" w:rsidRPr="00BC1DBA" w14:paraId="0F24DF09" w14:textId="77777777" w:rsidTr="00441B3F">
        <w:tc>
          <w:tcPr>
            <w:tcW w:w="3195" w:type="dxa"/>
            <w:shd w:val="clear" w:color="auto" w:fill="auto"/>
          </w:tcPr>
          <w:p w14:paraId="3BDECD3D"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Inflammatory bowel disease</w:t>
            </w:r>
          </w:p>
        </w:tc>
        <w:tc>
          <w:tcPr>
            <w:tcW w:w="2106" w:type="dxa"/>
            <w:shd w:val="clear" w:color="auto" w:fill="auto"/>
          </w:tcPr>
          <w:p w14:paraId="6D747893"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Bevacizumab can increase complication risk in patients with Crohn’s disease with fistula</w:t>
            </w:r>
          </w:p>
        </w:tc>
        <w:tc>
          <w:tcPr>
            <w:tcW w:w="1891" w:type="dxa"/>
            <w:shd w:val="clear" w:color="auto" w:fill="auto"/>
          </w:tcPr>
          <w:p w14:paraId="284280F6" w14:textId="77777777" w:rsidR="00BC1DBA" w:rsidRPr="00BC1DBA" w:rsidRDefault="00BC1DBA" w:rsidP="00BC1DBA">
            <w:pPr>
              <w:spacing w:line="360" w:lineRule="auto"/>
              <w:jc w:val="both"/>
              <w:rPr>
                <w:rFonts w:ascii="Book Antiqua" w:hAnsi="Book Antiqua" w:cs="Times New Roman"/>
              </w:rPr>
            </w:pPr>
            <w:r w:rsidRPr="00BC1DBA">
              <w:rPr>
                <w:rFonts w:ascii="Book Antiqua" w:hAnsi="Book Antiqua" w:cs="Times New Roman"/>
              </w:rPr>
              <w:t xml:space="preserve">Can be used after discussion with patients and care givers about risk and benefit in patients with quiescent </w:t>
            </w:r>
            <w:r w:rsidRPr="00BC1DBA">
              <w:rPr>
                <w:rFonts w:ascii="Book Antiqua" w:hAnsi="Book Antiqua" w:cs="Times New Roman"/>
              </w:rPr>
              <w:lastRenderedPageBreak/>
              <w:t>disease</w:t>
            </w:r>
          </w:p>
        </w:tc>
        <w:tc>
          <w:tcPr>
            <w:tcW w:w="2384" w:type="dxa"/>
            <w:shd w:val="clear" w:color="auto" w:fill="auto"/>
          </w:tcPr>
          <w:p w14:paraId="1A5A2407"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lastRenderedPageBreak/>
              <w:t>Selective immunosuppressants like vedolizumab may be better before considering the ICP therapy</w:t>
            </w:r>
          </w:p>
        </w:tc>
      </w:tr>
      <w:tr w:rsidR="00BC1DBA" w:rsidRPr="00BC1DBA" w14:paraId="614654E1" w14:textId="77777777" w:rsidTr="00441B3F">
        <w:tc>
          <w:tcPr>
            <w:tcW w:w="3195" w:type="dxa"/>
            <w:shd w:val="clear" w:color="auto" w:fill="auto"/>
          </w:tcPr>
          <w:p w14:paraId="148D227B"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Significant cardiovascular/thromboembolic disease</w:t>
            </w:r>
          </w:p>
        </w:tc>
        <w:tc>
          <w:tcPr>
            <w:tcW w:w="2106" w:type="dxa"/>
            <w:shd w:val="clear" w:color="auto" w:fill="auto"/>
          </w:tcPr>
          <w:p w14:paraId="057083BB"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N/A</w:t>
            </w:r>
          </w:p>
        </w:tc>
        <w:tc>
          <w:tcPr>
            <w:tcW w:w="1891" w:type="dxa"/>
            <w:shd w:val="clear" w:color="auto" w:fill="auto"/>
          </w:tcPr>
          <w:p w14:paraId="487A5581"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Bevacizumab increases risk of HTN, thromboembolic and cardiovascular events</w:t>
            </w:r>
          </w:p>
        </w:tc>
        <w:tc>
          <w:tcPr>
            <w:tcW w:w="2384" w:type="dxa"/>
            <w:shd w:val="clear" w:color="auto" w:fill="auto"/>
          </w:tcPr>
          <w:p w14:paraId="182F1506"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Can be used after discussion with patients and care givers and treating hypertension</w:t>
            </w:r>
          </w:p>
        </w:tc>
      </w:tr>
      <w:tr w:rsidR="00BC1DBA" w:rsidRPr="00BC1DBA" w14:paraId="00731BCB" w14:textId="77777777" w:rsidTr="00441B3F">
        <w:tc>
          <w:tcPr>
            <w:tcW w:w="3195" w:type="dxa"/>
            <w:tcBorders>
              <w:bottom w:val="single" w:sz="4" w:space="0" w:color="auto"/>
            </w:tcBorders>
            <w:shd w:val="clear" w:color="auto" w:fill="auto"/>
          </w:tcPr>
          <w:p w14:paraId="62332370"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Haemodialysis</w:t>
            </w:r>
          </w:p>
        </w:tc>
        <w:tc>
          <w:tcPr>
            <w:tcW w:w="2106" w:type="dxa"/>
            <w:tcBorders>
              <w:bottom w:val="single" w:sz="4" w:space="0" w:color="auto"/>
            </w:tcBorders>
            <w:shd w:val="clear" w:color="auto" w:fill="auto"/>
          </w:tcPr>
          <w:p w14:paraId="5EE36883"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N/A</w:t>
            </w:r>
          </w:p>
        </w:tc>
        <w:tc>
          <w:tcPr>
            <w:tcW w:w="1891" w:type="dxa"/>
            <w:tcBorders>
              <w:bottom w:val="single" w:sz="4" w:space="0" w:color="auto"/>
            </w:tcBorders>
            <w:shd w:val="clear" w:color="auto" w:fill="auto"/>
          </w:tcPr>
          <w:p w14:paraId="552D47D9" w14:textId="77777777" w:rsidR="00BC1DBA" w:rsidRPr="00BC1DBA" w:rsidRDefault="00BC1DBA" w:rsidP="00BC1DBA">
            <w:pPr>
              <w:spacing w:line="360" w:lineRule="auto"/>
              <w:jc w:val="both"/>
              <w:rPr>
                <w:rFonts w:ascii="Book Antiqua" w:hAnsi="Book Antiqua" w:cs="Times New Roman"/>
                <w:lang w:eastAsia="zh-CN"/>
              </w:rPr>
            </w:pPr>
            <w:r w:rsidRPr="00BC1DBA">
              <w:rPr>
                <w:rFonts w:ascii="Book Antiqua" w:hAnsi="Book Antiqua" w:cs="Times New Roman"/>
              </w:rPr>
              <w:t>No data available, can be considered after discussing risk and benefit and limited evidence</w:t>
            </w:r>
          </w:p>
        </w:tc>
        <w:tc>
          <w:tcPr>
            <w:tcW w:w="2384" w:type="dxa"/>
            <w:tcBorders>
              <w:bottom w:val="single" w:sz="4" w:space="0" w:color="auto"/>
            </w:tcBorders>
            <w:shd w:val="clear" w:color="auto" w:fill="auto"/>
          </w:tcPr>
          <w:p w14:paraId="452A3D01" w14:textId="77777777" w:rsidR="00BC1DBA" w:rsidRPr="00BC1DBA" w:rsidRDefault="00BC1DBA" w:rsidP="006B6363">
            <w:pPr>
              <w:spacing w:line="360" w:lineRule="auto"/>
              <w:jc w:val="both"/>
              <w:rPr>
                <w:rFonts w:ascii="Book Antiqua" w:hAnsi="Book Antiqua" w:cs="Times New Roman"/>
                <w:lang w:eastAsia="zh-CN"/>
              </w:rPr>
            </w:pPr>
            <w:r w:rsidRPr="00BC1DBA">
              <w:rPr>
                <w:rFonts w:ascii="Book Antiqua" w:hAnsi="Book Antiqua" w:cs="Times New Roman"/>
              </w:rPr>
              <w:t>A recent study of 55 patients with metastatic RCC on haemodialysis showed relative safety of sorafenib, nivolumab and atezolizumab in small subgroup of patients</w:t>
            </w:r>
            <w:r w:rsidR="006B6363" w:rsidRPr="006B6363">
              <w:rPr>
                <w:rFonts w:ascii="Book Antiqua" w:hAnsi="Book Antiqua" w:cs="Times New Roman" w:hint="eastAsia"/>
                <w:vertAlign w:val="superscript"/>
                <w:lang w:eastAsia="zh-CN"/>
              </w:rPr>
              <w:t>[33]</w:t>
            </w:r>
          </w:p>
        </w:tc>
      </w:tr>
    </w:tbl>
    <w:p w14:paraId="5AFDF8B6" w14:textId="77777777" w:rsidR="006B6363" w:rsidRPr="006B6363" w:rsidRDefault="006B6363">
      <w:pPr>
        <w:spacing w:line="360" w:lineRule="auto"/>
        <w:jc w:val="both"/>
        <w:rPr>
          <w:rFonts w:ascii="Book Antiqua" w:hAnsi="Book Antiqua"/>
          <w:lang w:eastAsia="zh-CN"/>
        </w:rPr>
      </w:pPr>
      <w:r w:rsidRPr="006B6363">
        <w:rPr>
          <w:rFonts w:ascii="Book Antiqua" w:hAnsi="Book Antiqua"/>
          <w:lang w:eastAsia="zh-CN"/>
        </w:rPr>
        <w:t>N/A: Not</w:t>
      </w:r>
      <w:r>
        <w:rPr>
          <w:rFonts w:ascii="Book Antiqua" w:hAnsi="Book Antiqua" w:hint="eastAsia"/>
          <w:lang w:eastAsia="zh-CN"/>
        </w:rPr>
        <w:t xml:space="preserve"> </w:t>
      </w:r>
      <w:r w:rsidRPr="006B6363">
        <w:rPr>
          <w:rFonts w:ascii="Book Antiqua" w:hAnsi="Book Antiqua"/>
          <w:lang w:eastAsia="zh-CN"/>
        </w:rPr>
        <w:t xml:space="preserve">applicable; HTN: </w:t>
      </w:r>
      <w:r>
        <w:rPr>
          <w:rFonts w:ascii="Book Antiqua" w:hAnsi="Book Antiqua" w:hint="eastAsia"/>
          <w:lang w:eastAsia="zh-CN"/>
        </w:rPr>
        <w:t>H</w:t>
      </w:r>
      <w:r w:rsidRPr="006B6363">
        <w:rPr>
          <w:rFonts w:ascii="Book Antiqua" w:hAnsi="Book Antiqua"/>
          <w:lang w:eastAsia="zh-CN"/>
        </w:rPr>
        <w:t xml:space="preserve">ypertension; RCC: </w:t>
      </w:r>
      <w:r>
        <w:rPr>
          <w:rFonts w:ascii="Book Antiqua" w:hAnsi="Book Antiqua" w:hint="eastAsia"/>
          <w:lang w:eastAsia="zh-CN"/>
        </w:rPr>
        <w:t>R</w:t>
      </w:r>
      <w:r w:rsidRPr="006B6363">
        <w:rPr>
          <w:rFonts w:ascii="Book Antiqua" w:hAnsi="Book Antiqua"/>
          <w:lang w:eastAsia="zh-CN"/>
        </w:rPr>
        <w:t>enal cell carcinoma</w:t>
      </w:r>
      <w:r>
        <w:rPr>
          <w:rFonts w:ascii="Book Antiqua" w:hAnsi="Book Antiqua" w:hint="eastAsia"/>
          <w:lang w:eastAsia="zh-CN"/>
        </w:rPr>
        <w:t>; HCC: H</w:t>
      </w:r>
      <w:r w:rsidRPr="00BC1DBA">
        <w:rPr>
          <w:rFonts w:ascii="Book Antiqua" w:hAnsi="Book Antiqua"/>
          <w:lang w:eastAsia="zh-CN"/>
        </w:rPr>
        <w:t>epatocellular carcinoma</w:t>
      </w:r>
      <w:r>
        <w:rPr>
          <w:rFonts w:ascii="Book Antiqua" w:hAnsi="Book Antiqua" w:hint="eastAsia"/>
          <w:lang w:eastAsia="zh-CN"/>
        </w:rPr>
        <w:t>; HIV:</w:t>
      </w:r>
      <w:r w:rsidRPr="006B6363">
        <w:t xml:space="preserve"> </w:t>
      </w:r>
      <w:r>
        <w:rPr>
          <w:rFonts w:ascii="Book Antiqua" w:hAnsi="Book Antiqua" w:hint="eastAsia"/>
          <w:lang w:eastAsia="zh-CN"/>
        </w:rPr>
        <w:t>H</w:t>
      </w:r>
      <w:r w:rsidRPr="006B6363">
        <w:rPr>
          <w:rFonts w:ascii="Book Antiqua" w:hAnsi="Book Antiqua"/>
          <w:lang w:eastAsia="zh-CN"/>
        </w:rPr>
        <w:t>uman immunodeficiency virus</w:t>
      </w:r>
      <w:r>
        <w:rPr>
          <w:rFonts w:ascii="Book Antiqua" w:hAnsi="Book Antiqua" w:hint="eastAsia"/>
          <w:lang w:eastAsia="zh-CN"/>
        </w:rPr>
        <w:t>; ICP: I</w:t>
      </w:r>
      <w:r w:rsidRPr="006B6363">
        <w:rPr>
          <w:rFonts w:ascii="Book Antiqua" w:hAnsi="Book Antiqua"/>
          <w:lang w:eastAsia="zh-CN"/>
        </w:rPr>
        <w:t>ndividualized care plan</w:t>
      </w:r>
      <w:r w:rsidR="00441B3F">
        <w:rPr>
          <w:rFonts w:ascii="Book Antiqua" w:hAnsi="Book Antiqua" w:hint="eastAsia"/>
          <w:lang w:eastAsia="zh-CN"/>
        </w:rPr>
        <w:t>.</w:t>
      </w:r>
    </w:p>
    <w:sectPr w:rsidR="006B6363" w:rsidRPr="006B6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8E55" w14:textId="77777777" w:rsidR="00034965" w:rsidRDefault="00034965" w:rsidP="000C3791">
      <w:r>
        <w:separator/>
      </w:r>
    </w:p>
  </w:endnote>
  <w:endnote w:type="continuationSeparator" w:id="0">
    <w:p w14:paraId="378149F6" w14:textId="77777777" w:rsidR="00034965" w:rsidRDefault="00034965" w:rsidP="000C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316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B8422A3" w14:textId="77777777" w:rsidR="000C3791" w:rsidRPr="000C3791" w:rsidRDefault="000C3791" w:rsidP="000C3791">
            <w:pPr>
              <w:pStyle w:val="ad"/>
              <w:jc w:val="right"/>
              <w:rPr>
                <w:rFonts w:ascii="Book Antiqua" w:hAnsi="Book Antiqua"/>
                <w:sz w:val="24"/>
                <w:szCs w:val="24"/>
              </w:rPr>
            </w:pPr>
            <w:r w:rsidRPr="000C3791">
              <w:rPr>
                <w:rFonts w:ascii="Book Antiqua" w:hAnsi="Book Antiqua"/>
                <w:sz w:val="24"/>
                <w:szCs w:val="24"/>
                <w:lang w:val="zh-CN" w:eastAsia="zh-CN"/>
              </w:rPr>
              <w:t xml:space="preserve"> </w:t>
            </w:r>
            <w:r w:rsidRPr="000C3791">
              <w:rPr>
                <w:rFonts w:ascii="Book Antiqua" w:hAnsi="Book Antiqua"/>
                <w:bCs/>
                <w:sz w:val="24"/>
                <w:szCs w:val="24"/>
              </w:rPr>
              <w:fldChar w:fldCharType="begin"/>
            </w:r>
            <w:r w:rsidRPr="000C3791">
              <w:rPr>
                <w:rFonts w:ascii="Book Antiqua" w:hAnsi="Book Antiqua"/>
                <w:bCs/>
                <w:sz w:val="24"/>
                <w:szCs w:val="24"/>
              </w:rPr>
              <w:instrText>PAGE</w:instrText>
            </w:r>
            <w:r w:rsidRPr="000C3791">
              <w:rPr>
                <w:rFonts w:ascii="Book Antiqua" w:hAnsi="Book Antiqua"/>
                <w:bCs/>
                <w:sz w:val="24"/>
                <w:szCs w:val="24"/>
              </w:rPr>
              <w:fldChar w:fldCharType="separate"/>
            </w:r>
            <w:r w:rsidR="00C5487F">
              <w:rPr>
                <w:rFonts w:ascii="Book Antiqua" w:hAnsi="Book Antiqua"/>
                <w:bCs/>
                <w:noProof/>
                <w:sz w:val="24"/>
                <w:szCs w:val="24"/>
              </w:rPr>
              <w:t>13</w:t>
            </w:r>
            <w:r w:rsidRPr="000C3791">
              <w:rPr>
                <w:rFonts w:ascii="Book Antiqua" w:hAnsi="Book Antiqua"/>
                <w:bCs/>
                <w:sz w:val="24"/>
                <w:szCs w:val="24"/>
              </w:rPr>
              <w:fldChar w:fldCharType="end"/>
            </w:r>
            <w:r w:rsidRPr="000C3791">
              <w:rPr>
                <w:rFonts w:ascii="Book Antiqua" w:hAnsi="Book Antiqua"/>
                <w:sz w:val="24"/>
                <w:szCs w:val="24"/>
                <w:lang w:val="zh-CN" w:eastAsia="zh-CN"/>
              </w:rPr>
              <w:t xml:space="preserve"> / </w:t>
            </w:r>
            <w:r w:rsidRPr="000C3791">
              <w:rPr>
                <w:rFonts w:ascii="Book Antiqua" w:hAnsi="Book Antiqua"/>
                <w:bCs/>
                <w:sz w:val="24"/>
                <w:szCs w:val="24"/>
              </w:rPr>
              <w:fldChar w:fldCharType="begin"/>
            </w:r>
            <w:r w:rsidRPr="000C3791">
              <w:rPr>
                <w:rFonts w:ascii="Book Antiqua" w:hAnsi="Book Antiqua"/>
                <w:bCs/>
                <w:sz w:val="24"/>
                <w:szCs w:val="24"/>
              </w:rPr>
              <w:instrText>NUMPAGES</w:instrText>
            </w:r>
            <w:r w:rsidRPr="000C3791">
              <w:rPr>
                <w:rFonts w:ascii="Book Antiqua" w:hAnsi="Book Antiqua"/>
                <w:bCs/>
                <w:sz w:val="24"/>
                <w:szCs w:val="24"/>
              </w:rPr>
              <w:fldChar w:fldCharType="separate"/>
            </w:r>
            <w:r w:rsidR="00C5487F">
              <w:rPr>
                <w:rFonts w:ascii="Book Antiqua" w:hAnsi="Book Antiqua"/>
                <w:bCs/>
                <w:noProof/>
                <w:sz w:val="24"/>
                <w:szCs w:val="24"/>
              </w:rPr>
              <w:t>28</w:t>
            </w:r>
            <w:r w:rsidRPr="000C3791">
              <w:rPr>
                <w:rFonts w:ascii="Book Antiqua" w:hAnsi="Book Antiqua"/>
                <w:bCs/>
                <w:sz w:val="24"/>
                <w:szCs w:val="24"/>
              </w:rPr>
              <w:fldChar w:fldCharType="end"/>
            </w:r>
          </w:p>
        </w:sdtContent>
      </w:sdt>
    </w:sdtContent>
  </w:sdt>
  <w:p w14:paraId="6731719F" w14:textId="77777777" w:rsidR="000C3791" w:rsidRPr="000C3791" w:rsidRDefault="000C3791" w:rsidP="000C3791">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606C" w14:textId="77777777" w:rsidR="00034965" w:rsidRDefault="00034965" w:rsidP="000C3791">
      <w:r>
        <w:separator/>
      </w:r>
    </w:p>
  </w:footnote>
  <w:footnote w:type="continuationSeparator" w:id="0">
    <w:p w14:paraId="3A4FF142" w14:textId="77777777" w:rsidR="00034965" w:rsidRDefault="00034965" w:rsidP="000C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965"/>
    <w:rsid w:val="00045F3E"/>
    <w:rsid w:val="0004757D"/>
    <w:rsid w:val="000C3791"/>
    <w:rsid w:val="001F1572"/>
    <w:rsid w:val="002313AB"/>
    <w:rsid w:val="003D19DA"/>
    <w:rsid w:val="00441B3F"/>
    <w:rsid w:val="00455B75"/>
    <w:rsid w:val="00487F8E"/>
    <w:rsid w:val="00546D0B"/>
    <w:rsid w:val="00580035"/>
    <w:rsid w:val="005F4451"/>
    <w:rsid w:val="00620B93"/>
    <w:rsid w:val="006815D4"/>
    <w:rsid w:val="006B6363"/>
    <w:rsid w:val="00747430"/>
    <w:rsid w:val="008B1582"/>
    <w:rsid w:val="008D4A10"/>
    <w:rsid w:val="008D776A"/>
    <w:rsid w:val="009706DC"/>
    <w:rsid w:val="009A30AF"/>
    <w:rsid w:val="00A77B3E"/>
    <w:rsid w:val="00B3305C"/>
    <w:rsid w:val="00BC1DBA"/>
    <w:rsid w:val="00BE312D"/>
    <w:rsid w:val="00C07AFE"/>
    <w:rsid w:val="00C5487F"/>
    <w:rsid w:val="00C94738"/>
    <w:rsid w:val="00CA2A55"/>
    <w:rsid w:val="00CA7249"/>
    <w:rsid w:val="00E16018"/>
    <w:rsid w:val="00E51E83"/>
    <w:rsid w:val="00EE0022"/>
    <w:rsid w:val="00F4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0E48D"/>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D19DA"/>
    <w:rPr>
      <w:sz w:val="21"/>
      <w:szCs w:val="21"/>
    </w:rPr>
  </w:style>
  <w:style w:type="paragraph" w:styleId="a4">
    <w:name w:val="annotation text"/>
    <w:basedOn w:val="a"/>
    <w:link w:val="a5"/>
    <w:rsid w:val="003D19DA"/>
  </w:style>
  <w:style w:type="character" w:customStyle="1" w:styleId="a5">
    <w:name w:val="批注文字 字符"/>
    <w:basedOn w:val="a0"/>
    <w:link w:val="a4"/>
    <w:rsid w:val="003D19DA"/>
    <w:rPr>
      <w:sz w:val="24"/>
      <w:szCs w:val="24"/>
    </w:rPr>
  </w:style>
  <w:style w:type="paragraph" w:styleId="a6">
    <w:name w:val="annotation subject"/>
    <w:basedOn w:val="a4"/>
    <w:next w:val="a4"/>
    <w:link w:val="a7"/>
    <w:rsid w:val="003D19DA"/>
    <w:rPr>
      <w:b/>
      <w:bCs/>
    </w:rPr>
  </w:style>
  <w:style w:type="character" w:customStyle="1" w:styleId="a7">
    <w:name w:val="批注主题 字符"/>
    <w:basedOn w:val="a5"/>
    <w:link w:val="a6"/>
    <w:rsid w:val="003D19DA"/>
    <w:rPr>
      <w:b/>
      <w:bCs/>
      <w:sz w:val="24"/>
      <w:szCs w:val="24"/>
    </w:rPr>
  </w:style>
  <w:style w:type="paragraph" w:styleId="a8">
    <w:name w:val="Balloon Text"/>
    <w:basedOn w:val="a"/>
    <w:link w:val="a9"/>
    <w:rsid w:val="003D19DA"/>
    <w:rPr>
      <w:sz w:val="18"/>
      <w:szCs w:val="18"/>
    </w:rPr>
  </w:style>
  <w:style w:type="character" w:customStyle="1" w:styleId="a9">
    <w:name w:val="批注框文本 字符"/>
    <w:basedOn w:val="a0"/>
    <w:link w:val="a8"/>
    <w:rsid w:val="003D19DA"/>
    <w:rPr>
      <w:sz w:val="18"/>
      <w:szCs w:val="18"/>
    </w:rPr>
  </w:style>
  <w:style w:type="table" w:styleId="aa">
    <w:name w:val="Table Grid"/>
    <w:basedOn w:val="a1"/>
    <w:uiPriority w:val="39"/>
    <w:rsid w:val="00747430"/>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C379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C3791"/>
    <w:rPr>
      <w:sz w:val="18"/>
      <w:szCs w:val="18"/>
    </w:rPr>
  </w:style>
  <w:style w:type="paragraph" w:styleId="ad">
    <w:name w:val="footer"/>
    <w:basedOn w:val="a"/>
    <w:link w:val="ae"/>
    <w:uiPriority w:val="99"/>
    <w:rsid w:val="000C3791"/>
    <w:pPr>
      <w:tabs>
        <w:tab w:val="center" w:pos="4153"/>
        <w:tab w:val="right" w:pos="8306"/>
      </w:tabs>
      <w:snapToGrid w:val="0"/>
    </w:pPr>
    <w:rPr>
      <w:sz w:val="18"/>
      <w:szCs w:val="18"/>
    </w:rPr>
  </w:style>
  <w:style w:type="character" w:customStyle="1" w:styleId="ae">
    <w:name w:val="页脚 字符"/>
    <w:basedOn w:val="a0"/>
    <w:link w:val="ad"/>
    <w:uiPriority w:val="99"/>
    <w:rsid w:val="000C37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28</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Desmond Yip</dc:creator>
  <cp:lastModifiedBy>jiaping yan</cp:lastModifiedBy>
  <cp:revision>7</cp:revision>
  <dcterms:created xsi:type="dcterms:W3CDTF">2021-08-07T11:48:00Z</dcterms:created>
  <dcterms:modified xsi:type="dcterms:W3CDTF">2021-08-09T06:23:00Z</dcterms:modified>
</cp:coreProperties>
</file>