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E843" w14:textId="6EBA912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Name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of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Journal: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color w:val="000000"/>
        </w:rPr>
        <w:t>Journal</w:t>
      </w:r>
      <w:r w:rsidR="0062350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color w:val="000000"/>
        </w:rPr>
        <w:t>of</w:t>
      </w:r>
      <w:r w:rsidR="0062350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color w:val="000000"/>
        </w:rPr>
        <w:t>Clinical</w:t>
      </w:r>
      <w:r w:rsidR="0062350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color w:val="000000"/>
        </w:rPr>
        <w:t>Cases</w:t>
      </w:r>
    </w:p>
    <w:p w14:paraId="19DF133B" w14:textId="610BD4EB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Manuscript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NO: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66955</w:t>
      </w:r>
    </w:p>
    <w:p w14:paraId="1DF17D73" w14:textId="482193F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Manuscript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Type: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ORIGINAL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ARTICLE</w:t>
      </w:r>
    </w:p>
    <w:p w14:paraId="54667566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2B4F9" w14:textId="2404792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D5BC60" w14:textId="3751854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Risk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factors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for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preoperative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carcinogenesis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of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bile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duct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cysts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in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adults</w:t>
      </w:r>
    </w:p>
    <w:p w14:paraId="3DA89BE5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71850C" w14:textId="441CC9D5" w:rsidR="00A77B3E" w:rsidRPr="00E038A2" w:rsidRDefault="000D41CF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Wu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X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2"/>
      <w:r w:rsidR="00D23000"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BDC</w:t>
      </w:r>
    </w:p>
    <w:bookmarkEnd w:id="0"/>
    <w:p w14:paraId="0609E392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6C1315" w14:textId="4EF3AB0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Xin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Wu,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Bing-Lu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Chao-Ji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Zheng,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Xiao-Dong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</w:t>
      </w:r>
    </w:p>
    <w:p w14:paraId="0124EB91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20D53C" w14:textId="44C9B606" w:rsidR="00A77B3E" w:rsidRPr="00E038A2" w:rsidRDefault="004330F8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b/>
          <w:bCs/>
          <w:color w:val="000000"/>
        </w:rPr>
        <w:t>Bing-Lu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Chao-Ji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Xiao-Dong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Department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General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Surgery,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College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Hospital,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Chinese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Academy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Sciences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College,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Beijing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100730,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China</w:t>
      </w:r>
    </w:p>
    <w:p w14:paraId="77A118E7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453DA7" w14:textId="095B19F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authors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helped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perform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research;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X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designed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performed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research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wrote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paper;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BL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designed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research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supervised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Zheng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CJ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XD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contributed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provided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advice.</w:t>
      </w:r>
    </w:p>
    <w:p w14:paraId="4D5B2F45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3150CB" w14:textId="40A3684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3502">
        <w:rPr>
          <w:rFonts w:ascii="Book Antiqua" w:eastAsia="Book Antiqua" w:hAnsi="Book Antiqua" w:cs="Book Antiqua"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Non-profit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Central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Research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Institute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Chinese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Academy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Sciences</w:t>
      </w:r>
      <w:r w:rsidR="000D41CF"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No.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2019XK320012</w:t>
      </w:r>
      <w:r w:rsidR="000D41CF" w:rsidRPr="00E038A2">
        <w:rPr>
          <w:rFonts w:ascii="Book Antiqua" w:hAnsi="Book Antiqua" w:cs="Book Antiqua"/>
          <w:color w:val="000000"/>
          <w:lang w:eastAsia="zh-CN"/>
        </w:rPr>
        <w:t>.</w:t>
      </w:r>
    </w:p>
    <w:p w14:paraId="04F556B7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0C4B39" w14:textId="3B9101A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Bing-Lu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Department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College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Chinese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Academy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Sciences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College,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District,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Beijing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100730,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China.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BF1B4A">
        <w:rPr>
          <w:rFonts w:ascii="Book Antiqua" w:eastAsia="Book Antiqua" w:hAnsi="Book Antiqua" w:cs="Book Antiqua"/>
          <w:color w:val="000000"/>
        </w:rPr>
        <w:t>pumchlibinglu@163.com</w:t>
      </w:r>
    </w:p>
    <w:p w14:paraId="19AEB203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EFCA92" w14:textId="5E2DBD2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April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11,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2021</w:t>
      </w:r>
    </w:p>
    <w:p w14:paraId="533B26B1" w14:textId="370290E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6,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2021</w:t>
      </w:r>
    </w:p>
    <w:p w14:paraId="1F484479" w14:textId="2548F0F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735B" w:rsidRPr="00C8735B">
        <w:rPr>
          <w:rFonts w:ascii="Book Antiqua" w:eastAsia="Book Antiqua" w:hAnsi="Book Antiqua" w:cs="Book Antiqua"/>
          <w:color w:val="000000"/>
        </w:rPr>
        <w:t>May 19, 2021</w:t>
      </w:r>
    </w:p>
    <w:p w14:paraId="32778636" w14:textId="7E7FD4D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E649E8F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038A2" w:rsidSect="00E466AC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239EBA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8D2A0D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BACKGROUND</w:t>
      </w:r>
    </w:p>
    <w:p w14:paraId="1C92FE74" w14:textId="44E1943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(BDC)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malformation.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markedly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population.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</w:t>
      </w:r>
      <w:r w:rsidRPr="00E038A2">
        <w:rPr>
          <w:rFonts w:ascii="Book Antiqua" w:eastAsia="Book Antiqua" w:hAnsi="Book Antiqua" w:cs="Book Antiqua"/>
          <w:color w:val="000000"/>
        </w:rPr>
        <w:t>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have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been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conducted</w:t>
      </w:r>
      <w:r w:rsidR="004C27D9" w:rsidRPr="00E038A2" w:rsidDel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on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in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4E3877CA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585D71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AIM</w:t>
      </w:r>
    </w:p>
    <w:p w14:paraId="4405A8D1" w14:textId="432DA99A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282A41EE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2FFF6E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METHODS</w:t>
      </w:r>
    </w:p>
    <w:p w14:paraId="64671319" w14:textId="2A6B977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records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January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December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constructed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database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compared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characteristics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against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those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benign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identified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analyses.</w:t>
      </w:r>
    </w:p>
    <w:p w14:paraId="615494E6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E12E33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RESULTS</w:t>
      </w:r>
    </w:p>
    <w:p w14:paraId="4DB60A8E" w14:textId="3BA9A85B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cohort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comprised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adenocarcinoma.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[</w:t>
      </w:r>
      <w:r w:rsidRPr="00E038A2">
        <w:rPr>
          <w:rFonts w:ascii="Book Antiqua" w:eastAsia="Book Antiqua" w:hAnsi="Book Antiqua" w:cs="Book Antiqua"/>
          <w:color w:val="000000"/>
        </w:rPr>
        <w:t>odds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ratio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(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0D41CF" w:rsidRPr="00E038A2">
        <w:rPr>
          <w:rFonts w:ascii="Book Antiqua" w:eastAsia="Book Antiqua" w:hAnsi="Book Antiqua" w:cs="Book Antiqua"/>
          <w:color w:val="000000"/>
        </w:rPr>
        <w:t>)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6.551;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95%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confidence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interval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(</w:t>
      </w:r>
      <w:r w:rsidRPr="00E038A2">
        <w:rPr>
          <w:rFonts w:ascii="Book Antiqua" w:eastAsia="Book Antiqua" w:hAnsi="Book Antiqua" w:cs="Book Antiqua"/>
          <w:color w:val="000000"/>
        </w:rPr>
        <w:t>CI</w:t>
      </w:r>
      <w:r w:rsidR="000D41CF" w:rsidRPr="00E038A2">
        <w:rPr>
          <w:rFonts w:ascii="Book Antiqua" w:eastAsia="Book Antiqua" w:hAnsi="Book Antiqua" w:cs="Book Antiqua"/>
          <w:color w:val="000000"/>
        </w:rPr>
        <w:t>)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1.351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31.763;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=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0.020</w:t>
      </w:r>
      <w:r w:rsidR="004C27D9" w:rsidRPr="00E038A2">
        <w:rPr>
          <w:rFonts w:ascii="Book Antiqua" w:eastAsia="Book Antiqua" w:hAnsi="Book Antiqua" w:cs="Book Antiqua"/>
          <w:color w:val="000000"/>
        </w:rPr>
        <w:t>]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</w:t>
      </w:r>
      <w:r w:rsidRPr="00E038A2">
        <w:rPr>
          <w:rFonts w:ascii="Book Antiqua" w:eastAsia="Book Antiqua" w:hAnsi="Book Antiqua" w:cs="Book Antiqua"/>
          <w:color w:val="000000"/>
        </w:rPr>
        <w:t>OR,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7.675;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95%CI,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1.584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37.192;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=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0.011)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</w:p>
    <w:p w14:paraId="5BBFD3FC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3441B0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CONCLUSION</w:t>
      </w:r>
    </w:p>
    <w:p w14:paraId="14C8E04C" w14:textId="6ADE285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condition.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findings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therefore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useful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deciding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appropriate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strategy,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especially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7951718A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7DA23C" w14:textId="7289BAC1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c</w:t>
      </w:r>
      <w:r w:rsidRPr="00E038A2">
        <w:rPr>
          <w:rFonts w:ascii="Book Antiqua" w:eastAsia="Book Antiqua" w:hAnsi="Book Antiqua" w:cs="Book Antiqua"/>
          <w:color w:val="000000"/>
        </w:rPr>
        <w:t>yst;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E038A2">
        <w:rPr>
          <w:rFonts w:ascii="Book Antiqua" w:eastAsia="Book Antiqua" w:hAnsi="Book Antiqua" w:cs="Book Antiqua"/>
          <w:color w:val="000000"/>
        </w:rPr>
        <w:t>f</w:t>
      </w:r>
      <w:r w:rsidRPr="00E038A2">
        <w:rPr>
          <w:rFonts w:ascii="Book Antiqua" w:eastAsia="Book Antiqua" w:hAnsi="Book Antiqua" w:cs="Book Antiqua"/>
          <w:color w:val="000000"/>
        </w:rPr>
        <w:t>actors;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</w:p>
    <w:p w14:paraId="22C5AF3E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E09007" w14:textId="0AB0C6B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Wu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X,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Zheng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XD.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2021;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press</w:t>
      </w:r>
    </w:p>
    <w:p w14:paraId="0602205B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A0054C" w14:textId="5FBFCC2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(BDC)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that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Asian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countries.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20-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30-fold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population.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have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been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 xml:space="preserve">conducted </w:t>
      </w:r>
      <w:r w:rsidR="004C27D9">
        <w:rPr>
          <w:rFonts w:ascii="Book Antiqua" w:eastAsia="Book Antiqua" w:hAnsi="Book Antiqua" w:cs="Book Antiqua"/>
          <w:color w:val="000000"/>
        </w:rPr>
        <w:t xml:space="preserve">on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long</w:t>
      </w:r>
      <w:r w:rsidR="004C27D9">
        <w:rPr>
          <w:rFonts w:ascii="Book Antiqua" w:eastAsia="Book Antiqua" w:hAnsi="Book Antiqua" w:cs="Book Antiqua"/>
          <w:color w:val="000000"/>
        </w:rPr>
        <w:t>-</w:t>
      </w:r>
      <w:r w:rsidRPr="00E038A2">
        <w:rPr>
          <w:rFonts w:ascii="Book Antiqua" w:eastAsia="Book Antiqua" w:hAnsi="Book Antiqua" w:cs="Book Antiqua"/>
          <w:color w:val="000000"/>
        </w:rPr>
        <w:t>term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follow-up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>ten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also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presented.</w:t>
      </w:r>
    </w:p>
    <w:p w14:paraId="7D099C44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hAnsi="Book Antiqua"/>
        </w:rPr>
        <w:br w:type="page"/>
      </w:r>
    </w:p>
    <w:p w14:paraId="4FD6BFE6" w14:textId="04B70A0F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C8CCC38" w14:textId="0813410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(BDC),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dilatation,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occur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intrahepatic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system,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extrahepatic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systematically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described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classified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1977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updated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classification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1997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women,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female-to-male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ratio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4:1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Asian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coun</w:t>
      </w:r>
      <w:r w:rsidRPr="00E038A2">
        <w:rPr>
          <w:rFonts w:ascii="Book Antiqua" w:eastAsia="Book Antiqua" w:hAnsi="Book Antiqua" w:cs="Book Antiqua"/>
          <w:color w:val="000000"/>
        </w:rPr>
        <w:t>tries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Western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countries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first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life,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around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20%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adulthood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038A2">
        <w:rPr>
          <w:rFonts w:ascii="Book Antiqua" w:eastAsia="Book Antiqua" w:hAnsi="Book Antiqua" w:cs="Book Antiqua"/>
          <w:color w:val="000000"/>
        </w:rPr>
        <w:t>.</w:t>
      </w:r>
    </w:p>
    <w:p w14:paraId="40836F3D" w14:textId="7D55ABDB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modality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plus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Roux-en-Y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hepaticojejunostomy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Liver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resection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transplantation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choices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V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symptoms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like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abdominal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pain,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jaundice,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acceptable.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necessity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timing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are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difficul</w:t>
      </w:r>
      <w:r w:rsidRPr="00E038A2">
        <w:rPr>
          <w:rFonts w:ascii="Book Antiqua" w:eastAsia="Book Antiqua" w:hAnsi="Book Antiqua" w:cs="Book Antiqua"/>
          <w:color w:val="000000"/>
        </w:rPr>
        <w:t>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choice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complications.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</w:t>
      </w:r>
      <w:r w:rsidRPr="00E038A2">
        <w:rPr>
          <w:rFonts w:ascii="Book Antiqua" w:eastAsia="Book Antiqua" w:hAnsi="Book Antiqua" w:cs="Book Antiqua"/>
          <w:color w:val="000000"/>
        </w:rPr>
        <w:t>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removal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20-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30-fold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population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6,9-11]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have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been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conducted</w:t>
      </w:r>
      <w:r w:rsidR="004C27D9" w:rsidRPr="00E038A2" w:rsidDel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on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patients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Precise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estimates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</w:t>
      </w:r>
      <w:r w:rsidRPr="00E038A2">
        <w:rPr>
          <w:rFonts w:ascii="Book Antiqua" w:eastAsia="Book Antiqua" w:hAnsi="Book Antiqua" w:cs="Book Antiqua"/>
          <w:color w:val="000000"/>
        </w:rPr>
        <w:t>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lacking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features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indications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still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unknown.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Thus,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aimed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potential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provide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deeper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understanding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determine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optimal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0D4F4A69" w14:textId="77777777" w:rsidR="00A77B3E" w:rsidRPr="00E038A2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5E64A0E" w14:textId="0C1103C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2350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2350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EB3BF7E" w14:textId="5E8D737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records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January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December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imaging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pathology,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least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years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selected,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those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undergo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records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excluded.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compiled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from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outpatient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records,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database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constructed.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demographic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characteristics,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symptoms,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laboratory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tests,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details,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prognoses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College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Institutional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Board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(S-K1483).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requirement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publication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waived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owing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nature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study.</w:t>
      </w:r>
    </w:p>
    <w:p w14:paraId="30C63EC2" w14:textId="505E6012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Stati</w:t>
      </w:r>
      <w:r w:rsidRPr="00E038A2">
        <w:rPr>
          <w:rFonts w:ascii="Book Antiqua" w:eastAsia="Book Antiqua" w:hAnsi="Book Antiqua" w:cs="Book Antiqua"/>
          <w:color w:val="000000"/>
        </w:rPr>
        <w:t>stical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analys</w:t>
      </w:r>
      <w:r w:rsidR="004C27D9">
        <w:rPr>
          <w:rFonts w:ascii="Book Antiqua" w:eastAsia="Book Antiqua" w:hAnsi="Book Antiqua" w:cs="Book Antiqua"/>
          <w:color w:val="000000"/>
        </w:rPr>
        <w:t>e</w:t>
      </w:r>
      <w:r w:rsidR="004C27D9" w:rsidRPr="00E038A2">
        <w:rPr>
          <w:rFonts w:ascii="Book Antiqua" w:eastAsia="Book Antiqua" w:hAnsi="Book Antiqua" w:cs="Book Antiqua"/>
          <w:color w:val="000000"/>
        </w:rPr>
        <w:t>s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w</w:t>
      </w:r>
      <w:r w:rsidR="004C27D9">
        <w:rPr>
          <w:rFonts w:ascii="Book Antiqua" w:eastAsia="Book Antiqua" w:hAnsi="Book Antiqua" w:cs="Book Antiqua"/>
          <w:color w:val="000000"/>
        </w:rPr>
        <w:t xml:space="preserve">ere </w:t>
      </w:r>
      <w:r w:rsidRPr="00E038A2">
        <w:rPr>
          <w:rFonts w:ascii="Book Antiqua" w:eastAsia="Book Antiqua" w:hAnsi="Book Antiqua" w:cs="Book Antiqua"/>
          <w:color w:val="000000"/>
        </w:rPr>
        <w:t>performed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Statistical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Package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Social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Sciences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software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(version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25.0,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IBM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Corp,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Armonk,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E038A2">
        <w:rPr>
          <w:rFonts w:ascii="Book Antiqua" w:eastAsia="Book Antiqua" w:hAnsi="Book Antiqua" w:cs="Book Antiqua"/>
          <w:color w:val="000000"/>
        </w:rPr>
        <w:t>United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E038A2">
        <w:rPr>
          <w:rFonts w:ascii="Book Antiqua" w:eastAsia="Book Antiqua" w:hAnsi="Book Antiqua" w:cs="Book Antiqua"/>
          <w:color w:val="000000"/>
        </w:rPr>
        <w:t>States</w:t>
      </w:r>
      <w:r w:rsidRPr="00E038A2">
        <w:rPr>
          <w:rFonts w:ascii="Book Antiqua" w:eastAsia="Book Antiqua" w:hAnsi="Book Antiqua" w:cs="Book Antiqua"/>
          <w:color w:val="000000"/>
        </w:rPr>
        <w:t>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Continuous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variables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are </w:t>
      </w:r>
      <w:r w:rsidRPr="00E038A2">
        <w:rPr>
          <w:rFonts w:ascii="Book Antiqua" w:eastAsia="Book Antiqua" w:hAnsi="Book Antiqua" w:cs="Book Antiqua"/>
          <w:color w:val="000000"/>
        </w:rPr>
        <w:t>presented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the </w:t>
      </w:r>
      <w:r w:rsidRPr="00E038A2">
        <w:rPr>
          <w:rFonts w:ascii="Book Antiqua" w:eastAsia="Book Antiqua" w:hAnsi="Book Antiqua" w:cs="Book Antiqua"/>
          <w:color w:val="000000"/>
        </w:rPr>
        <w:t>mean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±</w:t>
      </w:r>
      <w:r w:rsidR="00623502">
        <w:rPr>
          <w:rFonts w:ascii="Book Antiqua" w:eastAsia="Book Antiqua" w:hAnsi="Book Antiqua" w:cs="Book Antiqua"/>
          <w:color w:val="000000"/>
        </w:rPr>
        <w:t xml:space="preserve"> SD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were </w:t>
      </w:r>
      <w:r w:rsidRPr="00E038A2">
        <w:rPr>
          <w:rFonts w:ascii="Book Antiqua" w:eastAsia="Book Antiqua" w:hAnsi="Book Antiqua" w:cs="Book Antiqua"/>
          <w:color w:val="000000"/>
        </w:rPr>
        <w:t>analyzed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Student’s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test.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Categorical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variables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are </w:t>
      </w:r>
      <w:r w:rsidRPr="00E038A2">
        <w:rPr>
          <w:rFonts w:ascii="Book Antiqua" w:eastAsia="Book Antiqua" w:hAnsi="Book Antiqua" w:cs="Book Antiqua"/>
          <w:color w:val="000000"/>
        </w:rPr>
        <w:t>shown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absolute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frequency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were </w:t>
      </w:r>
      <w:r w:rsidRPr="00E038A2">
        <w:rPr>
          <w:rFonts w:ascii="Book Antiqua" w:eastAsia="Book Antiqua" w:hAnsi="Book Antiqua" w:cs="Book Antiqua"/>
          <w:color w:val="000000"/>
        </w:rPr>
        <w:t>analyzed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800A67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Fisher’s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exact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appropriate.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Logistic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regression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performed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identify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potential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E038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value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&lt;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0.05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considered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statistically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significant.</w:t>
      </w:r>
    </w:p>
    <w:p w14:paraId="4062673A" w14:textId="77777777" w:rsidR="00A77B3E" w:rsidRPr="00E038A2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A1EF23E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03FE3A8" w14:textId="6787A4AB" w:rsidR="00A77B3E" w:rsidRPr="00E038A2" w:rsidRDefault="004C27D9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total 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129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institution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during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period,</w:t>
      </w:r>
      <w:r>
        <w:rPr>
          <w:rFonts w:ascii="Book Antiqua" w:eastAsia="Book Antiqua" w:hAnsi="Book Antiqua" w:cs="Book Antiqua"/>
          <w:color w:val="000000"/>
        </w:rPr>
        <w:t xml:space="preserve"> 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excluded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who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did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undergo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severe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underlying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disease.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Thus,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cohort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comprised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109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BDC,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further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divided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two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groups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based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pathology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results: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Pr="00E038A2">
        <w:rPr>
          <w:rFonts w:ascii="Book Antiqua" w:eastAsia="Book Antiqua" w:hAnsi="Book Antiqua" w:cs="Book Antiqua"/>
          <w:color w:val="000000"/>
        </w:rPr>
        <w:t>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comprised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benign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pathology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</w:t>
      </w:r>
      <w:r w:rsidR="00D23000" w:rsidRPr="00E038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=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99),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while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comprised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</w:t>
      </w:r>
      <w:r w:rsidR="00D23000" w:rsidRPr="00E038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=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10).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dysplasia/carcinoma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9.2%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(10/109).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demographic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characteristics,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symptoms,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laboratory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tests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shown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significant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difference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two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groups.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mean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admission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40.4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±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15.0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years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(range,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18-80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years),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male-to-female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ratio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1:4.7.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lastRenderedPageBreak/>
        <w:t>Abdominal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(82.6%)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most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common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symptom,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followed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fever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(26.6%)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jaundice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(12.8%).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Abnormal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pancreatic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confirmed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(50.5%)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endosco</w:t>
      </w:r>
      <w:r w:rsidR="00D23000" w:rsidRPr="00E038A2">
        <w:rPr>
          <w:rFonts w:ascii="Book Antiqua" w:eastAsia="Book Antiqua" w:hAnsi="Book Antiqua" w:cs="Book Antiqua"/>
          <w:color w:val="000000"/>
        </w:rPr>
        <w:t>pic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retrograde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cholangiopancreatography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magnetic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resonance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cholangiopancreatography.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Stratified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also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conducted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further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analyze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correlation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dysplasia/carcinoma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rates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(Table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2).</w:t>
      </w:r>
    </w:p>
    <w:p w14:paraId="1E0D612D" w14:textId="0074817E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imaging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pathology.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details,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classification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</w:t>
      </w:r>
      <w:r w:rsidRPr="00E038A2">
        <w:rPr>
          <w:rFonts w:ascii="Book Antiqua" w:eastAsia="Book Antiqua" w:hAnsi="Book Antiqua" w:cs="Book Antiqua"/>
          <w:color w:val="000000"/>
        </w:rPr>
        <w:t>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transverse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diameter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significantly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>g</w:t>
      </w:r>
      <w:r w:rsidR="004C27D9" w:rsidRPr="00E038A2">
        <w:rPr>
          <w:rFonts w:ascii="Book Antiqua" w:eastAsia="Book Antiqua" w:hAnsi="Book Antiqua" w:cs="Book Antiqua"/>
          <w:color w:val="000000"/>
        </w:rPr>
        <w:t>roup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>g</w:t>
      </w:r>
      <w:r w:rsidR="004C27D9" w:rsidRPr="00E038A2">
        <w:rPr>
          <w:rFonts w:ascii="Book Antiqua" w:eastAsia="Book Antiqua" w:hAnsi="Book Antiqua" w:cs="Book Antiqua"/>
          <w:color w:val="000000"/>
        </w:rPr>
        <w:t>roup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logistic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regression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that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odds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ratios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6.551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7.675,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respectively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>i</w:t>
      </w:r>
      <w:r w:rsidR="004C27D9" w:rsidRPr="00E038A2">
        <w:rPr>
          <w:rFonts w:ascii="Book Antiqua" w:eastAsia="Book Antiqua" w:hAnsi="Book Antiqua" w:cs="Book Antiqua"/>
          <w:color w:val="000000"/>
        </w:rPr>
        <w:t>s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Figure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1.</w:t>
      </w:r>
    </w:p>
    <w:p w14:paraId="0255B738" w14:textId="0625F335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December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2020,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97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(89.0%)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 xml:space="preserve">patients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mean</w:t>
      </w:r>
      <w:r w:rsidR="004C27D9">
        <w:rPr>
          <w:rFonts w:ascii="Book Antiqua" w:eastAsia="Book Antiqua" w:hAnsi="Book Antiqua" w:cs="Book Antiqua"/>
          <w:color w:val="000000"/>
        </w:rPr>
        <w:t xml:space="preserve"> duration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59.7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±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24.6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(range,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6-102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).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observed.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nine </w:t>
      </w:r>
      <w:r w:rsidRPr="00E038A2">
        <w:rPr>
          <w:rFonts w:ascii="Book Antiqua" w:eastAsia="Book Antiqua" w:hAnsi="Book Antiqua" w:cs="Book Antiqua"/>
          <w:color w:val="000000"/>
        </w:rPr>
        <w:t>out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ten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</w:t>
      </w:r>
      <w:r w:rsidRPr="00E038A2">
        <w:rPr>
          <w:rFonts w:ascii="Book Antiqua" w:eastAsia="Book Antiqua" w:hAnsi="Book Antiqua" w:cs="Book Antiqua"/>
          <w:color w:val="000000"/>
        </w:rPr>
        <w:t>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detailed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features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5.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total,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respectively.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</w:t>
      </w:r>
      <w:r w:rsidRPr="00E038A2">
        <w:rPr>
          <w:rFonts w:ascii="Book Antiqua" w:eastAsia="Book Antiqua" w:hAnsi="Book Antiqua" w:cs="Book Antiqua"/>
          <w:color w:val="000000"/>
        </w:rPr>
        <w:t>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five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adenocarcinoma.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longest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follow</w:t>
      </w:r>
      <w:r w:rsidR="004C27D9">
        <w:rPr>
          <w:rFonts w:ascii="Book Antiqua" w:eastAsia="Book Antiqua" w:hAnsi="Book Antiqua" w:cs="Book Antiqua"/>
          <w:color w:val="000000"/>
        </w:rPr>
        <w:t>-</w:t>
      </w:r>
      <w:r w:rsidRPr="00E038A2">
        <w:rPr>
          <w:rFonts w:ascii="Book Antiqua" w:eastAsia="Book Antiqua" w:hAnsi="Book Antiqua" w:cs="Book Antiqua"/>
          <w:color w:val="000000"/>
        </w:rPr>
        <w:t>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time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81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</w:t>
      </w:r>
      <w:r w:rsidRPr="00E038A2">
        <w:rPr>
          <w:rFonts w:ascii="Book Antiqua" w:eastAsia="Book Antiqua" w:hAnsi="Book Antiqua" w:cs="Book Antiqua"/>
          <w:color w:val="000000"/>
        </w:rPr>
        <w:t>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remains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date.</w:t>
      </w:r>
    </w:p>
    <w:p w14:paraId="2D6297D7" w14:textId="77777777" w:rsidR="00A77B3E" w:rsidRPr="00E038A2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A67EB4D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FBAAB6F" w14:textId="7912589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worldwide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the </w:t>
      </w:r>
      <w:r w:rsidRPr="00E038A2">
        <w:rPr>
          <w:rFonts w:ascii="Book Antiqua" w:eastAsia="Book Antiqua" w:hAnsi="Book Antiqua" w:cs="Book Antiqua"/>
          <w:color w:val="000000"/>
        </w:rPr>
        <w:t>widespread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health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screening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impr</w:t>
      </w:r>
      <w:r w:rsidRPr="00E038A2">
        <w:rPr>
          <w:rFonts w:ascii="Book Antiqua" w:eastAsia="Book Antiqua" w:hAnsi="Book Antiqua" w:cs="Book Antiqua"/>
          <w:color w:val="000000"/>
        </w:rPr>
        <w:t>ovements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noninvasive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imaging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Approximately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10%-30%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develop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carcinoma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9,17,18]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first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neoplastic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Irwin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49E9"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49E9" w:rsidRPr="00E038A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1944.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tumor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arise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undilated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remnant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tissue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after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entirely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different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mainly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abnormal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confluent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juice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erode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epithelium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BD0782" w:rsidRPr="00E038A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problem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resolved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after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drainage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separated.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Meanwhile,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primarily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recurrent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cholangitis,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which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avoided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dissection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focused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</w:p>
    <w:p w14:paraId="774F9F95" w14:textId="173B8B97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observed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esophageal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progression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involves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simple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hyperplasia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ultimately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leads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invasive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carcinoma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23-26]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related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epi</w:t>
      </w:r>
      <w:r w:rsidRPr="00E038A2">
        <w:rPr>
          <w:rFonts w:ascii="Book Antiqua" w:eastAsia="Book Antiqua" w:hAnsi="Book Antiqua" w:cs="Book Antiqua"/>
          <w:color w:val="000000"/>
        </w:rPr>
        <w:t>thelium</w:t>
      </w:r>
      <w:r w:rsidR="004C27D9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further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clarify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determin</w:t>
      </w:r>
      <w:r w:rsidR="004C27D9">
        <w:rPr>
          <w:rFonts w:ascii="Book Antiqua" w:eastAsia="Book Antiqua" w:hAnsi="Book Antiqua" w:cs="Book Antiqua"/>
          <w:color w:val="000000"/>
        </w:rPr>
        <w:t xml:space="preserve">e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optimal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modality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given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need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based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developing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malignancy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meta-analysis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7.3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%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(9.2%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4.6%,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respectively)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consistent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th</w:t>
      </w:r>
      <w:r w:rsidR="004C27D9">
        <w:rPr>
          <w:rFonts w:ascii="Book Antiqua" w:eastAsia="Book Antiqua" w:hAnsi="Book Antiqua" w:cs="Book Antiqua"/>
          <w:color w:val="000000"/>
        </w:rPr>
        <w:t xml:space="preserve">ose reported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literature.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Several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previous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identified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potential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BDC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14,26,29]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Although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variables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presented,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results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still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controversial.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examined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dysplasia/carcinoma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several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variables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characteristics,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>Alt</w:t>
      </w:r>
      <w:r w:rsidR="004C27D9" w:rsidRPr="00E038A2">
        <w:rPr>
          <w:rFonts w:ascii="Book Antiqua" w:eastAsia="Book Antiqua" w:hAnsi="Book Antiqua" w:cs="Book Antiqua"/>
          <w:color w:val="000000"/>
        </w:rPr>
        <w:t>hough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modality,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always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achievable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especially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widespread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intrahepatic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to </w:t>
      </w:r>
      <w:r w:rsidRPr="00E038A2">
        <w:rPr>
          <w:rFonts w:ascii="Book Antiqua" w:eastAsia="Book Antiqua" w:hAnsi="Book Antiqua" w:cs="Book Antiqua"/>
          <w:color w:val="000000"/>
        </w:rPr>
        <w:t>remove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possible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E038A2">
        <w:rPr>
          <w:rFonts w:ascii="Book Antiqua" w:eastAsia="Book Antiqua" w:hAnsi="Book Antiqua" w:cs="Book Antiqua"/>
          <w:color w:val="000000"/>
        </w:rPr>
        <w:t>rebuil</w:t>
      </w:r>
      <w:r w:rsidR="004C27D9">
        <w:rPr>
          <w:rFonts w:ascii="Book Antiqua" w:eastAsia="Book Antiqua" w:hAnsi="Book Antiqua" w:cs="Book Antiqua"/>
          <w:color w:val="000000"/>
        </w:rPr>
        <w:t xml:space="preserve">d </w:t>
      </w:r>
      <w:r w:rsidRPr="00E038A2">
        <w:rPr>
          <w:rFonts w:ascii="Book Antiqua" w:eastAsia="Book Antiqua" w:hAnsi="Book Antiqua" w:cs="Book Antiqua"/>
          <w:color w:val="000000"/>
        </w:rPr>
        <w:t>proper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</w:t>
      </w:r>
      <w:r w:rsidR="004C27D9">
        <w:rPr>
          <w:rFonts w:ascii="Book Antiqua" w:eastAsia="Book Antiqua" w:hAnsi="Book Antiqua" w:cs="Book Antiqua"/>
          <w:color w:val="000000"/>
        </w:rPr>
        <w:t xml:space="preserve"> b</w:t>
      </w:r>
      <w:r w:rsidR="004C27D9" w:rsidRPr="00E038A2">
        <w:rPr>
          <w:rFonts w:ascii="Book Antiqua" w:eastAsia="Book Antiqua" w:hAnsi="Book Antiqua" w:cs="Book Antiqua"/>
          <w:color w:val="000000"/>
        </w:rPr>
        <w:t>ecause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critical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determining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outcomes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BDC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Xia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2350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incomplete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significant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difference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terms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long-term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function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postoperative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complications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IVa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flow.</w:t>
      </w:r>
    </w:p>
    <w:p w14:paraId="44AA044D" w14:textId="7083F271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leads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K-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ras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mutations,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cellular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atypia,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overexpression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p53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encoding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protein,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heterozygosity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p53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molecular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level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30-33]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mutations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transformation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Concurrently,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metaplastic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epithelium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considered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lesions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progress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carcinoma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frequently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observed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explain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previous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also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the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080536">
        <w:rPr>
          <w:rFonts w:ascii="Book Antiqua" w:eastAsia="Book Antiqua" w:hAnsi="Book Antiqua" w:cs="Book Antiqua"/>
          <w:color w:val="000000"/>
        </w:rPr>
        <w:t xml:space="preserve">a </w:t>
      </w:r>
      <w:r w:rsidRPr="00E038A2">
        <w:rPr>
          <w:rFonts w:ascii="Book Antiqua" w:eastAsia="Book Antiqua" w:hAnsi="Book Antiqua" w:cs="Book Antiqua"/>
          <w:color w:val="000000"/>
        </w:rPr>
        <w:t>predictor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mucosal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transformation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cholangiocarcinoma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varies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different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having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transformation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D0782" w:rsidRPr="00E038A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9,14]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strongly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abnormal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pancreaticobiliary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junction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26,36]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Prolonged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reflux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secretions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degeneration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epithelium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4C27D9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difference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findings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those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4C27D9">
        <w:rPr>
          <w:rFonts w:ascii="Book Antiqua" w:eastAsia="Book Antiqua" w:hAnsi="Book Antiqua" w:cs="Book Antiqua"/>
          <w:color w:val="000000"/>
        </w:rPr>
        <w:t xml:space="preserve">the </w:t>
      </w:r>
      <w:r w:rsidRPr="00E038A2">
        <w:rPr>
          <w:rFonts w:ascii="Book Antiqua" w:eastAsia="Book Antiqua" w:hAnsi="Book Antiqua" w:cs="Book Antiqua"/>
          <w:color w:val="000000"/>
        </w:rPr>
        <w:t>literature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mig</w:t>
      </w:r>
      <w:r w:rsidRPr="00E038A2">
        <w:rPr>
          <w:rFonts w:ascii="Book Antiqua" w:eastAsia="Book Antiqua" w:hAnsi="Book Antiqua" w:cs="Book Antiqua"/>
          <w:color w:val="000000"/>
        </w:rPr>
        <w:t>ht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caused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limited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study.</w:t>
      </w:r>
    </w:p>
    <w:p w14:paraId="4973CA79" w14:textId="318EB428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consistently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9,12,13]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particularly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presentation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relationship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</w:t>
      </w:r>
      <w:r w:rsidRPr="00E038A2">
        <w:rPr>
          <w:rFonts w:ascii="Book Antiqua" w:eastAsia="Book Antiqua" w:hAnsi="Book Antiqua" w:cs="Book Antiqua"/>
          <w:color w:val="000000"/>
        </w:rPr>
        <w:t>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(Table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following</w:t>
      </w:r>
      <w:r w:rsidR="004C27D9">
        <w:rPr>
          <w:rFonts w:ascii="Book Antiqua" w:eastAsia="Book Antiqua" w:hAnsi="Book Antiqua" w:cs="Book Antiqua"/>
          <w:color w:val="000000"/>
        </w:rPr>
        <w:t xml:space="preserve">: </w:t>
      </w:r>
      <w:r w:rsidRPr="00E038A2">
        <w:rPr>
          <w:rFonts w:ascii="Book Antiqua" w:eastAsia="Book Antiqua" w:hAnsi="Book Antiqua" w:cs="Book Antiqua"/>
          <w:color w:val="000000"/>
        </w:rPr>
        <w:t>First,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reported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age-dependent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tumors,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calculated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Second,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popularity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health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examination,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young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increasing,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older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decreasing.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Third,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sample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size,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particularly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limited,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possibility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selection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ruled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out.</w:t>
      </w:r>
    </w:p>
    <w:p w14:paraId="7A2B6F40" w14:textId="7C5E61C8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women.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reason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women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Further,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molecular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level,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estrogen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receptor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expression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epithelium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found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neoplas</w:t>
      </w:r>
      <w:r w:rsidRPr="00E038A2">
        <w:rPr>
          <w:rFonts w:ascii="Book Antiqua" w:eastAsia="Book Antiqua" w:hAnsi="Book Antiqua" w:cs="Book Antiqua"/>
          <w:color w:val="000000"/>
        </w:rPr>
        <w:t>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changes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87920">
        <w:rPr>
          <w:rFonts w:ascii="Book Antiqua" w:eastAsia="Book Antiqua" w:hAnsi="Book Antiqua" w:cs="Book Antiqua"/>
          <w:color w:val="000000"/>
        </w:rPr>
        <w:t xml:space="preserve">ten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87920">
        <w:rPr>
          <w:rFonts w:ascii="Book Antiqua" w:eastAsia="Book Antiqua" w:hAnsi="Book Antiqua" w:cs="Book Antiqua"/>
          <w:color w:val="000000"/>
        </w:rPr>
        <w:t>nine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survival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time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49.2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±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21.5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87920">
        <w:rPr>
          <w:rFonts w:ascii="Book Antiqua" w:eastAsia="Book Antiqua" w:hAnsi="Book Antiqua" w:cs="Book Antiqua"/>
          <w:color w:val="000000"/>
        </w:rPr>
        <w:t>seven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still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aliv</w:t>
      </w:r>
      <w:r w:rsidRPr="00E038A2">
        <w:rPr>
          <w:rFonts w:ascii="Book Antiqua" w:eastAsia="Book Antiqua" w:hAnsi="Book Antiqua" w:cs="Book Antiqua"/>
          <w:color w:val="000000"/>
        </w:rPr>
        <w:t>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follow-up.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prognosis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markedly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38A2">
        <w:rPr>
          <w:rFonts w:ascii="Book Antiqua" w:eastAsia="Book Antiqua" w:hAnsi="Book Antiqua" w:cs="Book Antiqua"/>
          <w:color w:val="000000"/>
        </w:rPr>
        <w:t>literature</w:t>
      </w:r>
      <w:r w:rsidRPr="00E038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38A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because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but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also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those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also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included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Another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possible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reason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exclusion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severe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underlying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improvement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overall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outcomes.</w:t>
      </w:r>
    </w:p>
    <w:p w14:paraId="6F57EEA5" w14:textId="0DF1A041" w:rsidR="00A77B3E" w:rsidRPr="00E038A2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limitations.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First,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registration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designated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advance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nature.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Second,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confined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single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institution,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limited.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Given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number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increasing,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prospective,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observational,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controlled,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multi-center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trials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needed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identify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reliable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BDC.</w:t>
      </w:r>
    </w:p>
    <w:p w14:paraId="1B6B2EA6" w14:textId="77777777" w:rsidR="00A77B3E" w:rsidRPr="00E038A2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9E94FC5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6A644FC" w14:textId="0E9E7BA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malformation.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Prophylactic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but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accepted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Precise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estimates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lacking.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findings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B87920">
        <w:rPr>
          <w:rFonts w:ascii="Book Antiqua" w:eastAsia="Book Antiqua" w:hAnsi="Book Antiqua" w:cs="Book Antiqua"/>
          <w:color w:val="000000"/>
        </w:rPr>
        <w:t xml:space="preserve">are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valuable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choosing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appropriate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strategy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33B13A4F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16BC78" w14:textId="4B574F3F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2350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0492448" w14:textId="5093496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101AC15" w14:textId="2015E85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</w:t>
      </w:r>
      <w:r w:rsidRPr="00E038A2">
        <w:rPr>
          <w:rFonts w:ascii="Book Antiqua" w:eastAsia="Book Antiqua" w:hAnsi="Book Antiqua" w:cs="Book Antiqua"/>
          <w:color w:val="000000"/>
        </w:rPr>
        <w:t>nded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modality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(BDC)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high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However,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E038A2">
        <w:rPr>
          <w:rFonts w:ascii="Book Antiqua" w:eastAsia="Book Antiqua" w:hAnsi="Book Antiqua" w:cs="Book Antiqua"/>
          <w:color w:val="000000"/>
        </w:rPr>
        <w:t>have</w:t>
      </w:r>
      <w:r w:rsidR="00751F88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E038A2">
        <w:rPr>
          <w:rFonts w:ascii="Book Antiqua" w:eastAsia="Book Antiqua" w:hAnsi="Book Antiqua" w:cs="Book Antiqua"/>
          <w:color w:val="000000"/>
        </w:rPr>
        <w:t>been</w:t>
      </w:r>
      <w:r w:rsidR="00751F88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E038A2">
        <w:rPr>
          <w:rFonts w:ascii="Book Antiqua" w:eastAsia="Book Antiqua" w:hAnsi="Book Antiqua" w:cs="Book Antiqua"/>
          <w:color w:val="000000"/>
        </w:rPr>
        <w:t xml:space="preserve">conducted </w:t>
      </w:r>
      <w:r w:rsidR="00751F88">
        <w:rPr>
          <w:rFonts w:ascii="Book Antiqua" w:eastAsia="Book Antiqua" w:hAnsi="Book Antiqua" w:cs="Book Antiqua"/>
          <w:color w:val="000000"/>
        </w:rPr>
        <w:t xml:space="preserve">on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583377DF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A8279" w14:textId="5146EE4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1BC3B57" w14:textId="24CE4755" w:rsidR="00A77B3E" w:rsidRPr="00E038A2" w:rsidRDefault="00751F88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 f</w:t>
      </w:r>
      <w:r w:rsidRPr="00E038A2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out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patient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features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indications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surgery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provide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better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E038A2">
        <w:rPr>
          <w:rFonts w:ascii="Book Antiqua" w:eastAsia="Book Antiqua" w:hAnsi="Book Antiqua" w:cs="Book Antiqua"/>
          <w:color w:val="000000"/>
        </w:rPr>
        <w:t>recommendation.</w:t>
      </w:r>
    </w:p>
    <w:p w14:paraId="0D3D5B37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E101F5" w14:textId="2B71331B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414D797" w14:textId="6A22BBD8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4E9F8F8D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52E9F0" w14:textId="34FAD06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9E59499" w14:textId="25DA57F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included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between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January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December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database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containing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demographic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characteristics,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symptoms,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laboratory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tests,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details,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prognoses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constructed.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characteristics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dysplasia/carcinoma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compared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benign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analyze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</w:p>
    <w:p w14:paraId="37828773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326C3" w14:textId="149D737A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942D478" w14:textId="7739B1F1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included.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adenocarcinoma.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transverse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diameter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Multivariate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logistic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regression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E038A2">
        <w:rPr>
          <w:rFonts w:ascii="Book Antiqua" w:eastAsia="Book Antiqua" w:hAnsi="Book Antiqua" w:cs="Book Antiqua"/>
          <w:color w:val="000000"/>
        </w:rPr>
        <w:t>follow</w:t>
      </w:r>
      <w:r w:rsidR="00751F88">
        <w:rPr>
          <w:rFonts w:ascii="Book Antiqua" w:eastAsia="Book Antiqua" w:hAnsi="Book Antiqua" w:cs="Book Antiqua"/>
          <w:color w:val="000000"/>
        </w:rPr>
        <w:t>-</w:t>
      </w:r>
      <w:r w:rsidRPr="00E038A2">
        <w:rPr>
          <w:rFonts w:ascii="Book Antiqua" w:eastAsia="Book Antiqua" w:hAnsi="Book Antiqua" w:cs="Book Antiqua"/>
          <w:color w:val="000000"/>
        </w:rPr>
        <w:t>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751F88">
        <w:rPr>
          <w:rFonts w:ascii="Book Antiqua" w:eastAsia="Book Antiqua" w:hAnsi="Book Antiqua" w:cs="Book Antiqua"/>
          <w:color w:val="000000"/>
        </w:rPr>
        <w:t xml:space="preserve">ten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dysplasia/carcinoma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presented.</w:t>
      </w:r>
    </w:p>
    <w:p w14:paraId="33DDB9F7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33FF50" w14:textId="2D236A8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D67DF2" w14:textId="44D6AAD8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BDC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condition.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thickness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&gt;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0.3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independent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</w:p>
    <w:p w14:paraId="2CAA9D9C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6D2458" w14:textId="0F33F6C1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E18000F" w14:textId="4621C66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two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useful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deciding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appropriate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strategy,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especially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asymptomatic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patients.</w:t>
      </w:r>
    </w:p>
    <w:p w14:paraId="79C73336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490E1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C370817" w14:textId="355891C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We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wish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colleagues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Department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Records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their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cooperation.</w:t>
      </w:r>
    </w:p>
    <w:p w14:paraId="763E39F6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4289E1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B04BCA" w14:textId="349FFF70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32"/>
      <w:r w:rsidRPr="00E038A2">
        <w:rPr>
          <w:rFonts w:ascii="Book Antiqua" w:eastAsia="Book Antiqua" w:hAnsi="Book Antiqua" w:cs="Book Antiqua"/>
          <w:color w:val="000000"/>
        </w:rPr>
        <w:t>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Watanabe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Narusue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Tabuchi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Okajima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Classification,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procedures,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thirty-seven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including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arising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from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1977;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263-269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889044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10.1016/0002-9610(77)90359-2]</w:t>
      </w:r>
    </w:p>
    <w:p w14:paraId="19585010" w14:textId="2875A8C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2350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800A67">
        <w:rPr>
          <w:rFonts w:ascii="Book Antiqua" w:eastAsia="Book Antiqua" w:hAnsi="Book Antiqua" w:cs="Book Antiqua"/>
          <w:bCs/>
          <w:color w:val="000000"/>
        </w:rPr>
        <w:t>Congenital</w:t>
      </w:r>
      <w:r w:rsidR="006235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0A67">
        <w:rPr>
          <w:rFonts w:ascii="Book Antiqua" w:eastAsia="Book Antiqua" w:hAnsi="Book Antiqua" w:cs="Book Antiqua"/>
          <w:bCs/>
          <w:color w:val="000000"/>
        </w:rPr>
        <w:t>choledochal</w:t>
      </w:r>
      <w:r w:rsidR="006235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0A67">
        <w:rPr>
          <w:rFonts w:ascii="Book Antiqua" w:eastAsia="Book Antiqua" w:hAnsi="Book Antiqua" w:cs="Book Antiqua"/>
          <w:bCs/>
          <w:color w:val="000000"/>
        </w:rPr>
        <w:t>dilatation:</w:t>
      </w:r>
      <w:r w:rsidR="006235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00A67">
        <w:rPr>
          <w:rFonts w:ascii="Book Antiqua" w:eastAsia="Book Antiqua" w:hAnsi="Book Antiqua" w:cs="Book Antiqua"/>
          <w:bCs/>
          <w:color w:val="000000"/>
        </w:rPr>
        <w:t>classification,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features,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long-term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results.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1997;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276-282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10.1007/BF02489025]</w:t>
      </w:r>
    </w:p>
    <w:p w14:paraId="6C043AD2" w14:textId="1D577C9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lastRenderedPageBreak/>
        <w:t>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Watanabe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Toki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Morotomi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Classification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special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reference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Ic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IVA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primary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stricture.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340-344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14598133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10.1007/s00534-002-0733-7]</w:t>
      </w:r>
    </w:p>
    <w:p w14:paraId="79516F4A" w14:textId="502FBA00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Atkinson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HD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Fischer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CP,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Parks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Garden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OJ.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their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complications.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105-110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18332966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10.1080/13651820310001144]</w:t>
      </w:r>
    </w:p>
    <w:p w14:paraId="44276464" w14:textId="635452D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Akaraviputh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Boonnuch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Watanapa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Lert-Akayamanee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Lohsiriwat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management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Thai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939-943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16241023]</w:t>
      </w:r>
    </w:p>
    <w:p w14:paraId="36432992" w14:textId="5F03261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Mabrut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Bozio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Hubert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Gigot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JF.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Management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2010;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12-18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20357446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10.1159/000268109]</w:t>
      </w:r>
    </w:p>
    <w:p w14:paraId="499E8654" w14:textId="3A39651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YY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MF.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2000;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337-340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10791183]</w:t>
      </w:r>
    </w:p>
    <w:p w14:paraId="61941882" w14:textId="1A443E38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Zeng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JP.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Selection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approach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290-297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25373703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10.1007/s11605-014-2684-0]</w:t>
      </w:r>
    </w:p>
    <w:p w14:paraId="097D24D2" w14:textId="0132BA1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Söreide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Körner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Havnen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Söreide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1538-1548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15549778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10.1002/bjs.4815]</w:t>
      </w:r>
    </w:p>
    <w:p w14:paraId="20FA4DDB" w14:textId="74D49D3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Kamisawa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Okamoto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Tsuruta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Tu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arising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2008;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329-332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18613359]</w:t>
      </w:r>
    </w:p>
    <w:p w14:paraId="3D897B90" w14:textId="739881B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Morine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Shimada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Takamatsu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Araida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Endo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Kubota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Toki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Matsumura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Miyakawa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Ishibashi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Kamisawa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Shimada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features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update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Japan-nationwide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survey.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472-480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23579999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10.1007/s00534-013-0606-2]</w:t>
      </w:r>
    </w:p>
    <w:p w14:paraId="5E561535" w14:textId="6F8672C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lastRenderedPageBreak/>
        <w:t>12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XD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Q,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Qu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Q,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BL,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214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819-826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25332269]</w:t>
      </w:r>
    </w:p>
    <w:p w14:paraId="2778808D" w14:textId="0CD25CA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Sastry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Abbadessa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Wayne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Steele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Cooperman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AM.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develop,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affect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management?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487-492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25322698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10.1007/s00268-014-2831-5]</w:t>
      </w:r>
    </w:p>
    <w:p w14:paraId="54E86315" w14:textId="03F9099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Ten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Hove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Meijer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Hulscher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JBF,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RHJ.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Meta-analysis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developing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malformation.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482-490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29480528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10.1002/bjs.10798]</w:t>
      </w:r>
    </w:p>
    <w:p w14:paraId="722E0FDE" w14:textId="0C1B056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Dhupar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Gulack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Geller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Marsh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Gamblin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TC.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presentation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incidental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2009;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2009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103739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19841688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10.1155/2009/103739]</w:t>
      </w:r>
    </w:p>
    <w:p w14:paraId="6C239F6C" w14:textId="7FAFB8D1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Hwang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Kim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Kim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SG.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experience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over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years.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2011;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1094-1102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21360306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10.1007/s00268-011-1009-7]</w:t>
      </w:r>
    </w:p>
    <w:p w14:paraId="2DA7E21B" w14:textId="4A97540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Lam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Poon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2002;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465-468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11926955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10.1001/archsurg.137.4.465]</w:t>
      </w:r>
    </w:p>
    <w:p w14:paraId="1C99E0A1" w14:textId="3113970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Tashiro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Ohkawa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Okada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Katoh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Kawaharada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Shimada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Takamatsu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Miyake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Committee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Registration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Japanese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Group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nationwide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survey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Japan.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345-351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14598134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10.1007/s00534-002-0741-7]</w:t>
      </w:r>
    </w:p>
    <w:p w14:paraId="564B4A84" w14:textId="5C75518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19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Irwin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62350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Morison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containing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stones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undergoing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change.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1944;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319-321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10.1002/bjs.18003212614]</w:t>
      </w:r>
    </w:p>
    <w:p w14:paraId="2176957A" w14:textId="5800B07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JH.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flow,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rather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critical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determining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outcomes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lastRenderedPageBreak/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129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30139348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10.1186/s12876-018-0862-3]</w:t>
      </w:r>
    </w:p>
    <w:p w14:paraId="5D5135E5" w14:textId="0FB3ED35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Park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DW,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Kim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SK.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Course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according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type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2010;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739-745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20201620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10.3109/00365521003675054]</w:t>
      </w:r>
    </w:p>
    <w:p w14:paraId="0F8D8476" w14:textId="67EDAFC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Kamisawa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Kuruma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Tabata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Chiba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Iwasaki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Koizumi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Kurata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Honda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273-279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25404143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10.1007/s00535-014-1015-2]</w:t>
      </w:r>
    </w:p>
    <w:p w14:paraId="431F566B" w14:textId="0D2C05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Nagai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Watanabe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Iwase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analysis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noncancerous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epithelium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2002;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91-98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11898040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10.1007/s00268-001-0187-0]</w:t>
      </w:r>
    </w:p>
    <w:p w14:paraId="24431F83" w14:textId="0AD20A8A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Matsumoto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Itakura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Matsuda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Nobukawa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pathophysiological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aspects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impact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122-131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12684801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10.1007/s00423-003-0370-x]</w:t>
      </w:r>
    </w:p>
    <w:p w14:paraId="3E1CB9DC" w14:textId="4E90F8E3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Guo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Herman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Clark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DP.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Promoter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methylation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profiles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tumor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suppressor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genes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intrahepatic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extrahepatic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cholangiocarcinoma.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412-420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15467712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10.1038/modpathol.3800287]</w:t>
      </w:r>
    </w:p>
    <w:p w14:paraId="6F12FB85" w14:textId="140274A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Søreide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Søreide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precursor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2007;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1200-1211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17187167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10.1245/s10434-006-9294-3]</w:t>
      </w:r>
    </w:p>
    <w:p w14:paraId="46480BE9" w14:textId="6BC568C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Jordan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PH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Goss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Rosenberg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Woods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KL.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Some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considerations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management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790-795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15191877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10.1016/j.amjsurg.2004.04.004]</w:t>
      </w:r>
    </w:p>
    <w:p w14:paraId="54FDC761" w14:textId="67CBD81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28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Hyun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Kim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CD.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Anomalous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pancreaticobiliary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without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cholecystectomy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alone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sufficient?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399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1071-1076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25015305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10.1007/s00423-014-1223-5]</w:t>
      </w:r>
    </w:p>
    <w:p w14:paraId="26D6B6FF" w14:textId="640436E0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lastRenderedPageBreak/>
        <w:t>29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Madadi-Sanjani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Wirth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TC,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Kuebler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JF,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Petersen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Ure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BM.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Plea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Lifelong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Follow-Up.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2019;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143-149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29258149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10.1055/s-0037-1615275]</w:t>
      </w:r>
    </w:p>
    <w:p w14:paraId="1637178D" w14:textId="69D85B8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Wee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Teh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Raju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GC.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Clinical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importance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p53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protein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precursor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lesions.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1994;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453-456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8027399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10.1136/jcp.47.5.453]</w:t>
      </w:r>
    </w:p>
    <w:p w14:paraId="5A8F3791" w14:textId="4896380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Wistuba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II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Sugio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Hung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Kishimoto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Virmani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Roa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Albores</w:t>
      </w:r>
      <w:proofErr w:type="spellEnd"/>
      <w:r w:rsidRPr="00E038A2">
        <w:rPr>
          <w:rFonts w:ascii="Book Antiqua" w:eastAsia="Book Antiqua" w:hAnsi="Book Antiqua" w:cs="Book Antiqua"/>
          <w:color w:val="000000"/>
        </w:rPr>
        <w:t>-Saavedra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Gazdar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AF.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Allele-specific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mutations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involved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pathogenesis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endemic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Chile.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1995;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2511-2515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7780959]</w:t>
      </w:r>
    </w:p>
    <w:p w14:paraId="43538A1F" w14:textId="16E28DE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Tazuma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Kajiyama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Carcinogenesis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lesions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bladder.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impact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inflammation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gallstones.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2001;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224-229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11382326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10.1007/s004230100220]</w:t>
      </w:r>
    </w:p>
    <w:p w14:paraId="76E695EF" w14:textId="5264642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Cerwenka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interventional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resection,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transplantation?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5207-5211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23983423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10.3748/wjg.v19.i32.5207]</w:t>
      </w:r>
    </w:p>
    <w:p w14:paraId="0712E764" w14:textId="5AD627C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34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Seretis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Lagoudianakis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Gemenetzis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Seretis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Pappas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Gourgiotis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Metaplastic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cholecystitis: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implications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early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diagnosis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intervention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prevent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gallbladder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metaplasia-dysplasia-carcinoma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sequence.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26-29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24400028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10.4021/jocmr1689w]</w:t>
      </w:r>
    </w:p>
    <w:p w14:paraId="7B439AA7" w14:textId="6E287B8F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Bangash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Alvi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Shahzad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Shariff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AH,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Gill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RC.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Associated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Premalignant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Epithelial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Changes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Chronic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Calculous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Cholecystitis: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Case-Control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2018;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1701-1705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29143087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10.1007/s00268-017-4371-2]</w:t>
      </w:r>
    </w:p>
    <w:p w14:paraId="6B90E2C4" w14:textId="27A64446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Ohashi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Wakai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Kubota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Matsuda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Arai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Ohyama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Nakaya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Okuyama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Sakata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Shirai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Ajioka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Y.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subsequent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malignancy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undergoing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excision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congenital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2013;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243-247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22989043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10.1111/j.1440-1746.2012.07260.x]</w:t>
      </w:r>
    </w:p>
    <w:p w14:paraId="30585AD6" w14:textId="23D2714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lastRenderedPageBreak/>
        <w:t>37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Benjamin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E038A2">
        <w:rPr>
          <w:rFonts w:ascii="Book Antiqua" w:eastAsia="Book Antiqua" w:hAnsi="Book Antiqua" w:cs="Book Antiqua"/>
          <w:color w:val="000000"/>
        </w:rPr>
        <w:t>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cystic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disease: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cancer.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2003;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335-339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14598132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10.1007/s00534-002-0696-8]</w:t>
      </w:r>
    </w:p>
    <w:p w14:paraId="48A1914B" w14:textId="6E5E19B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Nicholl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Pitt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HA,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Wolf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Cooney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Kalayoglu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Shilyansky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J,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Rikkers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LF.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Choledochal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western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adults: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complexities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compared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children.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2004;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245-252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15019916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10.1016/j.gassur.2003.12.013]</w:t>
      </w:r>
    </w:p>
    <w:p w14:paraId="794FC402" w14:textId="51894275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39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b/>
          <w:bCs/>
          <w:color w:val="000000"/>
        </w:rPr>
        <w:t>Fumino</w:t>
      </w:r>
      <w:proofErr w:type="spellEnd"/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038A2">
        <w:rPr>
          <w:rFonts w:ascii="Book Antiqua" w:eastAsia="Book Antiqua" w:hAnsi="Book Antiqua" w:cs="Book Antiqua"/>
          <w:color w:val="000000"/>
        </w:rPr>
        <w:t>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Iwai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Kimura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Iwabuchi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Estrogen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receptor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expression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anomalous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arrangement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pancreaticobiliary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2350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2005;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038A2">
        <w:rPr>
          <w:rFonts w:ascii="Book Antiqua" w:eastAsia="Book Antiqua" w:hAnsi="Book Antiqua" w:cs="Book Antiqua"/>
          <w:color w:val="000000"/>
        </w:rPr>
        <w:t>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1716-1720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[PMID: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16291158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DOI: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10.1016/j.jpedsurg.2005.07.030]</w:t>
      </w:r>
    </w:p>
    <w:bookmarkEnd w:id="1"/>
    <w:p w14:paraId="041F71CC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038A2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5D5655" w14:textId="777777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8C5CFB3" w14:textId="3814F69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approved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Peking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Medical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College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Hospital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Institutional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Board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(S-K1483).</w:t>
      </w:r>
    </w:p>
    <w:p w14:paraId="47BDD12E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0EB2AB" w14:textId="7B1E640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requirement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informed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consent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publication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waived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owing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retrospective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nature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study.</w:t>
      </w:r>
    </w:p>
    <w:p w14:paraId="46E9259C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54A331" w14:textId="08AD06D9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stat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ement: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 w:rsidRPr="00080536">
        <w:rPr>
          <w:rFonts w:ascii="Book Antiqua" w:eastAsia="Book Antiqua" w:hAnsi="Book Antiqua" w:cs="Book Antiqua"/>
          <w:bCs/>
          <w:color w:val="000000"/>
        </w:rPr>
        <w:t>The</w:t>
      </w:r>
      <w:r w:rsidR="00751F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>
        <w:rPr>
          <w:rFonts w:ascii="Book Antiqua" w:eastAsia="Book Antiqua" w:hAnsi="Book Antiqua" w:cs="Book Antiqua"/>
          <w:color w:val="000000"/>
        </w:rPr>
        <w:t>a</w:t>
      </w:r>
      <w:r w:rsidR="00751F88" w:rsidRPr="00E038A2">
        <w:rPr>
          <w:rFonts w:ascii="Book Antiqua" w:eastAsia="Book Antiqua" w:hAnsi="Book Antiqua" w:cs="Book Antiqua"/>
          <w:color w:val="000000"/>
        </w:rPr>
        <w:t>uthors</w:t>
      </w:r>
      <w:r w:rsidR="00751F88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declare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conflict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of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interests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article.</w:t>
      </w:r>
    </w:p>
    <w:p w14:paraId="3F05809E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2403F1" w14:textId="35062B6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additional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data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available.</w:t>
      </w:r>
    </w:p>
    <w:p w14:paraId="6DB80685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F1194" w14:textId="60AD1E3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article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open-access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article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that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was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selected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in-house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editor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fully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peer-reviewed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external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reviewers.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distributed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accordance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with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Creative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Commons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Attribution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38A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(CC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BY-NC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4.0)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license,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which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permits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others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distribute,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remix,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adapt,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build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upon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work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non-commercially,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license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their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derivative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works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different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terms,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provided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original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work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properly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cited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non-commercial.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See: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3B23EF2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259E21" w14:textId="67286861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Manuscript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source: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Unsolicited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800A67" w:rsidRPr="00E038A2">
        <w:rPr>
          <w:rFonts w:ascii="Book Antiqua" w:eastAsia="Book Antiqua" w:hAnsi="Book Antiqua" w:cs="Book Antiqua"/>
          <w:color w:val="000000"/>
        </w:rPr>
        <w:t>manuscript</w:t>
      </w:r>
    </w:p>
    <w:p w14:paraId="56305E7C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596B0" w14:textId="69D666F5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Peer-review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started: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April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11,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2021</w:t>
      </w:r>
    </w:p>
    <w:p w14:paraId="23929709" w14:textId="24E408D5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First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decision: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April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23,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2021</w:t>
      </w:r>
    </w:p>
    <w:p w14:paraId="49B8F77B" w14:textId="0B25B842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Article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in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press: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FB00E6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5E61E1" w14:textId="5F9F5EAF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Specialty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type: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Gastroenterology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and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="00800A67" w:rsidRPr="00E038A2">
        <w:rPr>
          <w:rFonts w:ascii="Book Antiqua" w:eastAsia="Book Antiqua" w:hAnsi="Book Antiqua" w:cs="Book Antiqua"/>
          <w:color w:val="000000"/>
        </w:rPr>
        <w:t>hepatology</w:t>
      </w:r>
    </w:p>
    <w:p w14:paraId="66DDC4E9" w14:textId="7374926E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Country/Territory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of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origin: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China</w:t>
      </w:r>
    </w:p>
    <w:p w14:paraId="64D8061E" w14:textId="18249AA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t>Peer-review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report’s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scientific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quality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6FA72E" w14:textId="1EE57AA5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(Excellent):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</w:t>
      </w:r>
    </w:p>
    <w:p w14:paraId="2C6D7A56" w14:textId="26F5226C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(Very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good):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</w:t>
      </w:r>
    </w:p>
    <w:p w14:paraId="7EFAFAEC" w14:textId="1D37AE77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(Good):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</w:t>
      </w:r>
    </w:p>
    <w:p w14:paraId="7D792D16" w14:textId="4DBBF020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(Fair):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</w:t>
      </w:r>
    </w:p>
    <w:p w14:paraId="2CC3A0DA" w14:textId="79A5725B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eastAsia="Book Antiqua" w:hAnsi="Book Antiqua" w:cs="Book Antiqua"/>
          <w:color w:val="000000"/>
        </w:rPr>
        <w:t>Grade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(Poor):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0</w:t>
      </w:r>
    </w:p>
    <w:p w14:paraId="67FE8869" w14:textId="77777777" w:rsidR="00A77B3E" w:rsidRPr="00E038A2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C40D58" w14:textId="4576D0FD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038A2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038A2">
        <w:rPr>
          <w:rFonts w:ascii="Book Antiqua" w:eastAsia="Book Antiqua" w:hAnsi="Book Antiqua" w:cs="Book Antiqua"/>
          <w:b/>
          <w:color w:val="000000"/>
        </w:rPr>
        <w:t>P-Reviewer: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Bain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V,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Gumbs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S-Editor: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Zhang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L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L-E</w:t>
      </w:r>
      <w:r w:rsidRPr="00E038A2">
        <w:rPr>
          <w:rFonts w:ascii="Book Antiqua" w:eastAsia="Book Antiqua" w:hAnsi="Book Antiqua" w:cs="Book Antiqua"/>
          <w:b/>
          <w:color w:val="000000"/>
        </w:rPr>
        <w:t>ditor: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1F88" w:rsidRPr="00080536">
        <w:rPr>
          <w:rFonts w:ascii="Book Antiqua" w:eastAsia="Book Antiqua" w:hAnsi="Book Antiqua" w:cs="Book Antiqua"/>
          <w:color w:val="000000"/>
        </w:rPr>
        <w:t>Wang TQ</w:t>
      </w:r>
      <w:r w:rsidR="00751F8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P-E</w:t>
      </w:r>
      <w:r w:rsidRPr="00E038A2">
        <w:rPr>
          <w:rFonts w:ascii="Book Antiqua" w:eastAsia="Book Antiqua" w:hAnsi="Book Antiqua" w:cs="Book Antiqua"/>
          <w:b/>
          <w:color w:val="000000"/>
        </w:rPr>
        <w:t>ditor: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E40C3B5" w14:textId="5C9FF7C4" w:rsidR="00A77B3E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038A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2350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color w:val="000000"/>
        </w:rPr>
        <w:t>Legends</w:t>
      </w:r>
    </w:p>
    <w:p w14:paraId="0CAA2780" w14:textId="14B8ADBD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038A2">
        <w:rPr>
          <w:rFonts w:ascii="Book Antiqua" w:hAnsi="Book Antiqua"/>
          <w:noProof/>
          <w:lang w:eastAsia="zh-CN"/>
        </w:rPr>
        <w:drawing>
          <wp:inline distT="0" distB="0" distL="0" distR="0" wp14:anchorId="0BEDDE3E" wp14:editId="3F7394F0">
            <wp:extent cx="4572235" cy="34291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2CDA" w14:textId="448B7DF7" w:rsidR="00BD0782" w:rsidRPr="00E038A2" w:rsidRDefault="00D23000" w:rsidP="00E038A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D0782" w:rsidRPr="00E038A2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038A2">
        <w:rPr>
          <w:rFonts w:ascii="Book Antiqua" w:eastAsia="Book Antiqua" w:hAnsi="Book Antiqua" w:cs="Book Antiqua"/>
          <w:b/>
          <w:bCs/>
          <w:color w:val="000000"/>
        </w:rPr>
        <w:t>Figur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1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duct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b/>
          <w:bCs/>
          <w:color w:val="000000"/>
        </w:rPr>
        <w:t>cyst.</w:t>
      </w:r>
      <w:r w:rsidR="006235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Operation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is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the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currently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recommended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treatment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modality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bile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duct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cyst.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patients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who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refuse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surgery,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risk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factor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assessment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s</w:t>
      </w:r>
      <w:r w:rsidRPr="00E038A2">
        <w:rPr>
          <w:rFonts w:ascii="Book Antiqua" w:eastAsia="Book Antiqua" w:hAnsi="Book Antiqua" w:cs="Book Antiqua"/>
          <w:color w:val="000000"/>
        </w:rPr>
        <w:t>hould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be</w:t>
      </w:r>
      <w:r w:rsidR="00623502">
        <w:rPr>
          <w:rFonts w:ascii="Book Antiqua" w:eastAsia="Book Antiqua" w:hAnsi="Book Antiqua" w:cs="Book Antiqua"/>
          <w:color w:val="000000"/>
        </w:rPr>
        <w:t xml:space="preserve"> </w:t>
      </w:r>
      <w:r w:rsidRPr="00E038A2">
        <w:rPr>
          <w:rFonts w:ascii="Book Antiqua" w:eastAsia="Book Antiqua" w:hAnsi="Book Antiqua" w:cs="Book Antiqua"/>
          <w:color w:val="000000"/>
        </w:rPr>
        <w:t>performed.</w:t>
      </w:r>
    </w:p>
    <w:p w14:paraId="0B347741" w14:textId="1C02DF20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038A2">
        <w:rPr>
          <w:rFonts w:ascii="Book Antiqua" w:hAnsi="Book Antiqua"/>
          <w:b/>
          <w:bCs/>
        </w:rPr>
        <w:lastRenderedPageBreak/>
        <w:t>Table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1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Demographic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data,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symptoms,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and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laboratory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test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findings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patients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with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bile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duct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cyst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990"/>
        <w:gridCol w:w="2196"/>
        <w:gridCol w:w="2491"/>
        <w:gridCol w:w="2247"/>
      </w:tblGrid>
      <w:tr w:rsidR="00BD0782" w:rsidRPr="00E038A2" w14:paraId="74CD7E95" w14:textId="77777777" w:rsidTr="00BD0782">
        <w:trPr>
          <w:trHeight w:val="550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FB26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FB352B" w14:textId="3917D2E2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Overall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cohort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109)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3364E5" w14:textId="4783DDB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Group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A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99)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2A0D2" w14:textId="43E60C8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Group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B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10)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08D66" w14:textId="0975A9B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E038A2" w14:paraId="5A78F64E" w14:textId="77777777" w:rsidTr="00BD0782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E1624" w14:textId="25CBDD4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Male/female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2407D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19/90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EB09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19/80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A05C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0/10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D34A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0.277</w:t>
            </w:r>
          </w:p>
        </w:tc>
      </w:tr>
      <w:tr w:rsidR="00BD0782" w:rsidRPr="00E038A2" w14:paraId="3F1E7D14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DE4E0" w14:textId="28021119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Age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symptom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onset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proofErr w:type="spellStart"/>
            <w:r w:rsidRPr="00E038A2">
              <w:rPr>
                <w:rFonts w:ascii="Book Antiqua" w:hAnsi="Book Antiqua"/>
              </w:rPr>
              <w:t>yr</w:t>
            </w:r>
            <w:proofErr w:type="spellEnd"/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25DB5" w14:textId="38E66BB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34.6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15.5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1DE2B" w14:textId="5C5448A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34.7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15.4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4E360" w14:textId="73A0A95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34.0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16.5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A5D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0.892</w:t>
            </w:r>
          </w:p>
        </w:tc>
      </w:tr>
      <w:tr w:rsidR="00BD0782" w:rsidRPr="00E038A2" w14:paraId="45FF6DA5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13CCA" w14:textId="795873F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Age</w:t>
            </w:r>
            <w:r w:rsidR="00623502">
              <w:rPr>
                <w:rFonts w:ascii="Book Antiqua" w:hAnsi="Book Antiqua"/>
              </w:rPr>
              <w:t xml:space="preserve"> </w:t>
            </w:r>
            <w:bookmarkStart w:id="2" w:name="_Hlk2972099"/>
            <w:r w:rsidRPr="00E038A2">
              <w:rPr>
                <w:rFonts w:ascii="Book Antiqua" w:hAnsi="Book Antiqua"/>
              </w:rPr>
              <w:t>at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admission</w:t>
            </w:r>
            <w:bookmarkEnd w:id="2"/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proofErr w:type="spellStart"/>
            <w:r w:rsidRPr="00E038A2">
              <w:rPr>
                <w:rFonts w:ascii="Book Antiqua" w:hAnsi="Book Antiqua"/>
              </w:rPr>
              <w:t>yr</w:t>
            </w:r>
            <w:proofErr w:type="spellEnd"/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5C0AA" w14:textId="3BE9BA3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40.4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15.0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04D6" w14:textId="765497D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40.6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15.0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5FBA" w14:textId="2E772933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38.1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16.0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8688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0.611</w:t>
            </w:r>
          </w:p>
        </w:tc>
      </w:tr>
      <w:tr w:rsidR="00BD0782" w:rsidRPr="00E038A2" w14:paraId="527EB4EE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21EA" w14:textId="08039F9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BMI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(kg/m</w:t>
            </w:r>
            <w:r w:rsidRPr="00E038A2">
              <w:rPr>
                <w:rFonts w:ascii="Book Antiqua" w:hAnsi="Book Antiqua"/>
                <w:vertAlign w:val="superscript"/>
              </w:rPr>
              <w:t>2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F914" w14:textId="3393699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22.0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3.3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63D5" w14:textId="1EC6DB2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22.1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3.4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CDFB" w14:textId="64C420E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21.6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2.2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7C35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0.634</w:t>
            </w:r>
          </w:p>
        </w:tc>
      </w:tr>
      <w:tr w:rsidR="00BD0782" w:rsidRPr="00E038A2" w14:paraId="5ACA21BA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E8BF" w14:textId="004B1AD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Smoking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0E2D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C45A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9CE5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FCC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1.000</w:t>
            </w:r>
          </w:p>
        </w:tc>
      </w:tr>
      <w:tr w:rsidR="00BD0782" w:rsidRPr="00E038A2" w14:paraId="579BB562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CC8B2" w14:textId="7D1F7615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Abdominal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pain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0C4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F37A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452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6BF7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1.000</w:t>
            </w:r>
          </w:p>
        </w:tc>
      </w:tr>
      <w:tr w:rsidR="00BD0782" w:rsidRPr="00E038A2" w14:paraId="08D4ECF2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4E31" w14:textId="54FE2F4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Fever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5C4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E1B2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3A1F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9C6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1.000</w:t>
            </w:r>
          </w:p>
        </w:tc>
      </w:tr>
      <w:tr w:rsidR="00BD0782" w:rsidRPr="00E038A2" w14:paraId="2A0E54D8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A500" w14:textId="6E71561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Jaundice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0EDD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0CF8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6757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2C2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0.228</w:t>
            </w:r>
          </w:p>
        </w:tc>
      </w:tr>
      <w:tr w:rsidR="00BD0782" w:rsidRPr="00E038A2" w14:paraId="3DEFD4F6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AE4D" w14:textId="048684D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CA19-9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34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U/mL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06C8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605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224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2DA5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0.594</w:t>
            </w:r>
          </w:p>
        </w:tc>
      </w:tr>
      <w:tr w:rsidR="00BD0782" w:rsidRPr="00E038A2" w14:paraId="59014B2B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BD88" w14:textId="0CCEA689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CEA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5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ng/mL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CDE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07D1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C01E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8C6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0.092</w:t>
            </w:r>
          </w:p>
        </w:tc>
      </w:tr>
      <w:tr w:rsidR="00BD0782" w:rsidRPr="00E038A2" w14:paraId="058319DA" w14:textId="77777777" w:rsidTr="00BD0782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DA536" w14:textId="5B85A0E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APBD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A7D45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B0C7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AF84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429C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0.717</w:t>
            </w:r>
          </w:p>
        </w:tc>
      </w:tr>
    </w:tbl>
    <w:p w14:paraId="118364EA" w14:textId="366C32F0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kern w:val="2"/>
        </w:rPr>
      </w:pPr>
      <w:r w:rsidRPr="00E038A2">
        <w:rPr>
          <w:rFonts w:ascii="Book Antiqua" w:hAnsi="Book Antiqua"/>
        </w:rPr>
        <w:t>BMI: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Body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mass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index;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CA19-9: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Carbohydrate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antigen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19-9;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CEA: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Carcinoembryonic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antigen;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APBD: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Abnormal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pancreatic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biliary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duct</w:t>
      </w:r>
      <w:r w:rsidR="00800A67">
        <w:rPr>
          <w:rFonts w:ascii="Book Antiqua" w:hAnsi="Book Antiqua" w:hint="eastAsia"/>
          <w:lang w:eastAsia="zh-CN"/>
        </w:rPr>
        <w:t>.</w:t>
      </w:r>
    </w:p>
    <w:p w14:paraId="78C318A1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E038A2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F94DE75" w14:textId="1FA8976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038A2">
        <w:rPr>
          <w:rFonts w:ascii="Book Antiqua" w:hAnsi="Book Antiqua"/>
          <w:b/>
          <w:bCs/>
        </w:rPr>
        <w:lastRenderedPageBreak/>
        <w:t>Table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2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Stratified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analysis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association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between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age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and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dysplasia/carcinoma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rates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2480"/>
        <w:gridCol w:w="5180"/>
        <w:gridCol w:w="3210"/>
      </w:tblGrid>
      <w:tr w:rsidR="00BD0782" w:rsidRPr="00E038A2" w14:paraId="7CA6FCDD" w14:textId="77777777" w:rsidTr="00BD0782"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72604" w14:textId="67C85022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Age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E038A2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E038A2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A3681" w14:textId="7918A11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Total</w:t>
            </w:r>
            <w:r w:rsidR="00623502">
              <w:rPr>
                <w:rFonts w:ascii="Book Antiqua" w:hAnsi="Book Antiqua"/>
                <w:b/>
                <w:bCs/>
              </w:rPr>
              <w:t xml:space="preserve">, 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9BE8B" w14:textId="35CF921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Dysplasia/carcinoma,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F9F82" w14:textId="711B94E3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E038A2" w14:paraId="0098E9A7" w14:textId="77777777" w:rsidTr="00BD0782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3FA4C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18-30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1D8F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E2233" w14:textId="6201FC2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(11.4)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2D2AC" w14:textId="4A94808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0.866</w:t>
            </w:r>
          </w:p>
        </w:tc>
      </w:tr>
      <w:tr w:rsidR="00BD0782" w:rsidRPr="00E038A2" w14:paraId="1B287B3F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64F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31-40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160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E0E5" w14:textId="0133F62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(9.5)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47D5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E038A2" w14:paraId="113429A8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EC2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41-50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CDDA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013C8" w14:textId="4178268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(8.3)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E3976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E038A2" w14:paraId="58E0CF5E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EC05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51-60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586D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0F7D" w14:textId="396A6DB2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(0)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90926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E038A2" w14:paraId="2511D85A" w14:textId="77777777" w:rsidTr="00BD0782">
        <w:trPr>
          <w:trHeight w:val="435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803DD0" w14:textId="54DB721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≥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D0274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FE361" w14:textId="42FF1F8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(12.5)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2BB2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</w:tbl>
    <w:p w14:paraId="38A5B5BC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E038A2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839BA40" w14:textId="7200C304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2"/>
        </w:rPr>
      </w:pPr>
      <w:r w:rsidRPr="00E038A2">
        <w:rPr>
          <w:rFonts w:ascii="Book Antiqua" w:hAnsi="Book Antiqua"/>
          <w:b/>
          <w:bCs/>
        </w:rPr>
        <w:lastRenderedPageBreak/>
        <w:t>Table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3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Operation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details,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pathology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information,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and</w:t>
      </w:r>
      <w:r w:rsidR="00623502">
        <w:rPr>
          <w:rFonts w:ascii="Book Antiqua" w:hAnsi="Book Antiqua"/>
          <w:b/>
          <w:bCs/>
        </w:rPr>
        <w:t xml:space="preserve"> </w:t>
      </w:r>
      <w:proofErr w:type="spellStart"/>
      <w:r w:rsidRPr="00E038A2">
        <w:rPr>
          <w:rFonts w:ascii="Book Antiqua" w:hAnsi="Book Antiqua"/>
          <w:b/>
          <w:bCs/>
        </w:rPr>
        <w:t>Todani</w:t>
      </w:r>
      <w:proofErr w:type="spellEnd"/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types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patients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with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bile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duct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cyst</w:t>
      </w:r>
    </w:p>
    <w:tbl>
      <w:tblPr>
        <w:tblW w:w="140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01"/>
        <w:gridCol w:w="2580"/>
        <w:gridCol w:w="2430"/>
        <w:gridCol w:w="1870"/>
      </w:tblGrid>
      <w:tr w:rsidR="00BD0782" w:rsidRPr="00E038A2" w14:paraId="5284AFF7" w14:textId="77777777" w:rsidTr="00BD0782">
        <w:trPr>
          <w:trHeight w:val="793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AF1A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49929" w14:textId="5750AAD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Overall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cohort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109)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749468" w14:textId="29FC377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Group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A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99)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E43CF" w14:textId="2EE1A3E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Group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B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r w:rsidRPr="00E038A2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=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10)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C1093" w14:textId="03F78F2D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E038A2" w14:paraId="5B9FF4AC" w14:textId="77777777" w:rsidTr="00BD078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F8B65" w14:textId="2FCE0EF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Operative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time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(min)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73746A" w14:textId="0E7C5E9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219.2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64.8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5CE5D" w14:textId="1593CB4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215.8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61.6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AA70C" w14:textId="2AAD51E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249.5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86.6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721F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0.119</w:t>
            </w:r>
          </w:p>
        </w:tc>
      </w:tr>
      <w:tr w:rsidR="00BD0782" w:rsidRPr="00E038A2" w14:paraId="3DF50609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5DCD" w14:textId="0A47759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Bleeding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amount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(mL)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49DA" w14:textId="56F521D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212.3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210.0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1BDE" w14:textId="6E8AA0E6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204.8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202.0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4EE2A" w14:textId="31B713F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283.0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277.5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84E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0.265</w:t>
            </w:r>
          </w:p>
        </w:tc>
      </w:tr>
      <w:tr w:rsidR="00BD0782" w:rsidRPr="00E038A2" w14:paraId="53F46BF5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58DD" w14:textId="4129F37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Max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diameter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of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GB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(cm)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F0F13" w14:textId="60AF023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7.8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1.7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F7E2" w14:textId="3E948DFD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7.9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1.7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8AD7" w14:textId="6E50453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7.0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±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1.7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501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0.147</w:t>
            </w:r>
          </w:p>
        </w:tc>
      </w:tr>
      <w:tr w:rsidR="00BD0782" w:rsidRPr="00E038A2" w14:paraId="26781959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E86C5" w14:textId="354090C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GB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wall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thickness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0.3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cm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1B9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680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08D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F4F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0.022</w:t>
            </w:r>
          </w:p>
        </w:tc>
      </w:tr>
      <w:tr w:rsidR="00BD0782" w:rsidRPr="00E038A2" w14:paraId="39F838A7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239A" w14:textId="1C955E9D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of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cm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FB49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096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9A9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964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0.028</w:t>
            </w:r>
          </w:p>
        </w:tc>
      </w:tr>
      <w:tr w:rsidR="00BD0782" w:rsidRPr="00E038A2" w14:paraId="46F6E4E1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445A" w14:textId="0F51054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wall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thickness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0.3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cm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4D07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E3FA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7D2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8238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1.000</w:t>
            </w:r>
          </w:p>
        </w:tc>
      </w:tr>
      <w:tr w:rsidR="00BD0782" w:rsidRPr="00E038A2" w14:paraId="1F77DF05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75D7D" w14:textId="478EF49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Bile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duct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stone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3E6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8E5E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801A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4CC8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0.668</w:t>
            </w:r>
          </w:p>
        </w:tc>
      </w:tr>
      <w:tr w:rsidR="00BD0782" w:rsidRPr="00E038A2" w14:paraId="6BF8D546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37338" w14:textId="41842A9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Todani</w:t>
            </w:r>
            <w:proofErr w:type="spellEnd"/>
            <w:r w:rsidR="00623502">
              <w:rPr>
                <w:rFonts w:ascii="Book Antiqua" w:hAnsi="Book Antiqua"/>
              </w:rPr>
              <w:t xml:space="preserve"> </w:t>
            </w:r>
            <w:bookmarkStart w:id="3" w:name="_Hlk2975951"/>
            <w:r w:rsidRPr="00E038A2">
              <w:rPr>
                <w:rFonts w:ascii="Book Antiqua" w:hAnsi="Book Antiqua"/>
              </w:rPr>
              <w:t>classification</w:t>
            </w:r>
            <w:bookmarkEnd w:id="3"/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(</w:t>
            </w:r>
            <w:r w:rsidRPr="00E038A2">
              <w:rPr>
                <w:rFonts w:ascii="Book Antiqua" w:hAnsi="Book Antiqua"/>
                <w:i/>
                <w:iCs/>
              </w:rPr>
              <w:t>n</w:t>
            </w:r>
            <w:r w:rsidRPr="00E038A2">
              <w:rPr>
                <w:rFonts w:ascii="Book Antiqua" w:hAnsi="Book Antiqua"/>
              </w:rPr>
              <w:t>)</w:t>
            </w:r>
            <w:r w:rsidRPr="00E038A2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358123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4BFD73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B14AC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90C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0.031</w:t>
            </w:r>
          </w:p>
        </w:tc>
      </w:tr>
      <w:tr w:rsidR="00BD0782" w:rsidRPr="00E038A2" w14:paraId="1A7A670E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BF3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54B6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A3E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0DFC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5D6BF6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E038A2" w14:paraId="4D07BBC0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04F3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III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CB81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326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D17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D3673D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E038A2" w14:paraId="25D8EB7F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AA61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39FE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ADE1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5C3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BA9A2D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E038A2" w14:paraId="27F431F4" w14:textId="77777777" w:rsidTr="00BD078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CF355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V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3EFC8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6B061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6410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A8A9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5E2D28B8" w14:textId="5C4BD004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kern w:val="2"/>
        </w:rPr>
      </w:pPr>
      <w:r w:rsidRPr="00E038A2">
        <w:rPr>
          <w:rFonts w:ascii="Book Antiqua" w:hAnsi="Book Antiqua"/>
          <w:vertAlign w:val="superscript"/>
        </w:rPr>
        <w:t>1</w:t>
      </w:r>
      <w:r w:rsidRPr="00E038A2">
        <w:rPr>
          <w:rFonts w:ascii="Book Antiqua" w:hAnsi="Book Antiqua"/>
        </w:rPr>
        <w:t>There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was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no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pat</w:t>
      </w:r>
      <w:r w:rsidR="00800A67">
        <w:rPr>
          <w:rFonts w:ascii="Book Antiqua" w:hAnsi="Book Antiqua"/>
        </w:rPr>
        <w:t>ient</w:t>
      </w:r>
      <w:r w:rsidR="00623502">
        <w:rPr>
          <w:rFonts w:ascii="Book Antiqua" w:hAnsi="Book Antiqua"/>
        </w:rPr>
        <w:t xml:space="preserve"> </w:t>
      </w:r>
      <w:r w:rsidR="00800A67">
        <w:rPr>
          <w:rFonts w:ascii="Book Antiqua" w:hAnsi="Book Antiqua"/>
        </w:rPr>
        <w:t>with</w:t>
      </w:r>
      <w:r w:rsidR="00623502">
        <w:rPr>
          <w:rFonts w:ascii="Book Antiqua" w:hAnsi="Book Antiqua"/>
        </w:rPr>
        <w:t xml:space="preserve"> </w:t>
      </w:r>
      <w:proofErr w:type="spellStart"/>
      <w:r w:rsidR="00800A67">
        <w:rPr>
          <w:rFonts w:ascii="Book Antiqua" w:hAnsi="Book Antiqua"/>
        </w:rPr>
        <w:t>Todani</w:t>
      </w:r>
      <w:proofErr w:type="spellEnd"/>
      <w:r w:rsidR="00623502">
        <w:rPr>
          <w:rFonts w:ascii="Book Antiqua" w:hAnsi="Book Antiqua"/>
        </w:rPr>
        <w:t xml:space="preserve"> </w:t>
      </w:r>
      <w:r w:rsidR="00800A67">
        <w:rPr>
          <w:rFonts w:ascii="Book Antiqua" w:hAnsi="Book Antiqua"/>
        </w:rPr>
        <w:t>type</w:t>
      </w:r>
      <w:r w:rsidR="00623502">
        <w:rPr>
          <w:rFonts w:ascii="Book Antiqua" w:hAnsi="Book Antiqua"/>
        </w:rPr>
        <w:t xml:space="preserve"> </w:t>
      </w:r>
      <w:r w:rsidR="00800A67">
        <w:rPr>
          <w:rFonts w:ascii="Book Antiqua" w:hAnsi="Book Antiqua"/>
        </w:rPr>
        <w:t>II</w:t>
      </w:r>
      <w:r w:rsidR="00623502">
        <w:rPr>
          <w:rFonts w:ascii="Book Antiqua" w:hAnsi="Book Antiqua"/>
        </w:rPr>
        <w:t xml:space="preserve"> </w:t>
      </w:r>
      <w:r w:rsidR="00800A67">
        <w:rPr>
          <w:rFonts w:ascii="Book Antiqua" w:hAnsi="Book Antiqua"/>
        </w:rPr>
        <w:t>or</w:t>
      </w:r>
      <w:r w:rsidR="00623502">
        <w:rPr>
          <w:rFonts w:ascii="Book Antiqua" w:hAnsi="Book Antiqua"/>
        </w:rPr>
        <w:t xml:space="preserve"> </w:t>
      </w:r>
      <w:proofErr w:type="spellStart"/>
      <w:r w:rsidR="00800A67">
        <w:rPr>
          <w:rFonts w:ascii="Book Antiqua" w:hAnsi="Book Antiqua"/>
        </w:rPr>
        <w:t>IVb</w:t>
      </w:r>
      <w:proofErr w:type="spellEnd"/>
      <w:r w:rsidR="00800A67">
        <w:rPr>
          <w:rFonts w:ascii="Book Antiqua" w:hAnsi="Book Antiqua"/>
        </w:rPr>
        <w:t>.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GB: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Gallbladder;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TD: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Transverse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diameter</w:t>
      </w:r>
      <w:r w:rsidR="00800A67">
        <w:rPr>
          <w:rFonts w:ascii="Book Antiqua" w:hAnsi="Book Antiqua"/>
        </w:rPr>
        <w:t>.</w:t>
      </w:r>
    </w:p>
    <w:p w14:paraId="057FF4D6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E038A2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8E06EFD" w14:textId="29830B9E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038A2">
        <w:rPr>
          <w:rFonts w:ascii="Book Antiqua" w:hAnsi="Book Antiqua"/>
          <w:b/>
          <w:bCs/>
        </w:rPr>
        <w:lastRenderedPageBreak/>
        <w:t>Table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4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Multivariate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analysis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risk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factors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for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preoperative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carcinogenesis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of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bile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duct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cyst</w:t>
      </w:r>
    </w:p>
    <w:tbl>
      <w:tblPr>
        <w:tblW w:w="139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3010"/>
        <w:gridCol w:w="3380"/>
        <w:gridCol w:w="2800"/>
      </w:tblGrid>
      <w:tr w:rsidR="00BD0782" w:rsidRPr="00E038A2" w14:paraId="11C17194" w14:textId="77777777" w:rsidTr="00BD0782"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B10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AB5B6C" w14:textId="6A711CF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F297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6449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BD0782" w:rsidRPr="00E038A2" w14:paraId="072C3FF1" w14:textId="77777777" w:rsidTr="00BD0782"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EFAC1" w14:textId="327DA90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Gallbladder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wall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thickness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0.3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cm</w:t>
            </w:r>
            <w:r w:rsidR="0062350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69C9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2754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6.551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AA4A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1.351-31.763</w:t>
            </w:r>
          </w:p>
        </w:tc>
      </w:tr>
      <w:tr w:rsidR="00BD0782" w:rsidRPr="00E038A2" w14:paraId="7109DC57" w14:textId="77777777" w:rsidTr="00BD078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B1C7" w14:textId="418397A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Todani</w:t>
            </w:r>
            <w:proofErr w:type="spellEnd"/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type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IV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A061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8A8A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7.675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D1A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1.584-37.192</w:t>
            </w:r>
          </w:p>
        </w:tc>
      </w:tr>
      <w:tr w:rsidR="00BD0782" w:rsidRPr="00E038A2" w14:paraId="65D42D92" w14:textId="77777777" w:rsidTr="00BD0782"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6EC4B" w14:textId="3011677D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Transverse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diameter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of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&gt;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3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3C84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0.051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7D74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5.479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AF70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0.990-30.333</w:t>
            </w:r>
          </w:p>
        </w:tc>
      </w:tr>
    </w:tbl>
    <w:p w14:paraId="17E52C4F" w14:textId="2A5DCBB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kern w:val="2"/>
        </w:rPr>
      </w:pPr>
      <w:r w:rsidRPr="00E038A2">
        <w:rPr>
          <w:rFonts w:ascii="Book Antiqua" w:hAnsi="Book Antiqua"/>
        </w:rPr>
        <w:t>OR: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Odds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ratio;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CI: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Confidence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interval</w:t>
      </w:r>
      <w:r w:rsidR="00800A67">
        <w:rPr>
          <w:rFonts w:ascii="Book Antiqua" w:hAnsi="Book Antiqua"/>
        </w:rPr>
        <w:t>.</w:t>
      </w:r>
    </w:p>
    <w:p w14:paraId="4DE18640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D0782" w:rsidRPr="00E038A2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FE81DE3" w14:textId="77777777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E038A2" w:rsidSect="00E466AC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6CF8918" w14:textId="03A6343E" w:rsidR="00BD0782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038A2">
        <w:rPr>
          <w:rFonts w:ascii="Book Antiqua" w:hAnsi="Book Antiqua"/>
          <w:b/>
          <w:bCs/>
        </w:rPr>
        <w:lastRenderedPageBreak/>
        <w:t>Table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5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Clinical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data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of</w:t>
      </w:r>
      <w:r w:rsidR="00623502">
        <w:rPr>
          <w:rFonts w:ascii="Book Antiqua" w:hAnsi="Book Antiqua"/>
          <w:b/>
          <w:bCs/>
        </w:rPr>
        <w:t xml:space="preserve"> </w:t>
      </w:r>
      <w:r w:rsidR="00B57F58">
        <w:rPr>
          <w:rFonts w:ascii="Book Antiqua" w:hAnsi="Book Antiqua"/>
          <w:b/>
          <w:bCs/>
        </w:rPr>
        <w:t>ten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bile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duct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cyst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patients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with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dysplasia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or</w:t>
      </w:r>
      <w:r w:rsidR="00623502">
        <w:rPr>
          <w:rFonts w:ascii="Book Antiqua" w:hAnsi="Book Antiqua"/>
          <w:b/>
          <w:bCs/>
        </w:rPr>
        <w:t xml:space="preserve"> </w:t>
      </w:r>
      <w:r w:rsidRPr="00E038A2">
        <w:rPr>
          <w:rFonts w:ascii="Book Antiqua" w:hAnsi="Book Antiqua"/>
          <w:b/>
          <w:bCs/>
        </w:rPr>
        <w:t>carcinoma</w:t>
      </w:r>
    </w:p>
    <w:tbl>
      <w:tblPr>
        <w:tblW w:w="502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00"/>
        <w:gridCol w:w="893"/>
        <w:gridCol w:w="1022"/>
        <w:gridCol w:w="1851"/>
        <w:gridCol w:w="1437"/>
        <w:gridCol w:w="1410"/>
        <w:gridCol w:w="1344"/>
        <w:gridCol w:w="1345"/>
        <w:gridCol w:w="2674"/>
      </w:tblGrid>
      <w:tr w:rsidR="008C49E9" w:rsidRPr="00E038A2" w14:paraId="4FA8DCC2" w14:textId="77777777" w:rsidTr="00073AEF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CB52A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2FCBC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AA7B91" w14:textId="71E5F0A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Age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E038A2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E038A2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5372CC" w14:textId="757DBC2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E038A2">
              <w:rPr>
                <w:rFonts w:ascii="Book Antiqua" w:hAnsi="Book Antiqua"/>
                <w:b/>
                <w:bCs/>
              </w:rPr>
              <w:t>Todani</w:t>
            </w:r>
            <w:proofErr w:type="spellEnd"/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7BF2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Operation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1DC443" w14:textId="2C3C315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Lesion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FF310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Pathology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9C372" w14:textId="72063925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TNM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stage</w:t>
            </w:r>
            <w:r w:rsidRPr="00E038A2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9BD2B0" w14:textId="439077D9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Follow-up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time</w:t>
            </w:r>
            <w:r w:rsidR="00623502">
              <w:rPr>
                <w:rFonts w:ascii="Book Antiqua" w:hAnsi="Book Antiqua"/>
                <w:b/>
                <w:bCs/>
              </w:rPr>
              <w:t xml:space="preserve"> </w:t>
            </w:r>
            <w:r w:rsidRPr="00E038A2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E038A2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E038A2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EA7D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038A2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8C49E9" w:rsidRPr="00E038A2" w14:paraId="758F4A4C" w14:textId="77777777" w:rsidTr="00073AEF">
        <w:tc>
          <w:tcPr>
            <w:tcW w:w="660" w:type="dxa"/>
            <w:tcBorders>
              <w:top w:val="single" w:sz="4" w:space="0" w:color="auto"/>
            </w:tcBorders>
            <w:hideMark/>
          </w:tcPr>
          <w:p w14:paraId="1C29E48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hideMark/>
          </w:tcPr>
          <w:p w14:paraId="0E30F80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14:paraId="07A79DA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14:paraId="4457CE3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  <w:hideMark/>
          </w:tcPr>
          <w:p w14:paraId="778FA0F8" w14:textId="57CEFEF9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hideMark/>
          </w:tcPr>
          <w:p w14:paraId="5C1F4DB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hideMark/>
          </w:tcPr>
          <w:p w14:paraId="37F65168" w14:textId="3450DD0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Mucinous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F9DE56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T4N0M0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6775E24D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30778DFF" w14:textId="02A8A985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Recurred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10</w:t>
            </w:r>
            <w:r w:rsidR="00623502">
              <w:rPr>
                <w:rFonts w:ascii="Book Antiqua" w:hAnsi="Book Antiqua"/>
              </w:rPr>
              <w:t xml:space="preserve"> </w:t>
            </w:r>
            <w:proofErr w:type="spellStart"/>
            <w:r w:rsidRPr="00E038A2">
              <w:rPr>
                <w:rFonts w:ascii="Book Antiqua" w:hAnsi="Book Antiqua"/>
              </w:rPr>
              <w:t>mo</w:t>
            </w:r>
            <w:proofErr w:type="spellEnd"/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after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surgery,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alive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with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tumor</w:t>
            </w:r>
          </w:p>
        </w:tc>
      </w:tr>
      <w:tr w:rsidR="008C49E9" w:rsidRPr="00E038A2" w14:paraId="64252D9F" w14:textId="77777777" w:rsidTr="00073AEF">
        <w:tc>
          <w:tcPr>
            <w:tcW w:w="660" w:type="dxa"/>
            <w:hideMark/>
          </w:tcPr>
          <w:p w14:paraId="15223D9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</w:t>
            </w:r>
          </w:p>
        </w:tc>
        <w:tc>
          <w:tcPr>
            <w:tcW w:w="731" w:type="dxa"/>
            <w:hideMark/>
          </w:tcPr>
          <w:p w14:paraId="5DA0DC8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7F394D1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46</w:t>
            </w:r>
          </w:p>
        </w:tc>
        <w:tc>
          <w:tcPr>
            <w:tcW w:w="1074" w:type="dxa"/>
            <w:hideMark/>
          </w:tcPr>
          <w:p w14:paraId="544F0C40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7795C332" w14:textId="7365A24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476E4E1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6DB6F583" w14:textId="1E91429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Mucinous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1EF59A0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T3N0M0</w:t>
            </w:r>
          </w:p>
        </w:tc>
        <w:tc>
          <w:tcPr>
            <w:tcW w:w="1418" w:type="dxa"/>
            <w:hideMark/>
          </w:tcPr>
          <w:p w14:paraId="4F22C6B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</w:t>
            </w:r>
          </w:p>
        </w:tc>
        <w:tc>
          <w:tcPr>
            <w:tcW w:w="2835" w:type="dxa"/>
            <w:hideMark/>
          </w:tcPr>
          <w:p w14:paraId="042D97CC" w14:textId="13C36A1F" w:rsidR="00BD0782" w:rsidRPr="00E038A2" w:rsidRDefault="00BD07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Survived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disease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for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6</w:t>
            </w:r>
            <w:r w:rsidR="00623502">
              <w:rPr>
                <w:rFonts w:ascii="Book Antiqua" w:hAnsi="Book Antiqua"/>
              </w:rPr>
              <w:t xml:space="preserve"> </w:t>
            </w:r>
            <w:proofErr w:type="spellStart"/>
            <w:r w:rsidRPr="00E038A2">
              <w:rPr>
                <w:rFonts w:ascii="Book Antiqua" w:hAnsi="Book Antiqua"/>
              </w:rPr>
              <w:t>mo</w:t>
            </w:r>
            <w:proofErr w:type="spellEnd"/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after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surgery,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then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lost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to</w:t>
            </w:r>
            <w:r w:rsidR="00623502">
              <w:rPr>
                <w:rFonts w:ascii="Book Antiqua" w:hAnsi="Book Antiqua"/>
              </w:rPr>
              <w:t xml:space="preserve"> </w:t>
            </w:r>
            <w:r w:rsidR="00B57F58" w:rsidRPr="00E038A2">
              <w:rPr>
                <w:rFonts w:ascii="Book Antiqua" w:hAnsi="Book Antiqua"/>
              </w:rPr>
              <w:t>follow</w:t>
            </w:r>
            <w:r w:rsidR="00B57F58">
              <w:rPr>
                <w:rFonts w:ascii="Book Antiqua" w:hAnsi="Book Antiqua"/>
              </w:rPr>
              <w:t>-</w:t>
            </w:r>
            <w:r w:rsidRPr="00E038A2">
              <w:rPr>
                <w:rFonts w:ascii="Book Antiqua" w:hAnsi="Book Antiqua"/>
              </w:rPr>
              <w:t>up</w:t>
            </w:r>
          </w:p>
        </w:tc>
      </w:tr>
      <w:tr w:rsidR="008C49E9" w:rsidRPr="00E038A2" w14:paraId="6DA46029" w14:textId="77777777" w:rsidTr="00073AEF">
        <w:tc>
          <w:tcPr>
            <w:tcW w:w="660" w:type="dxa"/>
            <w:hideMark/>
          </w:tcPr>
          <w:p w14:paraId="015415A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</w:t>
            </w:r>
          </w:p>
        </w:tc>
        <w:tc>
          <w:tcPr>
            <w:tcW w:w="731" w:type="dxa"/>
            <w:hideMark/>
          </w:tcPr>
          <w:p w14:paraId="11CFD9A0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6DDC91C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44</w:t>
            </w:r>
          </w:p>
        </w:tc>
        <w:tc>
          <w:tcPr>
            <w:tcW w:w="1074" w:type="dxa"/>
            <w:hideMark/>
          </w:tcPr>
          <w:p w14:paraId="41D2B0D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4AD7FDDA" w14:textId="09055703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5B327FC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3B5D624B" w14:textId="52588514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Moderate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08909F0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2F31A9D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52</w:t>
            </w:r>
          </w:p>
        </w:tc>
        <w:tc>
          <w:tcPr>
            <w:tcW w:w="2835" w:type="dxa"/>
            <w:hideMark/>
          </w:tcPr>
          <w:p w14:paraId="1F4D2580" w14:textId="0946A22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33134059" w14:textId="77777777" w:rsidTr="00073AEF">
        <w:tc>
          <w:tcPr>
            <w:tcW w:w="660" w:type="dxa"/>
            <w:hideMark/>
          </w:tcPr>
          <w:p w14:paraId="5609FBB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</w:t>
            </w:r>
          </w:p>
        </w:tc>
        <w:tc>
          <w:tcPr>
            <w:tcW w:w="731" w:type="dxa"/>
            <w:hideMark/>
          </w:tcPr>
          <w:p w14:paraId="580B1211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3BC10DE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26</w:t>
            </w:r>
          </w:p>
        </w:tc>
        <w:tc>
          <w:tcPr>
            <w:tcW w:w="1074" w:type="dxa"/>
            <w:hideMark/>
          </w:tcPr>
          <w:p w14:paraId="783F878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383EFE64" w14:textId="52067EA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63B20C95" w14:textId="6937BCC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40998A31" w14:textId="79E081EF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Mild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5D576060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7C19364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53</w:t>
            </w:r>
          </w:p>
        </w:tc>
        <w:tc>
          <w:tcPr>
            <w:tcW w:w="2835" w:type="dxa"/>
            <w:hideMark/>
          </w:tcPr>
          <w:p w14:paraId="6E439E0D" w14:textId="6A29D619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51D2E074" w14:textId="77777777" w:rsidTr="00073AEF">
        <w:tc>
          <w:tcPr>
            <w:tcW w:w="660" w:type="dxa"/>
            <w:hideMark/>
          </w:tcPr>
          <w:p w14:paraId="0498784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5</w:t>
            </w:r>
          </w:p>
        </w:tc>
        <w:tc>
          <w:tcPr>
            <w:tcW w:w="731" w:type="dxa"/>
            <w:hideMark/>
          </w:tcPr>
          <w:p w14:paraId="684A8BB0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0EDDC79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61</w:t>
            </w:r>
          </w:p>
        </w:tc>
        <w:tc>
          <w:tcPr>
            <w:tcW w:w="1074" w:type="dxa"/>
            <w:hideMark/>
          </w:tcPr>
          <w:p w14:paraId="6D3FA25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3D447279" w14:textId="12800D1C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05E857B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3D79AD1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7FF2529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T2N0M0</w:t>
            </w:r>
          </w:p>
        </w:tc>
        <w:tc>
          <w:tcPr>
            <w:tcW w:w="1418" w:type="dxa"/>
            <w:hideMark/>
          </w:tcPr>
          <w:p w14:paraId="0E57B27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hideMark/>
          </w:tcPr>
          <w:p w14:paraId="556654DF" w14:textId="36F6C621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59A984BF" w14:textId="77777777" w:rsidTr="00073AEF">
        <w:tc>
          <w:tcPr>
            <w:tcW w:w="660" w:type="dxa"/>
            <w:hideMark/>
          </w:tcPr>
          <w:p w14:paraId="21F99C2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</w:t>
            </w:r>
          </w:p>
        </w:tc>
        <w:tc>
          <w:tcPr>
            <w:tcW w:w="731" w:type="dxa"/>
            <w:hideMark/>
          </w:tcPr>
          <w:p w14:paraId="7FE77D9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6ECA27B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27</w:t>
            </w:r>
          </w:p>
        </w:tc>
        <w:tc>
          <w:tcPr>
            <w:tcW w:w="1074" w:type="dxa"/>
            <w:hideMark/>
          </w:tcPr>
          <w:p w14:paraId="5C62FFF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5D03324C" w14:textId="2DB3955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5EAD7FF3" w14:textId="362CECA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41126E29" w14:textId="69390920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Moderate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7B18EF6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06A58B2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66</w:t>
            </w:r>
          </w:p>
        </w:tc>
        <w:tc>
          <w:tcPr>
            <w:tcW w:w="2835" w:type="dxa"/>
            <w:hideMark/>
          </w:tcPr>
          <w:p w14:paraId="17D82253" w14:textId="00C5D9A5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442A9F8B" w14:textId="77777777" w:rsidTr="00073AEF">
        <w:tc>
          <w:tcPr>
            <w:tcW w:w="660" w:type="dxa"/>
            <w:hideMark/>
          </w:tcPr>
          <w:p w14:paraId="57566EE0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7</w:t>
            </w:r>
          </w:p>
        </w:tc>
        <w:tc>
          <w:tcPr>
            <w:tcW w:w="731" w:type="dxa"/>
            <w:hideMark/>
          </w:tcPr>
          <w:p w14:paraId="29E858E6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51A73B0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33</w:t>
            </w:r>
          </w:p>
        </w:tc>
        <w:tc>
          <w:tcPr>
            <w:tcW w:w="1074" w:type="dxa"/>
            <w:hideMark/>
          </w:tcPr>
          <w:p w14:paraId="178F923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79E8532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pancreaticoduodenectomy</w:t>
            </w:r>
          </w:p>
        </w:tc>
        <w:tc>
          <w:tcPr>
            <w:tcW w:w="1516" w:type="dxa"/>
            <w:hideMark/>
          </w:tcPr>
          <w:p w14:paraId="60CB6BA4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76ED564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0A14E57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TisN0M0</w:t>
            </w:r>
          </w:p>
        </w:tc>
        <w:tc>
          <w:tcPr>
            <w:tcW w:w="1418" w:type="dxa"/>
            <w:hideMark/>
          </w:tcPr>
          <w:p w14:paraId="5EB4259A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81</w:t>
            </w:r>
          </w:p>
        </w:tc>
        <w:tc>
          <w:tcPr>
            <w:tcW w:w="2835" w:type="dxa"/>
            <w:hideMark/>
          </w:tcPr>
          <w:p w14:paraId="40136C32" w14:textId="1B3BBFD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48D4A87D" w14:textId="77777777" w:rsidTr="00073AEF">
        <w:tc>
          <w:tcPr>
            <w:tcW w:w="660" w:type="dxa"/>
            <w:hideMark/>
          </w:tcPr>
          <w:p w14:paraId="3237681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731" w:type="dxa"/>
            <w:hideMark/>
          </w:tcPr>
          <w:p w14:paraId="12A231D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735E26D8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18</w:t>
            </w:r>
          </w:p>
        </w:tc>
        <w:tc>
          <w:tcPr>
            <w:tcW w:w="1074" w:type="dxa"/>
            <w:hideMark/>
          </w:tcPr>
          <w:p w14:paraId="7E051956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24A9F599" w14:textId="7B14703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273FC414" w14:textId="5FC92BB5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5451F068" w14:textId="6810B5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Mild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6680A80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70BA59F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hideMark/>
          </w:tcPr>
          <w:p w14:paraId="38199778" w14:textId="1ACE3E9E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77B974C3" w14:textId="77777777" w:rsidTr="00073AEF">
        <w:tc>
          <w:tcPr>
            <w:tcW w:w="660" w:type="dxa"/>
            <w:hideMark/>
          </w:tcPr>
          <w:p w14:paraId="2150B1B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9</w:t>
            </w:r>
          </w:p>
        </w:tc>
        <w:tc>
          <w:tcPr>
            <w:tcW w:w="731" w:type="dxa"/>
            <w:hideMark/>
          </w:tcPr>
          <w:p w14:paraId="2FBE2E9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2E0F304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65</w:t>
            </w:r>
          </w:p>
        </w:tc>
        <w:tc>
          <w:tcPr>
            <w:tcW w:w="1074" w:type="dxa"/>
            <w:hideMark/>
          </w:tcPr>
          <w:p w14:paraId="17BBD535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1BEF1BB0" w14:textId="2F681B02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3F05E2B7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5FD74DA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61CB3BA9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T1N0M0</w:t>
            </w:r>
          </w:p>
        </w:tc>
        <w:tc>
          <w:tcPr>
            <w:tcW w:w="1418" w:type="dxa"/>
            <w:hideMark/>
          </w:tcPr>
          <w:p w14:paraId="4CBCB87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65</w:t>
            </w:r>
          </w:p>
        </w:tc>
        <w:tc>
          <w:tcPr>
            <w:tcW w:w="2835" w:type="dxa"/>
            <w:hideMark/>
          </w:tcPr>
          <w:p w14:paraId="7EFE2AB6" w14:textId="175FC538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Disease-free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survival</w:t>
            </w:r>
          </w:p>
        </w:tc>
      </w:tr>
      <w:tr w:rsidR="008C49E9" w:rsidRPr="00E038A2" w14:paraId="218C3DC7" w14:textId="77777777" w:rsidTr="00073AEF">
        <w:tc>
          <w:tcPr>
            <w:tcW w:w="660" w:type="dxa"/>
            <w:hideMark/>
          </w:tcPr>
          <w:p w14:paraId="20C1455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10</w:t>
            </w:r>
          </w:p>
        </w:tc>
        <w:tc>
          <w:tcPr>
            <w:tcW w:w="731" w:type="dxa"/>
            <w:hideMark/>
          </w:tcPr>
          <w:p w14:paraId="318EE99C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52A4E3EE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22</w:t>
            </w:r>
          </w:p>
        </w:tc>
        <w:tc>
          <w:tcPr>
            <w:tcW w:w="1074" w:type="dxa"/>
            <w:hideMark/>
          </w:tcPr>
          <w:p w14:paraId="1AC90EA2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038A2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2E432948" w14:textId="58D6471A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CH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CE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+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61936D1F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6FCE206A" w14:textId="583E438B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Mild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51BE80C3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145E953B" w14:textId="77777777" w:rsidR="00BD0782" w:rsidRPr="00E038A2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--</w:t>
            </w:r>
          </w:p>
        </w:tc>
        <w:tc>
          <w:tcPr>
            <w:tcW w:w="2835" w:type="dxa"/>
            <w:hideMark/>
          </w:tcPr>
          <w:p w14:paraId="0B8FAA7D" w14:textId="673B6808" w:rsidR="00BD0782" w:rsidRPr="00E038A2" w:rsidRDefault="00BD07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038A2">
              <w:rPr>
                <w:rFonts w:ascii="Book Antiqua" w:hAnsi="Book Antiqua"/>
              </w:rPr>
              <w:t>Lost</w:t>
            </w:r>
            <w:r w:rsidR="00623502">
              <w:rPr>
                <w:rFonts w:ascii="Book Antiqua" w:hAnsi="Book Antiqua"/>
              </w:rPr>
              <w:t xml:space="preserve"> </w:t>
            </w:r>
            <w:r w:rsidRPr="00E038A2">
              <w:rPr>
                <w:rFonts w:ascii="Book Antiqua" w:hAnsi="Book Antiqua"/>
              </w:rPr>
              <w:t>to</w:t>
            </w:r>
            <w:r w:rsidR="00623502">
              <w:rPr>
                <w:rFonts w:ascii="Book Antiqua" w:hAnsi="Book Antiqua"/>
              </w:rPr>
              <w:t xml:space="preserve"> </w:t>
            </w:r>
            <w:r w:rsidR="00B57F58" w:rsidRPr="00E038A2">
              <w:rPr>
                <w:rFonts w:ascii="Book Antiqua" w:hAnsi="Book Antiqua"/>
              </w:rPr>
              <w:t>follow</w:t>
            </w:r>
            <w:r w:rsidR="00B57F58">
              <w:rPr>
                <w:rFonts w:ascii="Book Antiqua" w:hAnsi="Book Antiqua"/>
              </w:rPr>
              <w:t>-</w:t>
            </w:r>
            <w:r w:rsidRPr="00E038A2">
              <w:rPr>
                <w:rFonts w:ascii="Book Antiqua" w:hAnsi="Book Antiqua"/>
              </w:rPr>
              <w:t>up</w:t>
            </w:r>
          </w:p>
        </w:tc>
      </w:tr>
    </w:tbl>
    <w:p w14:paraId="55A0CF51" w14:textId="70C2444F" w:rsidR="00A77B3E" w:rsidRPr="00E038A2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E038A2">
        <w:rPr>
          <w:rFonts w:ascii="Book Antiqua" w:hAnsi="Book Antiqua"/>
          <w:vertAlign w:val="superscript"/>
        </w:rPr>
        <w:t>1</w:t>
      </w:r>
      <w:r w:rsidRPr="00E038A2">
        <w:rPr>
          <w:rFonts w:ascii="Book Antiqua" w:hAnsi="Book Antiqua"/>
        </w:rPr>
        <w:t>Staging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was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according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to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the</w:t>
      </w:r>
      <w:r w:rsidR="00623502">
        <w:rPr>
          <w:rFonts w:ascii="Book Antiqua" w:hAnsi="Book Antiqua"/>
        </w:rPr>
        <w:t xml:space="preserve"> </w:t>
      </w:r>
      <w:r w:rsidR="00800A67" w:rsidRPr="00800A67">
        <w:rPr>
          <w:rFonts w:ascii="Book Antiqua" w:hAnsi="Book Antiqua"/>
        </w:rPr>
        <w:t>American</w:t>
      </w:r>
      <w:r w:rsidR="00623502">
        <w:rPr>
          <w:rFonts w:ascii="Book Antiqua" w:hAnsi="Book Antiqua"/>
        </w:rPr>
        <w:t xml:space="preserve"> </w:t>
      </w:r>
      <w:r w:rsidR="00800A67" w:rsidRPr="00800A67">
        <w:rPr>
          <w:rFonts w:ascii="Book Antiqua" w:hAnsi="Book Antiqua"/>
        </w:rPr>
        <w:t>Joint</w:t>
      </w:r>
      <w:r w:rsidR="00623502">
        <w:rPr>
          <w:rFonts w:ascii="Book Antiqua" w:hAnsi="Book Antiqua"/>
        </w:rPr>
        <w:t xml:space="preserve"> </w:t>
      </w:r>
      <w:r w:rsidR="00800A67" w:rsidRPr="00800A67">
        <w:rPr>
          <w:rFonts w:ascii="Book Antiqua" w:hAnsi="Book Antiqua"/>
        </w:rPr>
        <w:t>Committee</w:t>
      </w:r>
      <w:r w:rsidR="00623502">
        <w:rPr>
          <w:rFonts w:ascii="Book Antiqua" w:hAnsi="Book Antiqua"/>
        </w:rPr>
        <w:t xml:space="preserve"> </w:t>
      </w:r>
      <w:r w:rsidR="00800A67" w:rsidRPr="00800A67">
        <w:rPr>
          <w:rFonts w:ascii="Book Antiqua" w:hAnsi="Book Antiqua"/>
        </w:rPr>
        <w:t>on</w:t>
      </w:r>
      <w:r w:rsidR="00623502">
        <w:rPr>
          <w:rFonts w:ascii="Book Antiqua" w:hAnsi="Book Antiqua"/>
        </w:rPr>
        <w:t xml:space="preserve"> </w:t>
      </w:r>
      <w:r w:rsidR="00800A67" w:rsidRPr="00800A67">
        <w:rPr>
          <w:rFonts w:ascii="Book Antiqua" w:hAnsi="Book Antiqua"/>
        </w:rPr>
        <w:t>Cancer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8</w:t>
      </w:r>
      <w:r w:rsidRPr="00800A67">
        <w:rPr>
          <w:rFonts w:ascii="Book Antiqua" w:hAnsi="Book Antiqua"/>
          <w:vertAlign w:val="superscript"/>
        </w:rPr>
        <w:t>th</w:t>
      </w:r>
      <w:r w:rsidR="00623502">
        <w:rPr>
          <w:rFonts w:ascii="Book Antiqua" w:hAnsi="Book Antiqua"/>
        </w:rPr>
        <w:t xml:space="preserve"> </w:t>
      </w:r>
      <w:r w:rsidR="00800A67">
        <w:rPr>
          <w:rFonts w:ascii="Book Antiqua" w:hAnsi="Book Antiqua"/>
        </w:rPr>
        <w:t>2018</w:t>
      </w:r>
      <w:r w:rsidR="00623502">
        <w:rPr>
          <w:rFonts w:ascii="Book Antiqua" w:hAnsi="Book Antiqua"/>
        </w:rPr>
        <w:t xml:space="preserve"> Tumor Node Metastasis </w:t>
      </w:r>
      <w:r w:rsidR="00800A67">
        <w:rPr>
          <w:rFonts w:ascii="Book Antiqua" w:hAnsi="Book Antiqua"/>
        </w:rPr>
        <w:t>classification.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CH: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Cholecystectomy;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CE: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Cyst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excision;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HJ:</w:t>
      </w:r>
      <w:r w:rsidR="00623502">
        <w:rPr>
          <w:rFonts w:ascii="Book Antiqua" w:hAnsi="Book Antiqua"/>
        </w:rPr>
        <w:t xml:space="preserve"> </w:t>
      </w:r>
      <w:r w:rsidRPr="00E038A2">
        <w:rPr>
          <w:rFonts w:ascii="Book Antiqua" w:hAnsi="Book Antiqua"/>
        </w:rPr>
        <w:t>Hepaticojejunostomy</w:t>
      </w:r>
      <w:r w:rsidR="00623502">
        <w:rPr>
          <w:rFonts w:ascii="Book Antiqua" w:hAnsi="Book Antiqua"/>
        </w:rPr>
        <w:t>; TNM: T</w:t>
      </w:r>
      <w:bookmarkStart w:id="4" w:name="_GoBack"/>
      <w:bookmarkEnd w:id="4"/>
      <w:r w:rsidR="00623502">
        <w:rPr>
          <w:rFonts w:ascii="Book Antiqua" w:hAnsi="Book Antiqua"/>
        </w:rPr>
        <w:t>um</w:t>
      </w:r>
      <w:r w:rsidR="00623502">
        <w:rPr>
          <w:rFonts w:ascii="Book Antiqua" w:hAnsi="Book Antiqua"/>
        </w:rPr>
        <w:t>or node metastasis.</w:t>
      </w:r>
    </w:p>
    <w:sectPr w:rsidR="00A77B3E" w:rsidRPr="00E038A2" w:rsidSect="00E466AC">
      <w:pgSz w:w="16838" w:h="11906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8B9F2" w14:textId="77777777" w:rsidR="001E3818" w:rsidRDefault="001E3818" w:rsidP="00E038A2">
      <w:r>
        <w:separator/>
      </w:r>
    </w:p>
  </w:endnote>
  <w:endnote w:type="continuationSeparator" w:id="0">
    <w:p w14:paraId="4E14930E" w14:textId="77777777" w:rsidR="001E3818" w:rsidRDefault="001E3818" w:rsidP="00E0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989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DC579" w14:textId="09A1BD52" w:rsidR="00751F88" w:rsidRDefault="00751F8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536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536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150557" w14:textId="77777777" w:rsidR="00751F88" w:rsidRDefault="00751F88" w:rsidP="00E038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B639B" w14:textId="77777777" w:rsidR="001E3818" w:rsidRDefault="001E3818" w:rsidP="00E038A2">
      <w:r>
        <w:separator/>
      </w:r>
    </w:p>
  </w:footnote>
  <w:footnote w:type="continuationSeparator" w:id="0">
    <w:p w14:paraId="59DCF14B" w14:textId="77777777" w:rsidR="001E3818" w:rsidRDefault="001E3818" w:rsidP="00E0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3AEF"/>
    <w:rsid w:val="00080536"/>
    <w:rsid w:val="000D41CF"/>
    <w:rsid w:val="001E3818"/>
    <w:rsid w:val="004012CB"/>
    <w:rsid w:val="004330F8"/>
    <w:rsid w:val="004C27D9"/>
    <w:rsid w:val="005E2568"/>
    <w:rsid w:val="00623502"/>
    <w:rsid w:val="006F6830"/>
    <w:rsid w:val="007450BD"/>
    <w:rsid w:val="0074796D"/>
    <w:rsid w:val="00751F88"/>
    <w:rsid w:val="007664B1"/>
    <w:rsid w:val="00780D2F"/>
    <w:rsid w:val="00800A67"/>
    <w:rsid w:val="008C49E9"/>
    <w:rsid w:val="00A77B3E"/>
    <w:rsid w:val="00B1102B"/>
    <w:rsid w:val="00B45648"/>
    <w:rsid w:val="00B57F58"/>
    <w:rsid w:val="00B87920"/>
    <w:rsid w:val="00BD0782"/>
    <w:rsid w:val="00BF1B4A"/>
    <w:rsid w:val="00BF7F3C"/>
    <w:rsid w:val="00C8735B"/>
    <w:rsid w:val="00CA2A55"/>
    <w:rsid w:val="00D23000"/>
    <w:rsid w:val="00D821A4"/>
    <w:rsid w:val="00D8417C"/>
    <w:rsid w:val="00E038A2"/>
    <w:rsid w:val="00E172D9"/>
    <w:rsid w:val="00E466AC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38414"/>
  <w15:docId w15:val="{B416F9EC-E2E0-439A-870C-0AE3B8A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82"/>
  </w:style>
  <w:style w:type="paragraph" w:styleId="a3">
    <w:name w:val="header"/>
    <w:basedOn w:val="a"/>
    <w:link w:val="Char"/>
    <w:unhideWhenUsed/>
    <w:rsid w:val="00E0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A2"/>
    <w:rPr>
      <w:sz w:val="18"/>
      <w:szCs w:val="18"/>
    </w:rPr>
  </w:style>
  <w:style w:type="paragraph" w:styleId="a5">
    <w:name w:val="Balloon Text"/>
    <w:basedOn w:val="a"/>
    <w:link w:val="Char1"/>
    <w:rsid w:val="007664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66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ibm</cp:lastModifiedBy>
  <cp:revision>3</cp:revision>
  <dcterms:created xsi:type="dcterms:W3CDTF">2021-05-30T10:53:00Z</dcterms:created>
  <dcterms:modified xsi:type="dcterms:W3CDTF">2021-05-30T10:57:00Z</dcterms:modified>
</cp:coreProperties>
</file>