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67167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Non-</w:t>
      </w:r>
      <w:r>
        <w:rPr>
          <w:rFonts w:ascii="Book Antiqua" w:hAnsi="Book Antiqua" w:cs="Book Antiqua"/>
          <w:b/>
          <w:color w:val="000000"/>
          <w:lang w:eastAsia="zh-CN"/>
        </w:rPr>
        <w:t>a</w:t>
      </w:r>
      <w:r>
        <w:rPr>
          <w:rFonts w:ascii="Book Antiqua" w:hAnsi="Book Antiqua" w:eastAsia="Book Antiqua" w:cs="Book Antiqua"/>
          <w:b/>
          <w:color w:val="000000"/>
        </w:rPr>
        <w:t>lcoholic fatty liver disease in irritable bowel syndrome: More than a coincidence?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Purssell H </w:t>
      </w:r>
      <w:r>
        <w:rPr>
          <w:rFonts w:ascii="Book Antiqua" w:hAnsi="Book Antiqua" w:eastAsia="Book Antiqua" w:cs="Book Antiqua"/>
          <w:i/>
          <w:iCs/>
          <w:color w:val="000000"/>
        </w:rPr>
        <w:t>et al</w:t>
      </w:r>
      <w:r>
        <w:rPr>
          <w:rFonts w:ascii="Book Antiqua" w:hAnsi="Book Antiqua" w:eastAsia="Book Antiqua" w:cs="Book Antiqua"/>
          <w:color w:val="000000"/>
        </w:rPr>
        <w:t>. Co-existing NAFLD and irritable bowel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Huw Purssell, Peter J Whorwell, Varinder S Athwal, Dipesh H Vasant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Huw Purssell, Varinder S Athwal, </w:t>
      </w:r>
      <w:r>
        <w:rPr>
          <w:rFonts w:ascii="Book Antiqua" w:hAnsi="Book Antiqua" w:eastAsia="Book Antiqua" w:cs="Book Antiqua"/>
          <w:color w:val="000000"/>
        </w:rPr>
        <w:t>Hepatology, Manchester University NHS Foundation Trust, Manchester M23 9LT,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Huw Purssell, Peter J Whorwell, Varinder S Athwal, Dipesh H Vasant, </w:t>
      </w:r>
      <w:r>
        <w:rPr>
          <w:rFonts w:ascii="Book Antiqua" w:hAnsi="Book Antiqua" w:eastAsia="Book Antiqua" w:cs="Book Antiqua"/>
          <w:color w:val="000000"/>
        </w:rPr>
        <w:t>Division of Diabetes, Endocrinology and Gastroenterology, University of Manchester, Manchester M23 9LT,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Peter J Whorwell, </w:t>
      </w:r>
      <w:r>
        <w:rPr>
          <w:rFonts w:ascii="Book Antiqua" w:hAnsi="Book Antiqua" w:eastAsia="Book Antiqua" w:cs="Book Antiqua"/>
          <w:color w:val="000000"/>
        </w:rPr>
        <w:t>Neurogastroenterology Unit, Wythenshawe Hospital, Manchester University NHS Foundation Trust, Manchester M23 9LT, United Kingdom</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Dipesh H Vasant, </w:t>
      </w:r>
      <w:bookmarkStart w:id="0" w:name="_Hlk85215078"/>
      <w:r>
        <w:rPr>
          <w:rFonts w:hint="eastAsia" w:ascii="Book Antiqua" w:hAnsi="Book Antiqua" w:eastAsia="Book Antiqua" w:cs="Book Antiqua"/>
          <w:color w:val="000000"/>
        </w:rPr>
        <w:t>Neurogastroenterology Uni</w:t>
      </w:r>
      <w:r>
        <w:rPr>
          <w:rFonts w:ascii="Book Antiqua" w:hAnsi="Book Antiqua" w:eastAsia="Book Antiqua" w:cs="Book Antiqua"/>
          <w:color w:val="000000"/>
        </w:rPr>
        <w:t>t,</w:t>
      </w:r>
      <w:r>
        <w:rPr>
          <w:rFonts w:hint="eastAsia" w:ascii="宋体" w:hAnsi="宋体" w:eastAsia="宋体" w:cs="宋体"/>
          <w:color w:val="000000"/>
          <w:lang w:eastAsia="zh-CN"/>
        </w:rPr>
        <w:t xml:space="preserve"> </w:t>
      </w:r>
      <w:r>
        <w:rPr>
          <w:rFonts w:hint="eastAsia" w:ascii="Book Antiqua" w:hAnsi="Book Antiqua" w:eastAsia="Book Antiqua" w:cs="Book Antiqua"/>
          <w:color w:val="000000"/>
        </w:rPr>
        <w:t>Department of Gastroenterology, Manchester University NHS Foundation Trus</w:t>
      </w:r>
      <w:r>
        <w:rPr>
          <w:rFonts w:ascii="Book Antiqua" w:hAnsi="Book Antiqua" w:eastAsia="Book Antiqua" w:cs="Book Antiqua"/>
          <w:color w:val="000000"/>
        </w:rPr>
        <w:t>t,</w:t>
      </w:r>
      <w:r>
        <w:rPr>
          <w:rFonts w:ascii="宋体" w:hAnsi="宋体" w:eastAsia="宋体" w:cs="宋体"/>
          <w:color w:val="000000"/>
          <w:lang w:eastAsia="zh-CN"/>
        </w:rPr>
        <w:t xml:space="preserve"> </w:t>
      </w:r>
      <w:r>
        <w:rPr>
          <w:rFonts w:hint="eastAsia" w:ascii="Book Antiqua" w:hAnsi="Book Antiqua" w:eastAsia="Book Antiqua" w:cs="Book Antiqua"/>
          <w:color w:val="000000"/>
        </w:rPr>
        <w:t>Wythenshawe Hospital</w:t>
      </w:r>
      <w:bookmarkEnd w:id="0"/>
      <w:r>
        <w:rPr>
          <w:rFonts w:hint="eastAsia" w:ascii="Book Antiqua" w:hAnsi="Book Antiqua" w:eastAsia="Book Antiqua" w:cs="Book Antiqua"/>
          <w:color w:val="000000"/>
        </w:rPr>
        <w:t>, Manchester M23 9LT,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Purssell H and Vasant DH did the main literature review and drafted the manuscript; Whorwell PJ and Athwal VS critically reviewed the manuscript; and all authors approved the final version of the manuscript for publication.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Dipesh H Vasant, MBChB, MRCP, PhD, Senior Lecturer, </w:t>
      </w:r>
      <w:r>
        <w:rPr>
          <w:rFonts w:ascii="Book Antiqua" w:hAnsi="Book Antiqua" w:eastAsia="Book Antiqua" w:cs="Book Antiqua"/>
          <w:color w:val="000000"/>
        </w:rPr>
        <w:t>Neurogastroenterology Unit, Department of Gastroenterology, Manchester University NHS Foundation Trust, Wythenshawe Hospital, Southmoor Road, Manchester M23 9LT, United Kingdom. dipesh.vasant@manchester.ac.uk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27,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bookmarkStart w:id="1" w:name="_Hlk85378078"/>
      <w:r>
        <w:rPr>
          <w:rFonts w:ascii="Book Antiqua" w:hAnsi="Book Antiqua" w:eastAsia="Book Antiqua" w:cs="Book Antiqua"/>
          <w:color w:val="000000"/>
        </w:rPr>
        <w:t>Irritable bowel syndrome</w:t>
      </w:r>
      <w:bookmarkEnd w:id="1"/>
      <w:r>
        <w:rPr>
          <w:rFonts w:ascii="Book Antiqua" w:hAnsi="Book Antiqua" w:eastAsia="Book Antiqua" w:cs="Book Antiqua"/>
          <w:color w:val="000000"/>
        </w:rPr>
        <w:t xml:space="preserve"> (IBS) and non-alcoholic fatty liver disease (NAFLD) are amongst the most common gastrointestinal and liver conditions encountered in primary and secondary care. Recently, there has been interest in the apparent co-incidence of NAFLD in patients with IBS mainly driven by improved understanding of their shared risk factors and pathophysiology. In this paper we summarize the shared risk factors which include; overlapping nutritional and dietary factors as well as shared putative mechanisms of pathophysiology. These include changes in the gut microbiome, gut permeability, immunity, small bowel bacterial overgrowth and bile acid metabolism. This paper describes how these shared risk factors and etiological factors may have practical clinical implications for these highly prevalent conditions. It also highlights some of the limitations of current epidemiological data relating to estimates of the overlapping prevalence of the two conditions which have resulted in inconsistent results and, therefore the need for further research. Early recognition and management of the overlap could potentially have impacts on treatment outcomes, compliance and morbidity of both conditions. Patients with known IBS who have abnormal liver function tests or significant risk factors for NAFLD should be investigated appropriately for this possibility. Similarly, IBS should be considered in patients with NAFLD and symptoms of abdominal pain associated with defecation, an altered bowel habit and bloating.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Irritable bowel syndrome; Non-alcoholic fatty liver disease; Metabolic syndrome; Obesity; Prevalence; Pathophysiology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adjustRightInd w:val="0"/>
        <w:snapToGrid w:val="0"/>
        <w:spacing w:line="360" w:lineRule="auto"/>
        <w:rPr>
          <w:rFonts w:ascii="Book Antiqua" w:hAnsi="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Purssell H, Whorwell PJ, Athwal VS, Vasant DH. Non-alcoholic fatty liver disease in irritable bowel syndrome: More than a coincidence?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r>
        <w:rPr>
          <w:rFonts w:ascii="Book Antiqua" w:hAnsi="Book Antiqua"/>
          <w:color w:val="000000"/>
        </w:rPr>
        <w:t xml:space="preserve">2021; 13(12): </w:t>
      </w:r>
      <w:r>
        <w:rPr>
          <w:rFonts w:hint="default" w:ascii="Book Antiqua" w:hAnsi="Book Antiqua" w:eastAsia="Book Antiqua" w:cs="Book Antiqua"/>
          <w:i w:val="0"/>
          <w:iCs w:val="0"/>
          <w:color w:val="000000"/>
          <w:kern w:val="0"/>
          <w:sz w:val="24"/>
          <w:szCs w:val="24"/>
          <w:u w:val="none"/>
          <w:lang w:val="en-US" w:eastAsia="zh-CN" w:bidi="ar"/>
        </w:rPr>
        <w:t>1816-1827</w:t>
      </w:r>
    </w:p>
    <w:p>
      <w:pPr>
        <w:adjustRightInd w:val="0"/>
        <w:snapToGrid w:val="0"/>
        <w:spacing w:line="360" w:lineRule="auto"/>
        <w:rPr>
          <w:rFonts w:ascii="Book Antiqua" w:hAnsi="Book Antiqua"/>
          <w:color w:val="000000"/>
        </w:rPr>
      </w:pPr>
      <w:r>
        <w:rPr>
          <w:rFonts w:ascii="Book Antiqua" w:hAnsi="Book Antiqua"/>
          <w:b/>
          <w:bCs/>
          <w:color w:val="000000"/>
        </w:rPr>
        <w:t>URL:</w:t>
      </w:r>
      <w:r>
        <w:rPr>
          <w:rFonts w:ascii="Book Antiqua" w:hAnsi="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1816</w:t>
      </w:r>
      <w:r>
        <w:rPr>
          <w:rFonts w:ascii="Book Antiqua" w:hAnsi="Book Antiqua"/>
          <w:color w:val="000000"/>
        </w:rPr>
        <w:t>.htm</w:t>
      </w:r>
    </w:p>
    <w:p>
      <w:pPr>
        <w:adjustRightInd w:val="0"/>
        <w:snapToGrid w:val="0"/>
        <w:spacing w:line="360" w:lineRule="auto"/>
        <w:rPr>
          <w:rFonts w:ascii="Book Antiqua" w:hAnsi="Book Antiqua"/>
        </w:rPr>
      </w:pPr>
      <w:r>
        <w:rPr>
          <w:rFonts w:ascii="Book Antiqua" w:hAnsi="Book Antiqua"/>
          <w:b/>
          <w:bCs/>
          <w:color w:val="000000"/>
        </w:rPr>
        <w:t>DOI:</w:t>
      </w:r>
      <w:r>
        <w:rPr>
          <w:rFonts w:ascii="Book Antiqua" w:hAnsi="Book Antiqua"/>
          <w:color w:val="000000"/>
        </w:rPr>
        <w:t xml:space="preserve"> </w:t>
      </w:r>
      <w:r>
        <w:rPr>
          <w:rFonts w:hint="eastAsia" w:ascii="Book Antiqua" w:hAnsi="Book Antiqua" w:eastAsia="Book Antiqua" w:cs="Book Antiqua"/>
          <w:color w:val="000000"/>
        </w:rPr>
        <w:t>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1816</w:t>
      </w:r>
    </w:p>
    <w:p>
      <w:pPr>
        <w:adjustRightInd w:val="0"/>
        <w:snapToGrid w:val="0"/>
        <w:spacing w:line="360" w:lineRule="auto"/>
        <w:rPr>
          <w:rFonts w:ascii="Book Antiqua" w:hAnsi="Book Antiqua"/>
        </w:rPr>
      </w:pPr>
    </w:p>
    <w:p>
      <w:pPr>
        <w:adjustRightInd w:val="0"/>
        <w:snapToGrid w:val="0"/>
        <w:spacing w:line="360" w:lineRule="auto"/>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Irritable bowel syndrome (IBS) and non-alcoholic fatty liver disease (NAFLD) are amongst the most common gastrointestinal and liver conditions encountered in primary and secondary care. There has been interest in the apparent co-incidence of NAFLD in patients with IBS mainly driven by improved understanding of their shared risk factors and pathophysiology. In this paper we summarize the shared risk factors which include; overlapping nutritional and dietary factors as well as shared putative mechanisms of pathophysiology. Physicians should be aware of the possibility of co-existence of IBS and NAFLD and consider investigating patients with IBS or NAFLD with clinical features of the other condition.</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cs="Arial"/>
        </w:rPr>
      </w:pPr>
      <w:r>
        <w:rPr>
          <w:rFonts w:ascii="Book Antiqua" w:hAnsi="Book Antiqua" w:cs="Arial"/>
        </w:rPr>
        <w:t>Irritable Bowel syndrome (IBS) is a disorder of gut-brain interaction (DGBI) resulting in recurrent abdominal pain associated with defecation and an altered bowel habit. Patients are considered to have IBS when they fulfill the Rome IV diagnostic criteria which include an altered bowel habit (constipation, diarrhea or a mix of both), associated with frequent abdominal pain and abdominal bloating or distension for at least 6 mo prior to diagnosis</w:t>
      </w:r>
      <w:r>
        <w:rPr>
          <w:rFonts w:ascii="Book Antiqua" w:hAnsi="Book Antiqua" w:cs="Arial"/>
          <w:vertAlign w:val="superscript"/>
        </w:rPr>
        <w:t>[1]</w:t>
      </w:r>
      <w:r>
        <w:rPr>
          <w:rFonts w:ascii="Book Antiqua" w:hAnsi="Book Antiqua" w:cs="Arial"/>
        </w:rPr>
        <w:t>. A recent systematic review and meta-analysis has shown a worldwide prevalence of IBS of 9.2% with significant regional variability</w:t>
      </w:r>
      <w:r>
        <w:rPr>
          <w:rFonts w:ascii="Book Antiqua" w:hAnsi="Book Antiqua" w:cs="Arial"/>
          <w:vertAlign w:val="superscript"/>
        </w:rPr>
        <w:t>[2]</w:t>
      </w:r>
      <w:r>
        <w:rPr>
          <w:rFonts w:ascii="Book Antiqua" w:hAnsi="Book Antiqua" w:cs="Arial"/>
        </w:rPr>
        <w:t>. In the United Kingdom, DGBIs such as IBS are very common, and account for around a third of gastroenterology outpatient referrals</w:t>
      </w:r>
      <w:r>
        <w:rPr>
          <w:rFonts w:ascii="Book Antiqua" w:hAnsi="Book Antiqua" w:cs="Arial"/>
          <w:vertAlign w:val="superscript"/>
        </w:rPr>
        <w:t>[3]</w:t>
      </w:r>
      <w:r>
        <w:rPr>
          <w:rFonts w:ascii="Book Antiqua" w:hAnsi="Book Antiqua" w:cs="Arial"/>
        </w:rPr>
        <w:t>. IBS can be debilitating often resulting in an increasing risk of anxiety or depression</w:t>
      </w:r>
      <w:r>
        <w:rPr>
          <w:rFonts w:ascii="Book Antiqua" w:hAnsi="Book Antiqua" w:cs="Arial"/>
          <w:vertAlign w:val="superscript"/>
        </w:rPr>
        <w:t>[4]</w:t>
      </w:r>
      <w:r>
        <w:rPr>
          <w:rFonts w:ascii="Book Antiqua" w:hAnsi="Book Antiqua" w:cs="Arial"/>
        </w:rPr>
        <w:t xml:space="preserve"> with symptoms such as fecal incontinence that can be difficult to manage leading to poor quality of life and distress</w:t>
      </w:r>
      <w:r>
        <w:rPr>
          <w:rFonts w:ascii="Book Antiqua" w:hAnsi="Book Antiqua" w:cs="Arial"/>
          <w:vertAlign w:val="superscript"/>
        </w:rPr>
        <w:t>[5]</w:t>
      </w:r>
      <w:r>
        <w:rPr>
          <w:rFonts w:ascii="Book Antiqua" w:hAnsi="Book Antiqua" w:cs="Arial"/>
        </w:rPr>
        <w:t>. There is often significant clinician prejudice and frustration towards patients with IBS</w:t>
      </w:r>
      <w:r>
        <w:rPr>
          <w:rFonts w:ascii="Book Antiqua" w:hAnsi="Book Antiqua" w:cs="Arial"/>
          <w:vertAlign w:val="superscript"/>
        </w:rPr>
        <w:t>[6]</w:t>
      </w:r>
      <w:r>
        <w:rPr>
          <w:rFonts w:ascii="Book Antiqua" w:hAnsi="Book Antiqua" w:cs="Arial"/>
        </w:rPr>
        <w:t xml:space="preserve"> resulting in unfair public perceptions and significant stigmatization</w:t>
      </w:r>
      <w:r>
        <w:rPr>
          <w:rFonts w:ascii="Book Antiqua" w:hAnsi="Book Antiqua" w:cs="Arial"/>
          <w:vertAlign w:val="superscript"/>
        </w:rPr>
        <w:t>[7]</w:t>
      </w:r>
      <w:r>
        <w:rPr>
          <w:rFonts w:ascii="Book Antiqua" w:hAnsi="Book Antiqua" w:cs="Arial"/>
        </w:rPr>
        <w:t>.</w:t>
      </w:r>
    </w:p>
    <w:p>
      <w:pPr>
        <w:spacing w:line="360" w:lineRule="auto"/>
        <w:ind w:firstLine="240" w:firstLineChars="100"/>
        <w:jc w:val="both"/>
        <w:rPr>
          <w:rFonts w:ascii="Book Antiqua" w:hAnsi="Book Antiqua" w:cs="Arial"/>
        </w:rPr>
      </w:pPr>
      <w:bookmarkStart w:id="2" w:name="_Hlk69398405"/>
      <w:r>
        <w:rPr>
          <w:rFonts w:ascii="Book Antiqua" w:hAnsi="Book Antiqua" w:cs="Arial"/>
        </w:rPr>
        <w:t>Non-alcoholic fatty liver disease (NAFLD) is characterized by the accumulation of more than 5% of fat in the liver in the absence of a secondary cause. It is one of the major causes of liver disease worldwide and its pathogenesis is linked to metabolic syndrome, obesity and Type 2 diabetes. The population based prevalence of NAFLD is between 25%-44% but rises to 70% in patients with Type 2 diabetes</w:t>
      </w:r>
      <w:r>
        <w:rPr>
          <w:rFonts w:ascii="Book Antiqua" w:hAnsi="Book Antiqua" w:cs="Arial"/>
          <w:vertAlign w:val="superscript"/>
        </w:rPr>
        <w:t>[8,9]</w:t>
      </w:r>
      <w:r>
        <w:rPr>
          <w:rFonts w:ascii="Book Antiqua" w:hAnsi="Book Antiqua" w:cs="Arial"/>
        </w:rPr>
        <w:t>.</w:t>
      </w:r>
      <w:bookmarkEnd w:id="2"/>
      <w:r>
        <w:rPr>
          <w:rFonts w:ascii="Book Antiqua" w:hAnsi="Book Antiqua" w:cs="Arial"/>
        </w:rPr>
        <w:t xml:space="preserve"> NAFLD is recognized as a heterogeneous condition with variable rates of progression. In certain patients isolated steatosis leads to steatohepatitis and fibrosis, progressing ultimately to cirrhosis, decompensated liver disease and sometimes hepatocellular carcinoma. Population based screening studies have shown a prevalence of advanced fibrosis in 8% of patients rising to 27% in those with risk factors</w:t>
      </w:r>
      <w:r>
        <w:rPr>
          <w:rFonts w:ascii="Book Antiqua" w:hAnsi="Book Antiqua" w:cs="Arial"/>
          <w:vertAlign w:val="superscript"/>
        </w:rPr>
        <w:t>[10,11]</w:t>
      </w:r>
      <w:r>
        <w:rPr>
          <w:rFonts w:ascii="Book Antiqua" w:hAnsi="Book Antiqua" w:cs="Arial"/>
        </w:rPr>
        <w:t>. Unfortunately, the majority of patients are only diagnosed with liver disease when they present with advanced disease and many are of working age. Consequently, liver disease is responsible for the loss of 38000 and 22000 working life years, in men and women, respectively. NAFLD has been increasing in incidence in the western world with a predictable commensurate increase in liver transplant in both the United States and Europe</w:t>
      </w:r>
      <w:r>
        <w:rPr>
          <w:rFonts w:ascii="Book Antiqua" w:hAnsi="Book Antiqua" w:cs="Arial"/>
          <w:vertAlign w:val="superscript"/>
        </w:rPr>
        <w:t>[12-14]</w:t>
      </w:r>
      <w:r>
        <w:rPr>
          <w:rFonts w:ascii="Book Antiqua" w:hAnsi="Book Antiqua" w:cs="Arial"/>
        </w:rPr>
        <w:t xml:space="preserve">. </w:t>
      </w:r>
    </w:p>
    <w:p>
      <w:pPr>
        <w:spacing w:line="360" w:lineRule="auto"/>
        <w:ind w:firstLine="240" w:firstLineChars="100"/>
        <w:jc w:val="both"/>
        <w:rPr>
          <w:rFonts w:ascii="Book Antiqua" w:hAnsi="Book Antiqua" w:cs="Arial"/>
        </w:rPr>
      </w:pPr>
      <w:r>
        <w:rPr>
          <w:rFonts w:ascii="Book Antiqua" w:hAnsi="Book Antiqua" w:cs="Arial"/>
        </w:rPr>
        <w:t xml:space="preserve">There is increasing recognition that both IBS and NAFLD share a number of overlapping risk and aetiological factors leading to growing interest in the possibility of an association between the two conditions. However, there is limited high quality data on the concomitance of IBS and NAFLD. As a result, IBS symptoms may not be routinely screened for in hepatology clinics and vice versa. Therefore, the aims of this article are to summarize the current understanding of relevant overlapping pathophysiological and aetiological factors, and to highlight areas for future research and their clinical implications.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The prevalence of co-existing IBS and NAFLD </w:t>
      </w:r>
    </w:p>
    <w:p>
      <w:pPr>
        <w:spacing w:line="360" w:lineRule="auto"/>
        <w:jc w:val="both"/>
        <w:rPr>
          <w:rFonts w:ascii="Book Antiqua" w:hAnsi="Book Antiqua" w:cs="Arial"/>
        </w:rPr>
      </w:pPr>
      <w:r>
        <w:rPr>
          <w:rFonts w:ascii="Book Antiqua" w:hAnsi="Book Antiqua" w:cs="Arial"/>
        </w:rPr>
        <w:t>Table 1 summarizes the literature on the co-existing prevalence of IBS and NAFLD to date. Most studies have examined the incidence of NAFLD in previously diagnosed IBS. Unfortunately, a review of the literature of concomitant IBS and NAFLD revealed a very high variability in estimates of the prevalence from 12.9% to 74%, with significant differences in methodology in the diagnostic approaches for both conditions and the populations studied</w:t>
      </w:r>
      <w:r>
        <w:rPr>
          <w:rFonts w:ascii="Book Antiqua" w:hAnsi="Book Antiqua" w:cs="Arial"/>
          <w:vertAlign w:val="superscript"/>
        </w:rPr>
        <w:t>[15-17]</w:t>
      </w:r>
      <w:r>
        <w:rPr>
          <w:rFonts w:ascii="Book Antiqua" w:hAnsi="Book Antiqua" w:cs="Arial"/>
        </w:rPr>
        <w:t>. Amongst the reasons for this heterogeneity and variability include the change in the Rome criteria for IBS from Rome III, to the current Rome IV iteration, which is known to be more restrictive</w:t>
      </w:r>
      <w:r>
        <w:rPr>
          <w:rFonts w:ascii="Book Antiqua" w:hAnsi="Book Antiqua" w:cs="Arial"/>
          <w:vertAlign w:val="superscript"/>
        </w:rPr>
        <w:t>[18]</w:t>
      </w:r>
      <w:r>
        <w:rPr>
          <w:rFonts w:ascii="Book Antiqua" w:hAnsi="Book Antiqua" w:cs="Arial"/>
        </w:rPr>
        <w:t xml:space="preserve">. From a hepatology perspective, it is notable that all the studies to date have used raised liver transaminases, with a negative viral hepatitis screen, in the absence of excessive alcohol consumption, and abdominal ultrasound to diagnose NAFLD, which in the absence of objective liver fibrosis assessment could be considered sub-optimal. </w:t>
      </w:r>
    </w:p>
    <w:p>
      <w:pPr>
        <w:spacing w:line="360" w:lineRule="auto"/>
        <w:ind w:firstLine="240" w:firstLineChars="100"/>
        <w:jc w:val="both"/>
        <w:rPr>
          <w:rFonts w:ascii="Book Antiqua" w:hAnsi="Book Antiqua" w:cs="Arial"/>
        </w:rPr>
      </w:pPr>
      <w:r>
        <w:rPr>
          <w:rFonts w:ascii="Book Antiqua" w:hAnsi="Book Antiqua" w:cs="Arial"/>
        </w:rPr>
        <w:t xml:space="preserve">Shin </w:t>
      </w:r>
      <w:r>
        <w:rPr>
          <w:rFonts w:ascii="Book Antiqua" w:hAnsi="Book Antiqua" w:cs="Arial"/>
          <w:i/>
          <w:iCs/>
        </w:rPr>
        <w:t>et al</w:t>
      </w:r>
      <w:r>
        <w:rPr>
          <w:rFonts w:ascii="Book Antiqua" w:hAnsi="Book Antiqua" w:cs="Arial"/>
          <w:vertAlign w:val="superscript"/>
        </w:rPr>
        <w:t>[16]</w:t>
      </w:r>
      <w:r>
        <w:rPr>
          <w:rFonts w:ascii="Book Antiqua" w:hAnsi="Book Antiqua" w:cs="Arial"/>
        </w:rPr>
        <w:t xml:space="preserve"> found that the prevalence of presumed NAFLD was 12.9% in patients with diarrhoea predominant IBS (IBS-D) compared to 9.0% in patients with </w:t>
      </w:r>
      <w:bookmarkStart w:id="3" w:name="_Hlk85379568"/>
      <w:r>
        <w:rPr>
          <w:rFonts w:ascii="Book Antiqua" w:hAnsi="Book Antiqua" w:cs="Arial"/>
        </w:rPr>
        <w:t>constipation predominant IBS</w:t>
      </w:r>
      <w:bookmarkEnd w:id="3"/>
      <w:r>
        <w:rPr>
          <w:rFonts w:ascii="Book Antiqua" w:hAnsi="Book Antiqua" w:cs="Arial"/>
        </w:rPr>
        <w:t xml:space="preserve"> (IBS-C), although the reasons for this apparent difference are unclear and merit further investigation. In an interesting study by Lee </w:t>
      </w:r>
      <w:r>
        <w:rPr>
          <w:rFonts w:ascii="Book Antiqua" w:hAnsi="Book Antiqua" w:cs="Arial"/>
          <w:i/>
          <w:iCs/>
        </w:rPr>
        <w:t>et al</w:t>
      </w:r>
      <w:r>
        <w:rPr>
          <w:rFonts w:ascii="Book Antiqua" w:hAnsi="Book Antiqua" w:cs="Arial"/>
          <w:vertAlign w:val="superscript"/>
        </w:rPr>
        <w:t>[19]</w:t>
      </w:r>
      <w:r>
        <w:rPr>
          <w:rFonts w:ascii="Book Antiqua" w:hAnsi="Book Antiqua" w:cs="Arial"/>
        </w:rPr>
        <w:t xml:space="preserve">, rather than evaluating patients with a formal diagnosis of NAFLD, the authors assessed the incidence of elevated liver transaminases and the metabolic syndrome in patients with IBS, compared to an age and sex matched control group. Those with IBS were found to have a significantly higher alanine aminotransferase (ALT) (16.9% </w:t>
      </w:r>
      <w:r>
        <w:rPr>
          <w:rFonts w:ascii="Book Antiqua" w:hAnsi="Book Antiqua" w:cs="Arial"/>
          <w:i/>
          <w:iCs/>
        </w:rPr>
        <w:t>vs</w:t>
      </w:r>
      <w:r>
        <w:rPr>
          <w:rFonts w:ascii="Book Antiqua" w:hAnsi="Book Antiqua" w:cs="Arial"/>
        </w:rPr>
        <w:t xml:space="preserve"> 7.7%; </w:t>
      </w:r>
      <w:r>
        <w:rPr>
          <w:rFonts w:ascii="Book Antiqua" w:hAnsi="Book Antiqua" w:cs="Arial"/>
          <w:i/>
          <w:iCs/>
        </w:rPr>
        <w:t>P</w:t>
      </w:r>
      <w:r>
        <w:rPr>
          <w:rFonts w:ascii="Book Antiqua" w:hAnsi="Book Antiqua" w:cs="Arial"/>
        </w:rPr>
        <w:t xml:space="preserve"> = 0.015) and Gamma-glutamyl transferase (GGT) (24.1% </w:t>
      </w:r>
      <w:r>
        <w:rPr>
          <w:rFonts w:ascii="Book Antiqua" w:hAnsi="Book Antiqua" w:cs="Arial"/>
          <w:i/>
          <w:iCs/>
        </w:rPr>
        <w:t>vs</w:t>
      </w:r>
      <w:r>
        <w:rPr>
          <w:rFonts w:ascii="Book Antiqua" w:hAnsi="Book Antiqua" w:cs="Arial"/>
        </w:rPr>
        <w:t xml:space="preserve"> 11.5%; </w:t>
      </w:r>
      <w:r>
        <w:rPr>
          <w:rFonts w:ascii="Book Antiqua" w:hAnsi="Book Antiqua" w:cs="Arial"/>
          <w:i/>
          <w:iCs/>
        </w:rPr>
        <w:t xml:space="preserve">P </w:t>
      </w:r>
      <w:r>
        <w:rPr>
          <w:rFonts w:ascii="Book Antiqua" w:hAnsi="Book Antiqua" w:cs="Arial"/>
        </w:rPr>
        <w:t xml:space="preserve">= 0.037) compared to the control group, and there was a significantly higher prevalence of metabolic syndrome in the IBS group (32.5% </w:t>
      </w:r>
      <w:r>
        <w:rPr>
          <w:rFonts w:ascii="Book Antiqua" w:hAnsi="Book Antiqua" w:cs="Arial"/>
          <w:i/>
          <w:iCs/>
        </w:rPr>
        <w:t>vs</w:t>
      </w:r>
      <w:r>
        <w:rPr>
          <w:rFonts w:ascii="Book Antiqua" w:hAnsi="Book Antiqua" w:cs="Arial"/>
        </w:rPr>
        <w:t xml:space="preserve"> 12.7%; </w:t>
      </w:r>
      <w:r>
        <w:rPr>
          <w:rFonts w:ascii="Book Antiqua" w:hAnsi="Book Antiqua" w:cs="Arial"/>
          <w:i/>
          <w:iCs/>
        </w:rPr>
        <w:t xml:space="preserve">P </w:t>
      </w:r>
      <w:r>
        <w:rPr>
          <w:rFonts w:ascii="Book Antiqua" w:hAnsi="Book Antiqua" w:cs="Arial"/>
        </w:rPr>
        <w:t xml:space="preserve">&lt; 0.001). </w:t>
      </w:r>
    </w:p>
    <w:p>
      <w:pPr>
        <w:spacing w:line="360" w:lineRule="auto"/>
        <w:ind w:firstLine="240" w:firstLineChars="100"/>
        <w:jc w:val="both"/>
        <w:rPr>
          <w:rFonts w:ascii="Book Antiqua" w:hAnsi="Book Antiqua" w:cs="Arial"/>
        </w:rPr>
      </w:pPr>
      <w:r>
        <w:rPr>
          <w:rFonts w:ascii="Book Antiqua" w:hAnsi="Book Antiqua" w:cs="Arial"/>
        </w:rPr>
        <w:t xml:space="preserve">To our knowledge, there have only been three previous reports on the incidence of functional bowel symptoms in patients with NAFLD. Appleby </w:t>
      </w:r>
      <w:r>
        <w:rPr>
          <w:rFonts w:ascii="Book Antiqua" w:hAnsi="Book Antiqua" w:cs="Arial"/>
          <w:i/>
          <w:iCs/>
        </w:rPr>
        <w:t>et al</w:t>
      </w:r>
      <w:r>
        <w:rPr>
          <w:rFonts w:ascii="Book Antiqua" w:hAnsi="Book Antiqua" w:cs="Arial"/>
          <w:vertAlign w:val="superscript"/>
        </w:rPr>
        <w:t>[20]</w:t>
      </w:r>
      <w:r>
        <w:rPr>
          <w:rFonts w:ascii="Book Antiqua" w:hAnsi="Book Antiqua" w:cs="Arial"/>
        </w:rPr>
        <w:t xml:space="preserve"> found that in 127 patients with NAFLD, 25% had chronic diarrhea, and 12% had features of bile acid diarrhoea with both being associated with a raised NAFLD fibrosis score. Furthermore, Singh </w:t>
      </w:r>
      <w:r>
        <w:rPr>
          <w:rFonts w:ascii="Book Antiqua" w:hAnsi="Book Antiqua" w:cs="Arial"/>
          <w:i/>
          <w:iCs/>
        </w:rPr>
        <w:t>et al</w:t>
      </w:r>
      <w:r>
        <w:rPr>
          <w:rFonts w:ascii="Book Antiqua" w:hAnsi="Book Antiqua" w:cs="Arial"/>
          <w:vertAlign w:val="superscript"/>
        </w:rPr>
        <w:t>[21]</w:t>
      </w:r>
      <w:r>
        <w:rPr>
          <w:rFonts w:ascii="Book Antiqua" w:hAnsi="Book Antiqua" w:cs="Arial"/>
        </w:rPr>
        <w:t xml:space="preserve"> studied 632 patients in India diagnosed with fatty liver disease and found that 29.4% had co-existing clinical features of IBS. Similar findings were reported by Jones-Pauley </w:t>
      </w:r>
      <w:r>
        <w:rPr>
          <w:rFonts w:ascii="Book Antiqua" w:hAnsi="Book Antiqua" w:cs="Arial"/>
          <w:i/>
          <w:iCs/>
        </w:rPr>
        <w:t>et al</w:t>
      </w:r>
      <w:r>
        <w:rPr>
          <w:rFonts w:ascii="Book Antiqua" w:hAnsi="Book Antiqua" w:cs="Arial"/>
          <w:vertAlign w:val="superscript"/>
        </w:rPr>
        <w:t>[22]</w:t>
      </w:r>
      <w:r>
        <w:rPr>
          <w:rFonts w:ascii="Book Antiqua" w:hAnsi="Book Antiqua" w:cs="Arial"/>
        </w:rPr>
        <w:t xml:space="preserve"> in a cross sectional study looking at IBS diagnosed by Rome IV criteria in 130 NAFLD patients and as many as 38 (29.2%) patients had IBS based on Rome IV criteria. Interestingly, depression and anxiety were found to be more prevalent in the IBS cohort, compared to the non-IBS cohort, indicating the detrimental effect of co-existing bowel symptoms may have on quality of life, and the resulting need for a multi-systems approach in NAFLD patients with IBS symptoms. </w:t>
      </w:r>
    </w:p>
    <w:p>
      <w:pPr>
        <w:spacing w:line="360" w:lineRule="auto"/>
        <w:ind w:firstLine="240" w:firstLineChars="100"/>
        <w:jc w:val="both"/>
        <w:rPr>
          <w:rFonts w:ascii="Book Antiqua" w:hAnsi="Book Antiqua" w:cs="Arial"/>
        </w:rPr>
      </w:pPr>
      <w:r>
        <w:rPr>
          <w:rFonts w:ascii="Book Antiqua" w:hAnsi="Book Antiqua" w:cs="Arial"/>
        </w:rPr>
        <w:t>In summary, regardless of the iteration of the Rome IBS diagnostic criteria used and the highlighted limitations of the previous studies, the data summarized in Table 1 on the co-existing prevalence of IBS in patients with NAFLD consistently report a much higher prevalence of IBS than that reported in global prevalence studies using either Rome III or Rome IV diagnostic criteria</w:t>
      </w:r>
      <w:r>
        <w:rPr>
          <w:rFonts w:ascii="Book Antiqua" w:hAnsi="Book Antiqua" w:cs="Arial"/>
          <w:vertAlign w:val="superscript"/>
        </w:rPr>
        <w:t>[2]</w:t>
      </w:r>
      <w:r>
        <w:rPr>
          <w:rFonts w:ascii="Book Antiqua" w:hAnsi="Book Antiqua" w:cs="Aria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Overlapping etiological factors IBS and NAFLD</w:t>
      </w:r>
    </w:p>
    <w:p>
      <w:pPr>
        <w:spacing w:line="360" w:lineRule="auto"/>
        <w:jc w:val="both"/>
        <w:rPr>
          <w:rFonts w:ascii="Book Antiqua" w:hAnsi="Book Antiqua"/>
        </w:rPr>
      </w:pPr>
      <w:r>
        <w:rPr>
          <w:rFonts w:ascii="Book Antiqua" w:hAnsi="Book Antiqua" w:eastAsia="Book Antiqua" w:cs="Book Antiqua"/>
          <w:color w:val="000000"/>
        </w:rPr>
        <w:t>Multiple etiological factors overlap between IBS and NAFLD leading to interest in possible associations including obesity, gut microbiome, dietary factors and immune mediated causes as illustrated in Figure 1.</w:t>
      </w:r>
    </w:p>
    <w:p>
      <w:pPr>
        <w:spacing w:line="360" w:lineRule="auto"/>
        <w:jc w:val="both"/>
        <w:rPr>
          <w:rFonts w:ascii="Book Antiqua" w:hAnsi="Book Antiqua" w:eastAsia="Book Antiqua" w:cs="Book Antiqua"/>
          <w:b/>
          <w:bCs/>
          <w:caps/>
          <w:color w:val="000000"/>
          <w:u w:val="single"/>
        </w:rPr>
      </w:pPr>
    </w:p>
    <w:p>
      <w:pPr>
        <w:spacing w:line="360" w:lineRule="auto"/>
        <w:jc w:val="both"/>
        <w:rPr>
          <w:rFonts w:ascii="Book Antiqua" w:hAnsi="Book Antiqua"/>
        </w:rPr>
      </w:pPr>
      <w:r>
        <w:rPr>
          <w:rFonts w:ascii="Book Antiqua" w:hAnsi="Book Antiqua" w:eastAsia="Book Antiqua" w:cs="Book Antiqua"/>
          <w:b/>
          <w:bCs/>
          <w:caps/>
          <w:color w:val="000000"/>
          <w:u w:val="single"/>
        </w:rPr>
        <w:t>Obesity</w:t>
      </w:r>
    </w:p>
    <w:p>
      <w:pPr>
        <w:spacing w:line="360" w:lineRule="auto"/>
        <w:jc w:val="both"/>
        <w:rPr>
          <w:rFonts w:ascii="Book Antiqua" w:hAnsi="Book Antiqua" w:cs="Arial"/>
        </w:rPr>
      </w:pPr>
      <w:r>
        <w:rPr>
          <w:rFonts w:ascii="Book Antiqua" w:hAnsi="Book Antiqua" w:cs="Arial"/>
        </w:rPr>
        <w:t>NAFLD is intrinsically linked with obesity, diabetes and the metabolic syndrome. In obese populations, NAFLD has a prevalence of up to 95%</w:t>
      </w:r>
      <w:r>
        <w:rPr>
          <w:rFonts w:ascii="Book Antiqua" w:hAnsi="Book Antiqua" w:cs="Arial"/>
          <w:vertAlign w:val="superscript"/>
        </w:rPr>
        <w:t>[23]</w:t>
      </w:r>
      <w:r>
        <w:rPr>
          <w:rFonts w:ascii="Book Antiqua" w:hAnsi="Book Antiqua" w:cs="Arial"/>
        </w:rPr>
        <w:t>. Excess adipose tissue exhausting peripheral storage capacity resulting in deposition in the liver and increased insulin resistance is thought to be the main culprit for NAFLD pathogenesis</w:t>
      </w:r>
      <w:r>
        <w:rPr>
          <w:rFonts w:ascii="Book Antiqua" w:hAnsi="Book Antiqua" w:cs="Arial"/>
          <w:vertAlign w:val="superscript"/>
        </w:rPr>
        <w:t>[24]</w:t>
      </w:r>
      <w:r>
        <w:rPr>
          <w:rFonts w:ascii="Book Antiqua" w:hAnsi="Book Antiqua" w:cs="Arial"/>
        </w:rPr>
        <w:t>. Weight loss through diet and exercise reduces hepatic steatosis and fibrosis, and in 109 obese patients</w:t>
      </w:r>
      <w:r>
        <w:rPr>
          <w:rFonts w:ascii="Book Antiqua" w:hAnsi="Book Antiqua" w:cs="Arial"/>
          <w:vertAlign w:val="superscript"/>
        </w:rPr>
        <w:t>[25]</w:t>
      </w:r>
      <w:r>
        <w:rPr>
          <w:rFonts w:ascii="Book Antiqua" w:hAnsi="Book Antiqua" w:cs="Arial"/>
        </w:rPr>
        <w:t xml:space="preserve">. Lassailly </w:t>
      </w:r>
      <w:r>
        <w:rPr>
          <w:rFonts w:ascii="Book Antiqua" w:hAnsi="Book Antiqua" w:cs="Arial"/>
          <w:i/>
          <w:iCs/>
        </w:rPr>
        <w:t>et al</w:t>
      </w:r>
      <w:r>
        <w:rPr>
          <w:rFonts w:ascii="Book Antiqua" w:hAnsi="Book Antiqua" w:cs="Arial"/>
          <w:vertAlign w:val="superscript"/>
        </w:rPr>
        <w:t>[26]</w:t>
      </w:r>
      <w:r>
        <w:rPr>
          <w:rFonts w:ascii="Book Antiqua" w:hAnsi="Book Antiqua" w:cs="Arial"/>
        </w:rPr>
        <w:t xml:space="preserve"> showed that bariatric surgery resolved non-alcoholic steatohepatitis (NASH) within a year. </w:t>
      </w:r>
    </w:p>
    <w:p>
      <w:pPr>
        <w:spacing w:line="360" w:lineRule="auto"/>
        <w:ind w:firstLine="240" w:firstLineChars="100"/>
        <w:jc w:val="both"/>
        <w:rPr>
          <w:rFonts w:ascii="Book Antiqua" w:hAnsi="Book Antiqua" w:cs="Arial"/>
        </w:rPr>
      </w:pPr>
      <w:r>
        <w:rPr>
          <w:rFonts w:ascii="Book Antiqua" w:hAnsi="Book Antiqua" w:cs="Arial"/>
        </w:rPr>
        <w:t>The association between IBS and obesity is more unclear</w:t>
      </w:r>
      <w:r>
        <w:rPr>
          <w:rFonts w:ascii="Book Antiqua" w:hAnsi="Book Antiqua" w:cs="Arial"/>
          <w:vertAlign w:val="superscript"/>
        </w:rPr>
        <w:t>[27]</w:t>
      </w:r>
      <w:r>
        <w:rPr>
          <w:rFonts w:ascii="Book Antiqua" w:hAnsi="Book Antiqua" w:cs="Arial"/>
        </w:rPr>
        <w:t xml:space="preserve">. Aro </w:t>
      </w:r>
      <w:r>
        <w:rPr>
          <w:rFonts w:ascii="Book Antiqua" w:hAnsi="Book Antiqua" w:cs="Arial"/>
          <w:i/>
          <w:iCs/>
        </w:rPr>
        <w:t>et al</w:t>
      </w:r>
      <w:r>
        <w:rPr>
          <w:rFonts w:ascii="Book Antiqua" w:hAnsi="Book Antiqua" w:cs="Arial"/>
          <w:vertAlign w:val="superscript"/>
        </w:rPr>
        <w:t>[28]</w:t>
      </w:r>
      <w:r>
        <w:rPr>
          <w:rFonts w:ascii="Book Antiqua" w:hAnsi="Book Antiqua" w:cs="Arial"/>
        </w:rPr>
        <w:t xml:space="preserve"> found a significant association between the obesity and IBS symptoms such as abdominal pain and diarrhoea using the Abdominal Symptom Questionnaire as well as a positive association between obesity and a formal diagnosis of IBS. However, these have not been confirmed in several other studies</w:t>
      </w:r>
      <w:r>
        <w:rPr>
          <w:rFonts w:ascii="Book Antiqua" w:hAnsi="Book Antiqua" w:cs="Arial"/>
          <w:vertAlign w:val="superscript"/>
        </w:rPr>
        <w:t>[29-31]</w:t>
      </w:r>
      <w:r>
        <w:rPr>
          <w:rFonts w:ascii="Book Antiqua" w:hAnsi="Book Antiqua" w:cs="Arial"/>
        </w:rPr>
        <w:t xml:space="preserve">. Interestingly, Lee </w:t>
      </w:r>
      <w:r>
        <w:rPr>
          <w:rFonts w:ascii="Book Antiqua" w:hAnsi="Book Antiqua" w:cs="Arial"/>
          <w:i/>
          <w:iCs/>
        </w:rPr>
        <w:t>et al</w:t>
      </w:r>
      <w:r>
        <w:rPr>
          <w:rFonts w:ascii="Book Antiqua" w:hAnsi="Book Antiqua" w:cs="Arial"/>
          <w:vertAlign w:val="superscript"/>
        </w:rPr>
        <w:t>[30]</w:t>
      </w:r>
      <w:r>
        <w:rPr>
          <w:rFonts w:ascii="Book Antiqua" w:hAnsi="Book Antiqua" w:cs="Arial"/>
        </w:rPr>
        <w:t xml:space="preserve"> found visceral abdominal adiposity was associated with increased risk of IBS-D. There is evidence that IBS is more prevalent in patients who are obese</w:t>
      </w:r>
      <w:r>
        <w:rPr>
          <w:rFonts w:ascii="Book Antiqua" w:hAnsi="Book Antiqua" w:cs="Arial"/>
          <w:vertAlign w:val="superscript"/>
        </w:rPr>
        <w:t>[32]</w:t>
      </w:r>
      <w:r>
        <w:rPr>
          <w:rFonts w:ascii="Book Antiqua" w:hAnsi="Book Antiqua" w:cs="Arial"/>
        </w:rPr>
        <w:t xml:space="preserve">. Schneck </w:t>
      </w:r>
      <w:r>
        <w:rPr>
          <w:rFonts w:ascii="Book Antiqua" w:hAnsi="Book Antiqua" w:cs="Arial"/>
          <w:i/>
          <w:iCs/>
        </w:rPr>
        <w:t>et al</w:t>
      </w:r>
      <w:r>
        <w:rPr>
          <w:rFonts w:ascii="Book Antiqua" w:hAnsi="Book Antiqua" w:cs="Arial"/>
          <w:vertAlign w:val="superscript"/>
        </w:rPr>
        <w:t>[33]</w:t>
      </w:r>
      <w:r>
        <w:rPr>
          <w:rFonts w:ascii="Book Antiqua" w:hAnsi="Book Antiqua" w:cs="Arial"/>
        </w:rPr>
        <w:t xml:space="preserve"> described a cohort of patients with obesity undergoing bariatric surgery of which 30% fulfilled Rome III criteria for IBS. Further evidence for role of obesity in IBS is supported by the observation that increased visceral adiposity enhances perception of luminal stimuli, dysmotility and abdominal pain</w:t>
      </w:r>
      <w:r>
        <w:rPr>
          <w:rFonts w:ascii="Book Antiqua" w:hAnsi="Book Antiqua" w:cs="Arial"/>
          <w:vertAlign w:val="superscript"/>
        </w:rPr>
        <w:t>[34]</w:t>
      </w:r>
      <w:r>
        <w:rPr>
          <w:rFonts w:ascii="Book Antiqua" w:hAnsi="Book Antiqua" w:cs="Arial"/>
        </w:rPr>
        <w:t>. Higher body mass indexes have been associated with accelerated colonic and rectosigmoid transit and increased stool frequency</w:t>
      </w:r>
      <w:r>
        <w:rPr>
          <w:rFonts w:ascii="Book Antiqua" w:hAnsi="Book Antiqua" w:cs="Arial"/>
          <w:vertAlign w:val="superscript"/>
        </w:rPr>
        <w:t>[35]</w:t>
      </w:r>
      <w:r>
        <w:rPr>
          <w:rFonts w:ascii="Book Antiqua" w:hAnsi="Book Antiqua" w:cs="Arial"/>
        </w:rPr>
        <w:t>. Furthermore, weight loss through diet or bariatric surgery has been shown to improve symptoms</w:t>
      </w:r>
      <w:r>
        <w:rPr>
          <w:rFonts w:ascii="Book Antiqua" w:hAnsi="Book Antiqua" w:cs="Arial"/>
          <w:vertAlign w:val="superscript"/>
        </w:rPr>
        <w:t>[32,36]</w:t>
      </w:r>
      <w:r>
        <w:rPr>
          <w:rFonts w:ascii="Book Antiqua" w:hAnsi="Book Antiqua" w:cs="Arial"/>
        </w:rPr>
        <w:t xml:space="preserve">. Aasbrenn </w:t>
      </w:r>
      <w:r>
        <w:rPr>
          <w:rFonts w:ascii="Book Antiqua" w:hAnsi="Book Antiqua" w:cs="Arial"/>
          <w:i/>
          <w:iCs/>
        </w:rPr>
        <w:t>et al</w:t>
      </w:r>
      <w:r>
        <w:rPr>
          <w:rFonts w:ascii="Book Antiqua" w:hAnsi="Book Antiqua" w:cs="Arial"/>
          <w:vertAlign w:val="superscript"/>
        </w:rPr>
        <w:t>[37]</w:t>
      </w:r>
      <w:r>
        <w:rPr>
          <w:rFonts w:ascii="Book Antiqua" w:hAnsi="Book Antiqua" w:cs="Arial"/>
        </w:rPr>
        <w:t xml:space="preserve"> prospectively analyzed the effect of a weight loss program on bowel symptoms using the IBS severity scoring system (IBS-SSS) and Gastrointestinal Symptom Rating Scale and found that there were significant improvements in the IBS-SSS in patients with IBS compared to those without.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Microbiome</w:t>
      </w:r>
    </w:p>
    <w:p>
      <w:pPr>
        <w:spacing w:line="360" w:lineRule="auto"/>
        <w:jc w:val="both"/>
        <w:rPr>
          <w:rFonts w:ascii="Book Antiqua" w:hAnsi="Book Antiqua" w:cs="Arial"/>
        </w:rPr>
      </w:pPr>
      <w:r>
        <w:rPr>
          <w:rFonts w:ascii="Book Antiqua" w:hAnsi="Book Antiqua" w:cs="Arial"/>
        </w:rPr>
        <w:t>The gut microbiota plays a vital role in the intestinal barrier function, metabolism of nutrients and development of immune tolerance and response. Dysregulation of the microbiome has been shown to be a component for the development of both NAFLD and IBS</w:t>
      </w:r>
      <w:r>
        <w:rPr>
          <w:rFonts w:ascii="Book Antiqua" w:hAnsi="Book Antiqua" w:cs="Arial"/>
          <w:vertAlign w:val="superscript"/>
        </w:rPr>
        <w:t>[38]</w:t>
      </w:r>
      <w:r>
        <w:rPr>
          <w:rFonts w:ascii="Book Antiqua" w:hAnsi="Book Antiqua" w:cs="Arial"/>
        </w:rPr>
        <w:t>.</w:t>
      </w:r>
    </w:p>
    <w:p>
      <w:pPr>
        <w:spacing w:line="360" w:lineRule="auto"/>
        <w:ind w:firstLine="240" w:firstLineChars="100"/>
        <w:jc w:val="both"/>
        <w:rPr>
          <w:rFonts w:ascii="Book Antiqua" w:hAnsi="Book Antiqua" w:cs="Arial"/>
        </w:rPr>
      </w:pPr>
      <w:r>
        <w:rPr>
          <w:rFonts w:ascii="Book Antiqua" w:hAnsi="Book Antiqua" w:cs="Arial"/>
        </w:rPr>
        <w:t>Long-term perturbation of the gut microbiota has been shown to contribute to metabolic syndrome and fatty liver disease</w:t>
      </w:r>
      <w:r>
        <w:rPr>
          <w:rFonts w:ascii="Book Antiqua" w:hAnsi="Book Antiqua" w:cs="Arial"/>
          <w:vertAlign w:val="superscript"/>
        </w:rPr>
        <w:t>[39]</w:t>
      </w:r>
      <w:r>
        <w:rPr>
          <w:rFonts w:ascii="Book Antiqua" w:hAnsi="Book Antiqua" w:cs="Arial"/>
        </w:rPr>
        <w:t>. Several mechanisms have been proposed on how the gut microbiota results in NAFLD development. This includes increased intestinal permeability leading greater lipopolysaccharide exposure to the host. This, in turn, results in toll like receptor (predominantly TLR4) activation of the innate immune system, causing liver inflammation as they are transported from the gut to the liver. Additionally, microbially produced metabolites, such as lactate and ethanol, can directly activate inflammatory cascades within the liver. Enterohepatic bile acid homeostasis is important for multiple processes, including fat absorption, inflammation, immunity and microbial diversity. Significant differences have been noted in bile acid composition in metabolic diseases associating with progression of NAFLD</w:t>
      </w:r>
      <w:r>
        <w:rPr>
          <w:rFonts w:ascii="Book Antiqua" w:hAnsi="Book Antiqua" w:cs="Arial"/>
          <w:vertAlign w:val="superscript"/>
        </w:rPr>
        <w:t>[38,40]</w:t>
      </w:r>
      <w:r>
        <w:rPr>
          <w:rFonts w:ascii="Book Antiqua" w:hAnsi="Book Antiqua" w:cs="Arial"/>
        </w:rPr>
        <w:t xml:space="preserve">. </w:t>
      </w:r>
    </w:p>
    <w:p>
      <w:pPr>
        <w:spacing w:line="360" w:lineRule="auto"/>
        <w:ind w:firstLine="240" w:firstLineChars="100"/>
        <w:jc w:val="both"/>
        <w:rPr>
          <w:rFonts w:ascii="Book Antiqua" w:hAnsi="Book Antiqua" w:cs="Arial"/>
        </w:rPr>
      </w:pPr>
      <w:r>
        <w:rPr>
          <w:rFonts w:ascii="Book Antiqua" w:hAnsi="Book Antiqua" w:cs="Arial"/>
        </w:rPr>
        <w:t xml:space="preserve">Patients with hepatic steatosis and NASH have been shown to have increased </w:t>
      </w:r>
      <w:r>
        <w:rPr>
          <w:rFonts w:ascii="Book Antiqua" w:hAnsi="Book Antiqua" w:cs="Arial"/>
          <w:i/>
          <w:iCs/>
        </w:rPr>
        <w:t>Proteobacteria,</w:t>
      </w:r>
      <w:r>
        <w:rPr>
          <w:rFonts w:ascii="Book Antiqua" w:hAnsi="Book Antiqua" w:cs="Arial"/>
        </w:rPr>
        <w:t xml:space="preserve"> </w:t>
      </w:r>
      <w:r>
        <w:rPr>
          <w:rFonts w:ascii="Book Antiqua" w:hAnsi="Book Antiqua" w:cs="Arial"/>
          <w:i/>
          <w:iCs/>
        </w:rPr>
        <w:t xml:space="preserve">Enterobacteriaceae, Escherichia </w:t>
      </w:r>
      <w:r>
        <w:rPr>
          <w:rFonts w:ascii="Book Antiqua" w:hAnsi="Book Antiqua" w:cs="Arial"/>
        </w:rPr>
        <w:t xml:space="preserve">and </w:t>
      </w:r>
      <w:r>
        <w:rPr>
          <w:rFonts w:ascii="Book Antiqua" w:hAnsi="Book Antiqua" w:cs="Arial"/>
          <w:i/>
          <w:iCs/>
        </w:rPr>
        <w:t xml:space="preserve">Citrobacter </w:t>
      </w:r>
      <w:r>
        <w:rPr>
          <w:rFonts w:ascii="Book Antiqua" w:hAnsi="Book Antiqua" w:cs="Arial"/>
        </w:rPr>
        <w:t xml:space="preserve">with reductions in abundance of </w:t>
      </w:r>
      <w:r>
        <w:rPr>
          <w:rFonts w:ascii="Book Antiqua" w:hAnsi="Book Antiqua" w:cs="Arial"/>
          <w:i/>
          <w:iCs/>
        </w:rPr>
        <w:t xml:space="preserve">Rikenellaceae, Ruminococcaceae, Anaerosporobacter </w:t>
      </w:r>
      <w:r>
        <w:rPr>
          <w:rFonts w:ascii="Book Antiqua" w:hAnsi="Book Antiqua" w:cs="Arial"/>
        </w:rPr>
        <w:t>and</w:t>
      </w:r>
      <w:r>
        <w:rPr>
          <w:rFonts w:ascii="Book Antiqua" w:hAnsi="Book Antiqua" w:cs="Arial"/>
          <w:i/>
          <w:iCs/>
        </w:rPr>
        <w:t xml:space="preserve"> Coprococcus</w:t>
      </w:r>
      <w:r>
        <w:rPr>
          <w:rFonts w:ascii="Book Antiqua" w:hAnsi="Book Antiqua" w:cs="Arial"/>
          <w:vertAlign w:val="superscript"/>
        </w:rPr>
        <w:t>[39,40]</w:t>
      </w:r>
      <w:r>
        <w:rPr>
          <w:rFonts w:ascii="Book Antiqua" w:hAnsi="Book Antiqua" w:cs="Arial"/>
        </w:rPr>
        <w:t xml:space="preserve"> Reductions in </w:t>
      </w:r>
      <w:r>
        <w:rPr>
          <w:rFonts w:ascii="Book Antiqua" w:hAnsi="Book Antiqua" w:cs="Arial"/>
          <w:i/>
          <w:iCs/>
        </w:rPr>
        <w:t xml:space="preserve">Bifidobacteria </w:t>
      </w:r>
      <w:r>
        <w:rPr>
          <w:rFonts w:ascii="Book Antiqua" w:hAnsi="Book Antiqua" w:cs="Arial"/>
          <w:iCs/>
        </w:rPr>
        <w:t>have also been observed</w:t>
      </w:r>
      <w:r>
        <w:rPr>
          <w:rFonts w:ascii="Book Antiqua" w:hAnsi="Book Antiqua" w:cs="Arial"/>
          <w:i/>
          <w:iCs/>
        </w:rPr>
        <w:t xml:space="preserve"> </w:t>
      </w:r>
      <w:r>
        <w:rPr>
          <w:rFonts w:ascii="Book Antiqua" w:hAnsi="Book Antiqua" w:cs="Arial"/>
          <w:iCs/>
        </w:rPr>
        <w:t>and</w:t>
      </w:r>
      <w:r>
        <w:rPr>
          <w:rFonts w:ascii="Book Antiqua" w:hAnsi="Book Antiqua" w:cs="Arial"/>
          <w:i/>
          <w:iCs/>
        </w:rPr>
        <w:t xml:space="preserve"> Bifidobacteria </w:t>
      </w:r>
      <w:r>
        <w:rPr>
          <w:rFonts w:ascii="Book Antiqua" w:hAnsi="Book Antiqua" w:cs="Arial"/>
        </w:rPr>
        <w:t>possibly reduce gut wall permeability to lipopolysaccherides, suggesting a relationship with the development of disease</w:t>
      </w:r>
      <w:r>
        <w:rPr>
          <w:rFonts w:ascii="Book Antiqua" w:hAnsi="Book Antiqua" w:cs="Arial"/>
          <w:vertAlign w:val="superscript"/>
        </w:rPr>
        <w:t>[39]</w:t>
      </w:r>
      <w:r>
        <w:rPr>
          <w:rFonts w:ascii="Book Antiqua" w:hAnsi="Book Antiqua" w:cs="Arial"/>
        </w:rPr>
        <w:t xml:space="preserve">. Interestingly, Frost </w:t>
      </w:r>
      <w:r>
        <w:rPr>
          <w:rFonts w:ascii="Book Antiqua" w:hAnsi="Book Antiqua" w:cs="Arial"/>
          <w:i/>
          <w:iCs/>
        </w:rPr>
        <w:t>et al</w:t>
      </w:r>
      <w:r>
        <w:rPr>
          <w:rFonts w:ascii="Book Antiqua" w:hAnsi="Book Antiqua" w:cs="Arial"/>
          <w:vertAlign w:val="superscript"/>
        </w:rPr>
        <w:t>[39]</w:t>
      </w:r>
      <w:r>
        <w:rPr>
          <w:rFonts w:ascii="Book Antiqua" w:hAnsi="Book Antiqua" w:cs="Arial"/>
        </w:rPr>
        <w:t xml:space="preserve"> followed up patients who had incidental findings of fatty liver or diabetes and found changes in </w:t>
      </w:r>
      <w:r>
        <w:rPr>
          <w:rFonts w:ascii="Book Antiqua" w:hAnsi="Book Antiqua" w:cs="Arial"/>
          <w:i/>
          <w:iCs/>
        </w:rPr>
        <w:t xml:space="preserve">Clostridium XIVa </w:t>
      </w:r>
      <w:r>
        <w:rPr>
          <w:rFonts w:ascii="Book Antiqua" w:hAnsi="Book Antiqua" w:cs="Arial"/>
        </w:rPr>
        <w:t>as a result of dysbiosis</w:t>
      </w:r>
      <w:r>
        <w:rPr>
          <w:rFonts w:ascii="Book Antiqua" w:hAnsi="Book Antiqua" w:cs="Arial"/>
          <w:i/>
          <w:iCs/>
        </w:rPr>
        <w:t xml:space="preserve"> </w:t>
      </w:r>
      <w:r>
        <w:rPr>
          <w:rFonts w:ascii="Book Antiqua" w:hAnsi="Book Antiqua" w:cs="Arial"/>
        </w:rPr>
        <w:t xml:space="preserve">with a strong association for increasing fatty acid biosynthesis. Type 2 diabetes is also noted to result in increased gut permeability. Aron-Wisnewsky </w:t>
      </w:r>
      <w:r>
        <w:rPr>
          <w:rFonts w:ascii="Book Antiqua" w:hAnsi="Book Antiqua" w:cs="Arial"/>
          <w:i/>
          <w:iCs/>
        </w:rPr>
        <w:t>et al</w:t>
      </w:r>
      <w:r>
        <w:rPr>
          <w:rFonts w:ascii="Book Antiqua" w:hAnsi="Book Antiqua" w:cs="Arial"/>
          <w:vertAlign w:val="superscript"/>
        </w:rPr>
        <w:t>[40]</w:t>
      </w:r>
      <w:r>
        <w:rPr>
          <w:rFonts w:ascii="Book Antiqua" w:hAnsi="Book Antiqua" w:cs="Arial"/>
        </w:rPr>
        <w:t xml:space="preserve"> found significant overlap in microbial signatures between patients with NAFLD and NASH with obesity and diabetes, finding changes in abundance of </w:t>
      </w:r>
      <w:r>
        <w:rPr>
          <w:rFonts w:ascii="Book Antiqua" w:hAnsi="Book Antiqua" w:cs="Arial"/>
          <w:i/>
          <w:iCs/>
        </w:rPr>
        <w:t xml:space="preserve">Oscillospira </w:t>
      </w:r>
      <w:r>
        <w:rPr>
          <w:rFonts w:ascii="Book Antiqua" w:hAnsi="Book Antiqua" w:cs="Arial"/>
        </w:rPr>
        <w:t xml:space="preserve">and </w:t>
      </w:r>
      <w:r>
        <w:rPr>
          <w:rFonts w:ascii="Book Antiqua" w:hAnsi="Book Antiqua" w:cs="Arial"/>
          <w:i/>
          <w:iCs/>
        </w:rPr>
        <w:t>Bacteriodes.</w:t>
      </w:r>
      <w:r>
        <w:rPr>
          <w:rFonts w:ascii="Book Antiqua" w:hAnsi="Book Antiqua" w:cs="Arial"/>
        </w:rPr>
        <w:t xml:space="preserve"> Further evidence on the importance of the gut microbiome in metabolic syndrome, is shown by fecal microbiota transplant being associated with a temporary improvement in peripheral insulin resistance</w:t>
      </w:r>
      <w:r>
        <w:rPr>
          <w:rFonts w:ascii="Book Antiqua" w:hAnsi="Book Antiqua" w:cs="Arial"/>
          <w:vertAlign w:val="superscript"/>
        </w:rPr>
        <w:t>[41]</w:t>
      </w:r>
      <w:r>
        <w:rPr>
          <w:rFonts w:ascii="Book Antiqua" w:hAnsi="Book Antiqua" w:cs="Arial"/>
        </w:rPr>
        <w:t xml:space="preserve">. </w:t>
      </w:r>
    </w:p>
    <w:p>
      <w:pPr>
        <w:spacing w:line="360" w:lineRule="auto"/>
        <w:ind w:firstLine="240" w:firstLineChars="100"/>
        <w:jc w:val="both"/>
        <w:rPr>
          <w:rFonts w:ascii="Book Antiqua" w:hAnsi="Book Antiqua" w:cs="Arial"/>
        </w:rPr>
      </w:pPr>
      <w:r>
        <w:rPr>
          <w:rFonts w:ascii="Book Antiqua" w:hAnsi="Book Antiqua" w:cs="Arial"/>
        </w:rPr>
        <w:t xml:space="preserve">Changes in intestinal microbial diversity is also thought to contribute to the development of IBS as the microbiota impacts on intestinal motility and sensitivity. Some patients with IBS have been shown to have changes in the </w:t>
      </w:r>
      <w:r>
        <w:rPr>
          <w:rFonts w:ascii="Book Antiqua" w:hAnsi="Book Antiqua" w:cs="Arial"/>
          <w:i/>
          <w:iCs/>
        </w:rPr>
        <w:t>Fermicutes</w:t>
      </w:r>
      <w:r>
        <w:rPr>
          <w:rFonts w:ascii="Book Antiqua" w:hAnsi="Book Antiqua" w:cs="Arial"/>
        </w:rPr>
        <w:t>-to-</w:t>
      </w:r>
      <w:r>
        <w:rPr>
          <w:rFonts w:ascii="Book Antiqua" w:hAnsi="Book Antiqua" w:cs="Arial"/>
          <w:i/>
          <w:iCs/>
        </w:rPr>
        <w:t>Bacteriodes</w:t>
      </w:r>
      <w:r>
        <w:rPr>
          <w:rFonts w:ascii="Book Antiqua" w:hAnsi="Book Antiqua" w:cs="Arial"/>
        </w:rPr>
        <w:t xml:space="preserve"> ratio, reduced </w:t>
      </w:r>
      <w:r>
        <w:rPr>
          <w:rFonts w:ascii="Book Antiqua" w:hAnsi="Book Antiqua" w:cs="Arial"/>
          <w:i/>
          <w:iCs/>
        </w:rPr>
        <w:t xml:space="preserve">lactobacilli </w:t>
      </w:r>
      <w:r>
        <w:rPr>
          <w:rFonts w:ascii="Book Antiqua" w:hAnsi="Book Antiqua" w:cs="Arial"/>
        </w:rPr>
        <w:t xml:space="preserve">and </w:t>
      </w:r>
      <w:r>
        <w:rPr>
          <w:rFonts w:ascii="Book Antiqua" w:hAnsi="Book Antiqua" w:cs="Arial"/>
          <w:i/>
          <w:iCs/>
        </w:rPr>
        <w:t xml:space="preserve">bifidobacterial </w:t>
      </w:r>
      <w:r>
        <w:rPr>
          <w:rFonts w:ascii="Book Antiqua" w:hAnsi="Book Antiqua" w:cs="Arial"/>
        </w:rPr>
        <w:t>as well as reduced microbial diversity</w:t>
      </w:r>
      <w:r>
        <w:rPr>
          <w:rFonts w:ascii="Book Antiqua" w:hAnsi="Book Antiqua" w:cs="Arial"/>
          <w:vertAlign w:val="superscript"/>
        </w:rPr>
        <w:t>[38,42]</w:t>
      </w:r>
      <w:r>
        <w:rPr>
          <w:rFonts w:ascii="Book Antiqua" w:hAnsi="Book Antiqua" w:cs="Arial"/>
        </w:rPr>
        <w:t>.</w:t>
      </w:r>
    </w:p>
    <w:p>
      <w:pPr>
        <w:spacing w:line="360" w:lineRule="auto"/>
        <w:ind w:firstLine="240" w:firstLineChars="100"/>
        <w:jc w:val="both"/>
        <w:rPr>
          <w:rFonts w:ascii="Book Antiqua" w:hAnsi="Book Antiqua" w:cs="Arial"/>
        </w:rPr>
      </w:pPr>
      <w:r>
        <w:rPr>
          <w:rFonts w:ascii="Book Antiqua" w:hAnsi="Book Antiqua" w:cs="Arial"/>
        </w:rPr>
        <w:t>The gut-brain-microbiome axis is known to have an important role in glucose regulation. Gut microbiota modulation produces changes in the immune, neurotransmitter and monoaminergic activity of this axis. Serotonin secretion affects motility, pain perception but also plays a role in mood control</w:t>
      </w:r>
      <w:r>
        <w:rPr>
          <w:rFonts w:ascii="Book Antiqua" w:hAnsi="Book Antiqua" w:cs="Arial"/>
          <w:vertAlign w:val="superscript"/>
        </w:rPr>
        <w:t>[43]</w:t>
      </w:r>
      <w:r>
        <w:rPr>
          <w:rFonts w:ascii="Book Antiqua" w:hAnsi="Book Antiqua" w:cs="Arial"/>
        </w:rPr>
        <w:t>. NAFLD and the gut-brain axis may also be inter-related. There is evidence that depression is associated with NAFLD. However, disentangling the multiple contributors to depression in multi-factorial disease states (as often seen in patients with metabolic syndrome) can be exceptionally difficult</w:t>
      </w:r>
      <w:r>
        <w:rPr>
          <w:rFonts w:ascii="Book Antiqua" w:hAnsi="Book Antiqua" w:cs="Arial"/>
          <w:vertAlign w:val="superscript"/>
        </w:rPr>
        <w:t>[44,45]</w:t>
      </w:r>
      <w:r>
        <w:rPr>
          <w:rFonts w:ascii="Book Antiqua" w:hAnsi="Book Antiqua" w:cs="Arial"/>
        </w:rPr>
        <w:t xml:space="preserve">. </w:t>
      </w:r>
    </w:p>
    <w:p>
      <w:pPr>
        <w:spacing w:line="360" w:lineRule="auto"/>
        <w:ind w:firstLine="240" w:firstLineChars="100"/>
        <w:jc w:val="both"/>
        <w:rPr>
          <w:rFonts w:ascii="Book Antiqua" w:hAnsi="Book Antiqua" w:cs="Arial"/>
        </w:rPr>
      </w:pPr>
      <w:r>
        <w:rPr>
          <w:rFonts w:ascii="Book Antiqua" w:hAnsi="Book Antiqua" w:cs="Arial"/>
        </w:rPr>
        <w:t>Dysregulation of the microbiome itself can lead to poor glycaemic control, acting through nitric oxide formation which affects the neuronal response to gut hormone Glucagon-like peptide-1 (GLP-1)</w:t>
      </w:r>
      <w:r>
        <w:rPr>
          <w:rFonts w:ascii="Book Antiqua" w:hAnsi="Book Antiqua" w:cs="Arial"/>
          <w:vertAlign w:val="superscript"/>
        </w:rPr>
        <w:t>[46]</w:t>
      </w:r>
      <w:r>
        <w:rPr>
          <w:rFonts w:ascii="Book Antiqua" w:hAnsi="Book Antiqua" w:cs="Arial"/>
        </w:rPr>
        <w:t>. The GLP-1 receptor antagonist, Semaglutide, has been shown to reduce liver fat and NASH resolution in patients with NAFLD</w:t>
      </w:r>
      <w:r>
        <w:rPr>
          <w:rFonts w:ascii="Book Antiqua" w:hAnsi="Book Antiqua" w:cs="Arial"/>
          <w:vertAlign w:val="superscript"/>
        </w:rPr>
        <w:t>[47]</w:t>
      </w:r>
      <w:r>
        <w:rPr>
          <w:rFonts w:ascii="Book Antiqua" w:hAnsi="Book Antiqua" w:cs="Arial"/>
        </w:rPr>
        <w:t>. It has also been used to treat weight loss and type-2 diabetes mellitus</w:t>
      </w:r>
      <w:r>
        <w:rPr>
          <w:rFonts w:ascii="Book Antiqua" w:hAnsi="Book Antiqua" w:cs="Arial"/>
          <w:vertAlign w:val="superscript"/>
        </w:rPr>
        <w:t>[48]</w:t>
      </w:r>
      <w:r>
        <w:rPr>
          <w:rFonts w:ascii="Book Antiqua" w:hAnsi="Book Antiqua" w:cs="Arial"/>
        </w:rPr>
        <w:t>. Given the known functions of GLP-1 on the gut microbiota, the effect seen in these studies may well be related to beneficial alterations in microbiome composition</w:t>
      </w:r>
      <w:r>
        <w:rPr>
          <w:rFonts w:ascii="Book Antiqua" w:hAnsi="Book Antiqua" w:cs="Arial"/>
          <w:vertAlign w:val="superscript"/>
        </w:rPr>
        <w:t>[49]</w:t>
      </w:r>
      <w:r>
        <w:rPr>
          <w:rFonts w:ascii="Book Antiqua" w:hAnsi="Book Antiqua" w:cs="Aria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Dietary factors</w:t>
      </w:r>
    </w:p>
    <w:p>
      <w:pPr>
        <w:spacing w:line="360" w:lineRule="auto"/>
        <w:jc w:val="both"/>
        <w:rPr>
          <w:rFonts w:ascii="Book Antiqua" w:hAnsi="Book Antiqua" w:cs="Arial"/>
        </w:rPr>
      </w:pPr>
      <w:r>
        <w:rPr>
          <w:rFonts w:ascii="Book Antiqua" w:hAnsi="Book Antiqua" w:cs="Arial"/>
        </w:rPr>
        <w:t>Dietary factors have been shown to be integral to the management of both IBS and NAFLD. Weight loss through diet and exercise is the mainstay of NAFLD management. Adherence to a Mediterranean diet reduces hepatic steatosis and achieves a greater weight loss in patients with NAFLD</w:t>
      </w:r>
      <w:r>
        <w:rPr>
          <w:rFonts w:ascii="Book Antiqua" w:hAnsi="Book Antiqua" w:cs="Arial"/>
          <w:vertAlign w:val="superscript"/>
        </w:rPr>
        <w:t>[50]</w:t>
      </w:r>
      <w:r>
        <w:rPr>
          <w:rFonts w:ascii="Book Antiqua" w:hAnsi="Book Antiqua" w:cs="Arial"/>
        </w:rPr>
        <w:t>. By contrast, patients with IBS have been shown to have a poorer adherence to a Mediterranean diet than healthy controls</w:t>
      </w:r>
      <w:r>
        <w:rPr>
          <w:rFonts w:ascii="Book Antiqua" w:hAnsi="Book Antiqua" w:cs="Arial"/>
          <w:vertAlign w:val="superscript"/>
        </w:rPr>
        <w:t>[50]</w:t>
      </w:r>
      <w:r>
        <w:rPr>
          <w:rFonts w:ascii="Book Antiqua" w:hAnsi="Book Antiqua" w:cs="Arial"/>
        </w:rPr>
        <w:t xml:space="preserve">, a dietary factor which may therefore be relevant in the development of NAFLD in those with IBS. There is also some evidence that conservative weight loss can help IBS symptoms. Aasbrenn </w:t>
      </w:r>
      <w:r>
        <w:rPr>
          <w:rFonts w:ascii="Book Antiqua" w:hAnsi="Book Antiqua" w:cs="Arial"/>
          <w:i/>
          <w:iCs/>
        </w:rPr>
        <w:t>et al</w:t>
      </w:r>
      <w:r>
        <w:rPr>
          <w:rFonts w:ascii="Book Antiqua" w:hAnsi="Book Antiqua" w:cs="Arial"/>
          <w:vertAlign w:val="superscript"/>
        </w:rPr>
        <w:t>[37]</w:t>
      </w:r>
      <w:r>
        <w:rPr>
          <w:rFonts w:ascii="Book Antiqua" w:hAnsi="Book Antiqua" w:cs="Arial"/>
        </w:rPr>
        <w:t xml:space="preserve"> found that a weight loss program resulted in a significant improvement in IBS symptoms as assessed by IBS-SSS questionnaires and Gastrointestinal Symptom Rating Scale</w:t>
      </w:r>
      <w:r>
        <w:rPr>
          <w:rFonts w:ascii="Book Antiqua" w:hAnsi="Book Antiqua" w:cs="Arial"/>
          <w:vertAlign w:val="superscript"/>
        </w:rPr>
        <w:t>[37]</w:t>
      </w:r>
      <w:r>
        <w:rPr>
          <w:rFonts w:ascii="Book Antiqua" w:hAnsi="Book Antiqua" w:cs="Arial"/>
        </w:rPr>
        <w:t>.</w:t>
      </w:r>
    </w:p>
    <w:p>
      <w:pPr>
        <w:spacing w:line="360" w:lineRule="auto"/>
        <w:ind w:firstLine="240" w:firstLineChars="100"/>
        <w:jc w:val="both"/>
        <w:rPr>
          <w:rFonts w:ascii="Book Antiqua" w:hAnsi="Book Antiqua" w:cs="Arial"/>
        </w:rPr>
      </w:pPr>
      <w:r>
        <w:rPr>
          <w:rFonts w:ascii="Book Antiqua" w:hAnsi="Book Antiqua" w:cs="Arial"/>
        </w:rPr>
        <w:t>Certain food groups appear to worsen IBS symptoms and contribute to NAFLD development. High fructose corn syrup (HFCS) is a disaccharide which is frequently used in artificial sweeteners, processed, canned and baked goods worldwide. HFCS has been shown to induce IBS symptoms through increased osmotic pressure and bacterial fermentation resulting in gas production, abdominal bloating and pain</w:t>
      </w:r>
      <w:r>
        <w:rPr>
          <w:rFonts w:ascii="Book Antiqua" w:hAnsi="Book Antiqua" w:cs="Arial"/>
          <w:vertAlign w:val="superscript"/>
        </w:rPr>
        <w:t>[51]</w:t>
      </w:r>
      <w:r>
        <w:rPr>
          <w:rFonts w:ascii="Book Antiqua" w:hAnsi="Book Antiqua" w:cs="Arial"/>
        </w:rPr>
        <w:t>. HFCS has also been shown to downregulate the insulin signaling pathway which would contribute to the pathogenesis of NAFLD</w:t>
      </w:r>
      <w:r>
        <w:rPr>
          <w:rFonts w:ascii="Book Antiqua" w:hAnsi="Book Antiqua" w:cs="Arial"/>
          <w:vertAlign w:val="superscript"/>
        </w:rPr>
        <w:t>[52]</w:t>
      </w:r>
      <w:r>
        <w:rPr>
          <w:rFonts w:ascii="Book Antiqua" w:hAnsi="Book Antiqua" w:cs="Arial"/>
        </w:rPr>
        <w:t>. Fructose consumption has also been shown to increase intestinal permeability potentially leading to the development of both NAFLD and IBS through the processes already outlined</w:t>
      </w:r>
      <w:r>
        <w:rPr>
          <w:rFonts w:ascii="Book Antiqua" w:hAnsi="Book Antiqua" w:cs="Arial"/>
          <w:vertAlign w:val="superscript"/>
        </w:rPr>
        <w:t>[53]</w:t>
      </w:r>
      <w:r>
        <w:rPr>
          <w:rFonts w:ascii="Book Antiqua" w:hAnsi="Book Antiqua" w:cs="Arial"/>
        </w:rPr>
        <w:t>.</w:t>
      </w:r>
    </w:p>
    <w:p>
      <w:pPr>
        <w:spacing w:line="360" w:lineRule="auto"/>
        <w:ind w:firstLine="240" w:firstLineChars="100"/>
        <w:jc w:val="both"/>
        <w:rPr>
          <w:rFonts w:ascii="Book Antiqua" w:hAnsi="Book Antiqua" w:cs="Arial"/>
        </w:rPr>
      </w:pPr>
      <w:r>
        <w:rPr>
          <w:rFonts w:ascii="Book Antiqua" w:hAnsi="Book Antiqua" w:cs="Arial"/>
        </w:rPr>
        <w:t>Certainly more research into the dietary implications on NAFLD and IBS is needed. Many patients with IBS notice that ‘healthy’ foods such as fruit and vegetables can make their symptoms worse and this results in some of them adopting a more ‘unhealthy’ diet which may lead to weight gain. There is evidence that a low FODMAP diet with excludes some fruits and vegeatables improves IBS symptoms however to the authors’ knowledge, there is a paucity of data on the effects of a low FODMAP diet on the progression of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Immune mediated factors</w:t>
      </w:r>
    </w:p>
    <w:p>
      <w:pPr>
        <w:spacing w:line="360" w:lineRule="auto"/>
        <w:jc w:val="both"/>
        <w:rPr>
          <w:rFonts w:ascii="Book Antiqua" w:hAnsi="Book Antiqua" w:cs="Arial"/>
        </w:rPr>
      </w:pPr>
      <w:r>
        <w:rPr>
          <w:rFonts w:ascii="Book Antiqua" w:hAnsi="Book Antiqua" w:cs="Arial"/>
        </w:rPr>
        <w:t>Chronic inflammation is a critical driver of progressive disease in NAFLD and significant advances have been made to understand the role of inflammation</w:t>
      </w:r>
      <w:r>
        <w:rPr>
          <w:rFonts w:ascii="Book Antiqua" w:hAnsi="Book Antiqua" w:cs="Arial"/>
          <w:vertAlign w:val="superscript"/>
        </w:rPr>
        <w:t>[54,55]</w:t>
      </w:r>
      <w:r>
        <w:rPr>
          <w:rFonts w:ascii="Book Antiqua" w:hAnsi="Book Antiqua" w:cs="Arial"/>
        </w:rPr>
        <w:t>. The role of toll-like receptors (TLRs) and macrophage activation has already been discussed. Additionally, Natural killer cells and natural killer T cells contribute to inflammation by releasing cytokines and reactive oxygen species</w:t>
      </w:r>
      <w:r>
        <w:rPr>
          <w:rFonts w:ascii="Book Antiqua" w:hAnsi="Book Antiqua" w:cs="Arial"/>
          <w:vertAlign w:val="superscript"/>
        </w:rPr>
        <w:t>[56]</w:t>
      </w:r>
      <w:r>
        <w:rPr>
          <w:rFonts w:ascii="Book Antiqua" w:hAnsi="Book Antiqua" w:cs="Arial"/>
        </w:rPr>
        <w:t>. Tumor necrosis factor (TNF)-α, alongside other cytokines and growth factors, have also been shown to possible have a role in the development of NAFLD and NASH, in both animals and humans</w:t>
      </w:r>
      <w:r>
        <w:rPr>
          <w:rFonts w:ascii="Book Antiqua" w:hAnsi="Book Antiqua" w:cs="Arial"/>
          <w:vertAlign w:val="superscript"/>
        </w:rPr>
        <w:t>[38]</w:t>
      </w:r>
      <w:r>
        <w:rPr>
          <w:rFonts w:ascii="Book Antiqua" w:hAnsi="Book Antiqua" w:cs="Arial"/>
        </w:rPr>
        <w:t>. TNF-α in combination with interleukin (IL)-6 stimulates the production of leptin activating neutrophils and the innate immune system</w:t>
      </w:r>
      <w:r>
        <w:rPr>
          <w:rFonts w:ascii="Book Antiqua" w:hAnsi="Book Antiqua" w:cs="Arial"/>
          <w:vertAlign w:val="superscript"/>
        </w:rPr>
        <w:t>[38]</w:t>
      </w:r>
      <w:r>
        <w:rPr>
          <w:rFonts w:ascii="Book Antiqua" w:hAnsi="Book Antiqua" w:cs="Arial"/>
        </w:rPr>
        <w:t>. In addition, adaptive immune responses drive NASH as hepatic infiltration of B cells and CD4 and CD8 T cells exacerbate parenchymal injury and inflammation</w:t>
      </w:r>
      <w:r>
        <w:rPr>
          <w:rFonts w:ascii="Book Antiqua" w:hAnsi="Book Antiqua" w:cs="Arial"/>
          <w:vertAlign w:val="superscript"/>
        </w:rPr>
        <w:t>[56]</w:t>
      </w:r>
      <w:r>
        <w:rPr>
          <w:rFonts w:ascii="Book Antiqua" w:hAnsi="Book Antiqua" w:cs="Arial"/>
        </w:rPr>
        <w:t>. B cells play a profibrogenic role involving the stimulation of hepatic stellate cells and liver macrophages</w:t>
      </w:r>
      <w:r>
        <w:rPr>
          <w:rFonts w:ascii="Book Antiqua" w:hAnsi="Book Antiqua" w:cs="Arial"/>
          <w:vertAlign w:val="superscript"/>
        </w:rPr>
        <w:t>[57]</w:t>
      </w:r>
      <w:r>
        <w:rPr>
          <w:rFonts w:ascii="Book Antiqua" w:hAnsi="Book Antiqua" w:cs="Arial"/>
        </w:rPr>
        <w:t>. CD4+ T cells differentiate to type-17 T helper cells, producing IL-17 which has been implicated in the progression of NAFLD</w:t>
      </w:r>
      <w:r>
        <w:rPr>
          <w:rFonts w:ascii="Book Antiqua" w:hAnsi="Book Antiqua" w:cs="Arial"/>
          <w:vertAlign w:val="superscript"/>
        </w:rPr>
        <w:t>[58]</w:t>
      </w:r>
      <w:r>
        <w:rPr>
          <w:rFonts w:ascii="Book Antiqua" w:hAnsi="Book Antiqua" w:cs="Arial"/>
        </w:rPr>
        <w:t xml:space="preserve">. The balance of the adaptive immune cellular compartment within the liver can transition from a pro-resolution composition to pro-inflammatory subset, driving disease and fibrosis. </w:t>
      </w:r>
    </w:p>
    <w:p>
      <w:pPr>
        <w:spacing w:line="360" w:lineRule="auto"/>
        <w:ind w:firstLine="240" w:firstLineChars="100"/>
        <w:jc w:val="both"/>
        <w:rPr>
          <w:rFonts w:ascii="Book Antiqua" w:hAnsi="Book Antiqua" w:cs="Arial"/>
        </w:rPr>
      </w:pPr>
      <w:r>
        <w:rPr>
          <w:rFonts w:ascii="Book Antiqua" w:hAnsi="Book Antiqua" w:cs="Arial"/>
        </w:rPr>
        <w:t>In IBS, a similar chronic low-grade inflammatory picture has also been described. The innate immune system is implicated with an increased number of mast cells throughout the intestines in some patients</w:t>
      </w:r>
      <w:r>
        <w:rPr>
          <w:rFonts w:ascii="Book Antiqua" w:hAnsi="Book Antiqua" w:cs="Arial"/>
          <w:vertAlign w:val="superscript"/>
        </w:rPr>
        <w:t>[59]</w:t>
      </w:r>
      <w:r>
        <w:rPr>
          <w:rFonts w:ascii="Book Antiqua" w:hAnsi="Book Antiqua" w:cs="Arial"/>
        </w:rPr>
        <w:t>. The adaptive immune response is also important with CD3+, CD4+ and CD8+ T cells increased in intestines and blood of patients with IBS</w:t>
      </w:r>
      <w:r>
        <w:rPr>
          <w:rFonts w:ascii="Book Antiqua" w:hAnsi="Book Antiqua" w:cs="Arial"/>
          <w:vertAlign w:val="superscript"/>
        </w:rPr>
        <w:t>[38]</w:t>
      </w:r>
      <w:r>
        <w:rPr>
          <w:rFonts w:ascii="Book Antiqua" w:hAnsi="Book Antiqua" w:cs="Arial"/>
        </w:rPr>
        <w:t>. Interestingly, an increase in IL-6 and IL-8 with reduced anti-inflammatory cytokines has been seen in serum of IBS patients</w:t>
      </w:r>
      <w:r>
        <w:rPr>
          <w:rFonts w:ascii="Book Antiqua" w:hAnsi="Book Antiqua" w:cs="Arial"/>
          <w:vertAlign w:val="superscript"/>
        </w:rPr>
        <w:t>[59]</w:t>
      </w:r>
      <w:r>
        <w:rPr>
          <w:rFonts w:ascii="Book Antiqua" w:hAnsi="Book Antiqua" w:cs="Arial"/>
        </w:rPr>
        <w:t>. The role of TLRs is also felt to be important with IL-6 and other cytokines acting through this mechanism</w:t>
      </w:r>
      <w:r>
        <w:rPr>
          <w:rFonts w:ascii="Book Antiqua" w:hAnsi="Book Antiqua" w:cs="Arial"/>
          <w:vertAlign w:val="superscript"/>
        </w:rPr>
        <w:t>[38]</w:t>
      </w:r>
      <w:r>
        <w:rPr>
          <w:rFonts w:ascii="Book Antiqua" w:hAnsi="Book Antiqua" w:cs="Arial"/>
        </w:rPr>
        <w:t>. TNF-α can act on the nervous system to cause hypersensitivity, gastric hypomotility and nausea</w:t>
      </w:r>
      <w:r>
        <w:rPr>
          <w:rFonts w:ascii="Book Antiqua" w:hAnsi="Book Antiqua" w:cs="Arial"/>
          <w:vertAlign w:val="superscript"/>
        </w:rPr>
        <w:t>[59]</w:t>
      </w:r>
      <w:r>
        <w:rPr>
          <w:rFonts w:ascii="Book Antiqua" w:hAnsi="Book Antiqua" w:cs="Aria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Small Intestinal Bacterial overgrowth </w:t>
      </w:r>
    </w:p>
    <w:p>
      <w:pPr>
        <w:spacing w:line="360" w:lineRule="auto"/>
        <w:jc w:val="both"/>
        <w:rPr>
          <w:rFonts w:ascii="Book Antiqua" w:hAnsi="Book Antiqua" w:cs="Arial"/>
        </w:rPr>
      </w:pPr>
      <w:r>
        <w:rPr>
          <w:rFonts w:ascii="Book Antiqua" w:hAnsi="Book Antiqua" w:cs="Arial"/>
        </w:rPr>
        <w:t>Small intestinal bacterial overgrowth (SIBO) can cause abdominal pain, bloating and chronic diarrhea. Although an area of controversy due to conflicting evidence, a number of previous studies have suggested that some patients with IBS have a relatively high prevalence of SIBO</w:t>
      </w:r>
      <w:r>
        <w:rPr>
          <w:rFonts w:ascii="Book Antiqua" w:hAnsi="Book Antiqua" w:cs="Arial"/>
          <w:vertAlign w:val="superscript"/>
        </w:rPr>
        <w:t>[60,61]</w:t>
      </w:r>
      <w:r>
        <w:rPr>
          <w:rFonts w:ascii="Book Antiqua" w:hAnsi="Book Antiqua" w:cs="Arial"/>
        </w:rPr>
        <w:t>. A recent metanalysis has shown that patients with IBS were more likely to test positive for SIBO than healthy controls</w:t>
      </w:r>
      <w:r>
        <w:rPr>
          <w:rFonts w:ascii="Book Antiqua" w:hAnsi="Book Antiqua" w:cs="Arial"/>
          <w:vertAlign w:val="superscript"/>
        </w:rPr>
        <w:t>[61]</w:t>
      </w:r>
      <w:r>
        <w:rPr>
          <w:rFonts w:ascii="Book Antiqua" w:hAnsi="Book Antiqua" w:cs="Arial"/>
        </w:rPr>
        <w:t>. Further circumstantial evidence for the gut-brain-microbiome-liver axis can be drawn from the effects of the non-absorbable antibiotic Rifaximin in both IBS and in liver disease. Whilst the mechanism is unclear, improvement in IBS symptoms have been demonstrated in patients in randomized controlled trials of Rifaximin</w:t>
      </w:r>
      <w:r>
        <w:rPr>
          <w:rFonts w:ascii="Book Antiqua" w:hAnsi="Book Antiqua" w:cs="Arial"/>
          <w:vertAlign w:val="superscript"/>
        </w:rPr>
        <w:t>[62,63]</w:t>
      </w:r>
      <w:r>
        <w:rPr>
          <w:rFonts w:ascii="Book Antiqua" w:hAnsi="Book Antiqua" w:cs="Arial"/>
        </w:rPr>
        <w:t>. Rifaximin is also often used to treat SIBO</w:t>
      </w:r>
      <w:r>
        <w:rPr>
          <w:rFonts w:ascii="Book Antiqua" w:hAnsi="Book Antiqua" w:cs="Arial"/>
          <w:vertAlign w:val="superscript"/>
        </w:rPr>
        <w:t>[64]</w:t>
      </w:r>
      <w:r>
        <w:rPr>
          <w:rFonts w:ascii="Book Antiqua" w:hAnsi="Book Antiqua" w:cs="Arial"/>
        </w:rPr>
        <w:t>, a condition which has been shown to affect cognitive function in a subset of patients who present with brain fog</w:t>
      </w:r>
      <w:r>
        <w:rPr>
          <w:rFonts w:ascii="Book Antiqua" w:hAnsi="Book Antiqua" w:cs="Arial"/>
          <w:vertAlign w:val="superscript"/>
        </w:rPr>
        <w:t>[65]</w:t>
      </w:r>
      <w:r>
        <w:rPr>
          <w:rFonts w:ascii="Book Antiqua" w:hAnsi="Book Antiqua" w:cs="Arial"/>
        </w:rPr>
        <w:t>. Interestingly, treatment with Rifaximin has recently been shown in brain imaging studies to alter neuronal connectivity and increase cognitive flexibility through its effect on the gut microbiome particularly in beta and theta frequencies with a particular focus on the insular cortex, a region known to be affected in patients with IBS</w:t>
      </w:r>
      <w:r>
        <w:rPr>
          <w:rFonts w:ascii="Book Antiqua" w:hAnsi="Book Antiqua" w:cs="Arial"/>
          <w:vertAlign w:val="superscript"/>
        </w:rPr>
        <w:t>[66]</w:t>
      </w:r>
      <w:r>
        <w:rPr>
          <w:rFonts w:ascii="Book Antiqua" w:hAnsi="Book Antiqua" w:cs="Arial"/>
        </w:rPr>
        <w:t>. Furthermore, Rifaximin has an immunomodulatory action counteracting the pro-inflammatory response seen in gut microbiota dysbiosis</w:t>
      </w:r>
      <w:r>
        <w:rPr>
          <w:rFonts w:ascii="Book Antiqua" w:hAnsi="Book Antiqua" w:cs="Arial"/>
          <w:vertAlign w:val="superscript"/>
        </w:rPr>
        <w:t>[67]</w:t>
      </w:r>
      <w:r>
        <w:rPr>
          <w:rFonts w:ascii="Book Antiqua" w:hAnsi="Book Antiqua" w:cs="Arial"/>
        </w:rPr>
        <w:t>. In liver disease, Rifaximin is an established treatment for hepatic encephalopathy, with its effects attributed to alterations in the gut microbiome and resultant positive effects on cognitive function. Specifically in patients with biopsy proven NASH, Rifaximin has also been shown to reduce insulin resistance, inflammation and NAFLD fat scores</w:t>
      </w:r>
      <w:r>
        <w:rPr>
          <w:rFonts w:ascii="Book Antiqua" w:hAnsi="Book Antiqua" w:cs="Arial"/>
          <w:vertAlign w:val="superscript"/>
        </w:rPr>
        <w:t>[68]</w:t>
      </w:r>
      <w:r>
        <w:rPr>
          <w:rFonts w:ascii="Book Antiqua" w:hAnsi="Book Antiqua" w:cs="Arial"/>
        </w:rPr>
        <w:t>. Therefore, the effects of Rifaximin are multifactorial including reduced endotoxemia, modulation of inflammatory cytokines, and intestinal permeability as well as changing functional brain connectivity</w:t>
      </w:r>
      <w:r>
        <w:rPr>
          <w:rFonts w:ascii="Book Antiqua" w:hAnsi="Book Antiqua" w:cs="Arial"/>
          <w:vertAlign w:val="superscript"/>
        </w:rPr>
        <w:t>[62,66]</w:t>
      </w:r>
      <w:r>
        <w:rPr>
          <w:rFonts w:ascii="Book Antiqua" w:hAnsi="Book Antiqua" w:cs="Arial"/>
        </w:rPr>
        <w:t>.</w:t>
      </w:r>
    </w:p>
    <w:p>
      <w:pPr>
        <w:spacing w:line="360" w:lineRule="auto"/>
        <w:ind w:firstLine="240" w:firstLineChars="100"/>
        <w:jc w:val="both"/>
        <w:rPr>
          <w:rFonts w:ascii="Book Antiqua" w:hAnsi="Book Antiqua" w:cs="Arial"/>
        </w:rPr>
      </w:pPr>
      <w:r>
        <w:rPr>
          <w:rFonts w:ascii="Book Antiqua" w:hAnsi="Book Antiqua" w:cs="Arial"/>
        </w:rPr>
        <w:t>Further overlapping evidence for SIBO in this context comes from the obesity literature. There is evidence that obesity reduces gut motility, which may predispose to SIBO due to stasis, and plausibly this is thought to damage barrier function, which can result in bacterial translocation and altered gut-liver axis</w:t>
      </w:r>
      <w:r>
        <w:rPr>
          <w:rFonts w:ascii="Book Antiqua" w:hAnsi="Book Antiqua" w:cs="Arial"/>
          <w:vertAlign w:val="superscript"/>
        </w:rPr>
        <w:t>[53]</w:t>
      </w:r>
      <w:r>
        <w:rPr>
          <w:rFonts w:ascii="Book Antiqua" w:hAnsi="Book Antiqua" w:cs="Arial"/>
        </w:rPr>
        <w:t>. Furthermore, changes in the gut-liver axis may well a result of increased intestinal permeability. A high prevalence of SIBO has been observed in obese subjects however the association between NAFLD and SIBO is less clear</w:t>
      </w:r>
      <w:r>
        <w:rPr>
          <w:rFonts w:ascii="Book Antiqua" w:hAnsi="Book Antiqua" w:cs="Arial"/>
          <w:vertAlign w:val="superscript"/>
        </w:rPr>
        <w:t>[53]</w:t>
      </w:r>
      <w:r>
        <w:rPr>
          <w:rFonts w:ascii="Book Antiqua" w:hAnsi="Book Antiqua" w:cs="Arial"/>
        </w:rPr>
        <w:t>. Studies have found the prevalence of SIBO in NAFLD to range from 39%-60% albeit in small numbers of patients. However, more recently, some research found 8% of NAFLD patients in their cohort had SIBO and there was no evidence that SIBO was associated with a higher risk of fibrosis</w:t>
      </w:r>
      <w:r>
        <w:rPr>
          <w:rFonts w:ascii="Book Antiqua" w:hAnsi="Book Antiqua" w:cs="Arial"/>
          <w:vertAlign w:val="superscript"/>
        </w:rPr>
        <w:t>[69-71]</w:t>
      </w:r>
      <w:r>
        <w:rPr>
          <w:rFonts w:ascii="Book Antiqua" w:hAnsi="Book Antiqua" w:cs="Aria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Bile Acid Diarrhoea</w:t>
      </w:r>
    </w:p>
    <w:p>
      <w:pPr>
        <w:spacing w:line="360" w:lineRule="auto"/>
        <w:jc w:val="both"/>
        <w:rPr>
          <w:rFonts w:ascii="Book Antiqua" w:hAnsi="Book Antiqua" w:cs="Arial"/>
        </w:rPr>
      </w:pPr>
      <w:r>
        <w:rPr>
          <w:rFonts w:ascii="Book Antiqua" w:hAnsi="Book Antiqua" w:cs="Arial"/>
        </w:rPr>
        <w:t>Bile acid malabsorption is a cause of chronic diarrhea and has been shown to be associated with an increased NAFLD fibrosis score. Hepatic bile acid production is regulated by Fibroblast growth factor 19 (FGF19) and Farnesoid-X-receptor (FXR) and obeticholic acid (a FXR agonist) has shown therapeutic potential in both bile acid related diarrhea and NAFLD</w:t>
      </w:r>
      <w:r>
        <w:rPr>
          <w:rFonts w:ascii="Book Antiqua" w:hAnsi="Book Antiqua" w:cs="Arial"/>
          <w:vertAlign w:val="superscript"/>
        </w:rPr>
        <w:t>[20]</w:t>
      </w:r>
      <w:r>
        <w:rPr>
          <w:rFonts w:ascii="Book Antiqua" w:hAnsi="Book Antiqua" w:cs="Arial"/>
        </w:rPr>
        <w:t xml:space="preserve">. Appleby </w:t>
      </w:r>
      <w:r>
        <w:rPr>
          <w:rFonts w:ascii="Book Antiqua" w:hAnsi="Book Antiqua" w:cs="Arial"/>
          <w:i/>
          <w:iCs/>
        </w:rPr>
        <w:t>et al</w:t>
      </w:r>
      <w:r>
        <w:rPr>
          <w:rFonts w:ascii="Book Antiqua" w:hAnsi="Book Antiqua" w:cs="Arial"/>
          <w:vertAlign w:val="superscript"/>
        </w:rPr>
        <w:t>[20]</w:t>
      </w:r>
      <w:r>
        <w:rPr>
          <w:rFonts w:ascii="Book Antiqua" w:hAnsi="Book Antiqua" w:cs="Arial"/>
        </w:rPr>
        <w:t xml:space="preserve"> found that increased hepatic bile acid production and diarrhea were associated with an increased NAFLD score. Of further relevance to the link with NAFLD, bile acid diarrhoea has also been shown to be associated with raised body mass index</w:t>
      </w:r>
      <w:r>
        <w:rPr>
          <w:rFonts w:ascii="Book Antiqua" w:hAnsi="Book Antiqua" w:cs="Arial"/>
          <w:vertAlign w:val="superscript"/>
        </w:rPr>
        <w:t>[72]</w:t>
      </w:r>
      <w:r>
        <w:rPr>
          <w:rFonts w:ascii="Book Antiqua" w:hAnsi="Book Antiqua" w:cs="Arial"/>
        </w:rPr>
        <w:t>. This is therefore an important point to be considered in clinical practice when evaluating patients with suspected overlapping IBS and NAFLD, as up to a third of patients meeting the criteria for IBS-D have</w:t>
      </w:r>
      <w:r>
        <w:rPr>
          <w:rFonts w:ascii="Book Antiqua" w:hAnsi="Book Antiqua" w:cs="Arial"/>
          <w:color w:val="000000"/>
        </w:rPr>
        <w:t xml:space="preserve"> been shown to have bile salt malabsorption when investigated</w:t>
      </w:r>
      <w:r>
        <w:rPr>
          <w:rFonts w:ascii="Book Antiqua" w:hAnsi="Book Antiqua" w:cs="Arial"/>
          <w:color w:val="000000"/>
          <w:vertAlign w:val="superscript"/>
        </w:rPr>
        <w:t>[72]</w:t>
      </w:r>
      <w:r>
        <w:rPr>
          <w:rFonts w:ascii="Book Antiqua" w:hAnsi="Book Antiqua" w:cs="Arial"/>
          <w:color w:val="000000"/>
        </w:rPr>
        <w:t xml:space="preserve">, and this condition should therefore be excluded in the context of watery diarrhea.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Applicability to clinical practice</w:t>
      </w:r>
    </w:p>
    <w:p>
      <w:pPr>
        <w:spacing w:line="360" w:lineRule="auto"/>
        <w:jc w:val="both"/>
        <w:rPr>
          <w:rFonts w:ascii="Book Antiqua" w:hAnsi="Book Antiqua" w:cs="Arial"/>
        </w:rPr>
      </w:pPr>
      <w:r>
        <w:rPr>
          <w:rFonts w:ascii="Book Antiqua" w:hAnsi="Book Antiqua" w:cs="Arial"/>
        </w:rPr>
        <w:t xml:space="preserve">Pulling this together, there is consistent evidence to show that IBS and NAFLD have a similar pathogenesis and therefore applying this to clinical practice, physicians should be aware that NAFLD may co-exist silently in patients with IBS and vice versa. Patients with IBS and incidental findings of elevated liver enzymes or with risk factors for NAFLD should be considered for non-invasive liver screening through ultrasound and appropriately available non-invasive fibrosis assessment using FIB-4 scoring, enhanced liver fibrosis testing or mechanical liver stiffness measurement. </w:t>
      </w:r>
    </w:p>
    <w:p>
      <w:pPr>
        <w:spacing w:line="360" w:lineRule="auto"/>
        <w:ind w:firstLine="240" w:firstLineChars="100"/>
        <w:jc w:val="both"/>
        <w:rPr>
          <w:rFonts w:ascii="Book Antiqua" w:hAnsi="Book Antiqua" w:cs="Arial"/>
        </w:rPr>
      </w:pPr>
      <w:r>
        <w:rPr>
          <w:rFonts w:ascii="Book Antiqua" w:hAnsi="Book Antiqua" w:cs="Arial"/>
        </w:rPr>
        <w:t xml:space="preserve">Conversely, patients with NAFLD may not admit to the debilitating symptoms of IBS due to stigma or feeling that their symptoms are not relevant to their liver consultation. Screening for positive clinical features of IBS and targeted treatment for both conditions in unison may aid compliance with treatment, improve quality of life and ultimately improve morbidity. </w:t>
      </w:r>
    </w:p>
    <w:p>
      <w:pPr>
        <w:spacing w:line="360" w:lineRule="auto"/>
        <w:ind w:firstLine="240" w:firstLineChars="100"/>
        <w:jc w:val="both"/>
        <w:rPr>
          <w:rFonts w:ascii="Book Antiqua" w:hAnsi="Book Antiqua" w:cs="Arial"/>
        </w:rPr>
      </w:pPr>
      <w:r>
        <w:rPr>
          <w:rFonts w:ascii="Book Antiqua" w:hAnsi="Book Antiqua" w:cs="Arial"/>
        </w:rPr>
        <w:t>However, as highlighted in this review, there is a lack of large, high quality cross-sectional data on the incidence of IBS in NAFLD patients and vice versa. To date, studies have been limited to the use of ultrasound and blood tests to diagnose NAFLD, however there is a lack of data that quantifies a fibrosis score which may be useful to correlate with IBS severity. From the currently available data (summarized in Table 1), whilst there is a suggestion that the IBS-D sub-type may be more common than IBS-C in patients with NAFLD, whether this is a genuine finding merits further evaluation in studies which have excluded bile salt malabsorption with appropriate investigations given its apparent independent association with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Arial"/>
        </w:rPr>
      </w:pPr>
      <w:r>
        <w:rPr>
          <w:rFonts w:ascii="Book Antiqua" w:hAnsi="Book Antiqua" w:cs="Arial"/>
        </w:rPr>
        <w:t>IBS and NAFLD are common conditions that can have significant effects on both physical and mental health</w:t>
      </w:r>
      <w:r>
        <w:rPr>
          <w:rFonts w:ascii="Book Antiqua" w:hAnsi="Book Antiqua" w:cs="Arial"/>
          <w:vertAlign w:val="superscript"/>
        </w:rPr>
        <w:t>[73]</w:t>
      </w:r>
      <w:r>
        <w:rPr>
          <w:rFonts w:ascii="Book Antiqua" w:hAnsi="Book Antiqua" w:cs="Arial"/>
        </w:rPr>
        <w:t xml:space="preserve">, as well as significant healthcare and socioeconomic implications. There is some evidence that patients with IBS are more likely to develop NAFLD, and there are multiple different pathophysiological mechanisms that could contribute to both conditions, however more data is needed. Until such data clarifies this picture, the possibility of these conditions existing concomitantly should be considered proactively and investigated appropriately.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Mearin F</w:t>
      </w:r>
      <w:r>
        <w:rPr>
          <w:rFonts w:ascii="Book Antiqua" w:hAnsi="Book Antiqua"/>
        </w:rPr>
        <w:t xml:space="preserve">, Lacy BE, Chang L, Chey WD, Lembo AJ, Simren M, Spiller R. Bowel Disorders. </w:t>
      </w:r>
      <w:r>
        <w:rPr>
          <w:rFonts w:ascii="Book Antiqua" w:hAnsi="Book Antiqua"/>
          <w:i/>
          <w:iCs/>
        </w:rPr>
        <w:t>Gastroenterology</w:t>
      </w:r>
      <w:r>
        <w:rPr>
          <w:rFonts w:ascii="Book Antiqua" w:hAnsi="Book Antiqua"/>
        </w:rPr>
        <w:t xml:space="preserve"> 2016 [PMID: 27144627 DOI: 10.1053/j.gastro.2016.02.031]</w:t>
      </w:r>
    </w:p>
    <w:p>
      <w:pPr>
        <w:spacing w:line="360" w:lineRule="auto"/>
        <w:jc w:val="both"/>
        <w:rPr>
          <w:rFonts w:ascii="Book Antiqua" w:hAnsi="Book Antiqua"/>
        </w:rPr>
      </w:pPr>
      <w:r>
        <w:rPr>
          <w:rFonts w:ascii="Book Antiqua" w:hAnsi="Book Antiqua"/>
        </w:rPr>
        <w:t xml:space="preserve">2 </w:t>
      </w:r>
      <w:r>
        <w:rPr>
          <w:rFonts w:ascii="Book Antiqua" w:hAnsi="Book Antiqua"/>
          <w:b/>
          <w:bCs/>
        </w:rPr>
        <w:t>Oka P</w:t>
      </w:r>
      <w:r>
        <w:rPr>
          <w:rFonts w:ascii="Book Antiqua" w:hAnsi="Book Antiqua"/>
        </w:rPr>
        <w:t xml:space="preserve">, Parr H, Barberio B, Black CJ, Savarino EV, Ford AC. Global prevalence of irritable bowel syndrome according to Rome III or IV criteria: a systematic review and meta-analysis.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908-917 [PMID: 32702295 DOI: 10.1016/S2468-1253(20)30217-X]</w:t>
      </w:r>
    </w:p>
    <w:p>
      <w:pPr>
        <w:spacing w:line="360" w:lineRule="auto"/>
        <w:jc w:val="both"/>
        <w:rPr>
          <w:rFonts w:ascii="Book Antiqua" w:hAnsi="Book Antiqua"/>
        </w:rPr>
      </w:pPr>
      <w:r>
        <w:rPr>
          <w:rFonts w:ascii="Book Antiqua" w:hAnsi="Book Antiqua"/>
        </w:rPr>
        <w:t xml:space="preserve">3 </w:t>
      </w:r>
      <w:r>
        <w:rPr>
          <w:rFonts w:ascii="Book Antiqua" w:hAnsi="Book Antiqua"/>
          <w:b/>
          <w:bCs/>
        </w:rPr>
        <w:t>Shivaji UN</w:t>
      </w:r>
      <w:r>
        <w:rPr>
          <w:rFonts w:ascii="Book Antiqua" w:hAnsi="Book Antiqua"/>
        </w:rPr>
        <w:t xml:space="preserve">, Ford AC. Prevalence of functional gastrointestinal disorders among consecutive new patient referrals to a gastroenterology clinic. </w:t>
      </w:r>
      <w:r>
        <w:rPr>
          <w:rFonts w:ascii="Book Antiqua" w:hAnsi="Book Antiqua"/>
          <w:i/>
          <w:iCs/>
        </w:rPr>
        <w:t>Frontline Gastroenterol</w:t>
      </w:r>
      <w:r>
        <w:rPr>
          <w:rFonts w:ascii="Book Antiqua" w:hAnsi="Book Antiqua"/>
        </w:rPr>
        <w:t xml:space="preserve"> 2014; </w:t>
      </w:r>
      <w:r>
        <w:rPr>
          <w:rFonts w:ascii="Book Antiqua" w:hAnsi="Book Antiqua"/>
          <w:b/>
          <w:bCs/>
        </w:rPr>
        <w:t>5</w:t>
      </w:r>
      <w:r>
        <w:rPr>
          <w:rFonts w:ascii="Book Antiqua" w:hAnsi="Book Antiqua"/>
        </w:rPr>
        <w:t>: 266-271 [PMID: 28839783 DOI: 10.1136/flgastro-2013-100426]</w:t>
      </w:r>
    </w:p>
    <w:p>
      <w:pPr>
        <w:spacing w:line="360" w:lineRule="auto"/>
        <w:jc w:val="both"/>
        <w:rPr>
          <w:rFonts w:ascii="Book Antiqua" w:hAnsi="Book Antiqua"/>
        </w:rPr>
      </w:pPr>
      <w:r>
        <w:rPr>
          <w:rFonts w:ascii="Book Antiqua" w:hAnsi="Book Antiqua"/>
        </w:rPr>
        <w:t xml:space="preserve">4 </w:t>
      </w:r>
      <w:r>
        <w:rPr>
          <w:rFonts w:ascii="Book Antiqua" w:hAnsi="Book Antiqua"/>
          <w:b/>
          <w:bCs/>
        </w:rPr>
        <w:t>Zamani M</w:t>
      </w:r>
      <w:r>
        <w:rPr>
          <w:rFonts w:ascii="Book Antiqua" w:hAnsi="Book Antiqua"/>
        </w:rPr>
        <w:t xml:space="preserve">, Alizadeh-Tabari S, Zamani V. Systematic review with meta-analysis: the prevalence of anxiety and depression in patients with irritable bowel syndrome. </w:t>
      </w:r>
      <w:r>
        <w:rPr>
          <w:rFonts w:ascii="Book Antiqua" w:hAnsi="Book Antiqua"/>
          <w:i/>
          <w:iCs/>
        </w:rPr>
        <w:t>Aliment Pharmacol Ther</w:t>
      </w:r>
      <w:r>
        <w:rPr>
          <w:rFonts w:ascii="Book Antiqua" w:hAnsi="Book Antiqua"/>
        </w:rPr>
        <w:t xml:space="preserve"> 2019; </w:t>
      </w:r>
      <w:r>
        <w:rPr>
          <w:rFonts w:ascii="Book Antiqua" w:hAnsi="Book Antiqua"/>
          <w:b/>
          <w:bCs/>
        </w:rPr>
        <w:t>50</w:t>
      </w:r>
      <w:r>
        <w:rPr>
          <w:rFonts w:ascii="Book Antiqua" w:hAnsi="Book Antiqua"/>
        </w:rPr>
        <w:t>: 132-143 [PMID: 31157418 DOI: 10.1111/apt.15325]</w:t>
      </w:r>
    </w:p>
    <w:p>
      <w:pPr>
        <w:spacing w:line="360" w:lineRule="auto"/>
        <w:jc w:val="both"/>
        <w:rPr>
          <w:rFonts w:ascii="Book Antiqua" w:hAnsi="Book Antiqua"/>
        </w:rPr>
      </w:pPr>
      <w:r>
        <w:rPr>
          <w:rFonts w:ascii="Book Antiqua" w:hAnsi="Book Antiqua"/>
        </w:rPr>
        <w:t xml:space="preserve">5 </w:t>
      </w:r>
      <w:r>
        <w:rPr>
          <w:rFonts w:ascii="Book Antiqua" w:hAnsi="Book Antiqua"/>
          <w:b/>
          <w:bCs/>
        </w:rPr>
        <w:t>Atarodi S</w:t>
      </w:r>
      <w:r>
        <w:rPr>
          <w:rFonts w:ascii="Book Antiqua" w:hAnsi="Book Antiqua"/>
        </w:rPr>
        <w:t xml:space="preserve">, Rafieian S, Whorwell PJ. Faecal incontinence-the hidden scourge of irritable bowel syndrome: a cross-sectional study. </w:t>
      </w:r>
      <w:r>
        <w:rPr>
          <w:rFonts w:ascii="Book Antiqua" w:hAnsi="Book Antiqua"/>
          <w:i/>
          <w:iCs/>
        </w:rPr>
        <w:t>BMJ Open Gastroenterol</w:t>
      </w:r>
      <w:r>
        <w:rPr>
          <w:rFonts w:ascii="Book Antiqua" w:hAnsi="Book Antiqua"/>
        </w:rPr>
        <w:t xml:space="preserve"> 2014; </w:t>
      </w:r>
      <w:r>
        <w:rPr>
          <w:rFonts w:ascii="Book Antiqua" w:hAnsi="Book Antiqua"/>
          <w:b/>
          <w:bCs/>
        </w:rPr>
        <w:t>1</w:t>
      </w:r>
      <w:r>
        <w:rPr>
          <w:rFonts w:ascii="Book Antiqua" w:hAnsi="Book Antiqua"/>
        </w:rPr>
        <w:t>: e000002 [PMID: 26462260 DOI: 10.1136/bmjgast-2014-000002]</w:t>
      </w:r>
    </w:p>
    <w:p>
      <w:pPr>
        <w:spacing w:line="360" w:lineRule="auto"/>
        <w:jc w:val="both"/>
        <w:rPr>
          <w:rFonts w:ascii="Book Antiqua" w:hAnsi="Book Antiqua"/>
        </w:rPr>
      </w:pPr>
      <w:r>
        <w:rPr>
          <w:rFonts w:ascii="Book Antiqua" w:hAnsi="Book Antiqua"/>
        </w:rPr>
        <w:t xml:space="preserve">6 </w:t>
      </w:r>
      <w:r>
        <w:rPr>
          <w:rFonts w:ascii="Book Antiqua" w:hAnsi="Book Antiqua"/>
          <w:b/>
          <w:bCs/>
        </w:rPr>
        <w:t>Dixon-Woods M</w:t>
      </w:r>
      <w:r>
        <w:rPr>
          <w:rFonts w:ascii="Book Antiqua" w:hAnsi="Book Antiqua"/>
        </w:rPr>
        <w:t xml:space="preserve">, Critchley S. Medical and lay views of irritable bowel syndrome. </w:t>
      </w:r>
      <w:r>
        <w:rPr>
          <w:rFonts w:ascii="Book Antiqua" w:hAnsi="Book Antiqua"/>
          <w:i/>
          <w:iCs/>
        </w:rPr>
        <w:t>Fam Pract</w:t>
      </w:r>
      <w:r>
        <w:rPr>
          <w:rFonts w:ascii="Book Antiqua" w:hAnsi="Book Antiqua"/>
        </w:rPr>
        <w:t xml:space="preserve"> 2000; </w:t>
      </w:r>
      <w:r>
        <w:rPr>
          <w:rFonts w:ascii="Book Antiqua" w:hAnsi="Book Antiqua"/>
          <w:b/>
          <w:bCs/>
        </w:rPr>
        <w:t>17</w:t>
      </w:r>
      <w:r>
        <w:rPr>
          <w:rFonts w:ascii="Book Antiqua" w:hAnsi="Book Antiqua"/>
        </w:rPr>
        <w:t>: 108-113 [PMID: 10758070 DOI: 10.1093/fampra/17.2.108]</w:t>
      </w:r>
    </w:p>
    <w:p>
      <w:pPr>
        <w:spacing w:line="360" w:lineRule="auto"/>
        <w:jc w:val="both"/>
        <w:rPr>
          <w:rFonts w:ascii="Book Antiqua" w:hAnsi="Book Antiqua"/>
        </w:rPr>
      </w:pPr>
      <w:r>
        <w:rPr>
          <w:rFonts w:ascii="Book Antiqua" w:hAnsi="Book Antiqua"/>
        </w:rPr>
        <w:t xml:space="preserve">7 </w:t>
      </w:r>
      <w:r>
        <w:rPr>
          <w:rFonts w:ascii="Book Antiqua" w:hAnsi="Book Antiqua"/>
          <w:b/>
          <w:bCs/>
        </w:rPr>
        <w:t>Hearn M</w:t>
      </w:r>
      <w:r>
        <w:rPr>
          <w:rFonts w:ascii="Book Antiqua" w:hAnsi="Book Antiqua"/>
        </w:rPr>
        <w:t xml:space="preserve">, Whorwell PJ, Vasant DH. Stigma and irritable bowel syndrome: a taboo subject?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607-615 [PMID: 31924568 DOI: 10.1016/S2468-1253(19)30348-6]</w:t>
      </w:r>
    </w:p>
    <w:p>
      <w:pPr>
        <w:spacing w:line="360" w:lineRule="auto"/>
        <w:jc w:val="both"/>
        <w:rPr>
          <w:rFonts w:ascii="Book Antiqua" w:hAnsi="Book Antiqua"/>
        </w:rPr>
      </w:pPr>
      <w:r>
        <w:rPr>
          <w:rFonts w:ascii="Book Antiqua" w:hAnsi="Book Antiqua"/>
        </w:rPr>
        <w:t xml:space="preserve">8 </w:t>
      </w:r>
      <w:r>
        <w:rPr>
          <w:rFonts w:ascii="Book Antiqua" w:hAnsi="Book Antiqua"/>
          <w:b/>
          <w:bCs/>
        </w:rPr>
        <w:t>Blachier M</w:t>
      </w:r>
      <w:r>
        <w:rPr>
          <w:rFonts w:ascii="Book Antiqua" w:hAnsi="Book Antiqua"/>
        </w:rPr>
        <w:t xml:space="preserve">, Leleu H, Peck-Radosavljevic M, Valla DC, Roudot-Thoraval F. The burden of liver disease in Europe: a review of available epidemiological data.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593-608 [PMID: 23419824 DOI: 10.1016/j.jhep.2012.12.005]</w:t>
      </w:r>
    </w:p>
    <w:p>
      <w:pPr>
        <w:spacing w:line="360" w:lineRule="auto"/>
        <w:jc w:val="both"/>
        <w:rPr>
          <w:rFonts w:ascii="Book Antiqua" w:hAnsi="Book Antiqua"/>
        </w:rPr>
      </w:pPr>
      <w:r>
        <w:rPr>
          <w:rFonts w:ascii="Book Antiqua" w:hAnsi="Book Antiqua"/>
        </w:rPr>
        <w:t xml:space="preserve">9 </w:t>
      </w:r>
      <w:r>
        <w:rPr>
          <w:rFonts w:ascii="Book Antiqua" w:hAnsi="Book Antiqua"/>
          <w:b/>
          <w:bCs/>
        </w:rPr>
        <w:t>Targher G</w:t>
      </w:r>
      <w:r>
        <w:rPr>
          <w:rFonts w:ascii="Book Antiqua" w:hAnsi="Book Antiqua"/>
        </w:rPr>
        <w:t xml:space="preserve">, Byrne CD, Tilg H. NAFLD and increased risk of cardiovascular disease: clinical associations, pathophysiological mechanisms and pharmacological implications.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1691-1705 [PMID: 32321858 DOI: 10.1136/gutjnl-2020-320622]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Roulot D</w:t>
      </w:r>
      <w:r>
        <w:rPr>
          <w:rFonts w:ascii="Book Antiqua" w:hAnsi="Book Antiqua"/>
        </w:rPr>
        <w:t>. Screening for Liver Fibrosis in General or At-Risk populations using Transient Elastrography. Liver Elastrography. Springer Nature, 2020: 545-550 [DOI:</w:t>
      </w:r>
      <w:r>
        <w:t xml:space="preserve"> </w:t>
      </w:r>
      <w:r>
        <w:rPr>
          <w:rFonts w:ascii="Book Antiqua" w:hAnsi="Book Antiqua"/>
        </w:rPr>
        <w:t>10.1007/978-3-030-40542-7_47]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Harman DJ</w:t>
      </w:r>
      <w:r>
        <w:rPr>
          <w:rFonts w:ascii="Book Antiqua" w:hAnsi="Book Antiqua"/>
        </w:rPr>
        <w:t xml:space="preserve">, Ryder SD, James MW, Jelpke M, Ottey DS, Wilkes EA, Card TR, Aithal GP, Guha IN. Direct targeting of risk factors significantly increases the detection of liver cirrhosis in primary care: a cross-sectional diagnostic study utilising transient elastography. </w:t>
      </w:r>
      <w:r>
        <w:rPr>
          <w:rFonts w:ascii="Book Antiqua" w:hAnsi="Book Antiqua"/>
          <w:i/>
          <w:iCs/>
        </w:rPr>
        <w:t>BMJ Open</w:t>
      </w:r>
      <w:r>
        <w:rPr>
          <w:rFonts w:ascii="Book Antiqua" w:hAnsi="Book Antiqua"/>
        </w:rPr>
        <w:t xml:space="preserve"> 2015; </w:t>
      </w:r>
      <w:r>
        <w:rPr>
          <w:rFonts w:ascii="Book Antiqua" w:hAnsi="Book Antiqua"/>
          <w:b/>
          <w:bCs/>
        </w:rPr>
        <w:t>5</w:t>
      </w:r>
      <w:r>
        <w:rPr>
          <w:rFonts w:ascii="Book Antiqua" w:hAnsi="Book Antiqua"/>
        </w:rPr>
        <w:t>: e007516 [PMID: 25941185 DOI: 10.1136/bmjopen-2014-007516]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Public Health England</w:t>
      </w:r>
      <w:r>
        <w:rPr>
          <w:rFonts w:ascii="Book Antiqua" w:hAnsi="Book Antiqua"/>
        </w:rPr>
        <w:t>. Liver disease: applying All Our Health. [cited 23 March 2021]. Available from: https://www.gov.uk/government/publications/liver-disease-applying-all-our-health/liverdisease-applying-all-our-health</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Cotter TG</w:t>
      </w:r>
      <w:r>
        <w:rPr>
          <w:rFonts w:ascii="Book Antiqua" w:hAnsi="Book Antiqua"/>
        </w:rPr>
        <w:t xml:space="preserve">, Charlton M. Nonalcoholic Steatohepatitis After Liver Transplantation. </w:t>
      </w:r>
      <w:r>
        <w:rPr>
          <w:rFonts w:ascii="Book Antiqua" w:hAnsi="Book Antiqua"/>
          <w:i/>
          <w:iCs/>
        </w:rPr>
        <w:t>Liver Transpl</w:t>
      </w:r>
      <w:r>
        <w:rPr>
          <w:rFonts w:ascii="Book Antiqua" w:hAnsi="Book Antiqua"/>
        </w:rPr>
        <w:t xml:space="preserve"> 2020; </w:t>
      </w:r>
      <w:r>
        <w:rPr>
          <w:rFonts w:ascii="Book Antiqua" w:hAnsi="Book Antiqua"/>
          <w:b/>
          <w:bCs/>
        </w:rPr>
        <w:t>26</w:t>
      </w:r>
      <w:r>
        <w:rPr>
          <w:rFonts w:ascii="Book Antiqua" w:hAnsi="Book Antiqua"/>
        </w:rPr>
        <w:t>: 141-159 [PMID: 31610081 DOI: 10.1002/lt.25657]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Haldar D</w:t>
      </w:r>
      <w:r>
        <w:rPr>
          <w:rFonts w:ascii="Book Antiqua" w:hAnsi="Book Antiqua"/>
        </w:rPr>
        <w:t xml:space="preserve">, Kern B, Hodson J, Armstrong MJ, Adam R, Berlakovich G, Fritz J, Feurstein B, Popp W, Karam V, Muiesan P, O'Grady J, Jamieson N, Wigmore SJ, Pirenne J, Malek-Hosseini SA, Hidalgo E, Tokat Y, Paul A, Pratschke J, Bartels M, Trunecka P, Settmacher U, Pinzani M, Duvoux C, Newsome PN, Schneeberger S; European Liver and Intestine Transplant Association (ELITA). Outcomes of liver transplantation for non-alcoholic steatohepatitis: A European Liver Transplant Registry study.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313-322 [PMID: 31071367 DOI: 10.1016/j.jhep.2019.04.011]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Hasanain AF,</w:t>
      </w:r>
      <w:r>
        <w:rPr>
          <w:rFonts w:ascii="Book Antiqua" w:hAnsi="Book Antiqua"/>
        </w:rPr>
        <w:t xml:space="preserve"> Abdel-Rahman ME, Ali AM, Abdel-Aal SM. Nonalcoholic fatty liver disease among patients with irritable bowel syndrome: prevalence and contribution to disease severity. </w:t>
      </w:r>
      <w:r>
        <w:rPr>
          <w:rFonts w:ascii="Book Antiqua" w:hAnsi="Book Antiqua"/>
          <w:i/>
          <w:iCs/>
        </w:rPr>
        <w:t>Gastroenterol Hepatol Endoscopy</w:t>
      </w:r>
      <w:r>
        <w:rPr>
          <w:rFonts w:ascii="Book Antiqua" w:hAnsi="Book Antiqua"/>
        </w:rPr>
        <w:t xml:space="preserve"> 2018; </w:t>
      </w:r>
      <w:r>
        <w:rPr>
          <w:rFonts w:ascii="Book Antiqua" w:hAnsi="Book Antiqua"/>
          <w:b/>
          <w:bCs/>
        </w:rPr>
        <w:t>3</w:t>
      </w:r>
      <w:r>
        <w:rPr>
          <w:rFonts w:ascii="Book Antiqua" w:hAnsi="Book Antiqua"/>
        </w:rPr>
        <w:t>(3): 1-4 [DOI: 10.15761/GHE.1000163]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Shin A</w:t>
      </w:r>
      <w:r>
        <w:rPr>
          <w:rFonts w:ascii="Book Antiqua" w:hAnsi="Book Antiqua"/>
        </w:rPr>
        <w:t xml:space="preserve">, Xu H, Imperiale TF. Associations of chronic diarrhoea with non-alcoholic fatty liver disease and obesity-related disorders among US adults. </w:t>
      </w:r>
      <w:r>
        <w:rPr>
          <w:rFonts w:ascii="Book Antiqua" w:hAnsi="Book Antiqua"/>
          <w:i/>
          <w:iCs/>
        </w:rPr>
        <w:t>BMJ Open Gastroenterol</w:t>
      </w:r>
      <w:r>
        <w:rPr>
          <w:rFonts w:ascii="Book Antiqua" w:hAnsi="Book Antiqua"/>
        </w:rPr>
        <w:t xml:space="preserve"> 2019; </w:t>
      </w:r>
      <w:r>
        <w:rPr>
          <w:rFonts w:ascii="Book Antiqua" w:hAnsi="Book Antiqua"/>
          <w:b/>
          <w:bCs/>
        </w:rPr>
        <w:t>6</w:t>
      </w:r>
      <w:r>
        <w:rPr>
          <w:rFonts w:ascii="Book Antiqua" w:hAnsi="Book Antiqua"/>
        </w:rPr>
        <w:t>: e000322 [PMID: 31523443 DOI: 10.1136/bmjgast-2019-000322]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Arasteh P</w:t>
      </w:r>
      <w:r>
        <w:rPr>
          <w:rFonts w:ascii="Book Antiqua" w:hAnsi="Book Antiqua"/>
        </w:rPr>
        <w:t xml:space="preserve">, Maharlouei N, Eghbali SS, Amini M, Lankarani KB, Malekzadeh R. A Comprehensive Look at Irritable Bowel Syndrome and its Associated Factors Considering the Rome IV Criteria: A Penalized Smoothly Clipped Absolute Deviation Regression Approach in the Pars Cohort Study. </w:t>
      </w:r>
      <w:r>
        <w:rPr>
          <w:rFonts w:ascii="Book Antiqua" w:hAnsi="Book Antiqua"/>
          <w:i/>
          <w:iCs/>
        </w:rPr>
        <w:t>Middle East J Dig Dis</w:t>
      </w:r>
      <w:r>
        <w:rPr>
          <w:rFonts w:ascii="Book Antiqua" w:hAnsi="Book Antiqua"/>
        </w:rPr>
        <w:t xml:space="preserve"> 2018; </w:t>
      </w:r>
      <w:r>
        <w:rPr>
          <w:rFonts w:ascii="Book Antiqua" w:hAnsi="Book Antiqua"/>
          <w:b/>
          <w:bCs/>
        </w:rPr>
        <w:t>10</w:t>
      </w:r>
      <w:r>
        <w:rPr>
          <w:rFonts w:ascii="Book Antiqua" w:hAnsi="Book Antiqua"/>
        </w:rPr>
        <w:t>: 149-159 [PMID: 30186578 DOI: 10.15171/mejdd.2018.104]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Vasant DH</w:t>
      </w:r>
      <w:r>
        <w:rPr>
          <w:rFonts w:ascii="Book Antiqua" w:hAnsi="Book Antiqua"/>
        </w:rPr>
        <w:t xml:space="preserve">. Global prevalence of irritable bowel syndrome: time to consider factors beyond diagnostic criteria?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879-880 [PMID: 32702294 DOI: 10.1016/S2468-1253(20)30211-9]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Lee SH</w:t>
      </w:r>
      <w:r>
        <w:rPr>
          <w:rFonts w:ascii="Book Antiqua" w:hAnsi="Book Antiqua"/>
        </w:rPr>
        <w:t xml:space="preserve">, Kim KN, Kim KM, Joo NS. Irritable Bowel Syndrome May Be Associated with Elevated Alanine Aminotransferase and Metabolic Syndrome. </w:t>
      </w:r>
      <w:r>
        <w:rPr>
          <w:rFonts w:ascii="Book Antiqua" w:hAnsi="Book Antiqua"/>
          <w:i/>
          <w:iCs/>
        </w:rPr>
        <w:t>Yonsei Med J</w:t>
      </w:r>
      <w:r>
        <w:rPr>
          <w:rFonts w:ascii="Book Antiqua" w:hAnsi="Book Antiqua"/>
        </w:rPr>
        <w:t xml:space="preserve"> 2016; </w:t>
      </w:r>
      <w:r>
        <w:rPr>
          <w:rFonts w:ascii="Book Antiqua" w:hAnsi="Book Antiqua"/>
          <w:b/>
          <w:bCs/>
        </w:rPr>
        <w:t>57</w:t>
      </w:r>
      <w:r>
        <w:rPr>
          <w:rFonts w:ascii="Book Antiqua" w:hAnsi="Book Antiqua"/>
        </w:rPr>
        <w:t>: 146-152 [PMID: 26632395 DOI: 10.3349/ymj.2016.57.1.146]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Appleby RN</w:t>
      </w:r>
      <w:r>
        <w:rPr>
          <w:rFonts w:ascii="Book Antiqua" w:hAnsi="Book Antiqua"/>
        </w:rPr>
        <w:t xml:space="preserve">, Moghul I, Khan S, Yee M, Manousou P, Neal TD, Walters JRF. Non-alcoholic fatty liver disease is associated with dysregulated bile acid synthesis and diarrhea: A prospective observational study.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e0211348 [PMID: 30682184 DOI: 10.1371/journal.pone.0211348]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Singh SP</w:t>
      </w:r>
      <w:r>
        <w:rPr>
          <w:rFonts w:ascii="Book Antiqua" w:hAnsi="Book Antiqua"/>
        </w:rPr>
        <w:t xml:space="preserve">, Kar SK, Panigrahi MK, Misra B, Pattnaik K, Bhuyan P, Meher C, Agrawal O, Rout N, Swain M. Profile of patients with incidentally detected nonalcoholic fatty liver disease (IDNAFLD) in coastal eastern India. </w:t>
      </w:r>
      <w:r>
        <w:rPr>
          <w:rFonts w:ascii="Book Antiqua" w:hAnsi="Book Antiqua"/>
          <w:i/>
          <w:iCs/>
        </w:rPr>
        <w:t>Trop Gastroenterol</w:t>
      </w:r>
      <w:r>
        <w:rPr>
          <w:rFonts w:ascii="Book Antiqua" w:hAnsi="Book Antiqua"/>
        </w:rPr>
        <w:t xml:space="preserve"> 2013; </w:t>
      </w:r>
      <w:r>
        <w:rPr>
          <w:rFonts w:ascii="Book Antiqua" w:hAnsi="Book Antiqua"/>
          <w:b/>
          <w:bCs/>
        </w:rPr>
        <w:t>34</w:t>
      </w:r>
      <w:r>
        <w:rPr>
          <w:rFonts w:ascii="Book Antiqua" w:hAnsi="Book Antiqua"/>
        </w:rPr>
        <w:t>: 144-152 [PMID: 24851523 DOI: 10.7869/tg.118]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Jones-Pauley M,</w:t>
      </w:r>
      <w:r>
        <w:rPr>
          <w:rFonts w:ascii="Book Antiqua" w:hAnsi="Book Antiqua"/>
        </w:rPr>
        <w:t xml:space="preserve"> Franco L, Tamimi O, Nashatian L, Victor D, Quigley EM. Mo1503 Irritable bowel syndrome symptoms in non-alcoholic fatty liver disease patients are an indicator of depression and anxiety.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(6): S-1429 [DOI: 10.1016/S0016-5085(20)34239-6]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Pallayova M</w:t>
      </w:r>
      <w:r>
        <w:rPr>
          <w:rFonts w:ascii="Book Antiqua" w:hAnsi="Book Antiqua"/>
        </w:rPr>
        <w:t xml:space="preserve">, Taheri S. Non-alcoholic fatty liver disease in obese adults: clinical aspects and current management strategies. </w:t>
      </w:r>
      <w:r>
        <w:rPr>
          <w:rFonts w:ascii="Book Antiqua" w:hAnsi="Book Antiqua"/>
          <w:i/>
          <w:iCs/>
        </w:rPr>
        <w:t>Clin Obes</w:t>
      </w:r>
      <w:r>
        <w:rPr>
          <w:rFonts w:ascii="Book Antiqua" w:hAnsi="Book Antiqua"/>
        </w:rPr>
        <w:t xml:space="preserve"> 2014; </w:t>
      </w:r>
      <w:r>
        <w:rPr>
          <w:rFonts w:ascii="Book Antiqua" w:hAnsi="Book Antiqua"/>
          <w:b/>
          <w:bCs/>
        </w:rPr>
        <w:t>4</w:t>
      </w:r>
      <w:r>
        <w:rPr>
          <w:rFonts w:ascii="Book Antiqua" w:hAnsi="Book Antiqua"/>
        </w:rPr>
        <w:t>: 243-253 [PMID: 25825857 DOI: 10.1111/cob.12068]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Godoy-Matos AF</w:t>
      </w:r>
      <w:r>
        <w:rPr>
          <w:rFonts w:ascii="Book Antiqua" w:hAnsi="Book Antiqua"/>
        </w:rPr>
        <w:t xml:space="preserve">, Silva Júnior WS, Valerio CM. NAFLD as a continuum: from obesity to metabolic syndrome and diabetes. </w:t>
      </w:r>
      <w:r>
        <w:rPr>
          <w:rFonts w:ascii="Book Antiqua" w:hAnsi="Book Antiqua"/>
          <w:i/>
          <w:iCs/>
        </w:rPr>
        <w:t>Diabetol Metab Syndr</w:t>
      </w:r>
      <w:r>
        <w:rPr>
          <w:rFonts w:ascii="Book Antiqua" w:hAnsi="Book Antiqua"/>
        </w:rPr>
        <w:t xml:space="preserve"> 2020; </w:t>
      </w:r>
      <w:r>
        <w:rPr>
          <w:rFonts w:ascii="Book Antiqua" w:hAnsi="Book Antiqua"/>
          <w:b/>
          <w:bCs/>
        </w:rPr>
        <w:t>12</w:t>
      </w:r>
      <w:r>
        <w:rPr>
          <w:rFonts w:ascii="Book Antiqua" w:hAnsi="Book Antiqua"/>
        </w:rPr>
        <w:t>: 60 [PMID: 32684985 DOI: 10.1186/s13098-020-00570-y]</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Marchesini G</w:t>
      </w:r>
      <w:r>
        <w:rPr>
          <w:rFonts w:ascii="Book Antiqua" w:hAnsi="Book Antiqua"/>
        </w:rPr>
        <w:t xml:space="preserve">, Petta S, Dalle Grave R. Diet, weight loss, and liver health in nonalcoholic fatty liver disease: Pathophysiology, evidence, and practice.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2032-2043 [PMID: 26663351 DOI: 10.1002/hep.28392]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Lassailly G</w:t>
      </w:r>
      <w:r>
        <w:rPr>
          <w:rFonts w:ascii="Book Antiqua" w:hAnsi="Book Antiqua"/>
        </w:rPr>
        <w:t xml:space="preserve">, Caiazzo R, Buob D, Pigeyre M, Verkindt H, Labreuche J, Raverdy V, Leteurtre E, Dharancy S, Louvet A, Romon M, Duhamel A, Pattou F, Mathurin P. Bariatric Surgery Reduces Features of Nonalcoholic Steatohepatitis in Morbidly Obese Patients.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379-88; quiz e15-6 [PMID: 25917783 DOI: 10.1053/j.gastro.2015.04.014]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Pickett-Blakely O</w:t>
      </w:r>
      <w:r>
        <w:rPr>
          <w:rFonts w:ascii="Book Antiqua" w:hAnsi="Book Antiqua"/>
        </w:rPr>
        <w:t xml:space="preserve">. Obesity and irritable bowel syndrome: a comprehensive review. </w:t>
      </w:r>
      <w:r>
        <w:rPr>
          <w:rFonts w:ascii="Book Antiqua" w:hAnsi="Book Antiqua"/>
          <w:i/>
          <w:iCs/>
        </w:rPr>
        <w:t>Gastroenterol Hepatol (N Y)</w:t>
      </w:r>
      <w:r>
        <w:rPr>
          <w:rFonts w:ascii="Book Antiqua" w:hAnsi="Book Antiqua"/>
        </w:rPr>
        <w:t xml:space="preserve"> 2014; </w:t>
      </w:r>
      <w:r>
        <w:rPr>
          <w:rFonts w:ascii="Book Antiqua" w:hAnsi="Book Antiqua"/>
          <w:b/>
          <w:bCs/>
        </w:rPr>
        <w:t>10</w:t>
      </w:r>
      <w:r>
        <w:rPr>
          <w:rFonts w:ascii="Book Antiqua" w:hAnsi="Book Antiqua"/>
        </w:rPr>
        <w:t>: 411-416 [PMID: 25904828]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Aro P</w:t>
      </w:r>
      <w:r>
        <w:rPr>
          <w:rFonts w:ascii="Book Antiqua" w:hAnsi="Book Antiqua"/>
        </w:rPr>
        <w:t xml:space="preserve">, Ronkainen J, Talley NJ, Storskrubb T, Bolling-Sternevald E, Agréus L. Body mass index and chronic unexplained gastrointestinal symptoms: an adult endoscopic population based study. </w:t>
      </w:r>
      <w:r>
        <w:rPr>
          <w:rFonts w:ascii="Book Antiqua" w:hAnsi="Book Antiqua"/>
          <w:i/>
          <w:iCs/>
        </w:rPr>
        <w:t>Gut</w:t>
      </w:r>
      <w:r>
        <w:rPr>
          <w:rFonts w:ascii="Book Antiqua" w:hAnsi="Book Antiqua"/>
        </w:rPr>
        <w:t xml:space="preserve"> 2005; </w:t>
      </w:r>
      <w:r>
        <w:rPr>
          <w:rFonts w:ascii="Book Antiqua" w:hAnsi="Book Antiqua"/>
          <w:b/>
          <w:bCs/>
        </w:rPr>
        <w:t>54</w:t>
      </w:r>
      <w:r>
        <w:rPr>
          <w:rFonts w:ascii="Book Antiqua" w:hAnsi="Book Antiqua"/>
        </w:rPr>
        <w:t>: 1377-1383 [PMID: 15917313 DOI: 10.1136/gut.2004.057497]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Akhondi N</w:t>
      </w:r>
      <w:r>
        <w:rPr>
          <w:rFonts w:ascii="Book Antiqua" w:hAnsi="Book Antiqua"/>
        </w:rPr>
        <w:t xml:space="preserve">, Memar Montazerin S, Soltani S, Saneei P, Hassanzadeh Keshteli A, Esmaillzadeh A, Adibi P. General and abdominal obesity in relation to the prevalence of irritable bowel syndrome. </w:t>
      </w:r>
      <w:r>
        <w:rPr>
          <w:rFonts w:ascii="Book Antiqua" w:hAnsi="Book Antiqua"/>
          <w:i/>
          <w:iCs/>
        </w:rPr>
        <w:t>Neurogastroenterol Motil</w:t>
      </w:r>
      <w:r>
        <w:rPr>
          <w:rFonts w:ascii="Book Antiqua" w:hAnsi="Book Antiqua"/>
        </w:rPr>
        <w:t xml:space="preserve"> 2019; </w:t>
      </w:r>
      <w:r>
        <w:rPr>
          <w:rFonts w:ascii="Book Antiqua" w:hAnsi="Book Antiqua"/>
          <w:b/>
          <w:bCs/>
        </w:rPr>
        <w:t>31</w:t>
      </w:r>
      <w:r>
        <w:rPr>
          <w:rFonts w:ascii="Book Antiqua" w:hAnsi="Book Antiqua"/>
        </w:rPr>
        <w:t>: e13549 [PMID: 30657237 DOI: 10.1111/nmo.13549]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Lee CG</w:t>
      </w:r>
      <w:r>
        <w:rPr>
          <w:rFonts w:ascii="Book Antiqua" w:hAnsi="Book Antiqua"/>
        </w:rPr>
        <w:t xml:space="preserve">, Lee JK, Kang YS, Shin S, Kim JH, Lim YJ, Koh MS, Lee JH, Kang HW. Visceral abdominal obesity is associated with an increased risk of irritable bowel syndrome.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310-319 [PMID: 25583325 DOI: 10.1038/ajg.2014.422]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Talley NJ</w:t>
      </w:r>
      <w:r>
        <w:rPr>
          <w:rFonts w:ascii="Book Antiqua" w:hAnsi="Book Antiqua"/>
        </w:rPr>
        <w:t xml:space="preserve">, Howell S, Poulton R. Obesity and chronic gastrointestinal tract symptoms in young adults: a birth cohort study. </w:t>
      </w:r>
      <w:r>
        <w:rPr>
          <w:rFonts w:ascii="Book Antiqua" w:hAnsi="Book Antiqua"/>
          <w:i/>
          <w:iCs/>
        </w:rPr>
        <w:t>Am J Gastroenterol</w:t>
      </w:r>
      <w:r>
        <w:rPr>
          <w:rFonts w:ascii="Book Antiqua" w:hAnsi="Book Antiqua"/>
        </w:rPr>
        <w:t xml:space="preserve"> 2004; </w:t>
      </w:r>
      <w:r>
        <w:rPr>
          <w:rFonts w:ascii="Book Antiqua" w:hAnsi="Book Antiqua"/>
          <w:b/>
          <w:bCs/>
        </w:rPr>
        <w:t>99</w:t>
      </w:r>
      <w:r>
        <w:rPr>
          <w:rFonts w:ascii="Book Antiqua" w:hAnsi="Book Antiqua"/>
        </w:rPr>
        <w:t>: 1807-1814 [PMID: 15330923 DOI: 10.1111/j.1572-0241.2004.30388.x]</w:t>
      </w:r>
    </w:p>
    <w:p>
      <w:pPr>
        <w:spacing w:line="360" w:lineRule="auto"/>
        <w:jc w:val="both"/>
        <w:rPr>
          <w:rFonts w:ascii="Book Antiqua" w:hAnsi="Book Antiqua"/>
        </w:rPr>
      </w:pPr>
      <w:r>
        <w:rPr>
          <w:rFonts w:ascii="Book Antiqua" w:hAnsi="Book Antiqua"/>
        </w:rPr>
        <w:t xml:space="preserve">32 </w:t>
      </w:r>
      <w:r>
        <w:rPr>
          <w:rFonts w:ascii="Book Antiqua" w:hAnsi="Book Antiqua"/>
          <w:b/>
          <w:bCs/>
        </w:rPr>
        <w:t>Pugliese G</w:t>
      </w:r>
      <w:r>
        <w:rPr>
          <w:rFonts w:ascii="Book Antiqua" w:hAnsi="Book Antiqua"/>
        </w:rPr>
        <w:t xml:space="preserve">, Muscogiuri G, Barrea L, Laudisio D, Savastano S, Colao A. Irritable bowel syndrome: a new therapeutic target when treating obesity? </w:t>
      </w:r>
      <w:r>
        <w:rPr>
          <w:rFonts w:ascii="Book Antiqua" w:hAnsi="Book Antiqua"/>
          <w:i/>
          <w:iCs/>
        </w:rPr>
        <w:t>Hormones (Athens)</w:t>
      </w:r>
      <w:r>
        <w:rPr>
          <w:rFonts w:ascii="Book Antiqua" w:hAnsi="Book Antiqua"/>
        </w:rPr>
        <w:t xml:space="preserve"> 2019; </w:t>
      </w:r>
      <w:r>
        <w:rPr>
          <w:rFonts w:ascii="Book Antiqua" w:hAnsi="Book Antiqua"/>
          <w:b/>
          <w:bCs/>
        </w:rPr>
        <w:t>18</w:t>
      </w:r>
      <w:r>
        <w:rPr>
          <w:rFonts w:ascii="Book Antiqua" w:hAnsi="Book Antiqua"/>
        </w:rPr>
        <w:t>: 395-399 [PMID: 31228102 DOI: 10.1007/s42000-019-00113-9]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Schneck AS</w:t>
      </w:r>
      <w:r>
        <w:rPr>
          <w:rFonts w:ascii="Book Antiqua" w:hAnsi="Book Antiqua"/>
        </w:rPr>
        <w:t xml:space="preserve">, Anty R, Tran A, Hastier A, Amor IB, Gugenheim J, Iannelli A, Piche T. Increased Prevalence of Irritable Bowel Syndrome in a Cohort of French Morbidly Obese Patients Candidate for Bariatric Surgery.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1525-1530 [PMID: 26424705 DOI: 10.1007/s11695-015-1907-0]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Emerenziani S</w:t>
      </w:r>
      <w:r>
        <w:rPr>
          <w:rFonts w:ascii="Book Antiqua" w:hAnsi="Book Antiqua"/>
        </w:rPr>
        <w:t xml:space="preserve">, Guarino MPL, Trillo Asensio LM, Altomare A, Ribolsi M, Balestrieri P, Cicala M. Role of Overweight and Obesity in Gastrointestinal Disease. </w:t>
      </w:r>
      <w:r>
        <w:rPr>
          <w:rFonts w:ascii="Book Antiqua" w:hAnsi="Book Antiqua"/>
          <w:i/>
          <w:iCs/>
        </w:rPr>
        <w:t>Nutrients</w:t>
      </w:r>
      <w:r>
        <w:rPr>
          <w:rFonts w:ascii="Book Antiqua" w:hAnsi="Book Antiqua"/>
        </w:rPr>
        <w:t xml:space="preserve"> 2019; </w:t>
      </w:r>
      <w:r>
        <w:rPr>
          <w:rFonts w:ascii="Book Antiqua" w:hAnsi="Book Antiqua"/>
          <w:b/>
          <w:bCs/>
        </w:rPr>
        <w:t>12</w:t>
      </w:r>
      <w:r>
        <w:rPr>
          <w:rFonts w:ascii="Book Antiqua" w:hAnsi="Book Antiqua"/>
        </w:rPr>
        <w:t xml:space="preserve"> [PMID: 31906216 DOI: 10.3390/nu12010111]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Sadik R</w:t>
      </w:r>
      <w:r>
        <w:rPr>
          <w:rFonts w:ascii="Book Antiqua" w:hAnsi="Book Antiqua"/>
        </w:rPr>
        <w:t xml:space="preserve">, Björnsson E, Simrén M. The relationship between symptoms, body mass index, gastrointestinal transit and stool frequency in patients with irritable bowel syndrome. </w:t>
      </w:r>
      <w:r>
        <w:rPr>
          <w:rFonts w:ascii="Book Antiqua" w:hAnsi="Book Antiqua"/>
          <w:i/>
          <w:iCs/>
        </w:rPr>
        <w:t>Eur J Gastroenterol Hepatol</w:t>
      </w:r>
      <w:r>
        <w:rPr>
          <w:rFonts w:ascii="Book Antiqua" w:hAnsi="Book Antiqua"/>
        </w:rPr>
        <w:t xml:space="preserve"> 2010; </w:t>
      </w:r>
      <w:r>
        <w:rPr>
          <w:rFonts w:ascii="Book Antiqua" w:hAnsi="Book Antiqua"/>
          <w:b/>
          <w:bCs/>
        </w:rPr>
        <w:t>22</w:t>
      </w:r>
      <w:r>
        <w:rPr>
          <w:rFonts w:ascii="Book Antiqua" w:hAnsi="Book Antiqua"/>
        </w:rPr>
        <w:t>: 102-108 [PMID: 19701093 DOI: 10.1097/MEG.0b013e32832ffd9b]</w:t>
      </w:r>
    </w:p>
    <w:p>
      <w:pPr>
        <w:spacing w:line="360" w:lineRule="auto"/>
        <w:jc w:val="both"/>
        <w:rPr>
          <w:rFonts w:ascii="Book Antiqua" w:hAnsi="Book Antiqua"/>
        </w:rPr>
      </w:pPr>
      <w:r>
        <w:rPr>
          <w:rFonts w:ascii="Book Antiqua" w:hAnsi="Book Antiqua"/>
        </w:rPr>
        <w:t xml:space="preserve">36 </w:t>
      </w:r>
      <w:r>
        <w:rPr>
          <w:rFonts w:ascii="Book Antiqua" w:hAnsi="Book Antiqua"/>
          <w:b/>
          <w:bCs/>
        </w:rPr>
        <w:t>Clements RH</w:t>
      </w:r>
      <w:r>
        <w:rPr>
          <w:rFonts w:ascii="Book Antiqua" w:hAnsi="Book Antiqua"/>
        </w:rPr>
        <w:t xml:space="preserve">, Gonzalez QH, Foster A, Richards WO, McDowell J, Bondora A, Laws HL. Gastrointestinal symptoms are more intense in morbidly obese patients and are improved with laparoscopic Roux-en-Y gastric bypass. </w:t>
      </w:r>
      <w:r>
        <w:rPr>
          <w:rFonts w:ascii="Book Antiqua" w:hAnsi="Book Antiqua"/>
          <w:i/>
          <w:iCs/>
        </w:rPr>
        <w:t>Obes Surg</w:t>
      </w:r>
      <w:r>
        <w:rPr>
          <w:rFonts w:ascii="Book Antiqua" w:hAnsi="Book Antiqua"/>
        </w:rPr>
        <w:t xml:space="preserve"> 2003; </w:t>
      </w:r>
      <w:r>
        <w:rPr>
          <w:rFonts w:ascii="Book Antiqua" w:hAnsi="Book Antiqua"/>
          <w:b/>
          <w:bCs/>
        </w:rPr>
        <w:t>13</w:t>
      </w:r>
      <w:r>
        <w:rPr>
          <w:rFonts w:ascii="Book Antiqua" w:hAnsi="Book Antiqua"/>
        </w:rPr>
        <w:t>: 610-614 [PMID: 12935364 DOI: 10.1381/096089203322190835]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Aasbrenn M</w:t>
      </w:r>
      <w:r>
        <w:rPr>
          <w:rFonts w:ascii="Book Antiqua" w:hAnsi="Book Antiqua"/>
        </w:rPr>
        <w:t xml:space="preserve">, Lydersen S, Farup PG. A Conservative Weight Loss Intervention Relieves Bowel Symptoms in Morbidly Obese Subjects with Irritable Bowel Syndrome: A Prospective Cohort Study. </w:t>
      </w:r>
      <w:r>
        <w:rPr>
          <w:rFonts w:ascii="Book Antiqua" w:hAnsi="Book Antiqua"/>
          <w:i/>
          <w:iCs/>
        </w:rPr>
        <w:t>J Obes</w:t>
      </w:r>
      <w:r>
        <w:rPr>
          <w:rFonts w:ascii="Book Antiqua" w:hAnsi="Book Antiqua"/>
        </w:rPr>
        <w:t xml:space="preserve"> 2018; </w:t>
      </w:r>
      <w:r>
        <w:rPr>
          <w:rFonts w:ascii="Book Antiqua" w:hAnsi="Book Antiqua"/>
          <w:b/>
          <w:bCs/>
        </w:rPr>
        <w:t>2018</w:t>
      </w:r>
      <w:r>
        <w:rPr>
          <w:rFonts w:ascii="Book Antiqua" w:hAnsi="Book Antiqua"/>
        </w:rPr>
        <w:t>: 3732753 [PMID: 29686892 DOI: 10.1155/2018/3732753]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Scalera A</w:t>
      </w:r>
      <w:r>
        <w:rPr>
          <w:rFonts w:ascii="Book Antiqua" w:hAnsi="Book Antiqua"/>
        </w:rPr>
        <w:t xml:space="preserve">, Di Minno MN, Tarantino G. What does irritable bowel syndrome share with non-alcoholic fatty liver disease?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5402-5420 [PMID: 24023483 DOI: 10.3748/wjg.v19.i33.5402]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Frost F</w:t>
      </w:r>
      <w:r>
        <w:rPr>
          <w:rFonts w:ascii="Book Antiqua" w:hAnsi="Book Antiqua"/>
        </w:rPr>
        <w:t xml:space="preserve">, Kacprowski T, Rühlemann M, Pietzner M, Bang C, Franke A, Nauck M, Völker U, Völzke H, Dörr M, Baumbach J, Sendler M, Schulz C, Mayerle J, Weiss FU, Homuth G, Lerch MM. Long-term instability of the intestinal microbiome is associated with metabolic liver disease, low microbiota diversity, diabetes mellitus and impaired exocrine pancreatic function.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522-530 [PMID: 33168600 DOI: 10.1136/gutjnl-2020-322753]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Aron-Wisnewsky J</w:t>
      </w:r>
      <w:r>
        <w:rPr>
          <w:rFonts w:ascii="Book Antiqua" w:hAnsi="Book Antiqua"/>
        </w:rPr>
        <w:t xml:space="preserve">, Vigliotti C, Witjes J, Le P, Holleboom AG, Verheij J, Nieuwdorp M, Clément K. Gut microbiota and human NAFLD: disentangling microbial signatures from metabolic disorders.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279-297 [PMID: 32152478 DOI: 10.1038/s41575-020-0269-9]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Zhang Z</w:t>
      </w:r>
      <w:r>
        <w:rPr>
          <w:rFonts w:ascii="Book Antiqua" w:hAnsi="Book Antiqua"/>
        </w:rPr>
        <w:t xml:space="preserve">, Mocanu V, Cai C, Dang J, Slater L, Deehan EC, Walter J, Madsen KL. Impact of Fecal Microbiota Transplantation on Obesity and Metabolic Syndrome-A Systematic Review.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31557953 DOI: 10.3390/nu11102291]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Bhattarai Y</w:t>
      </w:r>
      <w:r>
        <w:rPr>
          <w:rFonts w:ascii="Book Antiqua" w:hAnsi="Book Antiqua"/>
        </w:rPr>
        <w:t xml:space="preserve">, Muniz Pedrogo DA, Kashyap PC. Irritable bowel syndrome: a gut microbiota-related disorder? </w:t>
      </w:r>
      <w:r>
        <w:rPr>
          <w:rFonts w:ascii="Book Antiqua" w:hAnsi="Book Antiqua"/>
          <w:i/>
          <w:iCs/>
        </w:rPr>
        <w:t>Am J Physiol Gastrointest Liver Physiol</w:t>
      </w:r>
      <w:r>
        <w:rPr>
          <w:rFonts w:ascii="Book Antiqua" w:hAnsi="Book Antiqua"/>
        </w:rPr>
        <w:t xml:space="preserve"> 2017; </w:t>
      </w:r>
      <w:r>
        <w:rPr>
          <w:rFonts w:ascii="Book Antiqua" w:hAnsi="Book Antiqua"/>
          <w:b/>
          <w:bCs/>
        </w:rPr>
        <w:t>312</w:t>
      </w:r>
      <w:r>
        <w:rPr>
          <w:rFonts w:ascii="Book Antiqua" w:hAnsi="Book Antiqua"/>
        </w:rPr>
        <w:t>: G52-G62 [PMID: 27881403 DOI: 10.1152/ajpgi.00338.2016]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Agustí A</w:t>
      </w:r>
      <w:r>
        <w:rPr>
          <w:rFonts w:ascii="Book Antiqua" w:hAnsi="Book Antiqua"/>
        </w:rPr>
        <w:t xml:space="preserve">, García-Pardo MP, López-Almela I, Campillo I, Maes M, Romaní-Pérez M, Sanz Y. Interplay Between the Gut-Brain Axis, Obesity and Cognitive Function. </w:t>
      </w:r>
      <w:r>
        <w:rPr>
          <w:rFonts w:ascii="Book Antiqua" w:hAnsi="Book Antiqua"/>
          <w:i/>
          <w:iCs/>
        </w:rPr>
        <w:t>Front Neurosci</w:t>
      </w:r>
      <w:r>
        <w:rPr>
          <w:rFonts w:ascii="Book Antiqua" w:hAnsi="Book Antiqua"/>
        </w:rPr>
        <w:t xml:space="preserve"> 2018; </w:t>
      </w:r>
      <w:r>
        <w:rPr>
          <w:rFonts w:ascii="Book Antiqua" w:hAnsi="Book Antiqua"/>
          <w:b/>
          <w:bCs/>
        </w:rPr>
        <w:t>12</w:t>
      </w:r>
      <w:r>
        <w:rPr>
          <w:rFonts w:ascii="Book Antiqua" w:hAnsi="Book Antiqua"/>
        </w:rPr>
        <w:t>: 155 [PMID: 29615850 DOI: 10.3389/fnins.2018.00155]</w:t>
      </w:r>
    </w:p>
    <w:p>
      <w:pPr>
        <w:spacing w:line="360" w:lineRule="auto"/>
        <w:jc w:val="both"/>
        <w:rPr>
          <w:rFonts w:ascii="Book Antiqua" w:hAnsi="Book Antiqua"/>
        </w:rPr>
      </w:pPr>
      <w:r>
        <w:rPr>
          <w:rFonts w:ascii="Book Antiqua" w:hAnsi="Book Antiqua"/>
        </w:rPr>
        <w:t xml:space="preserve">44 </w:t>
      </w:r>
      <w:r>
        <w:rPr>
          <w:rFonts w:ascii="Book Antiqua" w:hAnsi="Book Antiqua"/>
          <w:b/>
          <w:bCs/>
        </w:rPr>
        <w:t>Tomeno W</w:t>
      </w:r>
      <w:r>
        <w:rPr>
          <w:rFonts w:ascii="Book Antiqua" w:hAnsi="Book Antiqua"/>
        </w:rPr>
        <w:t xml:space="preserve">, Kawashima K, Yoneda M, Saito S, Ogawa Y, Honda Y, Kessoku T, Imajo K, Mawatari H, Fujita K, Saito S, Hirayasu Y, Nakajima A. Non-alcoholic fatty liver disease comorbid with major depressive disorder: The pathological features and poor therapeutic efficacy.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1009-1014 [PMID: 25619308 DOI: 10.1111/jgh.12897]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Kim D</w:t>
      </w:r>
      <w:r>
        <w:rPr>
          <w:rFonts w:ascii="Book Antiqua" w:hAnsi="Book Antiqua"/>
        </w:rPr>
        <w:t xml:space="preserve">, Yoo ER, Li AA, Tighe SP, Cholankeril G, Harrison SA, Ahmed A. Depression is associated with non-alcoholic fatty liver disease among adults in the United States. </w:t>
      </w:r>
      <w:r>
        <w:rPr>
          <w:rFonts w:ascii="Book Antiqua" w:hAnsi="Book Antiqua"/>
          <w:i/>
          <w:iCs/>
        </w:rPr>
        <w:t>Aliment Pharmacol Ther</w:t>
      </w:r>
      <w:r>
        <w:rPr>
          <w:rFonts w:ascii="Book Antiqua" w:hAnsi="Book Antiqua"/>
        </w:rPr>
        <w:t xml:space="preserve"> 2019; </w:t>
      </w:r>
      <w:r>
        <w:rPr>
          <w:rFonts w:ascii="Book Antiqua" w:hAnsi="Book Antiqua"/>
          <w:b/>
          <w:bCs/>
        </w:rPr>
        <w:t>50</w:t>
      </w:r>
      <w:r>
        <w:rPr>
          <w:rFonts w:ascii="Book Antiqua" w:hAnsi="Book Antiqua"/>
        </w:rPr>
        <w:t>: 590-598 [PMID: 31328300 DOI: 10.1111/apt.15395]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Grasset E</w:t>
      </w:r>
      <w:r>
        <w:rPr>
          <w:rFonts w:ascii="Book Antiqua" w:hAnsi="Book Antiqua"/>
        </w:rPr>
        <w:t xml:space="preserve">, Burcelin R. The gut microbiota to the brain axis in the metabolic control. </w:t>
      </w:r>
      <w:r>
        <w:rPr>
          <w:rFonts w:ascii="Book Antiqua" w:hAnsi="Book Antiqua"/>
          <w:i/>
          <w:iCs/>
        </w:rPr>
        <w:t>Rev Endocr Metab Disord</w:t>
      </w:r>
      <w:r>
        <w:rPr>
          <w:rFonts w:ascii="Book Antiqua" w:hAnsi="Book Antiqua"/>
        </w:rPr>
        <w:t xml:space="preserve"> 2019; </w:t>
      </w:r>
      <w:r>
        <w:rPr>
          <w:rFonts w:ascii="Book Antiqua" w:hAnsi="Book Antiqua"/>
          <w:b/>
          <w:bCs/>
        </w:rPr>
        <w:t>20</w:t>
      </w:r>
      <w:r>
        <w:rPr>
          <w:rFonts w:ascii="Book Antiqua" w:hAnsi="Book Antiqua"/>
        </w:rPr>
        <w:t>: 427-438 [PMID: 31656993 DOI: 10.1007/s11154-019-09511-1]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Newsome PN</w:t>
      </w:r>
      <w:r>
        <w:rPr>
          <w:rFonts w:ascii="Book Antiqua" w:hAnsi="Book Antiqua"/>
        </w:rPr>
        <w:t xml:space="preserve">, Buchholtz K, Cusi K, Linder M, Okanoue T, Ratziu V, Sanyal AJ, Sejling AS, Harrison SA; NN9931-4296 Investigators. A Placebo-Controlled Trial of Subcutaneous Semaglutide in Nonalcoholic Steatohepatitis.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1113-1124 [PMID: 33185364 DOI: 10.1056/NEJMoa2028395]</w:t>
      </w:r>
    </w:p>
    <w:p>
      <w:pPr>
        <w:spacing w:line="360" w:lineRule="auto"/>
        <w:jc w:val="both"/>
        <w:rPr>
          <w:rFonts w:ascii="Book Antiqua" w:hAnsi="Book Antiqua"/>
        </w:rPr>
      </w:pPr>
      <w:r>
        <w:rPr>
          <w:rFonts w:ascii="Book Antiqua" w:hAnsi="Book Antiqua"/>
        </w:rPr>
        <w:t xml:space="preserve">48 </w:t>
      </w:r>
      <w:r>
        <w:rPr>
          <w:rFonts w:ascii="Book Antiqua" w:hAnsi="Book Antiqua"/>
          <w:b/>
          <w:bCs/>
        </w:rPr>
        <w:t>Nauck MA</w:t>
      </w:r>
      <w:r>
        <w:rPr>
          <w:rFonts w:ascii="Book Antiqua" w:hAnsi="Book Antiqua"/>
        </w:rPr>
        <w:t xml:space="preserve">, Meier JJ. MANAGEMENT OF ENDOCRINE DISEASE: Are all GLP-1 agonists equal in the treatment of type 2 diabetes? </w:t>
      </w:r>
      <w:r>
        <w:rPr>
          <w:rFonts w:ascii="Book Antiqua" w:hAnsi="Book Antiqua"/>
          <w:i/>
          <w:iCs/>
        </w:rPr>
        <w:t>Eur J Endocrinol</w:t>
      </w:r>
      <w:r>
        <w:rPr>
          <w:rFonts w:ascii="Book Antiqua" w:hAnsi="Book Antiqua"/>
        </w:rPr>
        <w:t xml:space="preserve"> 2019; </w:t>
      </w:r>
      <w:r>
        <w:rPr>
          <w:rFonts w:ascii="Book Antiqua" w:hAnsi="Book Antiqua"/>
          <w:b/>
          <w:bCs/>
        </w:rPr>
        <w:t>181</w:t>
      </w:r>
      <w:r>
        <w:rPr>
          <w:rFonts w:ascii="Book Antiqua" w:hAnsi="Book Antiqua"/>
        </w:rPr>
        <w:t>: R211-R234 [PMID: 31600725 DOI: 10.1530/EJE-19-0566]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Everard A</w:t>
      </w:r>
      <w:r>
        <w:rPr>
          <w:rFonts w:ascii="Book Antiqua" w:hAnsi="Book Antiqua"/>
        </w:rPr>
        <w:t xml:space="preserve">, Cani PD. Gut microbiota and GLP-1. </w:t>
      </w:r>
      <w:r>
        <w:rPr>
          <w:rFonts w:ascii="Book Antiqua" w:hAnsi="Book Antiqua"/>
          <w:i/>
          <w:iCs/>
        </w:rPr>
        <w:t>Rev Endocr Metab Disord</w:t>
      </w:r>
      <w:r>
        <w:rPr>
          <w:rFonts w:ascii="Book Antiqua" w:hAnsi="Book Antiqua"/>
        </w:rPr>
        <w:t xml:space="preserve"> 2014; </w:t>
      </w:r>
      <w:r>
        <w:rPr>
          <w:rFonts w:ascii="Book Antiqua" w:hAnsi="Book Antiqua"/>
          <w:b/>
          <w:bCs/>
        </w:rPr>
        <w:t>15</w:t>
      </w:r>
      <w:r>
        <w:rPr>
          <w:rFonts w:ascii="Book Antiqua" w:hAnsi="Book Antiqua"/>
        </w:rPr>
        <w:t>: 189-196 [PMID: 24789701 DOI: 10.1007/s11154-014-9288-6]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Kataria R,</w:t>
      </w:r>
      <w:r>
        <w:rPr>
          <w:rFonts w:ascii="Book Antiqua" w:hAnsi="Book Antiqua"/>
        </w:rPr>
        <w:t xml:space="preserve"> Pickett-Blakely O. The Mediterranean Diet in Gastrointestinal and liver diseases. </w:t>
      </w:r>
      <w:r>
        <w:rPr>
          <w:rFonts w:ascii="Book Antiqua" w:hAnsi="Book Antiqua"/>
          <w:i/>
          <w:iCs/>
        </w:rPr>
        <w:t>Curr treatm opt gastroenterol</w:t>
      </w:r>
      <w:r>
        <w:rPr>
          <w:rFonts w:ascii="Book Antiqua" w:hAnsi="Book Antiqua"/>
        </w:rPr>
        <w:t xml:space="preserve"> 2020; </w:t>
      </w:r>
      <w:r>
        <w:rPr>
          <w:rFonts w:ascii="Book Antiqua" w:hAnsi="Book Antiqua"/>
          <w:b/>
          <w:bCs/>
        </w:rPr>
        <w:t>18</w:t>
      </w:r>
      <w:r>
        <w:rPr>
          <w:rFonts w:ascii="Book Antiqua" w:hAnsi="Book Antiqua"/>
        </w:rPr>
        <w:t>: 718-728 [DOI: 10.1007/s11938-020-00318-7]</w:t>
      </w:r>
    </w:p>
    <w:p>
      <w:pPr>
        <w:spacing w:line="360" w:lineRule="auto"/>
        <w:jc w:val="both"/>
        <w:rPr>
          <w:rFonts w:ascii="Book Antiqua" w:hAnsi="Book Antiqua"/>
        </w:rPr>
      </w:pPr>
      <w:r>
        <w:rPr>
          <w:rFonts w:ascii="Book Antiqua" w:hAnsi="Book Antiqua"/>
        </w:rPr>
        <w:t xml:space="preserve">51 </w:t>
      </w:r>
      <w:r>
        <w:rPr>
          <w:rFonts w:ascii="Book Antiqua" w:hAnsi="Book Antiqua"/>
          <w:b/>
          <w:bCs/>
        </w:rPr>
        <w:t>Ikechi R</w:t>
      </w:r>
      <w:r>
        <w:rPr>
          <w:rFonts w:ascii="Book Antiqua" w:hAnsi="Book Antiqua"/>
        </w:rPr>
        <w:t xml:space="preserve">, Fischer BD, DeSipio J, Phadtare S. Irritable Bowel Syndrome: Clinical Manifestations, Dietary Influences, and Management. </w:t>
      </w:r>
      <w:r>
        <w:rPr>
          <w:rFonts w:ascii="Book Antiqua" w:hAnsi="Book Antiqua"/>
          <w:i/>
          <w:iCs/>
        </w:rPr>
        <w:t>Healthcare (Basel)</w:t>
      </w:r>
      <w:r>
        <w:rPr>
          <w:rFonts w:ascii="Book Antiqua" w:hAnsi="Book Antiqua"/>
        </w:rPr>
        <w:t xml:space="preserve"> 2017; </w:t>
      </w:r>
      <w:r>
        <w:rPr>
          <w:rFonts w:ascii="Book Antiqua" w:hAnsi="Book Antiqua"/>
          <w:b/>
          <w:bCs/>
        </w:rPr>
        <w:t>5</w:t>
      </w:r>
      <w:r>
        <w:rPr>
          <w:rFonts w:ascii="Book Antiqua" w:hAnsi="Book Antiqua"/>
        </w:rPr>
        <w:t xml:space="preserve"> [PMID: 28445436 DOI: 10.3390/healthcare5020021]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Collison KS</w:t>
      </w:r>
      <w:r>
        <w:rPr>
          <w:rFonts w:ascii="Book Antiqua" w:hAnsi="Book Antiqua"/>
        </w:rPr>
        <w:t xml:space="preserve">, Saleh SM, Bakheet RH, Al-Rabiah RK, Inglis AL, Makhoul NJ, Maqbool ZM, Zaidi MZ, Al-Johi MA, Al-Mohanna FA. Diabetes of the liver: the link between nonalcoholic fatty liver disease and HFCS-55. </w:t>
      </w:r>
      <w:r>
        <w:rPr>
          <w:rFonts w:ascii="Book Antiqua" w:hAnsi="Book Antiqua"/>
          <w:i/>
          <w:iCs/>
        </w:rPr>
        <w:t>Obesity (Silver Spring)</w:t>
      </w:r>
      <w:r>
        <w:rPr>
          <w:rFonts w:ascii="Book Antiqua" w:hAnsi="Book Antiqua"/>
        </w:rPr>
        <w:t xml:space="preserve"> 2009; </w:t>
      </w:r>
      <w:r>
        <w:rPr>
          <w:rFonts w:ascii="Book Antiqua" w:hAnsi="Book Antiqua"/>
          <w:b/>
          <w:bCs/>
        </w:rPr>
        <w:t>17</w:t>
      </w:r>
      <w:r>
        <w:rPr>
          <w:rFonts w:ascii="Book Antiqua" w:hAnsi="Book Antiqua"/>
        </w:rPr>
        <w:t>: 2003-2013 [PMID: 19282820 DOI: 10.1038/oby.2009.58]</w:t>
      </w:r>
    </w:p>
    <w:p>
      <w:pPr>
        <w:spacing w:line="360" w:lineRule="auto"/>
        <w:jc w:val="both"/>
        <w:rPr>
          <w:rFonts w:ascii="Book Antiqua" w:hAnsi="Book Antiqua"/>
        </w:rPr>
      </w:pPr>
      <w:r>
        <w:rPr>
          <w:rFonts w:ascii="Book Antiqua" w:hAnsi="Book Antiqua"/>
        </w:rPr>
        <w:t xml:space="preserve">53 </w:t>
      </w:r>
      <w:r>
        <w:rPr>
          <w:rFonts w:ascii="Book Antiqua" w:hAnsi="Book Antiqua"/>
          <w:b/>
          <w:bCs/>
        </w:rPr>
        <w:t>Paolella G</w:t>
      </w:r>
      <w:r>
        <w:rPr>
          <w:rFonts w:ascii="Book Antiqua" w:hAnsi="Book Antiqua"/>
        </w:rPr>
        <w:t xml:space="preserve">, Mandato C, Pierri L, Poeta M, Di Stasi M, Vajro P. Gut-liver axis and probiotics: their role in non-alcoholic fatty liver disease.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15518-15531 [PMID: 25400436 DOI: 10.3748/wjg.v20.i42.15518]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Gao B</w:t>
      </w:r>
      <w:r>
        <w:rPr>
          <w:rFonts w:ascii="Book Antiqua" w:hAnsi="Book Antiqua"/>
        </w:rPr>
        <w:t xml:space="preserve">, Tsukamoto H. Inflammation in Alcoholic and Nonalcoholic Fatty Liver Disease: Friend or Foe?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1704-1709 [PMID: 26826669 DOI: 10.1053/j.gastro.2016.01.025]</w:t>
      </w:r>
    </w:p>
    <w:p>
      <w:pPr>
        <w:spacing w:line="360" w:lineRule="auto"/>
        <w:jc w:val="both"/>
        <w:rPr>
          <w:rFonts w:ascii="Book Antiqua" w:hAnsi="Book Antiqua"/>
        </w:rPr>
      </w:pPr>
      <w:r>
        <w:rPr>
          <w:rFonts w:ascii="Book Antiqua" w:hAnsi="Book Antiqua"/>
        </w:rPr>
        <w:t xml:space="preserve">55 </w:t>
      </w:r>
      <w:r>
        <w:rPr>
          <w:rFonts w:ascii="Book Antiqua" w:hAnsi="Book Antiqua"/>
          <w:b/>
          <w:bCs/>
        </w:rPr>
        <w:t>Pellicoro A</w:t>
      </w:r>
      <w:r>
        <w:rPr>
          <w:rFonts w:ascii="Book Antiqua" w:hAnsi="Book Antiqua"/>
        </w:rPr>
        <w:t xml:space="preserve">, Ramachandran P, Iredale JP, Fallowfield JA. Liver fibrosis and repair: immune regulation of wound healing in a solid organ. </w:t>
      </w:r>
      <w:r>
        <w:rPr>
          <w:rFonts w:ascii="Book Antiqua" w:hAnsi="Book Antiqua"/>
          <w:i/>
          <w:iCs/>
        </w:rPr>
        <w:t>Nat Rev Immunol</w:t>
      </w:r>
      <w:r>
        <w:rPr>
          <w:rFonts w:ascii="Book Antiqua" w:hAnsi="Book Antiqua"/>
        </w:rPr>
        <w:t xml:space="preserve"> 2014; </w:t>
      </w:r>
      <w:r>
        <w:rPr>
          <w:rFonts w:ascii="Book Antiqua" w:hAnsi="Book Antiqua"/>
          <w:b/>
          <w:bCs/>
        </w:rPr>
        <w:t>14</w:t>
      </w:r>
      <w:r>
        <w:rPr>
          <w:rFonts w:ascii="Book Antiqua" w:hAnsi="Book Antiqua"/>
        </w:rPr>
        <w:t>: 181-194 [PMID: 24566915 DOI: 10.1038/nri3623]</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Sutti S</w:t>
      </w:r>
      <w:r>
        <w:rPr>
          <w:rFonts w:ascii="Book Antiqua" w:hAnsi="Book Antiqua"/>
        </w:rPr>
        <w:t xml:space="preserve">, Albano E. Adaptive immunity: an emerging player in the progression of NAFLD.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81-92 [PMID: 31605031 DOI: 10.1038/s41575-019-0210-2]</w:t>
      </w:r>
    </w:p>
    <w:p>
      <w:pPr>
        <w:spacing w:line="360" w:lineRule="auto"/>
        <w:jc w:val="both"/>
        <w:rPr>
          <w:rFonts w:ascii="Book Antiqua" w:hAnsi="Book Antiqua"/>
        </w:rPr>
      </w:pPr>
      <w:r>
        <w:rPr>
          <w:rFonts w:ascii="Book Antiqua" w:hAnsi="Book Antiqua"/>
        </w:rPr>
        <w:t xml:space="preserve">57 </w:t>
      </w:r>
      <w:r>
        <w:rPr>
          <w:rFonts w:ascii="Book Antiqua" w:hAnsi="Book Antiqua"/>
          <w:b/>
          <w:bCs/>
        </w:rPr>
        <w:t>Thapa M</w:t>
      </w:r>
      <w:r>
        <w:rPr>
          <w:rFonts w:ascii="Book Antiqua" w:hAnsi="Book Antiqua"/>
        </w:rPr>
        <w:t xml:space="preserve">, Chinnadurai R, Velazquez VM, Tedesco D, Elrod E, Han JH, Sharma P, Ibegbu C, Gewirtz A, Anania F, Pulendran B, Suthar MS, Grakoui A. Liver fibrosis occurs through dysregulation of MyD88-dependent innate B-cell activity.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2067-2079 [PMID: 25711908 DOI: 10.1002/hep.27761]</w:t>
      </w:r>
    </w:p>
    <w:p>
      <w:pPr>
        <w:spacing w:line="360" w:lineRule="auto"/>
        <w:jc w:val="both"/>
        <w:rPr>
          <w:rFonts w:ascii="Book Antiqua" w:hAnsi="Book Antiqua"/>
        </w:rPr>
      </w:pPr>
      <w:r>
        <w:rPr>
          <w:rFonts w:ascii="Book Antiqua" w:hAnsi="Book Antiqua"/>
        </w:rPr>
        <w:t xml:space="preserve">58 </w:t>
      </w:r>
      <w:r>
        <w:rPr>
          <w:rFonts w:ascii="Book Antiqua" w:hAnsi="Book Antiqua"/>
          <w:b/>
          <w:bCs/>
        </w:rPr>
        <w:t>Tang Y</w:t>
      </w:r>
      <w:r>
        <w:rPr>
          <w:rFonts w:ascii="Book Antiqua" w:hAnsi="Book Antiqua"/>
        </w:rPr>
        <w:t xml:space="preserve">, Bian Z, Zhao L, Liu Y, Liang S, Wang Q, Han X, Peng Y, Chen X, Shen L, Qiu D, Li Z, Ma X. Interleukin-17 exacerbates hepatic steatosis and inflammation in non-alcoholic fatty liver disease. </w:t>
      </w:r>
      <w:r>
        <w:rPr>
          <w:rFonts w:ascii="Book Antiqua" w:hAnsi="Book Antiqua"/>
          <w:i/>
          <w:iCs/>
        </w:rPr>
        <w:t>Clin Exp Immunol</w:t>
      </w:r>
      <w:r>
        <w:rPr>
          <w:rFonts w:ascii="Book Antiqua" w:hAnsi="Book Antiqua"/>
        </w:rPr>
        <w:t xml:space="preserve"> 2011; </w:t>
      </w:r>
      <w:r>
        <w:rPr>
          <w:rFonts w:ascii="Book Antiqua" w:hAnsi="Book Antiqua"/>
          <w:b/>
          <w:bCs/>
        </w:rPr>
        <w:t>166</w:t>
      </w:r>
      <w:r>
        <w:rPr>
          <w:rFonts w:ascii="Book Antiqua" w:hAnsi="Book Antiqua"/>
        </w:rPr>
        <w:t>: 281-290 [PMID: 21985374 DOI: 10.1111/j.1365-2249.2011.04471.x]</w:t>
      </w:r>
    </w:p>
    <w:p>
      <w:pPr>
        <w:spacing w:line="360" w:lineRule="auto"/>
        <w:jc w:val="both"/>
        <w:rPr>
          <w:rFonts w:ascii="Book Antiqua" w:hAnsi="Book Antiqua"/>
        </w:rPr>
      </w:pPr>
      <w:r>
        <w:rPr>
          <w:rFonts w:ascii="Book Antiqua" w:hAnsi="Book Antiqua"/>
        </w:rPr>
        <w:t xml:space="preserve">59 </w:t>
      </w:r>
      <w:r>
        <w:rPr>
          <w:rFonts w:ascii="Book Antiqua" w:hAnsi="Book Antiqua"/>
          <w:b/>
          <w:bCs/>
        </w:rPr>
        <w:t>Ghoshal UC</w:t>
      </w:r>
      <w:r>
        <w:rPr>
          <w:rFonts w:ascii="Book Antiqua" w:hAnsi="Book Antiqua"/>
        </w:rPr>
        <w:t xml:space="preserve">. Marshall and Warren Lecture 2019: A paradigm shift in pathophysiological basis of irritable bowel syndrome and its implication on treatment.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712-721 [PMID: 32162356 DOI: 10.1111/jgh.15032]</w:t>
      </w:r>
    </w:p>
    <w:p>
      <w:pPr>
        <w:spacing w:line="360" w:lineRule="auto"/>
        <w:jc w:val="both"/>
        <w:rPr>
          <w:rFonts w:ascii="Book Antiqua" w:hAnsi="Book Antiqua"/>
        </w:rPr>
      </w:pPr>
      <w:r>
        <w:rPr>
          <w:rFonts w:ascii="Book Antiqua" w:hAnsi="Book Antiqua"/>
        </w:rPr>
        <w:t xml:space="preserve">60 </w:t>
      </w:r>
      <w:r>
        <w:rPr>
          <w:rFonts w:ascii="Book Antiqua" w:hAnsi="Book Antiqua"/>
          <w:b/>
          <w:bCs/>
        </w:rPr>
        <w:t>Ford AC</w:t>
      </w:r>
      <w:r>
        <w:rPr>
          <w:rFonts w:ascii="Book Antiqua" w:hAnsi="Book Antiqua"/>
        </w:rPr>
        <w:t xml:space="preserve">, Spiegel BM, Talley NJ, Moayyedi P. Small intestinal bacterial overgrowth in irritable bowel syndrome: systematic review and meta-analysis.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1279-1286 [PMID: 19602448 DOI: 10.1016/j.cgh.2009.06.031]</w:t>
      </w:r>
    </w:p>
    <w:p>
      <w:pPr>
        <w:spacing w:line="360" w:lineRule="auto"/>
        <w:jc w:val="both"/>
        <w:rPr>
          <w:rFonts w:ascii="Book Antiqua" w:hAnsi="Book Antiqua"/>
        </w:rPr>
      </w:pPr>
      <w:r>
        <w:rPr>
          <w:rFonts w:ascii="Book Antiqua" w:hAnsi="Book Antiqua"/>
        </w:rPr>
        <w:t xml:space="preserve">61 </w:t>
      </w:r>
      <w:r>
        <w:rPr>
          <w:rFonts w:ascii="Book Antiqua" w:hAnsi="Book Antiqua"/>
          <w:b/>
          <w:bCs/>
        </w:rPr>
        <w:t>Ghoshal UC</w:t>
      </w:r>
      <w:r>
        <w:rPr>
          <w:rFonts w:ascii="Book Antiqua" w:hAnsi="Book Antiqua"/>
        </w:rPr>
        <w:t xml:space="preserve">, Nehra A, Mathur A, Rai S. A meta-analysis on small intestinal bacterial overgrowth in patients with different subtypes of irritable bowel syndrome.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922-931 [PMID: 31750966 DOI: 10.1111/jgh.14938]</w:t>
      </w:r>
    </w:p>
    <w:p>
      <w:pPr>
        <w:spacing w:line="360" w:lineRule="auto"/>
        <w:jc w:val="both"/>
        <w:rPr>
          <w:rFonts w:ascii="Book Antiqua" w:hAnsi="Book Antiqua"/>
        </w:rPr>
      </w:pPr>
      <w:r>
        <w:rPr>
          <w:rFonts w:ascii="Book Antiqua" w:hAnsi="Book Antiqua"/>
        </w:rPr>
        <w:t xml:space="preserve">62 </w:t>
      </w:r>
      <w:r>
        <w:rPr>
          <w:rFonts w:ascii="Book Antiqua" w:hAnsi="Book Antiqua"/>
          <w:b/>
          <w:bCs/>
        </w:rPr>
        <w:t>Pimentel M</w:t>
      </w:r>
      <w:r>
        <w:rPr>
          <w:rFonts w:ascii="Book Antiqua" w:hAnsi="Book Antiqua"/>
        </w:rPr>
        <w:t xml:space="preserve">, Lembo A, Chey WD, Zakko S, Ringel Y, Yu J, Mareya SM, Shaw AL, Bortey E, Forbes WP; TARGET Study Group. Rifaximin therapy for patients with irritable bowel syndrome without constipation. </w:t>
      </w:r>
      <w:r>
        <w:rPr>
          <w:rFonts w:ascii="Book Antiqua" w:hAnsi="Book Antiqua"/>
          <w:i/>
          <w:iCs/>
        </w:rPr>
        <w:t>N Engl J Med</w:t>
      </w:r>
      <w:r>
        <w:rPr>
          <w:rFonts w:ascii="Book Antiqua" w:hAnsi="Book Antiqua"/>
        </w:rPr>
        <w:t xml:space="preserve"> 2011; </w:t>
      </w:r>
      <w:r>
        <w:rPr>
          <w:rFonts w:ascii="Book Antiqua" w:hAnsi="Book Antiqua"/>
          <w:b/>
          <w:bCs/>
        </w:rPr>
        <w:t>364</w:t>
      </w:r>
      <w:r>
        <w:rPr>
          <w:rFonts w:ascii="Book Antiqua" w:hAnsi="Book Antiqua"/>
        </w:rPr>
        <w:t>: 22-32 [PMID: 21208106 DOI: 10.1056/NEJMoa1004409]</w:t>
      </w:r>
    </w:p>
    <w:p>
      <w:pPr>
        <w:spacing w:line="360" w:lineRule="auto"/>
        <w:jc w:val="both"/>
        <w:rPr>
          <w:rFonts w:ascii="Book Antiqua" w:hAnsi="Book Antiqua"/>
        </w:rPr>
      </w:pPr>
      <w:r>
        <w:rPr>
          <w:rFonts w:ascii="Book Antiqua" w:hAnsi="Book Antiqua"/>
        </w:rPr>
        <w:t xml:space="preserve">63 </w:t>
      </w:r>
      <w:r>
        <w:rPr>
          <w:rFonts w:ascii="Book Antiqua" w:hAnsi="Book Antiqua"/>
          <w:b/>
          <w:bCs/>
        </w:rPr>
        <w:t>Meyrat P</w:t>
      </w:r>
      <w:r>
        <w:rPr>
          <w:rFonts w:ascii="Book Antiqua" w:hAnsi="Book Antiqua"/>
        </w:rPr>
        <w:t xml:space="preserve">, Safroneeva E, Schoepfer AM. Rifaximin treatment for the irritable bowel syndrome with a positive lactulose hydrogen breath test improves symptoms for at least 3 months. </w:t>
      </w:r>
      <w:r>
        <w:rPr>
          <w:rFonts w:ascii="Book Antiqua" w:hAnsi="Book Antiqua"/>
          <w:i/>
          <w:iCs/>
        </w:rPr>
        <w:t>Aliment Pharmacol Ther</w:t>
      </w:r>
      <w:r>
        <w:rPr>
          <w:rFonts w:ascii="Book Antiqua" w:hAnsi="Book Antiqua"/>
        </w:rPr>
        <w:t xml:space="preserve"> 2012; </w:t>
      </w:r>
      <w:r>
        <w:rPr>
          <w:rFonts w:ascii="Book Antiqua" w:hAnsi="Book Antiqua"/>
          <w:b/>
          <w:bCs/>
        </w:rPr>
        <w:t>36</w:t>
      </w:r>
      <w:r>
        <w:rPr>
          <w:rFonts w:ascii="Book Antiqua" w:hAnsi="Book Antiqua"/>
        </w:rPr>
        <w:t>: 1084-1093 [PMID: 23066911 DOI: 10.1111/apt.12087]</w:t>
      </w:r>
    </w:p>
    <w:p>
      <w:pPr>
        <w:spacing w:line="360" w:lineRule="auto"/>
        <w:jc w:val="both"/>
        <w:rPr>
          <w:rFonts w:ascii="Book Antiqua" w:hAnsi="Book Antiqua"/>
        </w:rPr>
      </w:pPr>
      <w:r>
        <w:rPr>
          <w:rFonts w:ascii="Book Antiqua" w:hAnsi="Book Antiqua"/>
        </w:rPr>
        <w:t xml:space="preserve">64 </w:t>
      </w:r>
      <w:r>
        <w:rPr>
          <w:rFonts w:ascii="Book Antiqua" w:hAnsi="Book Antiqua"/>
          <w:b/>
          <w:bCs/>
        </w:rPr>
        <w:t>Pimentel M</w:t>
      </w:r>
      <w:r>
        <w:rPr>
          <w:rFonts w:ascii="Book Antiqua" w:hAnsi="Book Antiqua"/>
        </w:rPr>
        <w:t xml:space="preserve">, Saad RJ, Long MD, Rao SSC. ACG Clinical Guideline: Small Intestinal Bacterial Overgrowth.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165-178 [PMID: 32023228 DOI: 10.14309/ajg.0000000000000501]</w:t>
      </w:r>
    </w:p>
    <w:p>
      <w:pPr>
        <w:spacing w:line="360" w:lineRule="auto"/>
        <w:jc w:val="both"/>
        <w:rPr>
          <w:rFonts w:ascii="Book Antiqua" w:hAnsi="Book Antiqua"/>
        </w:rPr>
      </w:pPr>
      <w:r>
        <w:rPr>
          <w:rFonts w:ascii="Book Antiqua" w:hAnsi="Book Antiqua"/>
        </w:rPr>
        <w:t xml:space="preserve">65 </w:t>
      </w:r>
      <w:r>
        <w:rPr>
          <w:rFonts w:ascii="Book Antiqua" w:hAnsi="Book Antiqua"/>
          <w:b/>
          <w:bCs/>
        </w:rPr>
        <w:t>Rao SSC</w:t>
      </w:r>
      <w:r>
        <w:rPr>
          <w:rFonts w:ascii="Book Antiqua" w:hAnsi="Book Antiqua"/>
        </w:rPr>
        <w:t xml:space="preserve">, Rehman A, Yu S, Andino NM. Brain fogginess, gas and bloating: a link between SIBO, probiotics and metabolic acidosis. </w:t>
      </w:r>
      <w:r>
        <w:rPr>
          <w:rFonts w:ascii="Book Antiqua" w:hAnsi="Book Antiqua"/>
          <w:i/>
          <w:iCs/>
        </w:rPr>
        <w:t>Clin Transl Gastroenterol</w:t>
      </w:r>
      <w:r>
        <w:rPr>
          <w:rFonts w:ascii="Book Antiqua" w:hAnsi="Book Antiqua"/>
        </w:rPr>
        <w:t xml:space="preserve"> 2018; </w:t>
      </w:r>
      <w:r>
        <w:rPr>
          <w:rFonts w:ascii="Book Antiqua" w:hAnsi="Book Antiqua"/>
          <w:b/>
          <w:bCs/>
        </w:rPr>
        <w:t>9</w:t>
      </w:r>
      <w:r>
        <w:rPr>
          <w:rFonts w:ascii="Book Antiqua" w:hAnsi="Book Antiqua"/>
        </w:rPr>
        <w:t>: 162 [PMID: 29915215 DOI: 10.1038/s41424-018-0030-7]</w:t>
      </w:r>
    </w:p>
    <w:p>
      <w:pPr>
        <w:spacing w:line="360" w:lineRule="auto"/>
        <w:jc w:val="both"/>
        <w:rPr>
          <w:rFonts w:ascii="Book Antiqua" w:hAnsi="Book Antiqua"/>
        </w:rPr>
      </w:pPr>
      <w:r>
        <w:rPr>
          <w:rFonts w:ascii="Book Antiqua" w:hAnsi="Book Antiqua"/>
        </w:rPr>
        <w:t xml:space="preserve">66 </w:t>
      </w:r>
      <w:r>
        <w:rPr>
          <w:rFonts w:ascii="Book Antiqua" w:hAnsi="Book Antiqua"/>
          <w:b/>
          <w:bCs/>
        </w:rPr>
        <w:t>Sometti D</w:t>
      </w:r>
      <w:r>
        <w:rPr>
          <w:rFonts w:ascii="Book Antiqua" w:hAnsi="Book Antiqua"/>
        </w:rPr>
        <w:t xml:space="preserve">, Ballan C, Wang H, Braun C, Enck P. Effects of the antibiotic rifaximin on cortical functional connectivity are mediated through insular cortex.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4479 [PMID: 33627763 DOI: 10.1038/s41598-021-83994-4]</w:t>
      </w:r>
    </w:p>
    <w:p>
      <w:pPr>
        <w:spacing w:line="360" w:lineRule="auto"/>
        <w:jc w:val="both"/>
        <w:rPr>
          <w:rFonts w:ascii="Book Antiqua" w:hAnsi="Book Antiqua"/>
        </w:rPr>
      </w:pPr>
      <w:r>
        <w:rPr>
          <w:rFonts w:ascii="Book Antiqua" w:hAnsi="Book Antiqua"/>
        </w:rPr>
        <w:t xml:space="preserve">67 </w:t>
      </w:r>
      <w:r>
        <w:rPr>
          <w:rFonts w:ascii="Book Antiqua" w:hAnsi="Book Antiqua"/>
          <w:b/>
          <w:bCs/>
        </w:rPr>
        <w:t>Ponziani FR</w:t>
      </w:r>
      <w:r>
        <w:rPr>
          <w:rFonts w:ascii="Book Antiqua" w:hAnsi="Book Antiqua"/>
        </w:rPr>
        <w:t xml:space="preserve">, Gerardi V, Pecere S, D'Aversa F, Lopetuso L, Zocco MA, Pompili M, Gasbarrini A. Effect of rifaximin on gut microbiota composition in advanced liver disease and its complications.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12322-12333 [PMID: 26604640 DOI: 10.3748/wjg.v21.i43.12322]</w:t>
      </w:r>
    </w:p>
    <w:p>
      <w:pPr>
        <w:spacing w:line="360" w:lineRule="auto"/>
        <w:jc w:val="both"/>
        <w:rPr>
          <w:rFonts w:ascii="Book Antiqua" w:hAnsi="Book Antiqua"/>
        </w:rPr>
      </w:pPr>
      <w:r>
        <w:rPr>
          <w:rFonts w:ascii="Book Antiqua" w:hAnsi="Book Antiqua"/>
        </w:rPr>
        <w:t xml:space="preserve">68 </w:t>
      </w:r>
      <w:r>
        <w:rPr>
          <w:rFonts w:ascii="Book Antiqua" w:hAnsi="Book Antiqua"/>
          <w:b/>
          <w:bCs/>
        </w:rPr>
        <w:t>Abdel-Razik A</w:t>
      </w:r>
      <w:r>
        <w:rPr>
          <w:rFonts w:ascii="Book Antiqua" w:hAnsi="Book Antiqua"/>
        </w:rPr>
        <w:t xml:space="preserve">, Mousa N, Shabana W, Refaey M, Elzehery R, Elhelaly R, Zalata K, Abdelsalam M, Eldeeb AA, Awad M, Elgamal A, Attia A, El-Wakeel N, Eldars W. Rifaximin in nonalcoholic fatty liver disease: hit multiple targets with a single shot. </w:t>
      </w:r>
      <w:r>
        <w:rPr>
          <w:rFonts w:ascii="Book Antiqua" w:hAnsi="Book Antiqua"/>
          <w:i/>
          <w:iCs/>
        </w:rPr>
        <w:t>Eur J Gastroenterol Hepatol</w:t>
      </w:r>
      <w:r>
        <w:rPr>
          <w:rFonts w:ascii="Book Antiqua" w:hAnsi="Book Antiqua"/>
        </w:rPr>
        <w:t xml:space="preserve"> 2018; </w:t>
      </w:r>
      <w:r>
        <w:rPr>
          <w:rFonts w:ascii="Book Antiqua" w:hAnsi="Book Antiqua"/>
          <w:b/>
          <w:bCs/>
        </w:rPr>
        <w:t>30</w:t>
      </w:r>
      <w:r>
        <w:rPr>
          <w:rFonts w:ascii="Book Antiqua" w:hAnsi="Book Antiqua"/>
        </w:rPr>
        <w:t>: 1237-1246 [PMID: 30096092 DOI: 10.1097/MEG.0000000000001232]</w:t>
      </w:r>
    </w:p>
    <w:p>
      <w:pPr>
        <w:spacing w:line="360" w:lineRule="auto"/>
        <w:jc w:val="both"/>
        <w:rPr>
          <w:rFonts w:ascii="Book Antiqua" w:hAnsi="Book Antiqua"/>
        </w:rPr>
      </w:pPr>
      <w:r>
        <w:rPr>
          <w:rFonts w:ascii="Book Antiqua" w:hAnsi="Book Antiqua"/>
        </w:rPr>
        <w:t xml:space="preserve">69 </w:t>
      </w:r>
      <w:r>
        <w:rPr>
          <w:rFonts w:ascii="Book Antiqua" w:hAnsi="Book Antiqua"/>
          <w:b/>
          <w:bCs/>
        </w:rPr>
        <w:t>Miele L</w:t>
      </w:r>
      <w:r>
        <w:rPr>
          <w:rFonts w:ascii="Book Antiqua" w:hAnsi="Book Antiqu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1877-1887 [PMID: 19291785 DOI: 10.1002/hep.22848]</w:t>
      </w:r>
    </w:p>
    <w:p>
      <w:pPr>
        <w:spacing w:line="360" w:lineRule="auto"/>
        <w:jc w:val="both"/>
        <w:rPr>
          <w:rFonts w:ascii="Book Antiqua" w:hAnsi="Book Antiqua"/>
        </w:rPr>
      </w:pPr>
      <w:r>
        <w:rPr>
          <w:rFonts w:ascii="Book Antiqua" w:hAnsi="Book Antiqua"/>
        </w:rPr>
        <w:t xml:space="preserve">70 </w:t>
      </w:r>
      <w:r>
        <w:rPr>
          <w:rFonts w:ascii="Book Antiqua" w:hAnsi="Book Antiqua"/>
          <w:b/>
          <w:bCs/>
        </w:rPr>
        <w:t>Rafiei R</w:t>
      </w:r>
      <w:r>
        <w:rPr>
          <w:rFonts w:ascii="Book Antiqua" w:hAnsi="Book Antiqua"/>
        </w:rPr>
        <w:t xml:space="preserve">, Bemanian M, Rafiei F, Bahrami M, Fooladi L, Ebrahimi G, Hemmat A, Torabi Z. Liver disease symptoms in non-alcoholic fatty liver disease and small intestinal bacterial overgrowth. </w:t>
      </w:r>
      <w:r>
        <w:rPr>
          <w:rFonts w:ascii="Book Antiqua" w:hAnsi="Book Antiqua"/>
          <w:i/>
          <w:iCs/>
        </w:rPr>
        <w:t>Rom J Intern Med</w:t>
      </w:r>
      <w:r>
        <w:rPr>
          <w:rFonts w:ascii="Book Antiqua" w:hAnsi="Book Antiqua"/>
        </w:rPr>
        <w:t xml:space="preserve"> 2018; </w:t>
      </w:r>
      <w:r>
        <w:rPr>
          <w:rFonts w:ascii="Book Antiqua" w:hAnsi="Book Antiqua"/>
          <w:b/>
          <w:bCs/>
        </w:rPr>
        <w:t>56</w:t>
      </w:r>
      <w:r>
        <w:rPr>
          <w:rFonts w:ascii="Book Antiqua" w:hAnsi="Book Antiqua"/>
        </w:rPr>
        <w:t>: 85-89 [PMID: 29101772 DOI: 10.1515/rjim-2017-0042]</w:t>
      </w:r>
    </w:p>
    <w:p>
      <w:pPr>
        <w:spacing w:line="360" w:lineRule="auto"/>
        <w:jc w:val="both"/>
        <w:rPr>
          <w:rFonts w:ascii="Book Antiqua" w:hAnsi="Book Antiqua"/>
        </w:rPr>
      </w:pPr>
      <w:r>
        <w:rPr>
          <w:rFonts w:ascii="Book Antiqua" w:hAnsi="Book Antiqua"/>
        </w:rPr>
        <w:t xml:space="preserve">71 </w:t>
      </w:r>
      <w:r>
        <w:rPr>
          <w:rFonts w:ascii="Book Antiqua" w:hAnsi="Book Antiqua"/>
          <w:b/>
          <w:bCs/>
        </w:rPr>
        <w:t>Lira MMP</w:t>
      </w:r>
      <w:r>
        <w:rPr>
          <w:rFonts w:ascii="Book Antiqua" w:hAnsi="Book Antiqua"/>
        </w:rPr>
        <w:t xml:space="preserve">, de Medeiros Filho JEM, Baccin Martins VJ, da Silva G, de Oliveira Junior FA, de Almeida Filho ÉJB, Silva AS, Henrique da Costa-Silva J, de Brito Alves JL. Association of worsening of nonalcoholic fatty liver disease with cardiometabolic function and intestinal bacterial overgrowth: A cross-sectional study.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e0237360 [PMID: 32845887 DOI: 10.1371/journal.pone.0237360]</w:t>
      </w:r>
    </w:p>
    <w:p>
      <w:pPr>
        <w:spacing w:line="360" w:lineRule="auto"/>
        <w:jc w:val="both"/>
        <w:rPr>
          <w:rFonts w:ascii="Book Antiqua" w:hAnsi="Book Antiqua"/>
        </w:rPr>
      </w:pPr>
      <w:r>
        <w:rPr>
          <w:rFonts w:ascii="Book Antiqua" w:hAnsi="Book Antiqua"/>
        </w:rPr>
        <w:t xml:space="preserve">72 </w:t>
      </w:r>
      <w:r>
        <w:rPr>
          <w:rFonts w:ascii="Book Antiqua" w:hAnsi="Book Antiqua"/>
          <w:b/>
          <w:bCs/>
        </w:rPr>
        <w:t>Aziz I</w:t>
      </w:r>
      <w:r>
        <w:rPr>
          <w:rFonts w:ascii="Book Antiqua" w:hAnsi="Book Antiqua"/>
        </w:rPr>
        <w:t xml:space="preserve">, Mumtaz S, Bholah H, Chowdhury FU, Sanders DS, Ford AC. High Prevalence of Idiopathic Bile Acid Diarrhea Among Patients With Diarrhea-Predominant Irritable Bowel Syndrome Based on Rome III Criteria.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1650-5.e2 [PMID: 25769413 DOI: 10.1016/j.cgh.2015.03.002]</w:t>
      </w:r>
    </w:p>
    <w:p>
      <w:pPr>
        <w:spacing w:line="360" w:lineRule="auto"/>
        <w:jc w:val="both"/>
        <w:rPr>
          <w:rFonts w:ascii="Book Antiqua" w:hAnsi="Book Antiqua"/>
        </w:rPr>
      </w:pPr>
      <w:r>
        <w:rPr>
          <w:rFonts w:ascii="Book Antiqua" w:hAnsi="Book Antiqua"/>
        </w:rPr>
        <w:t xml:space="preserve">73 </w:t>
      </w:r>
      <w:r>
        <w:rPr>
          <w:rFonts w:ascii="Book Antiqua" w:hAnsi="Book Antiqua"/>
          <w:b/>
          <w:bCs/>
        </w:rPr>
        <w:t>Sarmini MT,</w:t>
      </w:r>
      <w:r>
        <w:rPr>
          <w:rFonts w:ascii="Book Antiqua" w:hAnsi="Book Antiqua"/>
        </w:rPr>
        <w:t xml:space="preserve"> Asfari MM, Alomari M, Al-Khadra Y, Khoudari G, Dasarathy S, McCullough AJ. Assessing the relation between Irritable bowel syndrome and nonalcoholic liver disease.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S277-S278 [DOI:10.14309/01.ajg.0000591444.20831.c0]</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 of the authors have any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British Society of Gastroenterology; American Gastroenterological Association.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Du Y</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cs="Arial"/>
          <w:b/>
        </w:rPr>
      </w:pPr>
      <w:r>
        <w:rPr>
          <w:rFonts w:ascii="Book Antiqua" w:hAnsi="Book Antiqua" w:cs="Arial"/>
          <w:b/>
        </w:rPr>
        <w:t>Figure Legends</w:t>
      </w:r>
    </w:p>
    <w:p>
      <w:pPr>
        <w:spacing w:line="360" w:lineRule="auto"/>
        <w:jc w:val="both"/>
        <w:rPr>
          <w:rFonts w:ascii="Book Antiqua" w:hAnsi="Book Antiqua" w:cs="Arial"/>
          <w:b/>
        </w:rPr>
      </w:pPr>
      <w:r>
        <w:t xml:space="preserve"> </w:t>
      </w:r>
      <w:r>
        <w:drawing>
          <wp:inline distT="0" distB="0" distL="0" distR="0">
            <wp:extent cx="5943600" cy="3465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943600" cy="3465195"/>
                    </a:xfrm>
                    <a:prstGeom prst="rect">
                      <a:avLst/>
                    </a:prstGeom>
                  </pic:spPr>
                </pic:pic>
              </a:graphicData>
            </a:graphic>
          </wp:inline>
        </w:drawing>
      </w:r>
    </w:p>
    <w:p>
      <w:pPr>
        <w:spacing w:line="360" w:lineRule="auto"/>
        <w:jc w:val="both"/>
        <w:rPr>
          <w:rFonts w:ascii="Book Antiqua" w:hAnsi="Book Antiqua" w:cs="Arial"/>
          <w:b/>
        </w:rPr>
      </w:pPr>
      <w:r>
        <w:rPr>
          <w:rFonts w:ascii="Book Antiqua" w:hAnsi="Book Antiqua" w:cs="Arial"/>
          <w:b/>
        </w:rPr>
        <w:t xml:space="preserve">Figure 1 Schematic illustration summarizing associations and co-existing etiologies of irritable bowel syndrome and </w:t>
      </w:r>
      <w:r>
        <w:rPr>
          <w:rFonts w:ascii="Book Antiqua" w:hAnsi="Book Antiqua" w:eastAsia="Book Antiqua" w:cs="Book Antiqua"/>
          <w:b/>
          <w:bCs/>
          <w:color w:val="000000"/>
        </w:rPr>
        <w:t>non-alcoholic fatty liver disease</w:t>
      </w:r>
      <w:r>
        <w:rPr>
          <w:rFonts w:ascii="Book Antiqua" w:hAnsi="Book Antiqua" w:cs="Arial"/>
          <w:b/>
        </w:rPr>
        <w:t>.</w:t>
      </w:r>
      <w:r>
        <w:rPr>
          <w:rFonts w:ascii="Book Antiqua" w:hAnsi="Book Antiqua" w:cs="Arial"/>
          <w:bCs/>
        </w:rPr>
        <w:t xml:space="preserve"> </w:t>
      </w:r>
      <w:bookmarkStart w:id="4" w:name="_Hlk85379389"/>
      <w:r>
        <w:rPr>
          <w:rFonts w:ascii="Book Antiqua" w:hAnsi="Book Antiqua" w:cs="Arial"/>
          <w:bCs/>
        </w:rPr>
        <w:t xml:space="preserve">IBS: </w:t>
      </w:r>
      <w:r>
        <w:rPr>
          <w:rFonts w:ascii="Book Antiqua" w:hAnsi="Book Antiqua" w:eastAsia="Book Antiqua" w:cs="Book Antiqua"/>
          <w:color w:val="000000"/>
        </w:rPr>
        <w:t>Irritable bowel syndrome; NAFLD: Non-alcoholic fatty liver disease;</w:t>
      </w:r>
      <w:bookmarkEnd w:id="4"/>
      <w:r>
        <w:rPr>
          <w:rFonts w:ascii="Book Antiqua" w:hAnsi="Book Antiqua" w:eastAsia="Book Antiqua" w:cs="Book Antiqua"/>
          <w:color w:val="000000"/>
        </w:rPr>
        <w:t xml:space="preserve"> IL: </w:t>
      </w:r>
      <w:r>
        <w:rPr>
          <w:rFonts w:ascii="Book Antiqua" w:hAnsi="Book Antiqua" w:cs="Arial"/>
        </w:rPr>
        <w:t>Interleukin</w:t>
      </w:r>
      <w:r>
        <w:rPr>
          <w:rFonts w:ascii="Book Antiqua" w:hAnsi="Book Antiqua" w:eastAsia="Book Antiqua" w:cs="Book Antiqua"/>
          <w:color w:val="000000"/>
        </w:rPr>
        <w:t>.</w:t>
      </w:r>
    </w:p>
    <w:p>
      <w:pPr>
        <w:spacing w:line="360" w:lineRule="auto"/>
        <w:jc w:val="both"/>
        <w:rPr>
          <w:rFonts w:ascii="Book Antiqua" w:hAnsi="Book Antiqua" w:cs="Arial"/>
          <w:b/>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Arial"/>
          <w:b/>
          <w:bCs/>
        </w:rPr>
      </w:pPr>
      <w:r>
        <w:rPr>
          <w:rFonts w:ascii="Book Antiqua" w:hAnsi="Book Antiqua" w:cs="Arial"/>
          <w:b/>
        </w:rPr>
        <w:t xml:space="preserve">Table 1 </w:t>
      </w:r>
      <w:r>
        <w:rPr>
          <w:rFonts w:ascii="Book Antiqua" w:hAnsi="Book Antiqua" w:cs="Arial"/>
          <w:b/>
          <w:bCs/>
        </w:rPr>
        <w:t xml:space="preserve">Summarizes the literature on the co-existing prevalence of irritable bowel syndrome and </w:t>
      </w:r>
      <w:r>
        <w:rPr>
          <w:rFonts w:ascii="Book Antiqua" w:hAnsi="Book Antiqua" w:eastAsia="Book Antiqua" w:cs="Book Antiqua"/>
          <w:b/>
          <w:bCs/>
          <w:color w:val="000000"/>
        </w:rPr>
        <w:t>non-alcoholic fatty liver disease</w:t>
      </w:r>
      <w:r>
        <w:rPr>
          <w:rFonts w:ascii="Book Antiqua" w:hAnsi="Book Antiqua" w:cs="Arial"/>
          <w:b/>
          <w:bCs/>
        </w:rPr>
        <w:t xml:space="preserve"> to date</w:t>
      </w:r>
    </w:p>
    <w:tbl>
      <w:tblPr>
        <w:tblStyle w:val="5"/>
        <w:tblW w:w="136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7"/>
        <w:gridCol w:w="1280"/>
        <w:gridCol w:w="1013"/>
        <w:gridCol w:w="1096"/>
        <w:gridCol w:w="1270"/>
        <w:gridCol w:w="1554"/>
        <w:gridCol w:w="1977"/>
        <w:gridCol w:w="1836"/>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097"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Author</w:t>
            </w:r>
          </w:p>
        </w:tc>
        <w:tc>
          <w:tcPr>
            <w:tcW w:w="1280"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Population studied</w:t>
            </w:r>
          </w:p>
        </w:tc>
        <w:tc>
          <w:tcPr>
            <w:tcW w:w="1013"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Study design</w:t>
            </w:r>
          </w:p>
        </w:tc>
        <w:tc>
          <w:tcPr>
            <w:tcW w:w="1096"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No. patients</w:t>
            </w:r>
          </w:p>
        </w:tc>
        <w:tc>
          <w:tcPr>
            <w:tcW w:w="1270"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Criteria for IBS diagnosis</w:t>
            </w:r>
          </w:p>
        </w:tc>
        <w:tc>
          <w:tcPr>
            <w:tcW w:w="1554"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IBS subtypes</w:t>
            </w:r>
          </w:p>
        </w:tc>
        <w:tc>
          <w:tcPr>
            <w:tcW w:w="1977"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Criteria for NAFLD diagnosis</w:t>
            </w:r>
          </w:p>
        </w:tc>
        <w:tc>
          <w:tcPr>
            <w:tcW w:w="1836"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Prevalence of NAFLD in IBS/ IBS in NAFLD</w:t>
            </w:r>
          </w:p>
        </w:tc>
        <w:tc>
          <w:tcPr>
            <w:tcW w:w="2509" w:type="dxa"/>
            <w:tcBorders>
              <w:top w:val="single" w:color="auto" w:sz="4" w:space="0"/>
              <w:bottom w:val="single" w:color="auto" w:sz="4" w:space="0"/>
            </w:tcBorders>
          </w:tcPr>
          <w:p>
            <w:pPr>
              <w:pStyle w:val="12"/>
              <w:spacing w:after="0" w:line="360" w:lineRule="auto"/>
              <w:ind w:left="0"/>
              <w:jc w:val="both"/>
              <w:rPr>
                <w:rFonts w:ascii="Book Antiqua" w:hAnsi="Book Antiqua" w:cs="Arial"/>
                <w:b/>
                <w:sz w:val="24"/>
                <w:szCs w:val="24"/>
              </w:rPr>
            </w:pPr>
            <w:r>
              <w:rPr>
                <w:rFonts w:ascii="Book Antiqua" w:hAnsi="Book Antiqua" w:cs="Arial"/>
                <w:b/>
                <w:sz w:val="24"/>
                <w:szCs w:val="24"/>
              </w:rPr>
              <w:t>Outcomes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9" w:hRule="atLeast"/>
        </w:trPr>
        <w:tc>
          <w:tcPr>
            <w:tcW w:w="1097"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Hasanain </w:t>
            </w:r>
            <w:r>
              <w:rPr>
                <w:rFonts w:ascii="Book Antiqua" w:hAnsi="Book Antiqua" w:cs="Arial"/>
                <w:i/>
                <w:iCs/>
                <w:sz w:val="24"/>
                <w:szCs w:val="24"/>
              </w:rPr>
              <w:t>et al</w:t>
            </w:r>
            <w:r>
              <w:rPr>
                <w:rFonts w:ascii="Book Antiqua" w:hAnsi="Book Antiqua" w:cs="Arial"/>
                <w:sz w:val="24"/>
                <w:szCs w:val="24"/>
                <w:vertAlign w:val="superscript"/>
              </w:rPr>
              <w:t>[15]</w:t>
            </w:r>
          </w:p>
        </w:tc>
        <w:tc>
          <w:tcPr>
            <w:tcW w:w="1280"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w:t>
            </w:r>
          </w:p>
        </w:tc>
        <w:tc>
          <w:tcPr>
            <w:tcW w:w="1013"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Cross sectional study</w:t>
            </w:r>
          </w:p>
        </w:tc>
        <w:tc>
          <w:tcPr>
            <w:tcW w:w="1096"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100 patients with IBS</w:t>
            </w:r>
          </w:p>
        </w:tc>
        <w:tc>
          <w:tcPr>
            <w:tcW w:w="1270"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Rome III</w:t>
            </w:r>
          </w:p>
        </w:tc>
        <w:tc>
          <w:tcPr>
            <w:tcW w:w="1554"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IBS-C: 45%;</w:t>
            </w:r>
            <w:r>
              <w:rPr>
                <w:rFonts w:ascii="Book Antiqua" w:hAnsi="Book Antiqua" w:cs="Arial" w:eastAsiaTheme="minorEastAsia"/>
                <w:sz w:val="24"/>
                <w:szCs w:val="24"/>
                <w:lang w:eastAsia="zh-CN"/>
              </w:rPr>
              <w:t xml:space="preserve"> </w:t>
            </w:r>
            <w:r>
              <w:rPr>
                <w:rFonts w:ascii="Book Antiqua" w:hAnsi="Book Antiqua" w:cs="Arial"/>
                <w:sz w:val="24"/>
                <w:szCs w:val="24"/>
              </w:rPr>
              <w:t>IBS-D: 23%; IBS-M: 32%,</w:t>
            </w:r>
          </w:p>
        </w:tc>
        <w:tc>
          <w:tcPr>
            <w:tcW w:w="1977" w:type="dxa"/>
            <w:tcBorders>
              <w:top w:val="single" w:color="auto" w:sz="4" w:space="0"/>
            </w:tcBorders>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Ultrasound;</w:t>
            </w:r>
            <w:r>
              <w:rPr>
                <w:rFonts w:ascii="Book Antiqua" w:hAnsi="Book Antiqua" w:cs="Arial" w:eastAsiaTheme="minorEastAsia"/>
                <w:lang w:val="en-GB" w:eastAsia="zh-CN"/>
              </w:rPr>
              <w:t xml:space="preserve"> </w:t>
            </w:r>
            <w:r>
              <w:rPr>
                <w:rFonts w:ascii="Book Antiqua" w:hAnsi="Book Antiqua" w:eastAsia="Calibri" w:cs="Arial"/>
                <w:lang w:val="en-GB"/>
              </w:rPr>
              <w:t>No history of alcohol exposure;</w:t>
            </w:r>
            <w:r>
              <w:rPr>
                <w:rFonts w:ascii="Book Antiqua" w:hAnsi="Book Antiqua" w:cs="Arial" w:eastAsiaTheme="minorEastAsia"/>
                <w:lang w:val="en-GB" w:eastAsia="zh-CN"/>
              </w:rPr>
              <w:t xml:space="preserve"> </w:t>
            </w:r>
            <w:r>
              <w:rPr>
                <w:rFonts w:ascii="Book Antiqua" w:hAnsi="Book Antiqua" w:eastAsia="Calibri" w:cs="Arial"/>
                <w:lang w:val="en-GB"/>
              </w:rPr>
              <w:t>No exposure to steatogenic medications;</w:t>
            </w:r>
            <w:r>
              <w:rPr>
                <w:rFonts w:ascii="Book Antiqua" w:hAnsi="Book Antiqua" w:cs="Arial" w:eastAsiaTheme="minorEastAsia"/>
                <w:lang w:val="en-GB" w:eastAsia="zh-CN"/>
              </w:rPr>
              <w:t xml:space="preserve"> </w:t>
            </w:r>
            <w:r>
              <w:rPr>
                <w:rFonts w:ascii="Book Antiqua" w:hAnsi="Book Antiqua" w:eastAsia="Calibri" w:cs="Arial"/>
                <w:lang w:val="en-GB"/>
              </w:rPr>
              <w:t>Negative viral screen</w:t>
            </w:r>
          </w:p>
        </w:tc>
        <w:tc>
          <w:tcPr>
            <w:tcW w:w="1836"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74% of those with IBS had co-existing NAFLD</w:t>
            </w:r>
          </w:p>
        </w:tc>
        <w:tc>
          <w:tcPr>
            <w:tcW w:w="2509" w:type="dxa"/>
            <w:tcBorders>
              <w:top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Moderate/severe NAFLD significantly associated with moderate/severe IBS (OR: 2.4, 95%CI: 1.3-62.7, </w:t>
            </w:r>
            <w:r>
              <w:rPr>
                <w:rFonts w:ascii="Book Antiqua" w:hAnsi="Book Antiqua" w:cs="Arial"/>
                <w:i/>
                <w:iCs/>
                <w:sz w:val="24"/>
                <w:szCs w:val="24"/>
              </w:rPr>
              <w:t>P</w:t>
            </w:r>
            <w:r>
              <w:rPr>
                <w:rFonts w:ascii="Book Antiqua" w:hAnsi="Book Antiqua" w:cs="Arial"/>
                <w:sz w:val="24"/>
                <w:szCs w:val="24"/>
              </w:rPr>
              <w:t xml:space="preserve"> = 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1" w:hRule="atLeast"/>
        </w:trPr>
        <w:tc>
          <w:tcPr>
            <w:tcW w:w="1097"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Shin </w:t>
            </w:r>
            <w:r>
              <w:rPr>
                <w:rFonts w:ascii="Book Antiqua" w:hAnsi="Book Antiqua" w:cs="Arial"/>
                <w:i/>
                <w:iCs/>
                <w:sz w:val="24"/>
                <w:szCs w:val="24"/>
              </w:rPr>
              <w:t>et al</w:t>
            </w:r>
            <w:r>
              <w:rPr>
                <w:rFonts w:ascii="Book Antiqua" w:hAnsi="Book Antiqua" w:cs="Arial"/>
                <w:sz w:val="24"/>
                <w:szCs w:val="24"/>
                <w:vertAlign w:val="superscript"/>
              </w:rPr>
              <w:t>[16]</w:t>
            </w:r>
          </w:p>
        </w:tc>
        <w:tc>
          <w:tcPr>
            <w:tcW w:w="128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Healthy individuals </w:t>
            </w:r>
            <w:r>
              <w:rPr>
                <w:rFonts w:ascii="Book Antiqua" w:hAnsi="Book Antiqua" w:cs="Arial"/>
                <w:i/>
                <w:iCs/>
                <w:sz w:val="24"/>
                <w:szCs w:val="24"/>
              </w:rPr>
              <w:t>via</w:t>
            </w:r>
            <w:r>
              <w:rPr>
                <w:rFonts w:ascii="Book Antiqua" w:hAnsi="Book Antiqua" w:cs="Arial"/>
                <w:sz w:val="24"/>
                <w:szCs w:val="24"/>
              </w:rPr>
              <w:t xml:space="preserve"> NHANES</w:t>
            </w:r>
          </w:p>
        </w:tc>
        <w:tc>
          <w:tcPr>
            <w:tcW w:w="1013"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Cross sectional study</w:t>
            </w:r>
          </w:p>
        </w:tc>
        <w:tc>
          <w:tcPr>
            <w:tcW w:w="109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2345 patients with IBS</w:t>
            </w:r>
          </w:p>
        </w:tc>
        <w:tc>
          <w:tcPr>
            <w:tcW w:w="127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Rome IV</w:t>
            </w:r>
          </w:p>
        </w:tc>
        <w:tc>
          <w:tcPr>
            <w:tcW w:w="1554"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IBS-C: 1023;</w:t>
            </w:r>
            <w:r>
              <w:rPr>
                <w:rFonts w:ascii="Book Antiqua" w:hAnsi="Book Antiqua" w:cs="Arial" w:eastAsiaTheme="minorEastAsia"/>
                <w:sz w:val="24"/>
                <w:szCs w:val="24"/>
                <w:lang w:eastAsia="zh-CN"/>
              </w:rPr>
              <w:t xml:space="preserve"> </w:t>
            </w:r>
            <w:r>
              <w:rPr>
                <w:rFonts w:ascii="Book Antiqua" w:hAnsi="Book Antiqua" w:cs="Arial"/>
                <w:sz w:val="24"/>
                <w:szCs w:val="24"/>
              </w:rPr>
              <w:t>IBS-D: 1322</w:t>
            </w:r>
          </w:p>
        </w:tc>
        <w:tc>
          <w:tcPr>
            <w:tcW w:w="1977" w:type="dxa"/>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Raised ALT or AST;</w:t>
            </w:r>
            <w:r>
              <w:rPr>
                <w:rFonts w:ascii="Book Antiqua" w:hAnsi="Book Antiqua" w:cs="Arial" w:eastAsiaTheme="minorEastAsia"/>
                <w:lang w:val="en-GB" w:eastAsia="zh-CN"/>
              </w:rPr>
              <w:t xml:space="preserve"> </w:t>
            </w:r>
            <w:r>
              <w:rPr>
                <w:rFonts w:ascii="Book Antiqua" w:hAnsi="Book Antiqua" w:eastAsia="Calibri" w:cs="Arial"/>
                <w:lang w:val="en-GB"/>
              </w:rPr>
              <w:t>Absence of excessive alcohol;</w:t>
            </w:r>
            <w:r>
              <w:rPr>
                <w:rFonts w:ascii="Book Antiqua" w:hAnsi="Book Antiqua" w:cs="Arial" w:eastAsiaTheme="minorEastAsia"/>
                <w:lang w:val="en-GB" w:eastAsia="zh-CN"/>
              </w:rPr>
              <w:t xml:space="preserve"> </w:t>
            </w:r>
            <w:r>
              <w:rPr>
                <w:rFonts w:ascii="Book Antiqua" w:hAnsi="Book Antiqua" w:eastAsia="Calibri" w:cs="Arial"/>
                <w:lang w:val="en-GB"/>
              </w:rPr>
              <w:t>Negative viral hepatitis screen</w:t>
            </w:r>
          </w:p>
        </w:tc>
        <w:tc>
          <w:tcPr>
            <w:tcW w:w="183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Prevalence of NAFLD in IBS-D: 12.9% (95%CI: 9.8-15.9)</w:t>
            </w:r>
            <w:r>
              <w:rPr>
                <w:rFonts w:ascii="Book Antiqua" w:hAnsi="Book Antiqua" w:cs="Arial" w:eastAsiaTheme="minorEastAsia"/>
                <w:sz w:val="24"/>
                <w:szCs w:val="24"/>
                <w:lang w:eastAsia="zh-CN"/>
              </w:rPr>
              <w:t xml:space="preserve">; </w:t>
            </w:r>
            <w:r>
              <w:rPr>
                <w:rFonts w:ascii="Book Antiqua" w:hAnsi="Book Antiqua" w:cs="Arial"/>
                <w:sz w:val="24"/>
                <w:szCs w:val="24"/>
              </w:rPr>
              <w:t>IBS-C: 9.0% (95%CI: 7.0-11.0)</w:t>
            </w:r>
          </w:p>
        </w:tc>
        <w:tc>
          <w:tcPr>
            <w:tcW w:w="2509"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NAFLD associated with diarrhoea </w:t>
            </w:r>
            <w:r>
              <w:rPr>
                <w:rFonts w:ascii="Book Antiqua" w:hAnsi="Book Antiqua" w:cs="Arial"/>
                <w:i/>
                <w:iCs/>
                <w:sz w:val="24"/>
                <w:szCs w:val="24"/>
              </w:rPr>
              <w:t>vs</w:t>
            </w:r>
            <w:r>
              <w:rPr>
                <w:rFonts w:ascii="Book Antiqua" w:hAnsi="Book Antiqua" w:cs="Arial"/>
                <w:sz w:val="24"/>
                <w:szCs w:val="24"/>
              </w:rPr>
              <w:t xml:space="preserve"> normal bowel pattern (OR: 1.340, 95%CI: 1.007-1.784) and constipation (OR: 1.445, 95%CI: 1.028-2.031)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097"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Arasteh </w:t>
            </w:r>
            <w:r>
              <w:rPr>
                <w:rFonts w:ascii="Book Antiqua" w:hAnsi="Book Antiqua" w:cs="Arial"/>
                <w:i/>
                <w:iCs/>
                <w:sz w:val="24"/>
                <w:szCs w:val="24"/>
              </w:rPr>
              <w:t>et al</w:t>
            </w:r>
            <w:r>
              <w:rPr>
                <w:rFonts w:ascii="Book Antiqua" w:hAnsi="Book Antiqua" w:cs="Arial"/>
                <w:sz w:val="24"/>
                <w:szCs w:val="24"/>
                <w:vertAlign w:val="superscript"/>
              </w:rPr>
              <w:t>[17]</w:t>
            </w:r>
          </w:p>
        </w:tc>
        <w:tc>
          <w:tcPr>
            <w:tcW w:w="128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w:t>
            </w:r>
          </w:p>
        </w:tc>
        <w:tc>
          <w:tcPr>
            <w:tcW w:w="1013"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Cohort study</w:t>
            </w:r>
          </w:p>
        </w:tc>
        <w:tc>
          <w:tcPr>
            <w:tcW w:w="109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1067 patients with IBS</w:t>
            </w:r>
          </w:p>
        </w:tc>
        <w:tc>
          <w:tcPr>
            <w:tcW w:w="1270" w:type="dxa"/>
          </w:tcPr>
          <w:p>
            <w:pPr>
              <w:pStyle w:val="12"/>
              <w:spacing w:after="0" w:line="360" w:lineRule="auto"/>
              <w:ind w:left="0"/>
              <w:jc w:val="both"/>
              <w:rPr>
                <w:rFonts w:ascii="Book Antiqua" w:hAnsi="Book Antiqua" w:cs="Arial"/>
                <w:sz w:val="24"/>
                <w:szCs w:val="24"/>
                <w:lang w:val="nl-NL"/>
              </w:rPr>
            </w:pPr>
            <w:r>
              <w:rPr>
                <w:rFonts w:ascii="Book Antiqua" w:hAnsi="Book Antiqua" w:cs="Arial"/>
                <w:sz w:val="24"/>
                <w:szCs w:val="24"/>
                <w:lang w:val="nl-NL"/>
              </w:rPr>
              <w:t>Rome IV</w:t>
            </w:r>
          </w:p>
        </w:tc>
        <w:tc>
          <w:tcPr>
            <w:tcW w:w="1554" w:type="dxa"/>
          </w:tcPr>
          <w:p>
            <w:pPr>
              <w:pStyle w:val="12"/>
              <w:spacing w:after="0" w:line="360" w:lineRule="auto"/>
              <w:ind w:left="0"/>
              <w:jc w:val="both"/>
              <w:rPr>
                <w:rFonts w:ascii="Book Antiqua" w:hAnsi="Book Antiqua" w:cs="Arial"/>
                <w:sz w:val="24"/>
                <w:szCs w:val="24"/>
                <w:lang w:val="nl-NL"/>
              </w:rPr>
            </w:pPr>
            <w:r>
              <w:rPr>
                <w:rFonts w:ascii="Book Antiqua" w:hAnsi="Book Antiqua" w:cs="Arial"/>
                <w:sz w:val="24"/>
                <w:szCs w:val="24"/>
                <w:lang w:val="nl-NL"/>
              </w:rPr>
              <w:t>IBS-D: 57 (5.3%);</w:t>
            </w:r>
            <w:r>
              <w:rPr>
                <w:rFonts w:ascii="Book Antiqua" w:hAnsi="Book Antiqua" w:cs="Arial" w:eastAsiaTheme="minorEastAsia"/>
                <w:sz w:val="24"/>
                <w:szCs w:val="24"/>
                <w:lang w:val="nl-NL" w:eastAsia="zh-CN"/>
              </w:rPr>
              <w:t xml:space="preserve"> </w:t>
            </w:r>
            <w:r>
              <w:rPr>
                <w:rFonts w:ascii="Book Antiqua" w:hAnsi="Book Antiqua" w:cs="Arial"/>
                <w:sz w:val="24"/>
                <w:szCs w:val="24"/>
                <w:lang w:val="nl-NL"/>
              </w:rPr>
              <w:t>IBS-C: 380 (35.6%);</w:t>
            </w:r>
            <w:r>
              <w:rPr>
                <w:rFonts w:ascii="Book Antiqua" w:hAnsi="Book Antiqua" w:cs="Arial" w:eastAsiaTheme="minorEastAsia"/>
                <w:sz w:val="24"/>
                <w:szCs w:val="24"/>
                <w:lang w:val="nl-NL" w:eastAsia="zh-CN"/>
              </w:rPr>
              <w:t xml:space="preserve"> </w:t>
            </w:r>
            <w:r>
              <w:rPr>
                <w:rFonts w:ascii="Book Antiqua" w:hAnsi="Book Antiqua" w:cs="Arial"/>
                <w:sz w:val="24"/>
                <w:szCs w:val="24"/>
                <w:lang w:val="nl-NL"/>
              </w:rPr>
              <w:t>IBS-U: 630 (59%)</w:t>
            </w:r>
          </w:p>
        </w:tc>
        <w:tc>
          <w:tcPr>
            <w:tcW w:w="1977" w:type="dxa"/>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Not documented</w:t>
            </w:r>
          </w:p>
        </w:tc>
        <w:tc>
          <w:tcPr>
            <w:tcW w:w="183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3.7%</w:t>
            </w:r>
          </w:p>
        </w:tc>
        <w:tc>
          <w:tcPr>
            <w:tcW w:w="2509"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Liver disease not associated with IBS (Coefficient: 0.26, OR: 1.30, 95%CI: 0.92-1.82)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6" w:hRule="atLeast"/>
        </w:trPr>
        <w:tc>
          <w:tcPr>
            <w:tcW w:w="1097"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Lee </w:t>
            </w:r>
            <w:r>
              <w:rPr>
                <w:rFonts w:ascii="Book Antiqua" w:hAnsi="Book Antiqua" w:cs="Arial"/>
                <w:i/>
                <w:iCs/>
                <w:sz w:val="24"/>
                <w:szCs w:val="24"/>
              </w:rPr>
              <w:t>et al</w:t>
            </w:r>
            <w:r>
              <w:rPr>
                <w:rFonts w:ascii="Book Antiqua" w:hAnsi="Book Antiqua" w:cs="Arial"/>
                <w:sz w:val="24"/>
                <w:szCs w:val="24"/>
                <w:vertAlign w:val="superscript"/>
              </w:rPr>
              <w:t>[19]</w:t>
            </w:r>
          </w:p>
        </w:tc>
        <w:tc>
          <w:tcPr>
            <w:tcW w:w="128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IBS </w:t>
            </w:r>
            <w:r>
              <w:rPr>
                <w:rFonts w:ascii="Book Antiqua" w:hAnsi="Book Antiqua" w:cs="Arial"/>
                <w:i/>
                <w:iCs/>
                <w:sz w:val="24"/>
                <w:szCs w:val="24"/>
              </w:rPr>
              <w:t>vs</w:t>
            </w:r>
            <w:r>
              <w:rPr>
                <w:rFonts w:ascii="Book Antiqua" w:hAnsi="Book Antiqua" w:cs="Arial"/>
                <w:sz w:val="24"/>
                <w:szCs w:val="24"/>
              </w:rPr>
              <w:t xml:space="preserve"> control</w:t>
            </w:r>
          </w:p>
        </w:tc>
        <w:tc>
          <w:tcPr>
            <w:tcW w:w="1013"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Retrospective, cross sectional, case control study</w:t>
            </w:r>
          </w:p>
        </w:tc>
        <w:tc>
          <w:tcPr>
            <w:tcW w:w="109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83 IBS patients;</w:t>
            </w:r>
            <w:r>
              <w:rPr>
                <w:rFonts w:ascii="Book Antiqua" w:hAnsi="Book Antiqua" w:cs="Arial" w:eastAsiaTheme="minorEastAsia"/>
                <w:sz w:val="24"/>
                <w:szCs w:val="24"/>
                <w:lang w:eastAsia="zh-CN"/>
              </w:rPr>
              <w:t xml:space="preserve"> </w:t>
            </w:r>
            <w:r>
              <w:rPr>
                <w:rFonts w:ascii="Book Antiqua" w:hAnsi="Book Antiqua" w:cs="Arial"/>
                <w:sz w:val="24"/>
                <w:szCs w:val="24"/>
              </w:rPr>
              <w:t>260 age and sex matched control</w:t>
            </w:r>
          </w:p>
        </w:tc>
        <w:tc>
          <w:tcPr>
            <w:tcW w:w="127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Rome III</w:t>
            </w:r>
          </w:p>
        </w:tc>
        <w:tc>
          <w:tcPr>
            <w:tcW w:w="1554"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IBS-C: 14.8%</w:t>
            </w:r>
            <w:r>
              <w:rPr>
                <w:rFonts w:hint="eastAsia" w:ascii="Book Antiqua" w:hAnsi="Book Antiqua" w:cs="Arial" w:eastAsiaTheme="minorEastAsia"/>
                <w:sz w:val="24"/>
                <w:szCs w:val="24"/>
                <w:lang w:eastAsia="zh-CN"/>
              </w:rPr>
              <w:t>;</w:t>
            </w:r>
            <w:r>
              <w:rPr>
                <w:rFonts w:ascii="Book Antiqua" w:hAnsi="Book Antiqua" w:cs="Arial" w:eastAsiaTheme="minorEastAsia"/>
                <w:sz w:val="24"/>
                <w:szCs w:val="24"/>
                <w:lang w:eastAsia="zh-CN"/>
              </w:rPr>
              <w:t xml:space="preserve"> </w:t>
            </w:r>
            <w:r>
              <w:rPr>
                <w:rFonts w:ascii="Book Antiqua" w:hAnsi="Book Antiqua" w:cs="Arial"/>
                <w:sz w:val="24"/>
                <w:szCs w:val="24"/>
              </w:rPr>
              <w:t>IBS-D: 49.4%;</w:t>
            </w:r>
            <w:r>
              <w:rPr>
                <w:rFonts w:hint="eastAsia" w:ascii="Book Antiqua" w:hAnsi="Book Antiqua" w:cs="Arial" w:eastAsiaTheme="minorEastAsia"/>
                <w:sz w:val="24"/>
                <w:szCs w:val="24"/>
                <w:lang w:eastAsia="zh-CN"/>
              </w:rPr>
              <w:t xml:space="preserve"> </w:t>
            </w:r>
            <w:r>
              <w:rPr>
                <w:rFonts w:ascii="Book Antiqua" w:hAnsi="Book Antiqua" w:cs="Arial"/>
                <w:sz w:val="24"/>
                <w:szCs w:val="24"/>
              </w:rPr>
              <w:t>IBS-M: 31.3%</w:t>
            </w:r>
            <w:r>
              <w:rPr>
                <w:rFonts w:hint="eastAsia" w:ascii="Book Antiqua" w:hAnsi="Book Antiqua" w:cs="Arial" w:eastAsiaTheme="minorEastAsia"/>
                <w:sz w:val="24"/>
                <w:szCs w:val="24"/>
                <w:lang w:eastAsia="zh-CN"/>
              </w:rPr>
              <w:t>;</w:t>
            </w:r>
            <w:r>
              <w:rPr>
                <w:rFonts w:ascii="Book Antiqua" w:hAnsi="Book Antiqua" w:cs="Arial" w:eastAsiaTheme="minorEastAsia"/>
                <w:sz w:val="24"/>
                <w:szCs w:val="24"/>
                <w:lang w:eastAsia="zh-CN"/>
              </w:rPr>
              <w:t xml:space="preserve"> </w:t>
            </w:r>
            <w:r>
              <w:rPr>
                <w:rFonts w:ascii="Book Antiqua" w:hAnsi="Book Antiqua" w:cs="Arial"/>
                <w:sz w:val="24"/>
                <w:szCs w:val="24"/>
              </w:rPr>
              <w:t>IBS-U: 4.5%</w:t>
            </w:r>
          </w:p>
        </w:tc>
        <w:tc>
          <w:tcPr>
            <w:tcW w:w="1977" w:type="dxa"/>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 xml:space="preserve">Investigated raised ALT, GGT, AST and features of metabolic syndrome </w:t>
            </w:r>
          </w:p>
        </w:tc>
        <w:tc>
          <w:tcPr>
            <w:tcW w:w="183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16.9% of IBS patients had raised ALT; 24.1% had raised GGT</w:t>
            </w:r>
          </w:p>
        </w:tc>
        <w:tc>
          <w:tcPr>
            <w:tcW w:w="2509"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Significantly higher ALT in patients with IBS (16.9% </w:t>
            </w:r>
            <w:r>
              <w:rPr>
                <w:rFonts w:ascii="Book Antiqua" w:hAnsi="Book Antiqua" w:cs="Arial"/>
                <w:i/>
                <w:iCs/>
                <w:sz w:val="24"/>
                <w:szCs w:val="24"/>
              </w:rPr>
              <w:t>vs</w:t>
            </w:r>
            <w:r>
              <w:rPr>
                <w:rFonts w:ascii="Book Antiqua" w:hAnsi="Book Antiqua" w:cs="Arial"/>
                <w:sz w:val="24"/>
                <w:szCs w:val="24"/>
              </w:rPr>
              <w:t xml:space="preserve"> 7.7%; </w:t>
            </w:r>
            <w:r>
              <w:rPr>
                <w:rFonts w:ascii="Book Antiqua" w:hAnsi="Book Antiqua" w:cs="Arial"/>
                <w:i/>
                <w:iCs/>
                <w:sz w:val="24"/>
                <w:szCs w:val="24"/>
              </w:rPr>
              <w:t xml:space="preserve">P </w:t>
            </w:r>
            <w:r>
              <w:rPr>
                <w:rFonts w:ascii="Book Antiqua" w:hAnsi="Book Antiqua" w:cs="Arial"/>
                <w:sz w:val="24"/>
                <w:szCs w:val="24"/>
              </w:rPr>
              <w:t>= 0.015);</w:t>
            </w:r>
            <w:r>
              <w:rPr>
                <w:rFonts w:ascii="Book Antiqua" w:hAnsi="Book Antiqua" w:cs="Arial" w:eastAsiaTheme="minorEastAsia"/>
                <w:sz w:val="24"/>
                <w:szCs w:val="24"/>
                <w:lang w:eastAsia="zh-CN"/>
              </w:rPr>
              <w:t xml:space="preserve"> </w:t>
            </w:r>
            <w:r>
              <w:rPr>
                <w:rFonts w:ascii="Book Antiqua" w:hAnsi="Book Antiqua" w:cs="Arial"/>
                <w:sz w:val="24"/>
                <w:szCs w:val="24"/>
              </w:rPr>
              <w:t xml:space="preserve">Significantly higher GGT in patients with IBS (24.1% </w:t>
            </w:r>
            <w:r>
              <w:rPr>
                <w:rFonts w:ascii="Book Antiqua" w:hAnsi="Book Antiqua" w:cs="Arial"/>
                <w:i/>
                <w:iCs/>
                <w:sz w:val="24"/>
                <w:szCs w:val="24"/>
              </w:rPr>
              <w:t>vs</w:t>
            </w:r>
            <w:r>
              <w:rPr>
                <w:rFonts w:ascii="Book Antiqua" w:hAnsi="Book Antiqua" w:cs="Arial"/>
                <w:sz w:val="24"/>
                <w:szCs w:val="24"/>
              </w:rPr>
              <w:t xml:space="preserve"> 11.5%; </w:t>
            </w:r>
            <w:r>
              <w:rPr>
                <w:rFonts w:ascii="Book Antiqua" w:hAnsi="Book Antiqua" w:cs="Arial"/>
                <w:i/>
                <w:iCs/>
                <w:sz w:val="24"/>
                <w:szCs w:val="24"/>
              </w:rPr>
              <w:t xml:space="preserve">P </w:t>
            </w:r>
            <w:r>
              <w:rPr>
                <w:rFonts w:ascii="Book Antiqua" w:hAnsi="Book Antiqua" w:cs="Arial"/>
                <w:sz w:val="24"/>
                <w:szCs w:val="24"/>
              </w:rPr>
              <w:t xml:space="preserve">= 0.037); Significantly higher prevalence of metabolic syndrome in patients with IBS (32.5% </w:t>
            </w:r>
            <w:r>
              <w:rPr>
                <w:rFonts w:ascii="Book Antiqua" w:hAnsi="Book Antiqua" w:cs="Arial"/>
                <w:i/>
                <w:iCs/>
                <w:sz w:val="24"/>
                <w:szCs w:val="24"/>
              </w:rPr>
              <w:t>vs</w:t>
            </w:r>
            <w:r>
              <w:rPr>
                <w:rFonts w:ascii="Book Antiqua" w:hAnsi="Book Antiqua" w:cs="Arial"/>
                <w:sz w:val="24"/>
                <w:szCs w:val="24"/>
              </w:rPr>
              <w:t xml:space="preserve"> 12.7%; </w:t>
            </w:r>
            <w:r>
              <w:rPr>
                <w:rFonts w:ascii="Book Antiqua" w:hAnsi="Book Antiqua" w:cs="Arial"/>
                <w:i/>
                <w:iCs/>
                <w:sz w:val="24"/>
                <w:szCs w:val="24"/>
              </w:rPr>
              <w:t xml:space="preserve">P </w:t>
            </w:r>
            <w:r>
              <w:rPr>
                <w:rFonts w:ascii="Book Antiqua" w:hAnsi="Book Antiqua" w:cs="Arial"/>
                <w:sz w:val="24"/>
                <w:szCs w:val="24"/>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1097"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Sarmini </w:t>
            </w:r>
            <w:r>
              <w:rPr>
                <w:rFonts w:ascii="Book Antiqua" w:hAnsi="Book Antiqua" w:cs="Arial"/>
                <w:i/>
                <w:iCs/>
                <w:sz w:val="24"/>
                <w:szCs w:val="24"/>
              </w:rPr>
              <w:t>et al</w:t>
            </w:r>
            <w:r>
              <w:rPr>
                <w:rFonts w:ascii="Book Antiqua" w:hAnsi="Book Antiqua" w:cs="Arial"/>
                <w:sz w:val="24"/>
                <w:szCs w:val="24"/>
                <w:vertAlign w:val="superscript"/>
              </w:rPr>
              <w:t>[73]</w:t>
            </w:r>
          </w:p>
        </w:tc>
        <w:tc>
          <w:tcPr>
            <w:tcW w:w="128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IBS </w:t>
            </w:r>
            <w:r>
              <w:rPr>
                <w:rFonts w:ascii="Book Antiqua" w:hAnsi="Book Antiqua" w:cs="Arial"/>
                <w:i/>
                <w:iCs/>
                <w:sz w:val="24"/>
                <w:szCs w:val="24"/>
              </w:rPr>
              <w:t>vs</w:t>
            </w:r>
            <w:r>
              <w:rPr>
                <w:rFonts w:ascii="Book Antiqua" w:hAnsi="Book Antiqua" w:cs="Arial"/>
                <w:sz w:val="24"/>
                <w:szCs w:val="24"/>
              </w:rPr>
              <w:t xml:space="preserve"> control </w:t>
            </w:r>
          </w:p>
        </w:tc>
        <w:tc>
          <w:tcPr>
            <w:tcW w:w="1013"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Observational study</w:t>
            </w:r>
          </w:p>
        </w:tc>
        <w:tc>
          <w:tcPr>
            <w:tcW w:w="109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637942</w:t>
            </w:r>
          </w:p>
        </w:tc>
        <w:tc>
          <w:tcPr>
            <w:tcW w:w="127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Clinical diagnosis</w:t>
            </w:r>
          </w:p>
        </w:tc>
        <w:tc>
          <w:tcPr>
            <w:tcW w:w="1554"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Not documented</w:t>
            </w:r>
          </w:p>
        </w:tc>
        <w:tc>
          <w:tcPr>
            <w:tcW w:w="1977" w:type="dxa"/>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Not documented</w:t>
            </w:r>
          </w:p>
        </w:tc>
        <w:tc>
          <w:tcPr>
            <w:tcW w:w="183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Not available</w:t>
            </w:r>
          </w:p>
        </w:tc>
        <w:tc>
          <w:tcPr>
            <w:tcW w:w="2509"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Patients with IBS significantly more likely to develop NAFLD compared to non-IBS group (OR: 3.204, 95%CI: 3.130-3.279, </w:t>
            </w:r>
            <w:r>
              <w:rPr>
                <w:rFonts w:ascii="Book Antiqua" w:hAnsi="Book Antiqua" w:cs="Arial"/>
                <w:i/>
                <w:iCs/>
                <w:sz w:val="24"/>
                <w:szCs w:val="24"/>
              </w:rPr>
              <w:t xml:space="preserve">P </w:t>
            </w:r>
            <w:r>
              <w:rPr>
                <w:rFonts w:ascii="Book Antiqua" w:hAnsi="Book Antiqua" w:cs="Arial"/>
                <w:sz w:val="24"/>
                <w:szCs w:val="24"/>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3" w:hRule="atLeast"/>
        </w:trPr>
        <w:tc>
          <w:tcPr>
            <w:tcW w:w="1097"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Singh </w:t>
            </w:r>
            <w:r>
              <w:rPr>
                <w:rFonts w:ascii="Book Antiqua" w:hAnsi="Book Antiqua" w:cs="Arial"/>
                <w:i/>
                <w:iCs/>
                <w:sz w:val="24"/>
                <w:szCs w:val="24"/>
              </w:rPr>
              <w:t>et al</w:t>
            </w:r>
            <w:r>
              <w:rPr>
                <w:rFonts w:ascii="Book Antiqua" w:hAnsi="Book Antiqua" w:cs="Arial"/>
                <w:sz w:val="24"/>
                <w:szCs w:val="24"/>
                <w:vertAlign w:val="superscript"/>
              </w:rPr>
              <w:t>[24]</w:t>
            </w:r>
          </w:p>
        </w:tc>
        <w:tc>
          <w:tcPr>
            <w:tcW w:w="128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NAFLD</w:t>
            </w:r>
          </w:p>
        </w:tc>
        <w:tc>
          <w:tcPr>
            <w:tcW w:w="1013"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Retrospective analysis</w:t>
            </w:r>
          </w:p>
        </w:tc>
        <w:tc>
          <w:tcPr>
            <w:tcW w:w="109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632</w:t>
            </w:r>
          </w:p>
        </w:tc>
        <w:tc>
          <w:tcPr>
            <w:tcW w:w="1270"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Clinical diagnosis</w:t>
            </w:r>
          </w:p>
        </w:tc>
        <w:tc>
          <w:tcPr>
            <w:tcW w:w="1554"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Not documented</w:t>
            </w:r>
          </w:p>
        </w:tc>
        <w:tc>
          <w:tcPr>
            <w:tcW w:w="1977" w:type="dxa"/>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Ultrasound</w:t>
            </w:r>
            <w:r>
              <w:rPr>
                <w:rFonts w:ascii="Book Antiqua" w:hAnsi="Book Antiqua" w:eastAsia="宋体" w:cs="宋体"/>
                <w:lang w:val="en-GB" w:eastAsia="zh-CN"/>
              </w:rPr>
              <w:t>;</w:t>
            </w:r>
            <w:r>
              <w:rPr>
                <w:rFonts w:ascii="Book Antiqua" w:hAnsi="Book Antiqua" w:cs="Arial" w:eastAsiaTheme="minorEastAsia"/>
                <w:lang w:val="en-GB" w:eastAsia="zh-CN"/>
              </w:rPr>
              <w:t xml:space="preserve"> </w:t>
            </w:r>
            <w:r>
              <w:rPr>
                <w:rFonts w:ascii="Book Antiqua" w:hAnsi="Book Antiqua" w:eastAsia="Calibri" w:cs="Arial"/>
                <w:lang w:val="en-GB"/>
              </w:rPr>
              <w:t>Alcohol consumption &lt; 20 g/d;</w:t>
            </w:r>
            <w:r>
              <w:rPr>
                <w:rFonts w:ascii="Book Antiqua" w:hAnsi="Book Antiqua" w:cs="Arial" w:eastAsiaTheme="minorEastAsia"/>
                <w:lang w:val="en-GB" w:eastAsia="zh-CN"/>
              </w:rPr>
              <w:t xml:space="preserve"> </w:t>
            </w:r>
            <w:r>
              <w:rPr>
                <w:rFonts w:ascii="Book Antiqua" w:hAnsi="Book Antiqua" w:eastAsia="Calibri" w:cs="Arial"/>
                <w:lang w:val="en-GB"/>
              </w:rPr>
              <w:t>Normal aetiological liver screen</w:t>
            </w:r>
          </w:p>
        </w:tc>
        <w:tc>
          <w:tcPr>
            <w:tcW w:w="1836"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186 (29.4%) patients with NAFLD had clinical diagnosis of IBS</w:t>
            </w:r>
          </w:p>
        </w:tc>
        <w:tc>
          <w:tcPr>
            <w:tcW w:w="2509" w:type="dxa"/>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IBS symptoms are highly prevalent in those with NAFLD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3" w:hRule="atLeast"/>
        </w:trPr>
        <w:tc>
          <w:tcPr>
            <w:tcW w:w="1097"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Jones-Pauley </w:t>
            </w:r>
            <w:r>
              <w:rPr>
                <w:rFonts w:ascii="Book Antiqua" w:hAnsi="Book Antiqua" w:cs="Arial"/>
                <w:i/>
                <w:iCs/>
                <w:sz w:val="24"/>
                <w:szCs w:val="24"/>
              </w:rPr>
              <w:t>et</w:t>
            </w:r>
            <w:r>
              <w:rPr>
                <w:rFonts w:ascii="Book Antiqua" w:hAnsi="Book Antiqua" w:cs="Arial"/>
                <w:sz w:val="24"/>
                <w:szCs w:val="24"/>
              </w:rPr>
              <w:t xml:space="preserve"> </w:t>
            </w:r>
            <w:r>
              <w:rPr>
                <w:rFonts w:ascii="Book Antiqua" w:hAnsi="Book Antiqua" w:cs="Arial"/>
                <w:i/>
                <w:iCs/>
                <w:sz w:val="24"/>
                <w:szCs w:val="24"/>
              </w:rPr>
              <w:t>al</w:t>
            </w:r>
            <w:r>
              <w:rPr>
                <w:rFonts w:ascii="Book Antiqua" w:hAnsi="Book Antiqua" w:cs="Arial"/>
                <w:sz w:val="24"/>
                <w:szCs w:val="24"/>
                <w:vertAlign w:val="superscript"/>
              </w:rPr>
              <w:t>[22]</w:t>
            </w:r>
          </w:p>
        </w:tc>
        <w:tc>
          <w:tcPr>
            <w:tcW w:w="1280"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NAFLD</w:t>
            </w:r>
          </w:p>
        </w:tc>
        <w:tc>
          <w:tcPr>
            <w:tcW w:w="1013"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Cross-sectional study</w:t>
            </w:r>
          </w:p>
        </w:tc>
        <w:tc>
          <w:tcPr>
            <w:tcW w:w="1096"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130</w:t>
            </w:r>
          </w:p>
        </w:tc>
        <w:tc>
          <w:tcPr>
            <w:tcW w:w="1270"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Rome IV</w:t>
            </w:r>
          </w:p>
        </w:tc>
        <w:tc>
          <w:tcPr>
            <w:tcW w:w="1554"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Not documented</w:t>
            </w:r>
          </w:p>
        </w:tc>
        <w:tc>
          <w:tcPr>
            <w:tcW w:w="1977" w:type="dxa"/>
            <w:tcBorders>
              <w:bottom w:val="single" w:color="auto" w:sz="4" w:space="0"/>
            </w:tcBorders>
          </w:tcPr>
          <w:p>
            <w:pPr>
              <w:autoSpaceDN w:val="0"/>
              <w:spacing w:line="360" w:lineRule="auto"/>
              <w:jc w:val="both"/>
              <w:textAlignment w:val="baseline"/>
              <w:rPr>
                <w:rFonts w:ascii="Book Antiqua" w:hAnsi="Book Antiqua" w:eastAsia="Calibri" w:cs="Arial"/>
                <w:lang w:val="en-GB"/>
              </w:rPr>
            </w:pPr>
            <w:r>
              <w:rPr>
                <w:rFonts w:ascii="Book Antiqua" w:hAnsi="Book Antiqua" w:eastAsia="Calibri" w:cs="Arial"/>
                <w:lang w:val="en-GB"/>
              </w:rPr>
              <w:t>Not documented</w:t>
            </w:r>
          </w:p>
        </w:tc>
        <w:tc>
          <w:tcPr>
            <w:tcW w:w="1836" w:type="dxa"/>
            <w:tcBorders>
              <w:bottom w:val="single" w:color="auto" w:sz="4" w:space="0"/>
            </w:tcBorders>
          </w:tcPr>
          <w:p>
            <w:pPr>
              <w:pStyle w:val="12"/>
              <w:spacing w:after="0" w:line="360" w:lineRule="auto"/>
              <w:ind w:left="0"/>
              <w:jc w:val="both"/>
              <w:rPr>
                <w:rFonts w:ascii="Book Antiqua" w:hAnsi="Book Antiqua" w:cs="Arial"/>
                <w:sz w:val="24"/>
                <w:szCs w:val="24"/>
                <w:lang w:val="fr-FR"/>
              </w:rPr>
            </w:pPr>
            <w:r>
              <w:rPr>
                <w:rFonts w:ascii="Book Antiqua" w:hAnsi="Book Antiqua" w:cs="Arial"/>
                <w:sz w:val="24"/>
                <w:szCs w:val="24"/>
                <w:lang w:val="fr-FR"/>
              </w:rPr>
              <w:t>38 (29.2%) patients with NAFLD met Rome IV IBS criteria</w:t>
            </w:r>
          </w:p>
        </w:tc>
        <w:tc>
          <w:tcPr>
            <w:tcW w:w="2509" w:type="dxa"/>
            <w:tcBorders>
              <w:bottom w:val="single" w:color="auto" w:sz="4" w:space="0"/>
            </w:tcBorders>
          </w:tcPr>
          <w:p>
            <w:pPr>
              <w:pStyle w:val="12"/>
              <w:spacing w:after="0" w:line="360" w:lineRule="auto"/>
              <w:ind w:left="0"/>
              <w:jc w:val="both"/>
              <w:rPr>
                <w:rFonts w:ascii="Book Antiqua" w:hAnsi="Book Antiqua" w:cs="Arial"/>
                <w:sz w:val="24"/>
                <w:szCs w:val="24"/>
              </w:rPr>
            </w:pPr>
            <w:r>
              <w:rPr>
                <w:rFonts w:ascii="Book Antiqua" w:hAnsi="Book Antiqua" w:cs="Arial"/>
                <w:sz w:val="24"/>
                <w:szCs w:val="24"/>
              </w:rPr>
              <w:t xml:space="preserve">High prevalence of IBS in patients with NAFLD; Significant increase in prevalence of depression (18.4% </w:t>
            </w:r>
            <w:r>
              <w:rPr>
                <w:rFonts w:ascii="Book Antiqua" w:hAnsi="Book Antiqua" w:cs="Arial"/>
                <w:i/>
                <w:iCs/>
                <w:sz w:val="24"/>
                <w:szCs w:val="24"/>
              </w:rPr>
              <w:t>vs</w:t>
            </w:r>
            <w:r>
              <w:rPr>
                <w:rFonts w:ascii="Book Antiqua" w:hAnsi="Book Antiqua" w:cs="Arial"/>
                <w:sz w:val="24"/>
                <w:szCs w:val="24"/>
              </w:rPr>
              <w:t xml:space="preserve"> 5.4%, </w:t>
            </w:r>
            <w:r>
              <w:rPr>
                <w:rFonts w:ascii="Book Antiqua" w:hAnsi="Book Antiqua" w:cs="Arial"/>
                <w:i/>
                <w:iCs/>
                <w:sz w:val="24"/>
                <w:szCs w:val="24"/>
              </w:rPr>
              <w:t xml:space="preserve">P </w:t>
            </w:r>
            <w:r>
              <w:rPr>
                <w:rFonts w:ascii="Book Antiqua" w:hAnsi="Book Antiqua" w:cs="Arial"/>
                <w:sz w:val="24"/>
                <w:szCs w:val="24"/>
              </w:rPr>
              <w:t xml:space="preserve">= 0.01) and anxiety (31.6% </w:t>
            </w:r>
            <w:r>
              <w:rPr>
                <w:rFonts w:ascii="Book Antiqua" w:hAnsi="Book Antiqua" w:cs="Arial"/>
                <w:i/>
                <w:iCs/>
                <w:sz w:val="24"/>
                <w:szCs w:val="24"/>
              </w:rPr>
              <w:t>vs</w:t>
            </w:r>
            <w:r>
              <w:rPr>
                <w:rFonts w:ascii="Book Antiqua" w:hAnsi="Book Antiqua" w:cs="Arial"/>
                <w:sz w:val="24"/>
                <w:szCs w:val="24"/>
              </w:rPr>
              <w:t xml:space="preserve"> 9.8%, </w:t>
            </w:r>
            <w:r>
              <w:rPr>
                <w:rFonts w:ascii="Book Antiqua" w:hAnsi="Book Antiqua" w:cs="Arial"/>
                <w:i/>
                <w:iCs/>
                <w:sz w:val="24"/>
                <w:szCs w:val="24"/>
              </w:rPr>
              <w:t xml:space="preserve">P </w:t>
            </w:r>
            <w:r>
              <w:rPr>
                <w:rFonts w:ascii="Book Antiqua" w:hAnsi="Book Antiqua" w:cs="Arial"/>
                <w:sz w:val="24"/>
                <w:szCs w:val="24"/>
              </w:rPr>
              <w:t xml:space="preserve">= 0.002) in those with co-existing IBS compared to those with NAFLD without IBS </w:t>
            </w:r>
          </w:p>
        </w:tc>
      </w:tr>
    </w:tbl>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r>
        <w:rPr>
          <w:rFonts w:ascii="Book Antiqua" w:hAnsi="Book Antiqua"/>
        </w:rPr>
        <w:t xml:space="preserve">IBS: Irritable bowel syndrome; NAFLD: Non-alcoholic fatty liver disease; IBS-C: Constipation predominant IBS; IBS-D: </w:t>
      </w:r>
      <w:r>
        <w:rPr>
          <w:rFonts w:ascii="Book Antiqua" w:hAnsi="Book Antiqua" w:cs="Arial"/>
        </w:rPr>
        <w:t>Diarrhoea predominant IBS</w:t>
      </w:r>
      <w:r>
        <w:rPr>
          <w:rFonts w:ascii="Book Antiqua" w:hAnsi="Book Antiqua"/>
        </w:rPr>
        <w:t xml:space="preserve">; IBS-M: Mixed IBS; IBS-U: Unsubtyped IBS; OR: Odds ratio; CI: Cumulative incidence; ALT: </w:t>
      </w:r>
      <w:r>
        <w:rPr>
          <w:rFonts w:ascii="Book Antiqua" w:hAnsi="Book Antiqua" w:cs="Arial"/>
        </w:rPr>
        <w:t>Alanine aminotransferase</w:t>
      </w:r>
      <w:r>
        <w:rPr>
          <w:rFonts w:ascii="Book Antiqua" w:hAnsi="Book Antiqua"/>
        </w:rPr>
        <w:t>; AST:</w:t>
      </w:r>
      <w:r>
        <w:t xml:space="preserve"> </w:t>
      </w:r>
      <w:r>
        <w:rPr>
          <w:rFonts w:ascii="Book Antiqua" w:hAnsi="Book Antiqua"/>
        </w:rPr>
        <w:t xml:space="preserve">Aspartate aminotransferase; GGT: </w:t>
      </w:r>
      <w:r>
        <w:rPr>
          <w:rFonts w:ascii="Book Antiqua" w:hAnsi="Book Antiqua" w:cs="Arial"/>
        </w:rPr>
        <w:t>Gamma-glutamyl transferase</w:t>
      </w:r>
      <w:r>
        <w:rPr>
          <w:rFonts w:ascii="Book Antiqua" w:hAnsi="Book Antiqua"/>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fldChar w:fldCharType="begin"/>
    </w:r>
    <w:r>
      <w:instrText xml:space="preserve">NUMPAGES  \* Arabic  \* MERGEFORMAT</w:instrText>
    </w:r>
    <w:r>
      <w:fldChar w:fldCharType="separate"/>
    </w:r>
    <w:r>
      <w:rPr>
        <w:rFonts w:ascii="Book Antiqua" w:hAnsi="Book Antiqua"/>
        <w:color w:val="000000" w:themeColor="text1"/>
        <w:sz w:val="24"/>
        <w:szCs w:val="24"/>
        <w:lang w:val="zh-CN" w:eastAsia="zh-CN"/>
        <w14:textFill>
          <w14:solidFill>
            <w14:schemeClr w14:val="tx1"/>
          </w14:solidFill>
        </w14:textFill>
      </w:rPr>
      <w:t>29</w:t>
    </w:r>
    <w:r>
      <w:rPr>
        <w:rFonts w:ascii="Book Antiqua" w:hAnsi="Book Antiqua"/>
        <w:color w:val="000000" w:themeColor="text1"/>
        <w:sz w:val="24"/>
        <w:szCs w:val="24"/>
        <w:lang w:val="zh-CN" w:eastAsia="zh-CN"/>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3A1"/>
    <w:rsid w:val="00017488"/>
    <w:rsid w:val="000C7F20"/>
    <w:rsid w:val="00110398"/>
    <w:rsid w:val="00194612"/>
    <w:rsid w:val="001B734B"/>
    <w:rsid w:val="001E2BE7"/>
    <w:rsid w:val="00212F37"/>
    <w:rsid w:val="00263039"/>
    <w:rsid w:val="00264762"/>
    <w:rsid w:val="00296460"/>
    <w:rsid w:val="002A2FFF"/>
    <w:rsid w:val="002E184B"/>
    <w:rsid w:val="002F73ED"/>
    <w:rsid w:val="00384E95"/>
    <w:rsid w:val="003D4380"/>
    <w:rsid w:val="00424324"/>
    <w:rsid w:val="00434C50"/>
    <w:rsid w:val="00446731"/>
    <w:rsid w:val="004A0869"/>
    <w:rsid w:val="004E0E09"/>
    <w:rsid w:val="00501287"/>
    <w:rsid w:val="00503822"/>
    <w:rsid w:val="00512688"/>
    <w:rsid w:val="00530AE9"/>
    <w:rsid w:val="00551ED5"/>
    <w:rsid w:val="005665A1"/>
    <w:rsid w:val="0061642F"/>
    <w:rsid w:val="006368D7"/>
    <w:rsid w:val="00650AE1"/>
    <w:rsid w:val="006A48B4"/>
    <w:rsid w:val="00720D20"/>
    <w:rsid w:val="007278AF"/>
    <w:rsid w:val="0073596D"/>
    <w:rsid w:val="00772D02"/>
    <w:rsid w:val="008432A0"/>
    <w:rsid w:val="00852A0D"/>
    <w:rsid w:val="0088741C"/>
    <w:rsid w:val="008D5CE6"/>
    <w:rsid w:val="0090345B"/>
    <w:rsid w:val="00965EAA"/>
    <w:rsid w:val="00966186"/>
    <w:rsid w:val="00A40E55"/>
    <w:rsid w:val="00A61080"/>
    <w:rsid w:val="00A77B3E"/>
    <w:rsid w:val="00AB20F0"/>
    <w:rsid w:val="00BC5F6A"/>
    <w:rsid w:val="00C05112"/>
    <w:rsid w:val="00C4177D"/>
    <w:rsid w:val="00C6761F"/>
    <w:rsid w:val="00CA2A55"/>
    <w:rsid w:val="00CC463F"/>
    <w:rsid w:val="00CE5D35"/>
    <w:rsid w:val="00CE5FD4"/>
    <w:rsid w:val="00D2432B"/>
    <w:rsid w:val="00D26C60"/>
    <w:rsid w:val="00D57CE2"/>
    <w:rsid w:val="00D84F15"/>
    <w:rsid w:val="00D91F91"/>
    <w:rsid w:val="00DB093F"/>
    <w:rsid w:val="00DD56B7"/>
    <w:rsid w:val="00DE759B"/>
    <w:rsid w:val="00E22ED2"/>
    <w:rsid w:val="00E75265"/>
    <w:rsid w:val="00EA106F"/>
    <w:rsid w:val="00EF04E8"/>
    <w:rsid w:val="00F53193"/>
    <w:rsid w:val="00FF3005"/>
    <w:rsid w:val="53DD1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autoSpaceDN w:val="0"/>
      <w:textAlignment w:val="baseline"/>
    </w:pPr>
    <w:rPr>
      <w:rFonts w:ascii="Calibri" w:hAnsi="Calibri" w:eastAsia="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uiPriority w:val="99"/>
    <w:rPr>
      <w:rFonts w:cs="Times New Roman"/>
      <w:color w:val="0000FF"/>
      <w:u w:val="single"/>
    </w:rPr>
  </w:style>
  <w:style w:type="character" w:customStyle="1" w:styleId="8">
    <w:name w:val="EndNote Bibliography Char"/>
    <w:basedOn w:val="6"/>
    <w:link w:val="9"/>
    <w:locked/>
    <w:uiPriority w:val="0"/>
    <w:rPr>
      <w:rFonts w:ascii="Calibri" w:hAnsi="Calibri" w:eastAsia="Calibri" w:cs="Calibri"/>
    </w:rPr>
  </w:style>
  <w:style w:type="paragraph" w:customStyle="1" w:styleId="9">
    <w:name w:val="EndNote Bibliography"/>
    <w:basedOn w:val="1"/>
    <w:link w:val="8"/>
    <w:uiPriority w:val="0"/>
    <w:pPr>
      <w:suppressAutoHyphens/>
      <w:autoSpaceDN w:val="0"/>
      <w:spacing w:after="200"/>
      <w:jc w:val="both"/>
    </w:pPr>
    <w:rPr>
      <w:rFonts w:ascii="Calibri" w:hAnsi="Calibri" w:eastAsia="Calibri" w:cs="Calibri"/>
      <w:sz w:val="20"/>
      <w:szCs w:val="20"/>
    </w:rPr>
  </w:style>
  <w:style w:type="character" w:customStyle="1" w:styleId="10">
    <w:name w:val="页眉 字符"/>
    <w:basedOn w:val="6"/>
    <w:link w:val="3"/>
    <w:uiPriority w:val="0"/>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link w:val="13"/>
    <w:qFormat/>
    <w:uiPriority w:val="0"/>
    <w:pPr>
      <w:suppressAutoHyphens/>
      <w:autoSpaceDN w:val="0"/>
      <w:spacing w:after="200" w:line="276" w:lineRule="auto"/>
      <w:ind w:left="720"/>
      <w:textAlignment w:val="baseline"/>
    </w:pPr>
    <w:rPr>
      <w:rFonts w:ascii="Calibri" w:hAnsi="Calibri" w:eastAsia="Calibri"/>
      <w:sz w:val="22"/>
      <w:szCs w:val="22"/>
      <w:lang w:val="en-GB"/>
    </w:rPr>
  </w:style>
  <w:style w:type="character" w:customStyle="1" w:styleId="13">
    <w:name w:val="列表段落 字符"/>
    <w:basedOn w:val="6"/>
    <w:link w:val="12"/>
    <w:uiPriority w:val="0"/>
    <w:rPr>
      <w:rFonts w:ascii="Calibri" w:hAnsi="Calibri" w:eastAsia="Calibri"/>
      <w:sz w:val="22"/>
      <w:szCs w:val="22"/>
      <w:lang w:val="en-GB"/>
    </w:r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5">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4ACD1-A2B1-4081-B8C1-D005EE222BE6}">
  <ds:schemaRefs/>
</ds:datastoreItem>
</file>

<file path=docProps/app.xml><?xml version="1.0" encoding="utf-8"?>
<Properties xmlns="http://schemas.openxmlformats.org/officeDocument/2006/extended-properties" xmlns:vt="http://schemas.openxmlformats.org/officeDocument/2006/docPropsVTypes">
  <Template>Normal</Template>
  <Company>University of Manchester [work-at-home copy]</Company>
  <Pages>29</Pages>
  <Words>7484</Words>
  <Characters>42662</Characters>
  <Lines>355</Lines>
  <Paragraphs>100</Paragraphs>
  <TotalTime>0</TotalTime>
  <ScaleCrop>false</ScaleCrop>
  <LinksUpToDate>false</LinksUpToDate>
  <CharactersWithSpaces>50046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2021-10-27T17:53:00Z</dcterms:created>
  <dc:creator>Dipesh vasant</dc:creator>
  <cp:lastModifiedBy>晓晨</cp:lastModifiedBy>
  <dcterms:modified xsi:type="dcterms:W3CDTF">2021-12-22T10:40:39Z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4308425D3532442B94E292932AA8FF7F</vt:lpwstr>
  </property>
</Properties>
</file>