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B286"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t xml:space="preserve">Name of Journal: </w:t>
      </w:r>
      <w:r w:rsidRPr="00BD6AF7">
        <w:rPr>
          <w:rFonts w:ascii="Book Antiqua" w:eastAsia="Book Antiqua" w:hAnsi="Book Antiqua" w:cs="Book Antiqua"/>
          <w:i/>
          <w:color w:val="000000"/>
        </w:rPr>
        <w:t>World Journal of Hepatology</w:t>
      </w:r>
    </w:p>
    <w:p w14:paraId="19CC9839"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t xml:space="preserve">Manuscript NO: </w:t>
      </w:r>
      <w:r w:rsidRPr="00BD6AF7">
        <w:rPr>
          <w:rFonts w:ascii="Book Antiqua" w:eastAsia="Book Antiqua" w:hAnsi="Book Antiqua" w:cs="Book Antiqua"/>
          <w:color w:val="000000"/>
        </w:rPr>
        <w:t>67173</w:t>
      </w:r>
    </w:p>
    <w:p w14:paraId="58F87881"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t xml:space="preserve">Manuscript Type: </w:t>
      </w:r>
      <w:r w:rsidRPr="00BD6AF7">
        <w:rPr>
          <w:rFonts w:ascii="Book Antiqua" w:eastAsia="Book Antiqua" w:hAnsi="Book Antiqua" w:cs="Book Antiqua"/>
          <w:color w:val="000000"/>
        </w:rPr>
        <w:t>ORIGINAL ARTICLE</w:t>
      </w:r>
    </w:p>
    <w:p w14:paraId="4F33D6BD" w14:textId="77777777" w:rsidR="004E296F" w:rsidRPr="00BD6AF7" w:rsidRDefault="004E296F" w:rsidP="00BD6AF7">
      <w:pPr>
        <w:spacing w:line="360" w:lineRule="auto"/>
        <w:jc w:val="both"/>
        <w:rPr>
          <w:rFonts w:ascii="Book Antiqua" w:eastAsia="Book Antiqua" w:hAnsi="Book Antiqua" w:cs="Book Antiqua"/>
        </w:rPr>
      </w:pPr>
    </w:p>
    <w:p w14:paraId="12C1DD64"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i/>
          <w:color w:val="000000"/>
        </w:rPr>
        <w:t>Case Control Study</w:t>
      </w:r>
    </w:p>
    <w:p w14:paraId="3256F8CE"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t>Circulating microRNA 9-3p and serum endocan as potential biomarkers for hepatitis C virus-related hepatocellular carcinoma</w:t>
      </w:r>
    </w:p>
    <w:p w14:paraId="4D93C882" w14:textId="77777777" w:rsidR="004E296F" w:rsidRPr="00BD6AF7" w:rsidRDefault="004E296F" w:rsidP="00BD6AF7">
      <w:pPr>
        <w:spacing w:line="360" w:lineRule="auto"/>
        <w:jc w:val="both"/>
        <w:rPr>
          <w:rFonts w:ascii="Book Antiqua" w:eastAsia="Book Antiqua" w:hAnsi="Book Antiqua" w:cs="Book Antiqua"/>
        </w:rPr>
      </w:pPr>
    </w:p>
    <w:p w14:paraId="397FFC9E"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Wahb A </w:t>
      </w:r>
      <w:r w:rsidRPr="00BD6AF7">
        <w:rPr>
          <w:rFonts w:ascii="Book Antiqua" w:eastAsia="Book Antiqua" w:hAnsi="Book Antiqua" w:cs="Book Antiqua"/>
          <w:i/>
          <w:color w:val="000000"/>
        </w:rPr>
        <w:t>et al</w:t>
      </w:r>
      <w:r w:rsidRPr="00BD6AF7">
        <w:rPr>
          <w:rFonts w:ascii="Book Antiqua" w:eastAsia="Book Antiqua" w:hAnsi="Book Antiqua" w:cs="Book Antiqua"/>
          <w:color w:val="000000"/>
        </w:rPr>
        <w:t>.</w:t>
      </w:r>
      <w:r w:rsidRPr="00BD6AF7">
        <w:rPr>
          <w:rFonts w:ascii="Book Antiqua" w:hAnsi="Book Antiqua"/>
          <w:color w:val="000000"/>
        </w:rPr>
        <w:t xml:space="preserve"> </w:t>
      </w:r>
      <w:r w:rsidRPr="00BD6AF7">
        <w:rPr>
          <w:rFonts w:ascii="Book Antiqua" w:eastAsia="Book Antiqua" w:hAnsi="Book Antiqua" w:cs="Book Antiqua"/>
          <w:color w:val="000000"/>
        </w:rPr>
        <w:t>microRNA 9-3p and endocan in HCC</w:t>
      </w:r>
    </w:p>
    <w:p w14:paraId="7E0B079F" w14:textId="77777777" w:rsidR="004E296F" w:rsidRPr="00BD6AF7" w:rsidRDefault="004E296F" w:rsidP="00BD6AF7">
      <w:pPr>
        <w:spacing w:line="360" w:lineRule="auto"/>
        <w:jc w:val="both"/>
        <w:rPr>
          <w:rFonts w:ascii="Book Antiqua" w:eastAsia="Book Antiqua" w:hAnsi="Book Antiqua" w:cs="Book Antiqua"/>
        </w:rPr>
      </w:pPr>
    </w:p>
    <w:p w14:paraId="083050E2"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Amany Mohamed Salah Eldin Wahb, Mohamed El Kassas, Ahmed Kamal Khamis, Mostafa Elhelbawy, Nesreen Elhelbawy, Mona Salah Eldin Habieb</w:t>
      </w:r>
    </w:p>
    <w:p w14:paraId="409B93CA" w14:textId="77777777" w:rsidR="004E296F" w:rsidRPr="00BD6AF7" w:rsidRDefault="004E296F" w:rsidP="00BD6AF7">
      <w:pPr>
        <w:spacing w:line="360" w:lineRule="auto"/>
        <w:jc w:val="both"/>
        <w:rPr>
          <w:rFonts w:ascii="Book Antiqua" w:eastAsia="Book Antiqua" w:hAnsi="Book Antiqua" w:cs="Book Antiqua"/>
        </w:rPr>
      </w:pPr>
    </w:p>
    <w:p w14:paraId="2B81943C"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t xml:space="preserve">Amany Mohamed Salah Eldin Wahb, </w:t>
      </w:r>
      <w:r w:rsidRPr="00BD6AF7">
        <w:rPr>
          <w:rFonts w:ascii="Book Antiqua" w:eastAsia="Book Antiqua" w:hAnsi="Book Antiqua" w:cs="Book Antiqua"/>
          <w:color w:val="000000"/>
        </w:rPr>
        <w:t>Department of Medical Biochemistry and Molecular Biology, Faculty of Medicine, Helwan University, Cairo 11795, Egypt</w:t>
      </w:r>
    </w:p>
    <w:p w14:paraId="25209232" w14:textId="77777777" w:rsidR="004E296F" w:rsidRPr="00BD6AF7" w:rsidRDefault="004E296F" w:rsidP="00BD6AF7">
      <w:pPr>
        <w:spacing w:line="360" w:lineRule="auto"/>
        <w:jc w:val="both"/>
        <w:rPr>
          <w:rFonts w:ascii="Book Antiqua" w:eastAsia="Book Antiqua" w:hAnsi="Book Antiqua" w:cs="Book Antiqua"/>
        </w:rPr>
      </w:pPr>
    </w:p>
    <w:p w14:paraId="6D955E2E"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t xml:space="preserve">Mohamed El Kassas, </w:t>
      </w:r>
      <w:r w:rsidRPr="00BD6AF7">
        <w:rPr>
          <w:rFonts w:ascii="Book Antiqua" w:eastAsia="Book Antiqua" w:hAnsi="Book Antiqua" w:cs="Book Antiqua"/>
          <w:color w:val="000000"/>
        </w:rPr>
        <w:t>Department of Endemic Medicine, Faculty of Medicine, Helwan University, Cairo 11795, Egypt</w:t>
      </w:r>
    </w:p>
    <w:p w14:paraId="164AF8A2" w14:textId="77777777" w:rsidR="004E296F" w:rsidRPr="00BD6AF7" w:rsidRDefault="004E296F" w:rsidP="00BD6AF7">
      <w:pPr>
        <w:spacing w:line="360" w:lineRule="auto"/>
        <w:jc w:val="both"/>
        <w:rPr>
          <w:rFonts w:ascii="Book Antiqua" w:eastAsia="Book Antiqua" w:hAnsi="Book Antiqua" w:cs="Book Antiqua"/>
        </w:rPr>
      </w:pPr>
    </w:p>
    <w:p w14:paraId="5531244F"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t xml:space="preserve">Ahmed Kamal Khamis, Mostafa Elhelbawy, </w:t>
      </w:r>
      <w:r w:rsidRPr="00BD6AF7">
        <w:rPr>
          <w:rFonts w:ascii="Book Antiqua" w:eastAsia="Book Antiqua" w:hAnsi="Book Antiqua" w:cs="Book Antiqua"/>
          <w:color w:val="000000"/>
        </w:rPr>
        <w:t>Department of Hepatology and Gastroenterology, National Liver Institute, Menoufia University, Shebin Elkom 32512, Menoufia, Egypt</w:t>
      </w:r>
    </w:p>
    <w:p w14:paraId="594AD326" w14:textId="77777777" w:rsidR="004E296F" w:rsidRPr="00BD6AF7" w:rsidRDefault="004E296F" w:rsidP="00BD6AF7">
      <w:pPr>
        <w:spacing w:line="360" w:lineRule="auto"/>
        <w:jc w:val="both"/>
        <w:rPr>
          <w:rFonts w:ascii="Book Antiqua" w:eastAsia="Book Antiqua" w:hAnsi="Book Antiqua" w:cs="Book Antiqua"/>
        </w:rPr>
      </w:pPr>
    </w:p>
    <w:p w14:paraId="26933A97"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t xml:space="preserve">Nesreen Elhelbawy, Mona Salah Eldin Habieb, </w:t>
      </w:r>
      <w:r w:rsidRPr="00BD6AF7">
        <w:rPr>
          <w:rFonts w:ascii="Book Antiqua" w:eastAsia="Book Antiqua" w:hAnsi="Book Antiqua" w:cs="Book Antiqua"/>
          <w:color w:val="000000"/>
        </w:rPr>
        <w:t>Department of Medical Biochemistry and Molecular Biology, Faculty of Medicine, Menoufia University, Shebin Elkoum 3511, Egypt</w:t>
      </w:r>
    </w:p>
    <w:p w14:paraId="793B67E7" w14:textId="77777777" w:rsidR="004E296F" w:rsidRPr="00BD6AF7" w:rsidRDefault="004E296F" w:rsidP="00BD6AF7">
      <w:pPr>
        <w:spacing w:line="360" w:lineRule="auto"/>
        <w:jc w:val="both"/>
        <w:rPr>
          <w:rFonts w:ascii="Book Antiqua" w:eastAsia="Book Antiqua" w:hAnsi="Book Antiqua" w:cs="Book Antiqua"/>
        </w:rPr>
      </w:pPr>
    </w:p>
    <w:p w14:paraId="770DF9D5" w14:textId="193352C4"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t xml:space="preserve">Author contributions: </w:t>
      </w:r>
      <w:r w:rsidRPr="00BD6AF7">
        <w:rPr>
          <w:rFonts w:ascii="Book Antiqua" w:eastAsia="Book Antiqua" w:hAnsi="Book Antiqua" w:cs="Book Antiqua"/>
          <w:color w:val="000000"/>
        </w:rPr>
        <w:t xml:space="preserve">Wahb A designed the research; Wahb A and Habieb M performed the laboratory work, performed the RT-qPCR work and drafted the manuscript; El Kassas M, Khamis A and Elhelbawy M performed the case selection and the clinical and </w:t>
      </w:r>
      <w:r w:rsidRPr="00BD6AF7">
        <w:rPr>
          <w:rFonts w:ascii="Book Antiqua" w:eastAsia="Book Antiqua" w:hAnsi="Book Antiqua" w:cs="Book Antiqua"/>
          <w:color w:val="000000"/>
        </w:rPr>
        <w:lastRenderedPageBreak/>
        <w:t xml:space="preserve">radiological evaluations; Habieb M supplied reagents; Elhelbawy N performed the data analysis, biological parameter assessment and performed the RT-qPCR work; all authors contributed equally to the manuscript drafting and revision; </w:t>
      </w:r>
      <w:r w:rsidR="00203887">
        <w:rPr>
          <w:rFonts w:ascii="Book Antiqua" w:eastAsia="Book Antiqua" w:hAnsi="Book Antiqua" w:cs="Book Antiqua"/>
          <w:color w:val="000000"/>
        </w:rPr>
        <w:t>A</w:t>
      </w:r>
      <w:r w:rsidRPr="00BD6AF7">
        <w:rPr>
          <w:rFonts w:ascii="Book Antiqua" w:eastAsia="Book Antiqua" w:hAnsi="Book Antiqua" w:cs="Book Antiqua"/>
          <w:color w:val="000000"/>
        </w:rPr>
        <w:t>ll authors approved the final version of the manuscript.</w:t>
      </w:r>
    </w:p>
    <w:p w14:paraId="6E365663" w14:textId="77777777" w:rsidR="004E296F" w:rsidRPr="00BD6AF7" w:rsidRDefault="004E296F" w:rsidP="00BD6AF7">
      <w:pPr>
        <w:spacing w:line="360" w:lineRule="auto"/>
        <w:jc w:val="both"/>
        <w:rPr>
          <w:rFonts w:ascii="Book Antiqua" w:eastAsia="Book Antiqua" w:hAnsi="Book Antiqua" w:cs="Book Antiqua"/>
        </w:rPr>
      </w:pPr>
    </w:p>
    <w:p w14:paraId="359D1777"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t xml:space="preserve">Corresponding author: Mohamed El Kassas, MD, Associate Professor, </w:t>
      </w:r>
      <w:r w:rsidRPr="00BD6AF7">
        <w:rPr>
          <w:rFonts w:ascii="Book Antiqua" w:eastAsia="Book Antiqua" w:hAnsi="Book Antiqua" w:cs="Book Antiqua"/>
          <w:color w:val="000000"/>
        </w:rPr>
        <w:t>Department of Endemic Medicine, Faculty of Medicine, Helwan University, Ain Helwan, Cairo 11795, Egypt. m_elkassas@hq.helwan.edu.eg</w:t>
      </w:r>
    </w:p>
    <w:p w14:paraId="669A01AD" w14:textId="77777777" w:rsidR="004E296F" w:rsidRPr="00BD6AF7" w:rsidRDefault="004E296F" w:rsidP="00BD6AF7">
      <w:pPr>
        <w:spacing w:line="360" w:lineRule="auto"/>
        <w:jc w:val="both"/>
        <w:rPr>
          <w:rFonts w:ascii="Book Antiqua" w:eastAsia="Book Antiqua" w:hAnsi="Book Antiqua" w:cs="Book Antiqua"/>
        </w:rPr>
      </w:pPr>
    </w:p>
    <w:p w14:paraId="3D3F34B2"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t xml:space="preserve">Received: </w:t>
      </w:r>
      <w:r w:rsidRPr="00BD6AF7">
        <w:rPr>
          <w:rFonts w:ascii="Book Antiqua" w:eastAsia="Book Antiqua" w:hAnsi="Book Antiqua" w:cs="Book Antiqua"/>
          <w:color w:val="000000"/>
        </w:rPr>
        <w:t>April 16, 2021</w:t>
      </w:r>
    </w:p>
    <w:p w14:paraId="3CD56B41"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t>Revised:</w:t>
      </w:r>
      <w:r w:rsidRPr="00BD6AF7">
        <w:rPr>
          <w:rFonts w:ascii="Book Antiqua" w:eastAsia="Book Antiqua" w:hAnsi="Book Antiqua" w:cs="Book Antiqua"/>
          <w:color w:val="000000"/>
        </w:rPr>
        <w:t xml:space="preserve"> July 2, 2021</w:t>
      </w:r>
    </w:p>
    <w:p w14:paraId="6280673D"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t xml:space="preserve">Accepted: </w:t>
      </w:r>
      <w:r w:rsidRPr="00BD6AF7">
        <w:rPr>
          <w:rFonts w:ascii="Book Antiqua" w:eastAsia="Book Antiqua" w:hAnsi="Book Antiqua" w:cs="Book Antiqua"/>
          <w:color w:val="000000"/>
        </w:rPr>
        <w:t>September 1, 2021</w:t>
      </w:r>
    </w:p>
    <w:p w14:paraId="73058C10" w14:textId="77777777" w:rsidR="004E296F" w:rsidRPr="00BD6AF7" w:rsidRDefault="00703776" w:rsidP="00BD6AF7">
      <w:pPr>
        <w:spacing w:line="360" w:lineRule="auto"/>
        <w:jc w:val="both"/>
        <w:rPr>
          <w:rFonts w:ascii="Book Antiqua" w:eastAsia="Book Antiqua" w:hAnsi="Book Antiqua" w:cs="Book Antiqua"/>
        </w:rPr>
        <w:sectPr w:rsidR="004E296F" w:rsidRPr="00BD6AF7">
          <w:footerReference w:type="default" r:id="rId6"/>
          <w:pgSz w:w="12240" w:h="15840"/>
          <w:pgMar w:top="1440" w:right="1440" w:bottom="1440" w:left="1440" w:header="720" w:footer="720" w:gutter="0"/>
          <w:pgNumType w:start="1"/>
          <w:cols w:space="720"/>
        </w:sectPr>
      </w:pPr>
      <w:r w:rsidRPr="00BD6AF7">
        <w:rPr>
          <w:rFonts w:ascii="Book Antiqua" w:eastAsia="Book Antiqua" w:hAnsi="Book Antiqua" w:cs="Book Antiqua"/>
          <w:b/>
          <w:color w:val="000000"/>
        </w:rPr>
        <w:t xml:space="preserve">Published online: </w:t>
      </w:r>
    </w:p>
    <w:p w14:paraId="36DB3A26"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lastRenderedPageBreak/>
        <w:t>Abstract</w:t>
      </w:r>
    </w:p>
    <w:p w14:paraId="135292DB"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BACKGROUND</w:t>
      </w:r>
    </w:p>
    <w:p w14:paraId="61D8A73C" w14:textId="4B3DDC6E"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The high mortality rate of hepatocellular carcinoma (HCC) in Egypt is due mainly to the increasing prevalence of hepatitis C virus infection (H</w:t>
      </w:r>
      <w:r w:rsidR="00BD6AF7">
        <w:rPr>
          <w:rFonts w:ascii="Book Antiqua" w:eastAsia="Book Antiqua" w:hAnsi="Book Antiqua" w:cs="Book Antiqua"/>
          <w:color w:val="000000"/>
        </w:rPr>
        <w:t>C</w:t>
      </w:r>
      <w:r w:rsidRPr="00BD6AF7">
        <w:rPr>
          <w:rFonts w:ascii="Book Antiqua" w:eastAsia="Book Antiqua" w:hAnsi="Book Antiqua" w:cs="Book Antiqua"/>
          <w:color w:val="000000"/>
        </w:rPr>
        <w:t>V) and late diagnosis of the carcinoma. MicroRNAs</w:t>
      </w:r>
      <w:r w:rsidR="00C4797D">
        <w:rPr>
          <w:rFonts w:ascii="Book Antiqua" w:eastAsia="Book Antiqua" w:hAnsi="Book Antiqua" w:cs="Book Antiqua"/>
          <w:color w:val="000000"/>
        </w:rPr>
        <w:t xml:space="preserve"> (miRNA)</w:t>
      </w:r>
      <w:r w:rsidRPr="00BD6AF7">
        <w:rPr>
          <w:rFonts w:ascii="Book Antiqua" w:eastAsia="Book Antiqua" w:hAnsi="Book Antiqua" w:cs="Book Antiqua"/>
          <w:color w:val="000000"/>
        </w:rPr>
        <w:t>, which regulate tumor proliferation and metastasis in HCC</w:t>
      </w:r>
      <w:r w:rsidR="00BD6AF7">
        <w:rPr>
          <w:rFonts w:ascii="Book Antiqua" w:eastAsia="Book Antiqua" w:hAnsi="Book Antiqua" w:cs="Book Antiqua"/>
          <w:color w:val="000000"/>
        </w:rPr>
        <w:t>,</w:t>
      </w:r>
      <w:r w:rsidRPr="00BD6AF7">
        <w:rPr>
          <w:rFonts w:ascii="Book Antiqua" w:eastAsia="Book Antiqua" w:hAnsi="Book Antiqua" w:cs="Book Antiqua"/>
          <w:color w:val="000000"/>
        </w:rPr>
        <w:t xml:space="preserve"> may serve as a useful diagnostic approach for the early detection of HCC, thus decreasing its mortality. Meanwhile, endocan is a protein with angiogenic and inflammatory properties that are associated with tumor progression and poor outcomes. </w:t>
      </w:r>
    </w:p>
    <w:p w14:paraId="4F94942B" w14:textId="77777777" w:rsidR="004E296F" w:rsidRPr="00BD6AF7" w:rsidRDefault="004E296F" w:rsidP="00BD6AF7">
      <w:pPr>
        <w:spacing w:line="360" w:lineRule="auto"/>
        <w:jc w:val="both"/>
        <w:rPr>
          <w:rFonts w:ascii="Book Antiqua" w:eastAsia="Book Antiqua" w:hAnsi="Book Antiqua" w:cs="Book Antiqua"/>
        </w:rPr>
      </w:pPr>
    </w:p>
    <w:p w14:paraId="12051AA1"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AIM</w:t>
      </w:r>
    </w:p>
    <w:p w14:paraId="68DB4044" w14:textId="32440916"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To analyze the levels of miRNA 9-3p and endocan</w:t>
      </w:r>
      <w:r w:rsidRPr="00BD6AF7">
        <w:rPr>
          <w:rFonts w:ascii="Book Antiqua" w:eastAsia="Book Antiqua" w:hAnsi="Book Antiqua" w:cs="Book Antiqua"/>
          <w:b/>
          <w:color w:val="000000"/>
        </w:rPr>
        <w:t xml:space="preserve"> </w:t>
      </w:r>
      <w:r w:rsidRPr="00BD6AF7">
        <w:rPr>
          <w:rFonts w:ascii="Book Antiqua" w:eastAsia="Book Antiqua" w:hAnsi="Book Antiqua" w:cs="Book Antiqua"/>
          <w:color w:val="000000"/>
        </w:rPr>
        <w:t>in HCV</w:t>
      </w:r>
      <w:r w:rsidR="00BD6AF7">
        <w:rPr>
          <w:rFonts w:ascii="Book Antiqua" w:eastAsia="Book Antiqua" w:hAnsi="Book Antiqua" w:cs="Book Antiqua"/>
          <w:color w:val="000000"/>
        </w:rPr>
        <w:t>-</w:t>
      </w:r>
      <w:r w:rsidRPr="00BD6AF7">
        <w:rPr>
          <w:rFonts w:ascii="Book Antiqua" w:eastAsia="Book Antiqua" w:hAnsi="Book Antiqua" w:cs="Book Antiqua"/>
          <w:color w:val="000000"/>
        </w:rPr>
        <w:t>infected HCC patients and correlate them with clinicopathological parameters.</w:t>
      </w:r>
    </w:p>
    <w:p w14:paraId="3E3D703B" w14:textId="77777777" w:rsidR="004E296F" w:rsidRPr="00BD6AF7" w:rsidRDefault="004E296F" w:rsidP="00BD6AF7">
      <w:pPr>
        <w:spacing w:line="360" w:lineRule="auto"/>
        <w:jc w:val="both"/>
        <w:rPr>
          <w:rFonts w:ascii="Book Antiqua" w:eastAsia="Book Antiqua" w:hAnsi="Book Antiqua" w:cs="Book Antiqua"/>
        </w:rPr>
      </w:pPr>
    </w:p>
    <w:p w14:paraId="5607671E"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METHODS</w:t>
      </w:r>
    </w:p>
    <w:p w14:paraId="750BC203" w14:textId="0AAC6011"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We compared levels of endocan and circulating miRNA 9-3p from 35 HCV-related HCC patients to 33 patients with HCV-induced chronic liver disease and 32 age and gender matched healthy controls recruited from inpatient and outpatient clinics of the National Liver Institute, Menoufia University, Egypt in the period from January to March 2021 in </w:t>
      </w:r>
      <w:r w:rsidR="00BD6AF7">
        <w:rPr>
          <w:rFonts w:ascii="Book Antiqua" w:eastAsia="Book Antiqua" w:hAnsi="Book Antiqua" w:cs="Book Antiqua"/>
          <w:color w:val="000000"/>
        </w:rPr>
        <w:t xml:space="preserve">a </w:t>
      </w:r>
      <w:r w:rsidRPr="00BD6AF7">
        <w:rPr>
          <w:rFonts w:ascii="Book Antiqua" w:eastAsia="Book Antiqua" w:hAnsi="Book Antiqua" w:cs="Book Antiqua"/>
          <w:color w:val="000000"/>
        </w:rPr>
        <w:t>case-control study. Serum samples from all groups were analyzed for HCV. Endocan was measured by enzyme-linked immunosorbent assays</w:t>
      </w:r>
      <w:r w:rsidR="00BD6AF7">
        <w:rPr>
          <w:rFonts w:ascii="Book Antiqua" w:eastAsia="Book Antiqua" w:hAnsi="Book Antiqua" w:cs="Book Antiqua"/>
          <w:color w:val="000000"/>
        </w:rPr>
        <w:t>,</w:t>
      </w:r>
      <w:r w:rsidRPr="00BD6AF7">
        <w:rPr>
          <w:rFonts w:ascii="Book Antiqua" w:eastAsia="Book Antiqua" w:hAnsi="Book Antiqua" w:cs="Book Antiqua"/>
          <w:color w:val="000000"/>
        </w:rPr>
        <w:t xml:space="preserve"> and the expression levels of circulating miRNA 9-3p were measured by real-time quantitative </w:t>
      </w:r>
      <w:r w:rsidR="00BD6AF7">
        <w:rPr>
          <w:rFonts w:ascii="Book Antiqua" w:eastAsia="Book Antiqua" w:hAnsi="Book Antiqua" w:cs="Book Antiqua"/>
          <w:color w:val="000000"/>
        </w:rPr>
        <w:t xml:space="preserve">reverse transcriptase </w:t>
      </w:r>
      <w:r w:rsidRPr="00BD6AF7">
        <w:rPr>
          <w:rFonts w:ascii="Book Antiqua" w:eastAsia="Book Antiqua" w:hAnsi="Book Antiqua" w:cs="Book Antiqua"/>
          <w:color w:val="000000"/>
        </w:rPr>
        <w:t>PCR.</w:t>
      </w:r>
    </w:p>
    <w:p w14:paraId="5F1EDE4E" w14:textId="77777777" w:rsidR="004E296F" w:rsidRPr="00BD6AF7" w:rsidRDefault="004E296F" w:rsidP="00BD6AF7">
      <w:pPr>
        <w:spacing w:line="360" w:lineRule="auto"/>
        <w:jc w:val="both"/>
        <w:rPr>
          <w:rFonts w:ascii="Book Antiqua" w:eastAsia="Book Antiqua" w:hAnsi="Book Antiqua" w:cs="Book Antiqua"/>
        </w:rPr>
      </w:pPr>
    </w:p>
    <w:p w14:paraId="3E4341DC"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RESULTS</w:t>
      </w:r>
    </w:p>
    <w:p w14:paraId="35426180" w14:textId="0D1F3AF2"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The levels of circulating miRNA 9-3p were significantly lower in the HCC group compared to the chronic liver disease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 and control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 groups</w:t>
      </w:r>
      <w:r w:rsidR="00BD6AF7">
        <w:rPr>
          <w:rFonts w:ascii="Book Antiqua" w:eastAsia="Book Antiqua" w:hAnsi="Book Antiqua" w:cs="Book Antiqua"/>
          <w:color w:val="000000"/>
        </w:rPr>
        <w:t>,</w:t>
      </w:r>
      <w:r w:rsidRPr="00BD6AF7">
        <w:rPr>
          <w:rFonts w:ascii="Book Antiqua" w:eastAsia="Book Antiqua" w:hAnsi="Book Antiqua" w:cs="Book Antiqua"/>
          <w:color w:val="000000"/>
        </w:rPr>
        <w:t xml:space="preserve"> while levels in the chronic liver disease were significantly lower than those in the control group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 </w:t>
      </w:r>
      <w:r w:rsidR="00BD6AF7">
        <w:rPr>
          <w:rFonts w:ascii="Book Antiqua" w:eastAsia="Book Antiqua" w:hAnsi="Book Antiqua" w:cs="Book Antiqua"/>
          <w:color w:val="000000"/>
        </w:rPr>
        <w:t>T</w:t>
      </w:r>
      <w:r w:rsidRPr="00BD6AF7">
        <w:rPr>
          <w:rFonts w:ascii="Book Antiqua" w:eastAsia="Book Antiqua" w:hAnsi="Book Antiqua" w:cs="Book Antiqua"/>
          <w:color w:val="000000"/>
        </w:rPr>
        <w:t>he levels of serum endocan were significantly higher in the HCC group compared to the chronic liver disease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 and control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 groups. Moreover miRNA 9-3p and endocan performed better than α-fetoprotein in discriminating HCC </w:t>
      </w:r>
      <w:r w:rsidRPr="00BD6AF7">
        <w:rPr>
          <w:rFonts w:ascii="Book Antiqua" w:eastAsia="Book Antiqua" w:hAnsi="Book Antiqua" w:cs="Book Antiqua"/>
          <w:color w:val="000000"/>
        </w:rPr>
        <w:lastRenderedPageBreak/>
        <w:t xml:space="preserve">patients from cirrhosis and healthy patients. The levels of miRNA 9-3p </w:t>
      </w:r>
      <w:r w:rsidR="00BD6AF7">
        <w:rPr>
          <w:rFonts w:ascii="Book Antiqua" w:eastAsia="Book Antiqua" w:hAnsi="Book Antiqua" w:cs="Book Antiqua"/>
          <w:color w:val="000000"/>
        </w:rPr>
        <w:t>we</w:t>
      </w:r>
      <w:r w:rsidRPr="00BD6AF7">
        <w:rPr>
          <w:rFonts w:ascii="Book Antiqua" w:eastAsia="Book Antiqua" w:hAnsi="Book Antiqua" w:cs="Book Antiqua"/>
          <w:color w:val="000000"/>
        </w:rPr>
        <w:t>re significantly inversely correlated to vascular invasion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 0.002), stage of advancement of Barcelona Clinical Liver Cancer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w:t>
      </w:r>
      <w:r w:rsidR="00BD6AF7">
        <w:rPr>
          <w:rFonts w:ascii="Book Antiqua" w:eastAsia="Book Antiqua" w:hAnsi="Book Antiqua" w:cs="Book Antiqua"/>
          <w:color w:val="000000"/>
        </w:rPr>
        <w:t>)</w:t>
      </w:r>
      <w:r w:rsidRPr="00BD6AF7">
        <w:rPr>
          <w:rFonts w:ascii="Book Antiqua" w:eastAsia="Book Antiqua" w:hAnsi="Book Antiqua" w:cs="Book Antiqua"/>
          <w:color w:val="000000"/>
        </w:rPr>
        <w:t xml:space="preserve"> and the metastatic site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 of the HCC group.</w:t>
      </w:r>
    </w:p>
    <w:p w14:paraId="4EA33767" w14:textId="77777777" w:rsidR="004E296F" w:rsidRPr="00BD6AF7" w:rsidRDefault="004E296F" w:rsidP="00BD6AF7">
      <w:pPr>
        <w:spacing w:line="360" w:lineRule="auto"/>
        <w:jc w:val="both"/>
        <w:rPr>
          <w:rFonts w:ascii="Book Antiqua" w:eastAsia="Book Antiqua" w:hAnsi="Book Antiqua" w:cs="Book Antiqua"/>
        </w:rPr>
      </w:pPr>
    </w:p>
    <w:p w14:paraId="66914454"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CONCLUSION</w:t>
      </w:r>
    </w:p>
    <w:p w14:paraId="6DF74984" w14:textId="02250918"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Circulating miRNA 9-3p and endocan can be used as novel biomarkers for the early diagnosis of HCV-related HCC. </w:t>
      </w:r>
    </w:p>
    <w:p w14:paraId="42CC4896" w14:textId="77777777" w:rsidR="004E296F" w:rsidRPr="00BD6AF7" w:rsidRDefault="004E296F" w:rsidP="00BD6AF7">
      <w:pPr>
        <w:spacing w:line="360" w:lineRule="auto"/>
        <w:jc w:val="both"/>
        <w:rPr>
          <w:rFonts w:ascii="Book Antiqua" w:eastAsia="Book Antiqua" w:hAnsi="Book Antiqua" w:cs="Book Antiqua"/>
        </w:rPr>
      </w:pPr>
    </w:p>
    <w:p w14:paraId="3209713E" w14:textId="61DA9384"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t xml:space="preserve">Key Words: </w:t>
      </w:r>
      <w:r w:rsidR="00203887">
        <w:rPr>
          <w:rFonts w:ascii="Book Antiqua" w:eastAsia="Book Antiqua" w:hAnsi="Book Antiqua" w:cs="Book Antiqua"/>
          <w:color w:val="000000"/>
        </w:rPr>
        <w:t>M</w:t>
      </w:r>
      <w:r w:rsidRPr="00BD6AF7">
        <w:rPr>
          <w:rFonts w:ascii="Book Antiqua" w:eastAsia="Book Antiqua" w:hAnsi="Book Antiqua" w:cs="Book Antiqua"/>
          <w:color w:val="000000"/>
        </w:rPr>
        <w:t>icroRNA 9-3p; Hepatocellular carcinoma; Endocan; Diagnostic; Biomarker; Egypt</w:t>
      </w:r>
    </w:p>
    <w:p w14:paraId="2F4A2DB1" w14:textId="77777777" w:rsidR="004E296F" w:rsidRPr="00BD6AF7" w:rsidRDefault="004E296F" w:rsidP="00BD6AF7">
      <w:pPr>
        <w:spacing w:line="360" w:lineRule="auto"/>
        <w:jc w:val="both"/>
        <w:rPr>
          <w:rFonts w:ascii="Book Antiqua" w:eastAsia="Book Antiqua" w:hAnsi="Book Antiqua" w:cs="Book Antiqua"/>
        </w:rPr>
      </w:pPr>
    </w:p>
    <w:p w14:paraId="4BC7B4CB"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Wahb A, El Kassas M, Khamis AK, Elhelbawy M, Elhelbawy N, Habieb M. Circulating microRNA 9-3p and serum endocan as potential biomarkers for hepatitis C virus-related hepatocellular carcinoma. </w:t>
      </w:r>
      <w:r w:rsidRPr="00BD6AF7">
        <w:rPr>
          <w:rFonts w:ascii="Book Antiqua" w:eastAsia="Book Antiqua" w:hAnsi="Book Antiqua" w:cs="Book Antiqua"/>
          <w:i/>
          <w:color w:val="000000"/>
        </w:rPr>
        <w:t>World J Hepatol</w:t>
      </w:r>
      <w:r w:rsidRPr="00BD6AF7">
        <w:rPr>
          <w:rFonts w:ascii="Book Antiqua" w:eastAsia="Book Antiqua" w:hAnsi="Book Antiqua" w:cs="Book Antiqua"/>
          <w:color w:val="000000"/>
        </w:rPr>
        <w:t xml:space="preserve"> 2021; In press</w:t>
      </w:r>
    </w:p>
    <w:p w14:paraId="476FB340" w14:textId="77777777" w:rsidR="004E296F" w:rsidRPr="00BD6AF7" w:rsidRDefault="004E296F" w:rsidP="00BD6AF7">
      <w:pPr>
        <w:spacing w:line="360" w:lineRule="auto"/>
        <w:jc w:val="both"/>
        <w:rPr>
          <w:rFonts w:ascii="Book Antiqua" w:eastAsia="Book Antiqua" w:hAnsi="Book Antiqua" w:cs="Book Antiqua"/>
        </w:rPr>
      </w:pPr>
    </w:p>
    <w:p w14:paraId="233C807C" w14:textId="52B0729A"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t xml:space="preserve">Core Tip: </w:t>
      </w:r>
      <w:r w:rsidR="000B1C11">
        <w:rPr>
          <w:rFonts w:ascii="Book Antiqua" w:eastAsia="Book Antiqua" w:hAnsi="Book Antiqua" w:cs="Book Antiqua"/>
          <w:color w:val="000000"/>
        </w:rPr>
        <w:t>T</w:t>
      </w:r>
      <w:r w:rsidRPr="00BD6AF7">
        <w:rPr>
          <w:rFonts w:ascii="Book Antiqua" w:eastAsia="Book Antiqua" w:hAnsi="Book Antiqua" w:cs="Book Antiqua"/>
          <w:color w:val="000000"/>
        </w:rPr>
        <w:t xml:space="preserve">he level of circulating microRNA 9-3p </w:t>
      </w:r>
      <w:r w:rsidR="000B1C11">
        <w:rPr>
          <w:rFonts w:ascii="Book Antiqua" w:eastAsia="Book Antiqua" w:hAnsi="Book Antiqua" w:cs="Book Antiqua"/>
          <w:color w:val="000000"/>
        </w:rPr>
        <w:t>wa</w:t>
      </w:r>
      <w:r w:rsidRPr="00BD6AF7">
        <w:rPr>
          <w:rFonts w:ascii="Book Antiqua" w:eastAsia="Book Antiqua" w:hAnsi="Book Antiqua" w:cs="Book Antiqua"/>
          <w:color w:val="000000"/>
        </w:rPr>
        <w:t xml:space="preserve">s significantly decreased in </w:t>
      </w:r>
      <w:r w:rsidR="000B1C11">
        <w:rPr>
          <w:rFonts w:ascii="Book Antiqua" w:eastAsia="Book Antiqua" w:hAnsi="Book Antiqua" w:cs="Book Antiqua"/>
          <w:color w:val="000000"/>
        </w:rPr>
        <w:t>hepatocellular carcinoma (</w:t>
      </w:r>
      <w:r w:rsidRPr="00BD6AF7">
        <w:rPr>
          <w:rFonts w:ascii="Book Antiqua" w:eastAsia="Book Antiqua" w:hAnsi="Book Antiqua" w:cs="Book Antiqua"/>
          <w:color w:val="000000"/>
        </w:rPr>
        <w:t>HCC</w:t>
      </w:r>
      <w:r w:rsidR="000B1C11">
        <w:rPr>
          <w:rFonts w:ascii="Book Antiqua" w:eastAsia="Book Antiqua" w:hAnsi="Book Antiqua" w:cs="Book Antiqua"/>
          <w:color w:val="000000"/>
        </w:rPr>
        <w:t>)</w:t>
      </w:r>
      <w:r w:rsidRPr="00BD6AF7">
        <w:rPr>
          <w:rFonts w:ascii="Book Antiqua" w:eastAsia="Book Antiqua" w:hAnsi="Book Antiqua" w:cs="Book Antiqua"/>
          <w:color w:val="000000"/>
        </w:rPr>
        <w:t xml:space="preserve"> patients than in chronic liver disease and control groups</w:t>
      </w:r>
      <w:r w:rsidR="000B1C11">
        <w:rPr>
          <w:rFonts w:ascii="Book Antiqua" w:eastAsia="Book Antiqua" w:hAnsi="Book Antiqua" w:cs="Book Antiqua"/>
          <w:color w:val="000000"/>
        </w:rPr>
        <w:t>.</w:t>
      </w:r>
      <w:r w:rsidRPr="00BD6AF7">
        <w:rPr>
          <w:rFonts w:ascii="Book Antiqua" w:eastAsia="Book Antiqua" w:hAnsi="Book Antiqua" w:cs="Book Antiqua"/>
          <w:color w:val="000000"/>
        </w:rPr>
        <w:t xml:space="preserve"> </w:t>
      </w:r>
      <w:r w:rsidR="000B1C11">
        <w:rPr>
          <w:rFonts w:ascii="Book Antiqua" w:eastAsia="Book Antiqua" w:hAnsi="Book Antiqua" w:cs="Book Antiqua"/>
          <w:color w:val="000000"/>
        </w:rPr>
        <w:t>T</w:t>
      </w:r>
      <w:r w:rsidRPr="00BD6AF7">
        <w:rPr>
          <w:rFonts w:ascii="Book Antiqua" w:eastAsia="Book Antiqua" w:hAnsi="Book Antiqua" w:cs="Book Antiqua"/>
          <w:color w:val="000000"/>
        </w:rPr>
        <w:t xml:space="preserve">he level of serum endocan </w:t>
      </w:r>
      <w:r w:rsidR="000B1C11">
        <w:rPr>
          <w:rFonts w:ascii="Book Antiqua" w:eastAsia="Book Antiqua" w:hAnsi="Book Antiqua" w:cs="Book Antiqua"/>
          <w:color w:val="000000"/>
        </w:rPr>
        <w:t>wa</w:t>
      </w:r>
      <w:r w:rsidRPr="00BD6AF7">
        <w:rPr>
          <w:rFonts w:ascii="Book Antiqua" w:eastAsia="Book Antiqua" w:hAnsi="Book Antiqua" w:cs="Book Antiqua"/>
          <w:color w:val="000000"/>
        </w:rPr>
        <w:t>s significantly increased in HCC patients than in the cirrhotic and control groups,</w:t>
      </w:r>
      <w:r w:rsidR="000B1C11">
        <w:rPr>
          <w:rFonts w:ascii="Book Antiqua" w:eastAsia="Book Antiqua" w:hAnsi="Book Antiqua" w:cs="Book Antiqua"/>
          <w:color w:val="000000"/>
        </w:rPr>
        <w:t xml:space="preserve"> and there was</w:t>
      </w:r>
      <w:r w:rsidRPr="00BD6AF7">
        <w:rPr>
          <w:rFonts w:ascii="Book Antiqua" w:eastAsia="Book Antiqua" w:hAnsi="Book Antiqua" w:cs="Book Antiqua"/>
          <w:color w:val="000000"/>
        </w:rPr>
        <w:t xml:space="preserve"> better diagnostic performance of microRNA 9-3p and endocan than α-fetoprotein. The levels of microRNA 9-3p have a significant inverse correlation with endocan and vascular invasion and advanced stage of Barcelona Clinical Liver Cancer in the HCC group. </w:t>
      </w:r>
      <w:r w:rsidR="000B1C11">
        <w:rPr>
          <w:rFonts w:ascii="Book Antiqua" w:eastAsia="Book Antiqua" w:hAnsi="Book Antiqua" w:cs="Book Antiqua"/>
          <w:color w:val="000000"/>
        </w:rPr>
        <w:t>C</w:t>
      </w:r>
      <w:r w:rsidRPr="00BD6AF7">
        <w:rPr>
          <w:rFonts w:ascii="Book Antiqua" w:eastAsia="Book Antiqua" w:hAnsi="Book Antiqua" w:cs="Book Antiqua"/>
          <w:color w:val="000000"/>
        </w:rPr>
        <w:t xml:space="preserve">irculating microRNA 9-3p and endocan could be novel biomarkers for early diagnosis of </w:t>
      </w:r>
      <w:r w:rsidR="00BD6AF7" w:rsidRPr="00BD6AF7">
        <w:rPr>
          <w:rFonts w:ascii="Book Antiqua" w:eastAsia="Book Antiqua" w:hAnsi="Book Antiqua" w:cs="Book Antiqua"/>
          <w:color w:val="000000"/>
        </w:rPr>
        <w:t>hepatitis C virus</w:t>
      </w:r>
      <w:r w:rsidRPr="00BD6AF7">
        <w:rPr>
          <w:rFonts w:ascii="Book Antiqua" w:eastAsia="Book Antiqua" w:hAnsi="Book Antiqua" w:cs="Book Antiqua"/>
          <w:color w:val="000000"/>
        </w:rPr>
        <w:t xml:space="preserve">-related HCC patients. </w:t>
      </w:r>
    </w:p>
    <w:p w14:paraId="6319CD8A" w14:textId="77777777" w:rsidR="004E296F" w:rsidRPr="00BD6AF7" w:rsidRDefault="004E296F" w:rsidP="00BD6AF7">
      <w:pPr>
        <w:spacing w:line="360" w:lineRule="auto"/>
        <w:jc w:val="both"/>
        <w:rPr>
          <w:rFonts w:ascii="Book Antiqua" w:eastAsia="Book Antiqua" w:hAnsi="Book Antiqua" w:cs="Book Antiqua"/>
        </w:rPr>
      </w:pPr>
    </w:p>
    <w:p w14:paraId="6FEF25AF"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hAnsi="Book Antiqua"/>
        </w:rPr>
        <w:br w:type="page"/>
      </w:r>
      <w:r w:rsidRPr="00BD6AF7">
        <w:rPr>
          <w:rFonts w:ascii="Book Antiqua" w:eastAsia="Book Antiqua" w:hAnsi="Book Antiqua" w:cs="Book Antiqua"/>
          <w:b/>
          <w:smallCaps/>
          <w:color w:val="000000"/>
          <w:u w:val="single"/>
        </w:rPr>
        <w:lastRenderedPageBreak/>
        <w:t>INTRODUCTION</w:t>
      </w:r>
    </w:p>
    <w:p w14:paraId="4485A2C2" w14:textId="738750AA"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Worldwide, hepatocellular carcinoma (HCC) is the sixth most prevalent cancer and the third leading cause of cancer death</w:t>
      </w:r>
      <w:r w:rsidR="00C4797D">
        <w:rPr>
          <w:rFonts w:ascii="Book Antiqua" w:eastAsia="Book Antiqua" w:hAnsi="Book Antiqua" w:cs="Book Antiqua"/>
          <w:color w:val="000000"/>
        </w:rPr>
        <w:t>s</w:t>
      </w:r>
      <w:r w:rsidRPr="00BD6AF7">
        <w:rPr>
          <w:rFonts w:ascii="Book Antiqua" w:eastAsia="Book Antiqua" w:hAnsi="Book Antiqua" w:cs="Book Antiqua"/>
          <w:color w:val="000000"/>
          <w:vertAlign w:val="superscript"/>
        </w:rPr>
        <w:t>[1]</w:t>
      </w:r>
      <w:r w:rsidRPr="00BD6AF7">
        <w:rPr>
          <w:rFonts w:ascii="Book Antiqua" w:eastAsia="Book Antiqua" w:hAnsi="Book Antiqua" w:cs="Book Antiqua"/>
          <w:color w:val="000000"/>
        </w:rPr>
        <w:t xml:space="preserve">. In Egypt, HCC is a significant health problem, as it is the most prevalent and </w:t>
      </w:r>
      <w:r w:rsidR="00C4797D">
        <w:rPr>
          <w:rFonts w:ascii="Book Antiqua" w:eastAsia="Book Antiqua" w:hAnsi="Book Antiqua" w:cs="Book Antiqua"/>
          <w:color w:val="000000"/>
        </w:rPr>
        <w:t>second</w:t>
      </w:r>
      <w:r w:rsidRPr="00BD6AF7">
        <w:rPr>
          <w:rFonts w:ascii="Book Antiqua" w:eastAsia="Book Antiqua" w:hAnsi="Book Antiqua" w:cs="Book Antiqua"/>
          <w:color w:val="000000"/>
        </w:rPr>
        <w:t xml:space="preserve"> most prevalent cancer in males and females, respectively</w:t>
      </w:r>
      <w:r w:rsidR="00C4797D">
        <w:rPr>
          <w:rFonts w:ascii="Book Antiqua" w:eastAsia="Book Antiqua" w:hAnsi="Book Antiqua" w:cs="Book Antiqua"/>
          <w:color w:val="000000"/>
        </w:rPr>
        <w:t>.</w:t>
      </w:r>
      <w:r w:rsidRPr="00BD6AF7">
        <w:rPr>
          <w:rFonts w:ascii="Book Antiqua" w:eastAsia="Book Antiqua" w:hAnsi="Book Antiqua" w:cs="Book Antiqua"/>
          <w:color w:val="000000"/>
        </w:rPr>
        <w:t xml:space="preserve"> </w:t>
      </w:r>
      <w:r w:rsidR="00C4797D">
        <w:rPr>
          <w:rFonts w:ascii="Book Antiqua" w:eastAsia="Book Antiqua" w:hAnsi="Book Antiqua" w:cs="Book Antiqua"/>
          <w:color w:val="000000"/>
        </w:rPr>
        <w:t>I</w:t>
      </w:r>
      <w:r w:rsidRPr="00BD6AF7">
        <w:rPr>
          <w:rFonts w:ascii="Book Antiqua" w:eastAsia="Book Antiqua" w:hAnsi="Book Antiqua" w:cs="Book Antiqua"/>
          <w:color w:val="000000"/>
        </w:rPr>
        <w:t>t is the most prevalent malignancy in general, accounting for 32.35% of the total cancer deaths</w:t>
      </w:r>
      <w:r w:rsidRPr="00BD6AF7">
        <w:rPr>
          <w:rFonts w:ascii="Book Antiqua" w:eastAsia="Book Antiqua" w:hAnsi="Book Antiqua" w:cs="Book Antiqua"/>
          <w:color w:val="000000"/>
          <w:vertAlign w:val="superscript"/>
        </w:rPr>
        <w:t>[2,3]</w:t>
      </w:r>
      <w:r w:rsidRPr="00BD6AF7">
        <w:rPr>
          <w:rFonts w:ascii="Book Antiqua" w:eastAsia="Book Antiqua" w:hAnsi="Book Antiqua" w:cs="Book Antiqua"/>
          <w:color w:val="000000"/>
        </w:rPr>
        <w:t>. One reason for these high prevalence rates is the high prevalence of hepatitis C in Egypt</w:t>
      </w:r>
      <w:r w:rsidRPr="00BD6AF7">
        <w:rPr>
          <w:rFonts w:ascii="Book Antiqua" w:eastAsia="Book Antiqua" w:hAnsi="Book Antiqua" w:cs="Book Antiqua"/>
          <w:color w:val="000000"/>
          <w:vertAlign w:val="superscript"/>
        </w:rPr>
        <w:t>[4]</w:t>
      </w:r>
      <w:r w:rsidRPr="00BD6AF7">
        <w:rPr>
          <w:rFonts w:ascii="Book Antiqua" w:eastAsia="Book Antiqua" w:hAnsi="Book Antiqua" w:cs="Book Antiqua"/>
          <w:color w:val="000000"/>
        </w:rPr>
        <w:t xml:space="preserve">. </w:t>
      </w:r>
    </w:p>
    <w:p w14:paraId="55C1D3CD" w14:textId="798F12C3" w:rsidR="004E296F" w:rsidRPr="00BD6AF7" w:rsidRDefault="00703776" w:rsidP="00BD6AF7">
      <w:pPr>
        <w:spacing w:line="360" w:lineRule="auto"/>
        <w:ind w:firstLine="240"/>
        <w:jc w:val="both"/>
        <w:rPr>
          <w:rFonts w:ascii="Book Antiqua" w:eastAsia="Book Antiqua" w:hAnsi="Book Antiqua" w:cs="Book Antiqua"/>
        </w:rPr>
      </w:pPr>
      <w:r w:rsidRPr="00BD6AF7">
        <w:rPr>
          <w:rFonts w:ascii="Book Antiqua" w:eastAsia="Book Antiqua" w:hAnsi="Book Antiqua" w:cs="Book Antiqua"/>
          <w:color w:val="000000"/>
        </w:rPr>
        <w:t>Moreover, HCC has been attributed to molecular aberrations</w:t>
      </w:r>
      <w:r w:rsidR="00C4797D">
        <w:rPr>
          <w:rFonts w:ascii="Book Antiqua" w:eastAsia="Book Antiqua" w:hAnsi="Book Antiqua" w:cs="Book Antiqua"/>
          <w:color w:val="000000"/>
        </w:rPr>
        <w:t>,</w:t>
      </w:r>
      <w:r w:rsidRPr="00BD6AF7">
        <w:rPr>
          <w:rFonts w:ascii="Book Antiqua" w:eastAsia="Book Antiqua" w:hAnsi="Book Antiqua" w:cs="Book Antiqua"/>
          <w:color w:val="000000"/>
        </w:rPr>
        <w:t xml:space="preserve"> </w:t>
      </w:r>
      <w:r w:rsidR="00C4797D">
        <w:rPr>
          <w:rFonts w:ascii="Book Antiqua" w:eastAsia="Book Antiqua" w:hAnsi="Book Antiqua" w:cs="Book Antiqua"/>
          <w:color w:val="000000"/>
        </w:rPr>
        <w:t>s</w:t>
      </w:r>
      <w:r w:rsidRPr="00BD6AF7">
        <w:rPr>
          <w:rFonts w:ascii="Book Antiqua" w:eastAsia="Book Antiqua" w:hAnsi="Book Antiqua" w:cs="Book Antiqua"/>
          <w:color w:val="000000"/>
        </w:rPr>
        <w:t>uch as errors in regulation of gene expression, which may result in translational repression and/or degradation</w:t>
      </w:r>
      <w:r w:rsidRPr="00BD6AF7">
        <w:rPr>
          <w:rFonts w:ascii="Book Antiqua" w:eastAsia="Book Antiqua" w:hAnsi="Book Antiqua" w:cs="Book Antiqua"/>
          <w:color w:val="000000"/>
          <w:vertAlign w:val="superscript"/>
        </w:rPr>
        <w:t>[5,6]</w:t>
      </w:r>
      <w:r w:rsidRPr="00BD6AF7">
        <w:rPr>
          <w:rFonts w:ascii="Book Antiqua" w:eastAsia="Book Antiqua" w:hAnsi="Book Antiqua" w:cs="Book Antiqua"/>
          <w:color w:val="000000"/>
        </w:rPr>
        <w:t>. To improve the overall survival from HCC, extensive research is needed, focusing particularly on more accurate and monitored management of the disease</w:t>
      </w:r>
      <w:r w:rsidRPr="00BD6AF7">
        <w:rPr>
          <w:rFonts w:ascii="Book Antiqua" w:eastAsia="Book Antiqua" w:hAnsi="Book Antiqua" w:cs="Book Antiqua"/>
          <w:color w:val="000000"/>
          <w:vertAlign w:val="superscript"/>
        </w:rPr>
        <w:t>[7]</w:t>
      </w:r>
      <w:r w:rsidRPr="00BD6AF7">
        <w:rPr>
          <w:rFonts w:ascii="Book Antiqua" w:eastAsia="Book Antiqua" w:hAnsi="Book Antiqua" w:cs="Book Antiqua"/>
          <w:color w:val="000000"/>
        </w:rPr>
        <w:t>.</w:t>
      </w:r>
    </w:p>
    <w:p w14:paraId="07E74BD3" w14:textId="1D814F23" w:rsidR="004E296F" w:rsidRPr="00BD6AF7" w:rsidRDefault="00703776" w:rsidP="00BD6AF7">
      <w:pPr>
        <w:spacing w:line="360" w:lineRule="auto"/>
        <w:ind w:firstLine="240"/>
        <w:jc w:val="both"/>
        <w:rPr>
          <w:rFonts w:ascii="Book Antiqua" w:eastAsia="Book Antiqua" w:hAnsi="Book Antiqua" w:cs="Book Antiqua"/>
        </w:rPr>
      </w:pPr>
      <w:r w:rsidRPr="00BD6AF7">
        <w:rPr>
          <w:rFonts w:ascii="Book Antiqua" w:eastAsia="Book Antiqua" w:hAnsi="Book Antiqua" w:cs="Book Antiqua"/>
          <w:color w:val="000000"/>
        </w:rPr>
        <w:t>MicroRNAs (miRNAs) are small (approximately 22 nucleotides long), endogenous, non-protein coding RNAs that are key post-transcriptional regulators of gene expression</w:t>
      </w:r>
      <w:r w:rsidRPr="00BD6AF7">
        <w:rPr>
          <w:rFonts w:ascii="Book Antiqua" w:eastAsia="Book Antiqua" w:hAnsi="Book Antiqua" w:cs="Book Antiqua"/>
          <w:color w:val="000000"/>
          <w:vertAlign w:val="superscript"/>
        </w:rPr>
        <w:t>[8]</w:t>
      </w:r>
      <w:r w:rsidRPr="00BD6AF7">
        <w:rPr>
          <w:rFonts w:ascii="Book Antiqua" w:eastAsia="Book Antiqua" w:hAnsi="Book Antiqua" w:cs="Book Antiqua"/>
          <w:color w:val="000000"/>
        </w:rPr>
        <w:t xml:space="preserve">. </w:t>
      </w:r>
      <w:r w:rsidR="00C4797D">
        <w:rPr>
          <w:rFonts w:ascii="Book Antiqua" w:eastAsia="Book Antiqua" w:hAnsi="Book Antiqua" w:cs="Book Antiqua"/>
          <w:color w:val="000000"/>
        </w:rPr>
        <w:t>m</w:t>
      </w:r>
      <w:r w:rsidRPr="00BD6AF7">
        <w:rPr>
          <w:rFonts w:ascii="Book Antiqua" w:eastAsia="Book Antiqua" w:hAnsi="Book Antiqua" w:cs="Book Antiqua"/>
          <w:color w:val="000000"/>
        </w:rPr>
        <w:t>iRNAs regulate different cellular pathways, including the cell cycle, cell proliferation and apoptosis. Dysregulation of miRNAs can therefore impact cellular processes involved in tumorigenesis and cancer. Thus, serum miRNAs may serve as non-invasive biomarkers for the diagnosis of cancer</w:t>
      </w:r>
      <w:r w:rsidRPr="00BD6AF7">
        <w:rPr>
          <w:rFonts w:ascii="Book Antiqua" w:eastAsia="Book Antiqua" w:hAnsi="Book Antiqua" w:cs="Book Antiqua"/>
          <w:color w:val="000000"/>
          <w:vertAlign w:val="superscript"/>
        </w:rPr>
        <w:t>[9]</w:t>
      </w:r>
      <w:r w:rsidRPr="00BD6AF7">
        <w:rPr>
          <w:rFonts w:ascii="Book Antiqua" w:eastAsia="Book Antiqua" w:hAnsi="Book Antiqua" w:cs="Book Antiqua"/>
          <w:color w:val="000000"/>
        </w:rPr>
        <w:t>.</w:t>
      </w:r>
    </w:p>
    <w:p w14:paraId="4F5483CA" w14:textId="442DD3A9" w:rsidR="004E296F" w:rsidRPr="00BD6AF7" w:rsidRDefault="00703776" w:rsidP="00BD6AF7">
      <w:pPr>
        <w:spacing w:line="360" w:lineRule="auto"/>
        <w:ind w:firstLine="240"/>
        <w:jc w:val="both"/>
        <w:rPr>
          <w:rFonts w:ascii="Book Antiqua" w:eastAsia="Book Antiqua" w:hAnsi="Book Antiqua" w:cs="Book Antiqua"/>
        </w:rPr>
      </w:pPr>
      <w:r w:rsidRPr="00BD6AF7">
        <w:rPr>
          <w:rFonts w:ascii="Book Antiqua" w:eastAsia="Book Antiqua" w:hAnsi="Book Antiqua" w:cs="Book Antiqua"/>
          <w:color w:val="000000"/>
        </w:rPr>
        <w:t xml:space="preserve">Three genes encode miRNA 9-3p: </w:t>
      </w:r>
      <w:r w:rsidRPr="00593210">
        <w:rPr>
          <w:rFonts w:ascii="Book Antiqua" w:eastAsia="Book Antiqua" w:hAnsi="Book Antiqua" w:cs="Book Antiqua"/>
          <w:i/>
          <w:iCs/>
          <w:color w:val="000000"/>
        </w:rPr>
        <w:t>MIR9</w:t>
      </w:r>
      <w:r w:rsidRPr="00BD6AF7">
        <w:rPr>
          <w:rFonts w:ascii="Book Antiqua" w:eastAsia="Book Antiqua" w:hAnsi="Book Antiqua" w:cs="Book Antiqua"/>
          <w:color w:val="000000"/>
        </w:rPr>
        <w:t>-</w:t>
      </w:r>
      <w:r w:rsidRPr="00593210">
        <w:rPr>
          <w:rFonts w:ascii="Book Antiqua" w:eastAsia="Book Antiqua" w:hAnsi="Book Antiqua" w:cs="Book Antiqua"/>
          <w:i/>
          <w:iCs/>
          <w:color w:val="000000"/>
        </w:rPr>
        <w:t>1</w:t>
      </w:r>
      <w:r w:rsidRPr="00BD6AF7">
        <w:rPr>
          <w:rFonts w:ascii="Book Antiqua" w:eastAsia="Book Antiqua" w:hAnsi="Book Antiqua" w:cs="Book Antiqua"/>
          <w:color w:val="000000"/>
        </w:rPr>
        <w:t xml:space="preserve">, </w:t>
      </w:r>
      <w:r w:rsidRPr="00593210">
        <w:rPr>
          <w:rFonts w:ascii="Book Antiqua" w:eastAsia="Book Antiqua" w:hAnsi="Book Antiqua" w:cs="Book Antiqua"/>
          <w:i/>
          <w:iCs/>
          <w:color w:val="000000"/>
        </w:rPr>
        <w:t>MIR9-2</w:t>
      </w:r>
      <w:r w:rsidRPr="00BD6AF7">
        <w:rPr>
          <w:rFonts w:ascii="Book Antiqua" w:eastAsia="Book Antiqua" w:hAnsi="Book Antiqua" w:cs="Book Antiqua"/>
          <w:color w:val="000000"/>
        </w:rPr>
        <w:t xml:space="preserve"> and </w:t>
      </w:r>
      <w:r w:rsidRPr="00593210">
        <w:rPr>
          <w:rFonts w:ascii="Book Antiqua" w:eastAsia="Book Antiqua" w:hAnsi="Book Antiqua" w:cs="Book Antiqua"/>
          <w:i/>
          <w:iCs/>
          <w:color w:val="000000"/>
        </w:rPr>
        <w:t>MIR9-3</w:t>
      </w:r>
      <w:r w:rsidRPr="00BD6AF7">
        <w:rPr>
          <w:rFonts w:ascii="Book Antiqua" w:eastAsia="Book Antiqua" w:hAnsi="Book Antiqua" w:cs="Book Antiqua"/>
          <w:color w:val="000000"/>
        </w:rPr>
        <w:t>, located on chromosomes 1 (1q22), 5 (5q14.3) and 15 (15q26.1), respectively</w:t>
      </w:r>
      <w:r w:rsidRPr="00BD6AF7">
        <w:rPr>
          <w:rFonts w:ascii="Book Antiqua" w:eastAsia="Book Antiqua" w:hAnsi="Book Antiqua" w:cs="Book Antiqua"/>
          <w:color w:val="000000"/>
          <w:vertAlign w:val="superscript"/>
        </w:rPr>
        <w:t>[10]</w:t>
      </w:r>
      <w:r w:rsidRPr="00BD6AF7">
        <w:rPr>
          <w:rFonts w:ascii="Book Antiqua" w:eastAsia="Book Antiqua" w:hAnsi="Book Antiqua" w:cs="Book Antiqua"/>
          <w:color w:val="000000"/>
        </w:rPr>
        <w:t xml:space="preserve">. </w:t>
      </w:r>
      <w:r w:rsidR="00C4797D">
        <w:rPr>
          <w:rFonts w:ascii="Book Antiqua" w:eastAsia="Book Antiqua" w:hAnsi="Book Antiqua" w:cs="Book Antiqua"/>
          <w:color w:val="000000"/>
        </w:rPr>
        <w:t>m</w:t>
      </w:r>
      <w:r w:rsidRPr="00BD6AF7">
        <w:rPr>
          <w:rFonts w:ascii="Book Antiqua" w:eastAsia="Book Antiqua" w:hAnsi="Book Antiqua" w:cs="Book Antiqua"/>
          <w:color w:val="000000"/>
        </w:rPr>
        <w:t>iRNA 9-3p is expressed abnormally in various types of human cancer, suggesting that it is functionally versatile</w:t>
      </w:r>
      <w:r w:rsidRPr="00BD6AF7">
        <w:rPr>
          <w:rFonts w:ascii="Book Antiqua" w:eastAsia="Book Antiqua" w:hAnsi="Book Antiqua" w:cs="Book Antiqua"/>
          <w:color w:val="000000"/>
          <w:vertAlign w:val="superscript"/>
        </w:rPr>
        <w:t>[11]</w:t>
      </w:r>
      <w:r w:rsidRPr="00BD6AF7">
        <w:rPr>
          <w:rFonts w:ascii="Book Antiqua" w:eastAsia="Book Antiqua" w:hAnsi="Book Antiqua" w:cs="Book Antiqua"/>
          <w:color w:val="000000"/>
        </w:rPr>
        <w:t xml:space="preserve">. </w:t>
      </w:r>
      <w:r w:rsidR="00C4797D">
        <w:rPr>
          <w:rFonts w:ascii="Book Antiqua" w:eastAsia="Book Antiqua" w:hAnsi="Book Antiqua" w:cs="Book Antiqua"/>
          <w:color w:val="000000"/>
        </w:rPr>
        <w:t>m</w:t>
      </w:r>
      <w:r w:rsidRPr="00BD6AF7">
        <w:rPr>
          <w:rFonts w:ascii="Book Antiqua" w:eastAsia="Book Antiqua" w:hAnsi="Book Antiqua" w:cs="Book Antiqua"/>
          <w:color w:val="000000"/>
        </w:rPr>
        <w:t>iRNA 9-3p has been identified to have a tumor suppressive role by targeting an oncogenic tafazzin expression in HCC cells</w:t>
      </w:r>
      <w:r w:rsidRPr="00BD6AF7">
        <w:rPr>
          <w:rFonts w:ascii="Book Antiqua" w:eastAsia="Book Antiqua" w:hAnsi="Book Antiqua" w:cs="Book Antiqua"/>
          <w:color w:val="000000"/>
          <w:vertAlign w:val="superscript"/>
        </w:rPr>
        <w:t>[12]</w:t>
      </w:r>
      <w:r w:rsidRPr="00BD6AF7">
        <w:rPr>
          <w:rFonts w:ascii="Book Antiqua" w:eastAsia="Book Antiqua" w:hAnsi="Book Antiqua" w:cs="Book Antiqua"/>
          <w:color w:val="000000"/>
        </w:rPr>
        <w:t>.</w:t>
      </w:r>
    </w:p>
    <w:p w14:paraId="7850C7AD" w14:textId="07F341D4" w:rsidR="004E296F" w:rsidRPr="00BD6AF7" w:rsidRDefault="00703776" w:rsidP="00BD6AF7">
      <w:pPr>
        <w:spacing w:line="360" w:lineRule="auto"/>
        <w:ind w:firstLine="240"/>
        <w:jc w:val="both"/>
        <w:rPr>
          <w:rFonts w:ascii="Book Antiqua" w:eastAsia="Book Antiqua" w:hAnsi="Book Antiqua" w:cs="Book Antiqua"/>
        </w:rPr>
      </w:pPr>
      <w:r w:rsidRPr="00BD6AF7">
        <w:rPr>
          <w:rFonts w:ascii="Book Antiqua" w:eastAsia="Book Antiqua" w:hAnsi="Book Antiqua" w:cs="Book Antiqua"/>
          <w:color w:val="000000"/>
        </w:rPr>
        <w:t>Endocan is a 50</w:t>
      </w:r>
      <w:r w:rsidR="00076F5C">
        <w:rPr>
          <w:rFonts w:ascii="Book Antiqua" w:eastAsia="Book Antiqua" w:hAnsi="Book Antiqua" w:cs="Book Antiqua"/>
          <w:color w:val="000000"/>
        </w:rPr>
        <w:t xml:space="preserve"> </w:t>
      </w:r>
      <w:r w:rsidRPr="00BD6AF7">
        <w:rPr>
          <w:rFonts w:ascii="Book Antiqua" w:eastAsia="Book Antiqua" w:hAnsi="Book Antiqua" w:cs="Book Antiqua"/>
          <w:color w:val="000000"/>
        </w:rPr>
        <w:t>kDa soluble proteoglycan that circulates freely in the bloodstream of healthy individuals and is expressed by the vascular endothelium. It has angiogenic and inflammatory properties that may affect vascular permeability, thus it plays crucial roles in regulating major physiological and pathophysiological processes, such as cell adhesion, inflammation and tumor progression</w:t>
      </w:r>
      <w:r w:rsidRPr="00BD6AF7">
        <w:rPr>
          <w:rFonts w:ascii="Book Antiqua" w:eastAsia="Book Antiqua" w:hAnsi="Book Antiqua" w:cs="Book Antiqua"/>
          <w:color w:val="000000"/>
          <w:vertAlign w:val="superscript"/>
        </w:rPr>
        <w:t>[13]</w:t>
      </w:r>
      <w:r w:rsidRPr="00BD6AF7">
        <w:rPr>
          <w:rFonts w:ascii="Book Antiqua" w:eastAsia="Book Antiqua" w:hAnsi="Book Antiqua" w:cs="Book Antiqua"/>
          <w:color w:val="000000"/>
        </w:rPr>
        <w:t>. Endocan expression is upregulated in cancer cells derived from the lung, kidney, brain, astrocytes and liver</w:t>
      </w:r>
      <w:r w:rsidRPr="00BD6AF7">
        <w:rPr>
          <w:rFonts w:ascii="Book Antiqua" w:eastAsia="Book Antiqua" w:hAnsi="Book Antiqua" w:cs="Book Antiqua"/>
          <w:color w:val="000000"/>
          <w:vertAlign w:val="superscript"/>
        </w:rPr>
        <w:t>[14]</w:t>
      </w:r>
      <w:r w:rsidRPr="00BD6AF7">
        <w:rPr>
          <w:rFonts w:ascii="Book Antiqua" w:eastAsia="Book Antiqua" w:hAnsi="Book Antiqua" w:cs="Book Antiqua"/>
          <w:color w:val="000000"/>
        </w:rPr>
        <w:t>.</w:t>
      </w:r>
    </w:p>
    <w:p w14:paraId="4E093C3F" w14:textId="215A4469" w:rsidR="004E296F" w:rsidRPr="00BD6AF7" w:rsidRDefault="00703776" w:rsidP="00BD6AF7">
      <w:pPr>
        <w:spacing w:line="360" w:lineRule="auto"/>
        <w:ind w:firstLine="240"/>
        <w:jc w:val="both"/>
        <w:rPr>
          <w:rFonts w:ascii="Book Antiqua" w:eastAsia="Book Antiqua" w:hAnsi="Book Antiqua" w:cs="Book Antiqua"/>
        </w:rPr>
      </w:pPr>
      <w:r w:rsidRPr="00BD6AF7">
        <w:rPr>
          <w:rFonts w:ascii="Book Antiqua" w:eastAsia="Book Antiqua" w:hAnsi="Book Antiqua" w:cs="Book Antiqua"/>
          <w:color w:val="000000"/>
        </w:rPr>
        <w:t xml:space="preserve">A single study has reported that miRNA 9-3p expression decreases in bladder cancer patients, resulting in reduced inhibition of endocan, thus increasing its expression, which </w:t>
      </w:r>
      <w:r w:rsidRPr="00BD6AF7">
        <w:rPr>
          <w:rFonts w:ascii="Book Antiqua" w:eastAsia="Book Antiqua" w:hAnsi="Book Antiqua" w:cs="Book Antiqua"/>
          <w:color w:val="000000"/>
        </w:rPr>
        <w:lastRenderedPageBreak/>
        <w:t>promotes cell proliferation</w:t>
      </w:r>
      <w:r w:rsidRPr="00BD6AF7">
        <w:rPr>
          <w:rFonts w:ascii="Book Antiqua" w:eastAsia="Book Antiqua" w:hAnsi="Book Antiqua" w:cs="Book Antiqua"/>
          <w:color w:val="000000"/>
          <w:vertAlign w:val="superscript"/>
        </w:rPr>
        <w:t>[15]</w:t>
      </w:r>
      <w:r w:rsidRPr="00BD6AF7">
        <w:rPr>
          <w:rFonts w:ascii="Book Antiqua" w:eastAsia="Book Antiqua" w:hAnsi="Book Antiqua" w:cs="Book Antiqua"/>
          <w:color w:val="000000"/>
        </w:rPr>
        <w:t>. These results indicate that the gene encoding endocan is a target of miRNA 9-3p. To the best of our knowledge, simultaneous assessment of the roles of both miRNA 9-3p and inflammatory role of endocan that may induce tumorigenesis and tumor progression have not been evaluated in HCV-related HCC</w:t>
      </w:r>
      <w:r w:rsidR="00076F5C">
        <w:rPr>
          <w:rFonts w:ascii="Book Antiqua" w:eastAsia="Book Antiqua" w:hAnsi="Book Antiqua" w:cs="Book Antiqua"/>
          <w:color w:val="000000"/>
        </w:rPr>
        <w:t>,</w:t>
      </w:r>
      <w:r w:rsidRPr="00BD6AF7">
        <w:rPr>
          <w:rFonts w:ascii="Book Antiqua" w:eastAsia="Book Antiqua" w:hAnsi="Book Antiqua" w:cs="Book Antiqua"/>
          <w:color w:val="000000"/>
        </w:rPr>
        <w:t xml:space="preserve"> which is triggered by the viral inflammation. Thus, the current work aimed to study the diagnostic value of circulating levels of miRNA 9-3p and endocan in HCV-related HCC patients and to correlate them with clinicopathological parameters.</w:t>
      </w:r>
    </w:p>
    <w:p w14:paraId="5359153A" w14:textId="77777777" w:rsidR="004E296F" w:rsidRPr="00BD6AF7" w:rsidRDefault="004E296F" w:rsidP="00BD6AF7">
      <w:pPr>
        <w:spacing w:line="360" w:lineRule="auto"/>
        <w:jc w:val="both"/>
        <w:rPr>
          <w:rFonts w:ascii="Book Antiqua" w:eastAsia="Book Antiqua" w:hAnsi="Book Antiqua" w:cs="Book Antiqua"/>
        </w:rPr>
      </w:pPr>
    </w:p>
    <w:p w14:paraId="1B9031D5"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smallCaps/>
          <w:color w:val="000000"/>
          <w:u w:val="single"/>
        </w:rPr>
        <w:t>MATERIALS AND METHODS</w:t>
      </w:r>
    </w:p>
    <w:p w14:paraId="05D4711A"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i/>
          <w:color w:val="000000"/>
        </w:rPr>
        <w:t>Study subjects</w:t>
      </w:r>
    </w:p>
    <w:p w14:paraId="4203B92E" w14:textId="0B3A9F22"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This case-control study included a total of 100 subjects recruited from inpatient and outpatient clinics of the National Liver Institute, Menoufia University, Egypt in the period from January to March 2021. Participants were categorized into three groups: Group I: 35 patients with HCV</w:t>
      </w:r>
      <w:r w:rsidR="00076F5C">
        <w:rPr>
          <w:rFonts w:ascii="Book Antiqua" w:eastAsia="Book Antiqua" w:hAnsi="Book Antiqua" w:cs="Book Antiqua"/>
          <w:color w:val="000000"/>
        </w:rPr>
        <w:t>-</w:t>
      </w:r>
      <w:r w:rsidRPr="00BD6AF7">
        <w:rPr>
          <w:rFonts w:ascii="Book Antiqua" w:eastAsia="Book Antiqua" w:hAnsi="Book Antiqua" w:cs="Book Antiqua"/>
          <w:color w:val="000000"/>
        </w:rPr>
        <w:t>related HCC</w:t>
      </w:r>
      <w:r w:rsidR="00076F5C">
        <w:rPr>
          <w:rFonts w:ascii="Book Antiqua" w:eastAsia="Book Antiqua" w:hAnsi="Book Antiqua" w:cs="Book Antiqua"/>
          <w:color w:val="000000"/>
        </w:rPr>
        <w:t>;</w:t>
      </w:r>
      <w:r w:rsidRPr="00BD6AF7">
        <w:rPr>
          <w:rFonts w:ascii="Book Antiqua" w:eastAsia="Book Antiqua" w:hAnsi="Book Antiqua" w:cs="Book Antiqua"/>
          <w:color w:val="000000"/>
        </w:rPr>
        <w:t xml:space="preserve"> Group II: 33 patients with chronic liver disease due to chronic HCV; and Group III: 32 healthy</w:t>
      </w:r>
      <w:r w:rsidR="00076F5C">
        <w:rPr>
          <w:rFonts w:ascii="Book Antiqua" w:eastAsia="Book Antiqua" w:hAnsi="Book Antiqua" w:cs="Book Antiqua"/>
          <w:color w:val="000000"/>
        </w:rPr>
        <w:t xml:space="preserve"> and</w:t>
      </w:r>
      <w:r w:rsidRPr="00BD6AF7">
        <w:rPr>
          <w:rFonts w:ascii="Book Antiqua" w:eastAsia="Book Antiqua" w:hAnsi="Book Antiqua" w:cs="Book Antiqua"/>
          <w:color w:val="000000"/>
        </w:rPr>
        <w:t xml:space="preserve"> free of viral infection volunteers of matched age and gender. Patients were selected based on restrict</w:t>
      </w:r>
      <w:r w:rsidR="00076F5C">
        <w:rPr>
          <w:rFonts w:ascii="Book Antiqua" w:eastAsia="Book Antiqua" w:hAnsi="Book Antiqua" w:cs="Book Antiqua"/>
          <w:color w:val="000000"/>
        </w:rPr>
        <w:t>ive</w:t>
      </w:r>
      <w:r w:rsidRPr="00BD6AF7">
        <w:rPr>
          <w:rFonts w:ascii="Book Antiqua" w:eastAsia="Book Antiqua" w:hAnsi="Book Antiqua" w:cs="Book Antiqua"/>
          <w:color w:val="000000"/>
        </w:rPr>
        <w:t xml:space="preserve"> inclusion criteria including patients who</w:t>
      </w:r>
      <w:r w:rsidR="00076F5C">
        <w:rPr>
          <w:rFonts w:ascii="Book Antiqua" w:eastAsia="Book Antiqua" w:hAnsi="Book Antiqua" w:cs="Book Antiqua"/>
          <w:color w:val="000000"/>
        </w:rPr>
        <w:t>se</w:t>
      </w:r>
      <w:r w:rsidRPr="00BD6AF7">
        <w:rPr>
          <w:rFonts w:ascii="Book Antiqua" w:eastAsia="Book Antiqua" w:hAnsi="Book Antiqua" w:cs="Book Antiqua"/>
          <w:color w:val="000000"/>
        </w:rPr>
        <w:t xml:space="preserve"> age w</w:t>
      </w:r>
      <w:r w:rsidR="00076F5C">
        <w:rPr>
          <w:rFonts w:ascii="Book Antiqua" w:eastAsia="Book Antiqua" w:hAnsi="Book Antiqua" w:cs="Book Antiqua"/>
          <w:color w:val="000000"/>
        </w:rPr>
        <w:t>as</w:t>
      </w:r>
      <w:r w:rsidRPr="00BD6AF7">
        <w:rPr>
          <w:rFonts w:ascii="Book Antiqua" w:eastAsia="Book Antiqua" w:hAnsi="Book Antiqua" w:cs="Book Antiqua"/>
          <w:color w:val="000000"/>
        </w:rPr>
        <w:t xml:space="preserve"> more than 18 years with confirmed HCV infection by both HCV antibody (anti-HCV) detection and positive HCV RNA. In Group I, HCC was diagnosed (triphasic spiral </w:t>
      </w:r>
      <w:r w:rsidR="00076F5C">
        <w:rPr>
          <w:rFonts w:ascii="Book Antiqua" w:eastAsia="Book Antiqua" w:hAnsi="Book Antiqua" w:cs="Book Antiqua"/>
          <w:color w:val="000000"/>
        </w:rPr>
        <w:t>computed tomography</w:t>
      </w:r>
      <w:r w:rsidRPr="00BD6AF7">
        <w:rPr>
          <w:rFonts w:ascii="Book Antiqua" w:eastAsia="Book Antiqua" w:hAnsi="Book Antiqua" w:cs="Book Antiqua"/>
          <w:color w:val="000000"/>
        </w:rPr>
        <w:t xml:space="preserve"> or dynamic </w:t>
      </w:r>
      <w:r w:rsidR="00076F5C">
        <w:rPr>
          <w:rFonts w:ascii="Book Antiqua" w:eastAsia="Book Antiqua" w:hAnsi="Book Antiqua" w:cs="Book Antiqua"/>
          <w:color w:val="000000"/>
        </w:rPr>
        <w:t>magnetic resonance imaging</w:t>
      </w:r>
      <w:r w:rsidRPr="00BD6AF7">
        <w:rPr>
          <w:rFonts w:ascii="Book Antiqua" w:eastAsia="Book Antiqua" w:hAnsi="Book Antiqua" w:cs="Book Antiqua"/>
          <w:color w:val="000000"/>
        </w:rPr>
        <w:t xml:space="preserve"> together with elevated </w:t>
      </w:r>
      <w:r w:rsidR="00076F5C" w:rsidRPr="00BD6AF7">
        <w:rPr>
          <w:rFonts w:ascii="Book Antiqua" w:eastAsia="Book Antiqua" w:hAnsi="Book Antiqua" w:cs="Book Antiqua"/>
          <w:color w:val="000000"/>
        </w:rPr>
        <w:t>α</w:t>
      </w:r>
      <w:r w:rsidR="00076F5C">
        <w:rPr>
          <w:rFonts w:ascii="Book Antiqua" w:eastAsia="Book Antiqua" w:hAnsi="Book Antiqua" w:cs="Book Antiqua"/>
          <w:color w:val="000000"/>
        </w:rPr>
        <w:t>-fetoprotein</w:t>
      </w:r>
      <w:r w:rsidRPr="00BD6AF7">
        <w:rPr>
          <w:rFonts w:ascii="Book Antiqua" w:eastAsia="Book Antiqua" w:hAnsi="Book Antiqua" w:cs="Book Antiqua"/>
          <w:color w:val="000000"/>
        </w:rPr>
        <w:t xml:space="preserve"> and/or liver biopsy), and its stage was identified according to the Barcelona Clinical Liver Cancer (BCLC) system</w:t>
      </w:r>
      <w:r w:rsidRPr="00BD6AF7">
        <w:rPr>
          <w:rFonts w:ascii="Book Antiqua" w:eastAsia="Book Antiqua" w:hAnsi="Book Antiqua" w:cs="Book Antiqua"/>
          <w:color w:val="000000"/>
          <w:vertAlign w:val="superscript"/>
        </w:rPr>
        <w:t>[16]</w:t>
      </w:r>
      <w:r w:rsidRPr="00BD6AF7">
        <w:rPr>
          <w:rFonts w:ascii="Book Antiqua" w:eastAsia="Book Antiqua" w:hAnsi="Book Antiqua" w:cs="Book Antiqua"/>
          <w:color w:val="000000"/>
        </w:rPr>
        <w:t xml:space="preserve">. In Group II, chronic liver disease was diagnosed based on history, clinical examination, laboratory results and imaging that included abdominal ultrasonography and </w:t>
      </w:r>
      <w:r w:rsidR="00076F5C">
        <w:rPr>
          <w:rFonts w:ascii="Book Antiqua" w:eastAsia="Book Antiqua" w:hAnsi="Book Antiqua" w:cs="Book Antiqua"/>
          <w:color w:val="000000"/>
        </w:rPr>
        <w:t>computed tomography</w:t>
      </w:r>
      <w:r w:rsidRPr="00BD6AF7">
        <w:rPr>
          <w:rFonts w:ascii="Book Antiqua" w:eastAsia="Book Antiqua" w:hAnsi="Book Antiqua" w:cs="Book Antiqua"/>
          <w:color w:val="000000"/>
        </w:rPr>
        <w:t>. Liver disease severity was assessed by the Child-Pugh score. Patient</w:t>
      </w:r>
      <w:r w:rsidR="00076F5C">
        <w:rPr>
          <w:rFonts w:ascii="Book Antiqua" w:eastAsia="Book Antiqua" w:hAnsi="Book Antiqua" w:cs="Book Antiqua"/>
          <w:color w:val="000000"/>
        </w:rPr>
        <w:t>s</w:t>
      </w:r>
      <w:r w:rsidRPr="00BD6AF7">
        <w:rPr>
          <w:rFonts w:ascii="Book Antiqua" w:eastAsia="Book Antiqua" w:hAnsi="Book Antiqua" w:cs="Book Antiqua"/>
          <w:color w:val="000000"/>
        </w:rPr>
        <w:t xml:space="preserve"> with positive </w:t>
      </w:r>
      <w:r w:rsidR="00076F5C">
        <w:rPr>
          <w:rFonts w:ascii="Book Antiqua" w:eastAsia="Book Antiqua" w:hAnsi="Book Antiqua" w:cs="Book Antiqua"/>
          <w:color w:val="000000"/>
        </w:rPr>
        <w:t xml:space="preserve">hepatitis </w:t>
      </w:r>
      <w:r w:rsidRPr="00BD6AF7">
        <w:rPr>
          <w:rFonts w:ascii="Book Antiqua" w:eastAsia="Book Antiqua" w:hAnsi="Book Antiqua" w:cs="Book Antiqua"/>
          <w:color w:val="000000"/>
        </w:rPr>
        <w:t>B</w:t>
      </w:r>
      <w:r w:rsidR="00076F5C">
        <w:rPr>
          <w:rFonts w:ascii="Book Antiqua" w:eastAsia="Book Antiqua" w:hAnsi="Book Antiqua" w:cs="Book Antiqua"/>
          <w:color w:val="000000"/>
        </w:rPr>
        <w:t xml:space="preserve"> </w:t>
      </w:r>
      <w:r w:rsidRPr="00BD6AF7">
        <w:rPr>
          <w:rFonts w:ascii="Book Antiqua" w:eastAsia="Book Antiqua" w:hAnsi="Book Antiqua" w:cs="Book Antiqua"/>
          <w:color w:val="000000"/>
        </w:rPr>
        <w:t>s</w:t>
      </w:r>
      <w:r w:rsidR="00076F5C">
        <w:rPr>
          <w:rFonts w:ascii="Book Antiqua" w:eastAsia="Book Antiqua" w:hAnsi="Book Antiqua" w:cs="Book Antiqua"/>
          <w:color w:val="000000"/>
        </w:rPr>
        <w:t>urface antigen</w:t>
      </w:r>
      <w:r w:rsidRPr="00BD6AF7">
        <w:rPr>
          <w:rFonts w:ascii="Book Antiqua" w:eastAsia="Book Antiqua" w:hAnsi="Book Antiqua" w:cs="Book Antiqua"/>
          <w:color w:val="000000"/>
        </w:rPr>
        <w:t xml:space="preserve"> and/or </w:t>
      </w:r>
      <w:r w:rsidR="00076F5C">
        <w:rPr>
          <w:rFonts w:ascii="Book Antiqua" w:eastAsia="Book Antiqua" w:hAnsi="Book Antiqua" w:cs="Book Antiqua"/>
          <w:color w:val="000000"/>
        </w:rPr>
        <w:t xml:space="preserve">hepatitis </w:t>
      </w:r>
      <w:r w:rsidRPr="00BD6AF7">
        <w:rPr>
          <w:rFonts w:ascii="Book Antiqua" w:eastAsia="Book Antiqua" w:hAnsi="Book Antiqua" w:cs="Book Antiqua"/>
          <w:color w:val="000000"/>
        </w:rPr>
        <w:t>B</w:t>
      </w:r>
      <w:r w:rsidR="00076F5C">
        <w:rPr>
          <w:rFonts w:ascii="Book Antiqua" w:eastAsia="Book Antiqua" w:hAnsi="Book Antiqua" w:cs="Book Antiqua"/>
          <w:color w:val="000000"/>
        </w:rPr>
        <w:t xml:space="preserve"> </w:t>
      </w:r>
      <w:r w:rsidRPr="00BD6AF7">
        <w:rPr>
          <w:rFonts w:ascii="Book Antiqua" w:eastAsia="Book Antiqua" w:hAnsi="Book Antiqua" w:cs="Book Antiqua"/>
          <w:color w:val="000000"/>
        </w:rPr>
        <w:t>c</w:t>
      </w:r>
      <w:r w:rsidR="00076F5C">
        <w:rPr>
          <w:rFonts w:ascii="Book Antiqua" w:eastAsia="Book Antiqua" w:hAnsi="Book Antiqua" w:cs="Book Antiqua"/>
          <w:color w:val="000000"/>
        </w:rPr>
        <w:t xml:space="preserve"> anti</w:t>
      </w:r>
      <w:r w:rsidRPr="00BD6AF7">
        <w:rPr>
          <w:rFonts w:ascii="Book Antiqua" w:eastAsia="Book Antiqua" w:hAnsi="Book Antiqua" w:cs="Book Antiqua"/>
          <w:color w:val="000000"/>
        </w:rPr>
        <w:t>b</w:t>
      </w:r>
      <w:r w:rsidR="00076F5C">
        <w:rPr>
          <w:rFonts w:ascii="Book Antiqua" w:eastAsia="Book Antiqua" w:hAnsi="Book Antiqua" w:cs="Book Antiqua"/>
          <w:color w:val="000000"/>
        </w:rPr>
        <w:t>ody</w:t>
      </w:r>
      <w:r w:rsidRPr="00BD6AF7">
        <w:rPr>
          <w:rFonts w:ascii="Book Antiqua" w:eastAsia="Book Antiqua" w:hAnsi="Book Antiqua" w:cs="Book Antiqua"/>
          <w:color w:val="000000"/>
        </w:rPr>
        <w:t xml:space="preserve">, secondary liver cancer, other malignancies, chronic hepatitis or cirrhosis due to any cause other than HCV infection, significant associated comorbidities (such as renal failure or heart failure) and those receiving chemotherapy, radiotherapy or on immunosuppression medication were excluded. Detailed histories of all participants were taken, and they all underwent physical examination, liver imaging (abdominal ultrasound) and routine </w:t>
      </w:r>
      <w:r w:rsidRPr="00BD6AF7">
        <w:rPr>
          <w:rFonts w:ascii="Book Antiqua" w:eastAsia="Book Antiqua" w:hAnsi="Book Antiqua" w:cs="Book Antiqua"/>
          <w:color w:val="000000"/>
        </w:rPr>
        <w:lastRenderedPageBreak/>
        <w:t xml:space="preserve">laboratory tests that included complete blood counts, kidney and liver function tests </w:t>
      </w:r>
      <w:r w:rsidR="00076F5C">
        <w:rPr>
          <w:rFonts w:ascii="Book Antiqua" w:eastAsia="Book Antiqua" w:hAnsi="Book Antiqua" w:cs="Book Antiqua"/>
          <w:color w:val="000000"/>
        </w:rPr>
        <w:t>[</w:t>
      </w:r>
      <w:r w:rsidRPr="00BD6AF7">
        <w:rPr>
          <w:rFonts w:ascii="Book Antiqua" w:eastAsia="Book Antiqua" w:hAnsi="Book Antiqua" w:cs="Book Antiqua"/>
          <w:color w:val="000000"/>
        </w:rPr>
        <w:t xml:space="preserve">albumin, total bilirubin, direct bilirubin, </w:t>
      </w:r>
      <w:r w:rsidR="00076F5C">
        <w:rPr>
          <w:rFonts w:ascii="Book Antiqua" w:eastAsia="Book Antiqua" w:hAnsi="Book Antiqua" w:cs="Book Antiqua"/>
          <w:color w:val="000000"/>
        </w:rPr>
        <w:t>alanine aminotransferase (</w:t>
      </w:r>
      <w:r w:rsidRPr="00BD6AF7">
        <w:rPr>
          <w:rFonts w:ascii="Book Antiqua" w:eastAsia="Book Antiqua" w:hAnsi="Book Antiqua" w:cs="Book Antiqua"/>
          <w:color w:val="000000"/>
        </w:rPr>
        <w:t>ALT</w:t>
      </w:r>
      <w:r w:rsidR="00076F5C">
        <w:rPr>
          <w:rFonts w:ascii="Book Antiqua" w:eastAsia="Book Antiqua" w:hAnsi="Book Antiqua" w:cs="Book Antiqua"/>
          <w:color w:val="000000"/>
        </w:rPr>
        <w:t>)</w:t>
      </w:r>
      <w:r w:rsidRPr="00BD6AF7">
        <w:rPr>
          <w:rFonts w:ascii="Book Antiqua" w:eastAsia="Book Antiqua" w:hAnsi="Book Antiqua" w:cs="Book Antiqua"/>
          <w:color w:val="000000"/>
        </w:rPr>
        <w:t xml:space="preserve"> and </w:t>
      </w:r>
      <w:r w:rsidR="00076F5C">
        <w:rPr>
          <w:rFonts w:ascii="Book Antiqua" w:eastAsia="Book Antiqua" w:hAnsi="Book Antiqua" w:cs="Book Antiqua"/>
          <w:color w:val="000000"/>
        </w:rPr>
        <w:t>aspartate aminotransferase (</w:t>
      </w:r>
      <w:r w:rsidRPr="00BD6AF7">
        <w:rPr>
          <w:rFonts w:ascii="Book Antiqua" w:eastAsia="Book Antiqua" w:hAnsi="Book Antiqua" w:cs="Book Antiqua"/>
          <w:color w:val="000000"/>
        </w:rPr>
        <w:t>AST)</w:t>
      </w:r>
      <w:r w:rsidR="00076F5C">
        <w:rPr>
          <w:rFonts w:ascii="Book Antiqua" w:eastAsia="Book Antiqua" w:hAnsi="Book Antiqua" w:cs="Book Antiqua"/>
          <w:color w:val="000000"/>
        </w:rPr>
        <w:t>]</w:t>
      </w:r>
      <w:r w:rsidRPr="00BD6AF7">
        <w:rPr>
          <w:rFonts w:ascii="Book Antiqua" w:eastAsia="Book Antiqua" w:hAnsi="Book Antiqua" w:cs="Book Antiqua"/>
          <w:color w:val="000000"/>
        </w:rPr>
        <w:t xml:space="preserve">, serum levels of α-fetoprotein, and serological tests for </w:t>
      </w:r>
      <w:r w:rsidR="006A65AA">
        <w:rPr>
          <w:rFonts w:ascii="Book Antiqua" w:eastAsia="Book Antiqua" w:hAnsi="Book Antiqua" w:cs="Book Antiqua"/>
          <w:color w:val="000000"/>
        </w:rPr>
        <w:t xml:space="preserve">hepatitis </w:t>
      </w:r>
      <w:r w:rsidRPr="00BD6AF7">
        <w:rPr>
          <w:rFonts w:ascii="Book Antiqua" w:eastAsia="Book Antiqua" w:hAnsi="Book Antiqua" w:cs="Book Antiqua"/>
          <w:color w:val="000000"/>
        </w:rPr>
        <w:t>B</w:t>
      </w:r>
      <w:r w:rsidR="006A65AA">
        <w:rPr>
          <w:rFonts w:ascii="Book Antiqua" w:eastAsia="Book Antiqua" w:hAnsi="Book Antiqua" w:cs="Book Antiqua"/>
          <w:color w:val="000000"/>
        </w:rPr>
        <w:t xml:space="preserve"> virus</w:t>
      </w:r>
      <w:r w:rsidRPr="00BD6AF7">
        <w:rPr>
          <w:rFonts w:ascii="Book Antiqua" w:eastAsia="Book Antiqua" w:hAnsi="Book Antiqua" w:cs="Book Antiqua"/>
          <w:color w:val="000000"/>
        </w:rPr>
        <w:t xml:space="preserve"> and HCV. Serum samples from Groups I and II were analyzed for HCV by reverse transcriptase PCR (RT-PCR). </w:t>
      </w:r>
    </w:p>
    <w:p w14:paraId="23E3DF2C" w14:textId="77777777" w:rsidR="004E296F" w:rsidRPr="00BD6AF7" w:rsidRDefault="004E296F" w:rsidP="00BD6AF7">
      <w:pPr>
        <w:spacing w:line="360" w:lineRule="auto"/>
        <w:jc w:val="both"/>
        <w:rPr>
          <w:rFonts w:ascii="Book Antiqua" w:eastAsia="Book Antiqua" w:hAnsi="Book Antiqua" w:cs="Book Antiqua"/>
        </w:rPr>
      </w:pPr>
    </w:p>
    <w:p w14:paraId="77F55D11"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i/>
          <w:color w:val="000000"/>
        </w:rPr>
        <w:t>Laboratory procedures</w:t>
      </w:r>
    </w:p>
    <w:p w14:paraId="1B005D53"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i/>
          <w:color w:val="000000"/>
        </w:rPr>
        <w:t>Blood sampling</w:t>
      </w:r>
    </w:p>
    <w:p w14:paraId="09A9EB52" w14:textId="03FC4533" w:rsidR="004E296F" w:rsidRPr="00BD6AF7" w:rsidRDefault="00703776" w:rsidP="00593210">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Seven milliliters of venous blood were withdrawn by venipuncture; of this, 5 mL were transferred into a plain tube, left to clot and centrifuged for 10 min at 4000 rpm. The serum obtained was stored at -80 ºC until subsequent analyses for serum α-fetoprotein levels, liver function tests, hepatitis viral markers and endocan levels. The remaining 2 mL of blood were placed into an EDTA containing tube for HCV RT-PCR and miRNA 9-3p expression analysis.</w:t>
      </w:r>
      <w:r w:rsidR="006A65AA">
        <w:rPr>
          <w:rFonts w:ascii="Book Antiqua" w:eastAsia="Book Antiqua" w:hAnsi="Book Antiqua" w:cs="Book Antiqua"/>
          <w:color w:val="000000"/>
        </w:rPr>
        <w:t xml:space="preserve"> A</w:t>
      </w:r>
      <w:r w:rsidRPr="00BD6AF7">
        <w:rPr>
          <w:rFonts w:ascii="Book Antiqua" w:eastAsia="Book Antiqua" w:hAnsi="Book Antiqua" w:cs="Book Antiqua"/>
          <w:color w:val="000000"/>
        </w:rPr>
        <w:t>nti-HCV levels were determined by electrochemiluminescence immunoassay using the Cobas immunoassay analyzer.</w:t>
      </w:r>
    </w:p>
    <w:p w14:paraId="56B54DE1" w14:textId="6EF7E89E" w:rsidR="004E296F" w:rsidRPr="00BD6AF7" w:rsidRDefault="00703776" w:rsidP="00BD6AF7">
      <w:pPr>
        <w:spacing w:line="360" w:lineRule="auto"/>
        <w:ind w:firstLine="240"/>
        <w:jc w:val="both"/>
        <w:rPr>
          <w:rFonts w:ascii="Book Antiqua" w:eastAsia="Book Antiqua" w:hAnsi="Book Antiqua" w:cs="Book Antiqua"/>
          <w:color w:val="000000"/>
        </w:rPr>
      </w:pPr>
      <w:r w:rsidRPr="00BD6AF7">
        <w:rPr>
          <w:rFonts w:ascii="Book Antiqua" w:eastAsia="Book Antiqua" w:hAnsi="Book Antiqua" w:cs="Book Antiqua"/>
          <w:color w:val="000000"/>
        </w:rPr>
        <w:t xml:space="preserve">The hepatitis B surface antigen in serum was determined using (Sorin Biomedica Co. kits, Italy). Serum levels of ALT and AST were determined by the kinetic UV optimized method of the IFCC (ELTEC Kit, England). Serum levels of total bilirubin were measured using the DIAMOND diagnostics Kit, Germany. Serum albumin levels were quantified using a colorimetric method of enhanced specificity of bromocresol green (DIAMOND diagnostics Kit, Germany). Prothrombin time was determined by the STA-Stago Compact </w:t>
      </w:r>
      <w:r w:rsidR="00076F5C">
        <w:rPr>
          <w:rFonts w:ascii="Book Antiqua" w:eastAsia="Book Antiqua" w:hAnsi="Book Antiqua" w:cs="Book Antiqua"/>
          <w:color w:val="000000"/>
        </w:rPr>
        <w:t>computed tomography</w:t>
      </w:r>
      <w:r w:rsidR="00076F5C" w:rsidRPr="00BD6AF7">
        <w:rPr>
          <w:rFonts w:ascii="Book Antiqua" w:eastAsia="Book Antiqua" w:hAnsi="Book Antiqua" w:cs="Book Antiqua"/>
          <w:color w:val="000000"/>
        </w:rPr>
        <w:t xml:space="preserve"> </w:t>
      </w:r>
      <w:r w:rsidRPr="00BD6AF7">
        <w:rPr>
          <w:rFonts w:ascii="Book Antiqua" w:eastAsia="Book Antiqua" w:hAnsi="Book Antiqua" w:cs="Book Antiqua"/>
          <w:color w:val="000000"/>
        </w:rPr>
        <w:t>autoanalyzer. Serum α-fetoprotein levels were measured by enzyme-linked immunosorbent assays using the IMMULITE 1000 system (Siemens Medical Solutions Diagnostics, U</w:t>
      </w:r>
      <w:r w:rsidR="006A65AA">
        <w:rPr>
          <w:rFonts w:ascii="Book Antiqua" w:eastAsia="Book Antiqua" w:hAnsi="Book Antiqua" w:cs="Book Antiqua"/>
          <w:color w:val="000000"/>
        </w:rPr>
        <w:t xml:space="preserve">nited </w:t>
      </w:r>
      <w:r w:rsidRPr="00BD6AF7">
        <w:rPr>
          <w:rFonts w:ascii="Book Antiqua" w:eastAsia="Book Antiqua" w:hAnsi="Book Antiqua" w:cs="Book Antiqua"/>
          <w:color w:val="000000"/>
        </w:rPr>
        <w:t>S</w:t>
      </w:r>
      <w:r w:rsidR="006A65AA">
        <w:rPr>
          <w:rFonts w:ascii="Book Antiqua" w:eastAsia="Book Antiqua" w:hAnsi="Book Antiqua" w:cs="Book Antiqua"/>
          <w:color w:val="000000"/>
        </w:rPr>
        <w:t>tates</w:t>
      </w:r>
      <w:r w:rsidRPr="00BD6AF7">
        <w:rPr>
          <w:rFonts w:ascii="Book Antiqua" w:eastAsia="Book Antiqua" w:hAnsi="Book Antiqua" w:cs="Book Antiqua"/>
          <w:color w:val="000000"/>
        </w:rPr>
        <w:t>).</w:t>
      </w:r>
    </w:p>
    <w:p w14:paraId="04798736" w14:textId="77777777" w:rsidR="004E296F" w:rsidRPr="00BD6AF7" w:rsidRDefault="004E296F" w:rsidP="00BD6AF7">
      <w:pPr>
        <w:spacing w:line="360" w:lineRule="auto"/>
        <w:jc w:val="both"/>
        <w:rPr>
          <w:rFonts w:ascii="Book Antiqua" w:eastAsia="Book Antiqua" w:hAnsi="Book Antiqua" w:cs="Book Antiqua"/>
        </w:rPr>
      </w:pPr>
    </w:p>
    <w:p w14:paraId="4544C742"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i/>
          <w:color w:val="000000"/>
        </w:rPr>
        <w:t xml:space="preserve">Endocan detection </w:t>
      </w:r>
    </w:p>
    <w:p w14:paraId="7A9D01FE" w14:textId="27F807EF"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 xml:space="preserve">Serum endocan levels were measured by </w:t>
      </w:r>
      <w:r w:rsidR="006A65AA" w:rsidRPr="00BD6AF7">
        <w:rPr>
          <w:rFonts w:ascii="Book Antiqua" w:eastAsia="Book Antiqua" w:hAnsi="Book Antiqua" w:cs="Book Antiqua"/>
          <w:color w:val="000000"/>
        </w:rPr>
        <w:t>enzyme-linked immunosorbent assay</w:t>
      </w:r>
      <w:r w:rsidRPr="00BD6AF7">
        <w:rPr>
          <w:rFonts w:ascii="Book Antiqua" w:eastAsia="Book Antiqua" w:hAnsi="Book Antiqua" w:cs="Book Antiqua"/>
          <w:color w:val="000000"/>
        </w:rPr>
        <w:t xml:space="preserve"> using the PicokineTM ELISA Kit for human ESMI/Endocan (Boster Biological Technology Co., Ltd., CA, United States, cat# EK0752).</w:t>
      </w:r>
    </w:p>
    <w:p w14:paraId="7462775D" w14:textId="77777777" w:rsidR="004E296F" w:rsidRPr="00BD6AF7" w:rsidRDefault="004E296F" w:rsidP="00BD6AF7">
      <w:pPr>
        <w:spacing w:line="360" w:lineRule="auto"/>
        <w:jc w:val="both"/>
        <w:rPr>
          <w:rFonts w:ascii="Book Antiqua" w:eastAsia="Book Antiqua" w:hAnsi="Book Antiqua" w:cs="Book Antiqua"/>
        </w:rPr>
      </w:pPr>
    </w:p>
    <w:p w14:paraId="008A2200"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i/>
          <w:color w:val="000000"/>
        </w:rPr>
        <w:lastRenderedPageBreak/>
        <w:t>RT-PCR for HCV</w:t>
      </w:r>
    </w:p>
    <w:p w14:paraId="4E470D2D"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Nucleic acids were extracted using the Qiagen viral RNA Mini Extraction Kit. </w:t>
      </w:r>
    </w:p>
    <w:p w14:paraId="16D15383" w14:textId="77777777" w:rsidR="004E296F" w:rsidRPr="00BD6AF7" w:rsidRDefault="004E296F" w:rsidP="00BD6AF7">
      <w:pPr>
        <w:spacing w:line="360" w:lineRule="auto"/>
        <w:jc w:val="both"/>
        <w:rPr>
          <w:rFonts w:ascii="Book Antiqua" w:eastAsia="Book Antiqua" w:hAnsi="Book Antiqua" w:cs="Book Antiqua"/>
        </w:rPr>
      </w:pPr>
    </w:p>
    <w:p w14:paraId="777D9790" w14:textId="71551B83"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i/>
          <w:color w:val="000000"/>
        </w:rPr>
        <w:t xml:space="preserve">Expression assay for miRNA 9-3p </w:t>
      </w:r>
    </w:p>
    <w:p w14:paraId="282C5A63" w14:textId="6E10F904" w:rsidR="004E296F" w:rsidRPr="00BD6AF7" w:rsidRDefault="00C4797D" w:rsidP="00BD6AF7">
      <w:pPr>
        <w:spacing w:line="360" w:lineRule="auto"/>
        <w:jc w:val="both"/>
        <w:rPr>
          <w:rFonts w:ascii="Book Antiqua" w:eastAsia="Book Antiqua" w:hAnsi="Book Antiqua" w:cs="Book Antiqua"/>
        </w:rPr>
      </w:pPr>
      <w:r>
        <w:rPr>
          <w:rFonts w:ascii="Book Antiqua" w:eastAsia="Book Antiqua" w:hAnsi="Book Antiqua" w:cs="Book Antiqua"/>
          <w:color w:val="000000"/>
        </w:rPr>
        <w:t>m</w:t>
      </w:r>
      <w:r w:rsidR="00703776" w:rsidRPr="00BD6AF7">
        <w:rPr>
          <w:rFonts w:ascii="Book Antiqua" w:eastAsia="Book Antiqua" w:hAnsi="Book Antiqua" w:cs="Book Antiqua"/>
          <w:color w:val="000000"/>
        </w:rPr>
        <w:t xml:space="preserve">iRNA was isolated from plasma using the Qiagen™ RNA extraction Kit MiRNeasy Kit (QIAGEN). </w:t>
      </w:r>
      <w:r>
        <w:rPr>
          <w:rFonts w:ascii="Book Antiqua" w:eastAsia="Book Antiqua" w:hAnsi="Book Antiqua" w:cs="Book Antiqua"/>
          <w:color w:val="000000"/>
        </w:rPr>
        <w:t>m</w:t>
      </w:r>
      <w:r w:rsidR="00703776" w:rsidRPr="00BD6AF7">
        <w:rPr>
          <w:rFonts w:ascii="Book Antiqua" w:eastAsia="Book Antiqua" w:hAnsi="Book Antiqua" w:cs="Book Antiqua"/>
          <w:color w:val="000000"/>
        </w:rPr>
        <w:t>iRNA was purified and then its concentration and purity were quantified using a NanoDrop</w:t>
      </w:r>
      <w:r w:rsidR="00703776" w:rsidRPr="00BD6AF7">
        <w:rPr>
          <w:rFonts w:ascii="Book Antiqua" w:eastAsia="Book Antiqua" w:hAnsi="Book Antiqua" w:cs="Book Antiqua"/>
          <w:color w:val="000000"/>
          <w:vertAlign w:val="superscript"/>
        </w:rPr>
        <w:t>®</w:t>
      </w:r>
      <w:r w:rsidR="00703776" w:rsidRPr="00BD6AF7">
        <w:rPr>
          <w:rFonts w:ascii="Book Antiqua" w:eastAsia="Book Antiqua" w:hAnsi="Book Antiqua" w:cs="Book Antiqua"/>
          <w:color w:val="000000"/>
        </w:rPr>
        <w:t xml:space="preserve"> N50 nanophotometer (Implant GmbH and Implen, Inc. Schatzbogen 52 81829 München, Germany). Purified miRNA was stored at -80</w:t>
      </w:r>
      <w:r w:rsidR="006A65AA">
        <w:rPr>
          <w:rFonts w:ascii="Book Antiqua" w:eastAsia="Book Antiqua" w:hAnsi="Book Antiqua" w:cs="Book Antiqua"/>
          <w:color w:val="000000"/>
        </w:rPr>
        <w:t xml:space="preserve"> </w:t>
      </w:r>
      <w:r w:rsidR="00703776" w:rsidRPr="00BD6AF7">
        <w:rPr>
          <w:rFonts w:ascii="Book Antiqua" w:eastAsia="Book Antiqua" w:hAnsi="Book Antiqua" w:cs="Book Antiqua"/>
          <w:color w:val="000000"/>
        </w:rPr>
        <w:t>°C until reverse transcription, which was accomplished using the Qiagen®miScript II RT Kit (QIAGEN) following the manufacturer’s instructions. Each 20-µl reaction tube contained 4 μ</w:t>
      </w:r>
      <w:r w:rsidR="00526EEF">
        <w:rPr>
          <w:rFonts w:ascii="Book Antiqua" w:eastAsia="Book Antiqua" w:hAnsi="Book Antiqua" w:cs="Book Antiqua"/>
          <w:color w:val="000000"/>
        </w:rPr>
        <w:t>L</w:t>
      </w:r>
      <w:r w:rsidR="00703776" w:rsidRPr="00BD6AF7">
        <w:rPr>
          <w:rFonts w:ascii="Book Antiqua" w:eastAsia="Book Antiqua" w:hAnsi="Book Antiqua" w:cs="Book Antiqua"/>
          <w:color w:val="000000"/>
        </w:rPr>
        <w:t xml:space="preserve"> 5 × miScript HiSpec Buffer, 2 μ</w:t>
      </w:r>
      <w:r w:rsidR="00526EEF">
        <w:rPr>
          <w:rFonts w:ascii="Book Antiqua" w:eastAsia="Book Antiqua" w:hAnsi="Book Antiqua" w:cs="Book Antiqua"/>
          <w:color w:val="000000"/>
        </w:rPr>
        <w:t>L</w:t>
      </w:r>
      <w:r w:rsidR="00703776" w:rsidRPr="00BD6AF7">
        <w:rPr>
          <w:rFonts w:ascii="Book Antiqua" w:eastAsia="Book Antiqua" w:hAnsi="Book Antiqua" w:cs="Book Antiqua"/>
          <w:color w:val="000000"/>
        </w:rPr>
        <w:t xml:space="preserve"> 10 × miScript Nuclease Mix, 2 μ</w:t>
      </w:r>
      <w:r w:rsidR="00526EEF">
        <w:rPr>
          <w:rFonts w:ascii="Book Antiqua" w:eastAsia="Book Antiqua" w:hAnsi="Book Antiqua" w:cs="Book Antiqua"/>
          <w:color w:val="000000"/>
        </w:rPr>
        <w:t>L</w:t>
      </w:r>
      <w:r w:rsidR="00703776" w:rsidRPr="00BD6AF7">
        <w:rPr>
          <w:rFonts w:ascii="Book Antiqua" w:eastAsia="Book Antiqua" w:hAnsi="Book Antiqua" w:cs="Book Antiqua"/>
          <w:color w:val="000000"/>
        </w:rPr>
        <w:t xml:space="preserve"> RNase-free water, 2 μ</w:t>
      </w:r>
      <w:r w:rsidR="00526EEF">
        <w:rPr>
          <w:rFonts w:ascii="Book Antiqua" w:eastAsia="Book Antiqua" w:hAnsi="Book Antiqua" w:cs="Book Antiqua"/>
          <w:color w:val="000000"/>
        </w:rPr>
        <w:t>L</w:t>
      </w:r>
      <w:r w:rsidR="00703776" w:rsidRPr="00BD6AF7">
        <w:rPr>
          <w:rFonts w:ascii="Book Antiqua" w:eastAsia="Book Antiqua" w:hAnsi="Book Antiqua" w:cs="Book Antiqua"/>
          <w:color w:val="000000"/>
        </w:rPr>
        <w:t xml:space="preserve"> miScript Reverse Transcriptase Mix, and 10 μ</w:t>
      </w:r>
      <w:r w:rsidR="00526EEF">
        <w:rPr>
          <w:rFonts w:ascii="Book Antiqua" w:eastAsia="Book Antiqua" w:hAnsi="Book Antiqua" w:cs="Book Antiqua"/>
          <w:color w:val="000000"/>
        </w:rPr>
        <w:t>L</w:t>
      </w:r>
      <w:r w:rsidR="00703776" w:rsidRPr="00BD6AF7">
        <w:rPr>
          <w:rFonts w:ascii="Book Antiqua" w:eastAsia="Book Antiqua" w:hAnsi="Book Antiqua" w:cs="Book Antiqua"/>
          <w:color w:val="000000"/>
        </w:rPr>
        <w:t xml:space="preserve"> template RNA. Reverse transcription was carried out at 37 °C for 60 min and 95 °C for 5 min on an Applied Biosystems 2720 thermal cycler (Bioline, Singapore, United States). The cDNA product was diluted to 5 ng/ul before determining the transcript levels by real-time quantitative PCR. Real-time quantitative PCR was performed using the miScript SYBR Green PCR Kit (QIAGEN) according to the manufacturer’s instructions. The reaction mixture contained 12.5 μ</w:t>
      </w:r>
      <w:r w:rsidR="00526EEF">
        <w:rPr>
          <w:rFonts w:ascii="Book Antiqua" w:eastAsia="Book Antiqua" w:hAnsi="Book Antiqua" w:cs="Book Antiqua"/>
          <w:color w:val="000000"/>
        </w:rPr>
        <w:t>L</w:t>
      </w:r>
      <w:r w:rsidR="00703776" w:rsidRPr="00BD6AF7">
        <w:rPr>
          <w:rFonts w:ascii="Book Antiqua" w:eastAsia="Book Antiqua" w:hAnsi="Book Antiqua" w:cs="Book Antiqua"/>
          <w:color w:val="000000"/>
        </w:rPr>
        <w:t xml:space="preserve"> 2x QuantiTect SYBR Green PCR Master Mix, 2.5 μ</w:t>
      </w:r>
      <w:r w:rsidR="00526EEF">
        <w:rPr>
          <w:rFonts w:ascii="Book Antiqua" w:eastAsia="Book Antiqua" w:hAnsi="Book Antiqua" w:cs="Book Antiqua"/>
          <w:color w:val="000000"/>
        </w:rPr>
        <w:t>L</w:t>
      </w:r>
      <w:r w:rsidR="00703776" w:rsidRPr="00BD6AF7">
        <w:rPr>
          <w:rFonts w:ascii="Book Antiqua" w:eastAsia="Book Antiqua" w:hAnsi="Book Antiqua" w:cs="Book Antiqua"/>
          <w:color w:val="000000"/>
        </w:rPr>
        <w:t xml:space="preserve"> 10x miScript Universal Primer based on mRNA sequences obtained from the miRBase database for miRNA 9-3p, 2.5 μ</w:t>
      </w:r>
      <w:r w:rsidR="00526EEF">
        <w:rPr>
          <w:rFonts w:ascii="Book Antiqua" w:eastAsia="Book Antiqua" w:hAnsi="Book Antiqua" w:cs="Book Antiqua"/>
          <w:color w:val="000000"/>
        </w:rPr>
        <w:t>L</w:t>
      </w:r>
      <w:r w:rsidR="00703776" w:rsidRPr="00BD6AF7">
        <w:rPr>
          <w:rFonts w:ascii="Book Antiqua" w:eastAsia="Book Antiqua" w:hAnsi="Book Antiqua" w:cs="Book Antiqua"/>
          <w:color w:val="000000"/>
        </w:rPr>
        <w:t xml:space="preserve"> template cDNA and 3.5 μ</w:t>
      </w:r>
      <w:r w:rsidR="00526EEF">
        <w:rPr>
          <w:rFonts w:ascii="Book Antiqua" w:eastAsia="Book Antiqua" w:hAnsi="Book Antiqua" w:cs="Book Antiqua"/>
          <w:color w:val="000000"/>
        </w:rPr>
        <w:t>L</w:t>
      </w:r>
      <w:r w:rsidR="00703776" w:rsidRPr="00BD6AF7">
        <w:rPr>
          <w:rFonts w:ascii="Book Antiqua" w:eastAsia="Book Antiqua" w:hAnsi="Book Antiqua" w:cs="Book Antiqua"/>
          <w:color w:val="000000"/>
        </w:rPr>
        <w:t xml:space="preserve"> RNase-free water. The Applied Biosystems</w:t>
      </w:r>
      <w:r w:rsidR="00703776" w:rsidRPr="00BD6AF7">
        <w:rPr>
          <w:rFonts w:ascii="Book Antiqua" w:eastAsia="Book Antiqua" w:hAnsi="Book Antiqua" w:cs="Book Antiqua"/>
          <w:color w:val="000000"/>
          <w:vertAlign w:val="superscript"/>
        </w:rPr>
        <w:t>®</w:t>
      </w:r>
      <w:r w:rsidR="00703776" w:rsidRPr="00BD6AF7">
        <w:rPr>
          <w:rFonts w:ascii="Book Antiqua" w:eastAsia="Book Antiqua" w:hAnsi="Book Antiqua" w:cs="Book Antiqua"/>
          <w:color w:val="000000"/>
        </w:rPr>
        <w:t>7500 real-time thermal cycler (Applied Biosystems, Foster City, CA, United States) was programmed to run 40 cycles of the following steps: 95 °C for 15 min (initial denaturation step), denaturation at 94 °C for 15 s, annealing for 30 s at 55 °C and extension for 30 s at 70 °C. U6 snRNA was used as an endogenous control. Relative quantification expression levels were calculated using the comparative 2−ΔΔCt method with Applied Biosystems 7500 software version 2.0.1. Each run was completed using melting curve analysis to confirm the specificity of the amplification and absence of primer dimers.</w:t>
      </w:r>
    </w:p>
    <w:p w14:paraId="4894512B" w14:textId="1C2E0451" w:rsidR="004E296F" w:rsidRPr="00BD6AF7" w:rsidRDefault="00703776" w:rsidP="00BD6AF7">
      <w:pPr>
        <w:spacing w:line="360" w:lineRule="auto"/>
        <w:ind w:firstLine="240"/>
        <w:jc w:val="both"/>
        <w:rPr>
          <w:rFonts w:ascii="Book Antiqua" w:eastAsia="Book Antiqua" w:hAnsi="Book Antiqua" w:cs="Book Antiqua"/>
        </w:rPr>
      </w:pPr>
      <w:r w:rsidRPr="00BD6AF7">
        <w:rPr>
          <w:rFonts w:ascii="Book Antiqua" w:eastAsia="Book Antiqua" w:hAnsi="Book Antiqua" w:cs="Book Antiqua"/>
          <w:color w:val="000000"/>
        </w:rPr>
        <w:t xml:space="preserve">All procedures involving human participants were performed according to the ethical standards of the institutional and/or national research committee and the 1964 Helsinki </w:t>
      </w:r>
      <w:r w:rsidR="006A65AA">
        <w:rPr>
          <w:rFonts w:ascii="Book Antiqua" w:eastAsia="Book Antiqua" w:hAnsi="Book Antiqua" w:cs="Book Antiqua"/>
          <w:color w:val="000000"/>
        </w:rPr>
        <w:t>D</w:t>
      </w:r>
      <w:r w:rsidRPr="00BD6AF7">
        <w:rPr>
          <w:rFonts w:ascii="Book Antiqua" w:eastAsia="Book Antiqua" w:hAnsi="Book Antiqua" w:cs="Book Antiqua"/>
          <w:color w:val="000000"/>
        </w:rPr>
        <w:t xml:space="preserve">eclaration and its later amendments or comparable ethical standards. The study was </w:t>
      </w:r>
      <w:r w:rsidRPr="00BD6AF7">
        <w:rPr>
          <w:rFonts w:ascii="Book Antiqua" w:eastAsia="Book Antiqua" w:hAnsi="Book Antiqua" w:cs="Book Antiqua"/>
          <w:color w:val="000000"/>
        </w:rPr>
        <w:lastRenderedPageBreak/>
        <w:t>approved by the Menoufia University Faculty of Medicine Research Ethics Committee. Every patient in this research provided their written consent to participate in the research, provided that they were not identified in the paper.</w:t>
      </w:r>
    </w:p>
    <w:p w14:paraId="7CFACA37" w14:textId="77777777" w:rsidR="004E296F" w:rsidRPr="00BD6AF7" w:rsidRDefault="004E296F" w:rsidP="00BD6AF7">
      <w:pPr>
        <w:spacing w:line="360" w:lineRule="auto"/>
        <w:jc w:val="both"/>
        <w:rPr>
          <w:rFonts w:ascii="Book Antiqua" w:eastAsia="Book Antiqua" w:hAnsi="Book Antiqua" w:cs="Book Antiqua"/>
          <w:b/>
          <w:i/>
          <w:color w:val="000000"/>
        </w:rPr>
      </w:pPr>
    </w:p>
    <w:p w14:paraId="3C2C99E4"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i/>
          <w:color w:val="000000"/>
        </w:rPr>
        <w:t>Statistical analysis</w:t>
      </w:r>
    </w:p>
    <w:p w14:paraId="161887B0" w14:textId="6473ACF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Data were analyzed using IBM SPSS statistics software version 20 (SPSS Inc. Released 2011. IBM SPSS statistics for windows, version 20.0, Armonk, NY</w:t>
      </w:r>
      <w:r w:rsidR="006A65AA">
        <w:rPr>
          <w:rFonts w:ascii="Book Antiqua" w:eastAsia="Book Antiqua" w:hAnsi="Book Antiqua" w:cs="Book Antiqua"/>
          <w:color w:val="000000"/>
        </w:rPr>
        <w:t>, United States</w:t>
      </w:r>
      <w:r w:rsidRPr="00BD6AF7">
        <w:rPr>
          <w:rFonts w:ascii="Book Antiqua" w:eastAsia="Book Antiqua" w:hAnsi="Book Antiqua" w:cs="Book Antiqua"/>
          <w:color w:val="000000"/>
        </w:rPr>
        <w:t xml:space="preserve">: IBM Corp). Quantitative data are presented as means, standard deviations, medians and interquartile ranges, while qualitative data are presented as frequencies and percentages. The relationship between qualitative variables was evaluated by the </w:t>
      </w:r>
      <w:r w:rsidR="006A65AA">
        <w:rPr>
          <w:rFonts w:ascii="Book Antiqua" w:eastAsia="Book Antiqua" w:hAnsi="Book Antiqua" w:cs="Book Antiqua"/>
          <w:color w:val="000000"/>
        </w:rPr>
        <w:t>χ</w:t>
      </w:r>
      <w:r w:rsidR="006A65AA">
        <w:rPr>
          <w:rFonts w:ascii="Book Antiqua" w:eastAsia="Book Antiqua" w:hAnsi="Book Antiqua" w:cs="Book Antiqua"/>
          <w:color w:val="000000"/>
          <w:vertAlign w:val="superscript"/>
        </w:rPr>
        <w:t>2</w:t>
      </w:r>
      <w:r w:rsidRPr="00BD6AF7">
        <w:rPr>
          <w:rFonts w:ascii="Book Antiqua" w:eastAsia="Book Antiqua" w:hAnsi="Book Antiqua" w:cs="Book Antiqua"/>
          <w:color w:val="000000"/>
        </w:rPr>
        <w:t xml:space="preserve"> test. Pairs of groups of non-normally distributed quantitative data were compared by the Mann–Whitney test, while three groups were compared by the Kruskal–Wallis test (non-parametric </w:t>
      </w:r>
      <w:r w:rsidR="006A65AA">
        <w:rPr>
          <w:rFonts w:ascii="Book Antiqua" w:eastAsia="Book Antiqua" w:hAnsi="Book Antiqua" w:cs="Book Antiqua"/>
          <w:color w:val="000000"/>
        </w:rPr>
        <w:t>analysis of variance</w:t>
      </w:r>
      <w:r w:rsidRPr="00BD6AF7">
        <w:rPr>
          <w:rFonts w:ascii="Book Antiqua" w:eastAsia="Book Antiqua" w:hAnsi="Book Antiqua" w:cs="Book Antiqua"/>
          <w:color w:val="000000"/>
        </w:rPr>
        <w:t xml:space="preserve">). Based on Kruskal–Wallis distribution, a post-hoc test was performed for pairwise comparisons. Correlations were assessed using the Spearman correlation test. The diagnostic values of serum miRNA 9-3p and endocan in HCC patients were evaluated by the receiver operating characteristic (ROC) curve analysis. The most independent factor associated with metastasis was identified by logistic regression analysis.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values of &lt; 0.05 were considered statistically significant.</w:t>
      </w:r>
    </w:p>
    <w:p w14:paraId="461A25D5" w14:textId="77777777" w:rsidR="004E296F" w:rsidRPr="00BD6AF7" w:rsidRDefault="004E296F" w:rsidP="00BD6AF7">
      <w:pPr>
        <w:spacing w:line="360" w:lineRule="auto"/>
        <w:jc w:val="both"/>
        <w:rPr>
          <w:rFonts w:ascii="Book Antiqua" w:eastAsia="Book Antiqua" w:hAnsi="Book Antiqua" w:cs="Book Antiqua"/>
        </w:rPr>
      </w:pPr>
    </w:p>
    <w:p w14:paraId="742A2D60"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smallCaps/>
          <w:color w:val="000000"/>
          <w:u w:val="single"/>
        </w:rPr>
        <w:t>RESULTS</w:t>
      </w:r>
    </w:p>
    <w:p w14:paraId="111BA347" w14:textId="21A997A3"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The patients in all three groups did not differ statistically in terms of age and gender. Biochemical analyses results (Table 1) show</w:t>
      </w:r>
      <w:r w:rsidR="00FF62A3">
        <w:rPr>
          <w:rFonts w:ascii="Book Antiqua" w:eastAsia="Book Antiqua" w:hAnsi="Book Antiqua" w:cs="Book Antiqua"/>
          <w:color w:val="000000"/>
        </w:rPr>
        <w:t>ed</w:t>
      </w:r>
      <w:r w:rsidRPr="00BD6AF7">
        <w:rPr>
          <w:rFonts w:ascii="Book Antiqua" w:eastAsia="Book Antiqua" w:hAnsi="Book Antiqua" w:cs="Book Antiqua"/>
          <w:color w:val="000000"/>
        </w:rPr>
        <w:t xml:space="preserve"> that the HCC group and the chronic liver disease group differed in the following: ALT, direct bilirubin, </w:t>
      </w:r>
      <w:r w:rsidR="00FF62A3">
        <w:rPr>
          <w:rFonts w:ascii="Book Antiqua" w:eastAsia="Book Antiqua" w:hAnsi="Book Antiqua" w:cs="Book Antiqua"/>
          <w:color w:val="000000"/>
        </w:rPr>
        <w:t>international normalized ratio</w:t>
      </w:r>
      <w:r w:rsidRPr="00BD6AF7">
        <w:rPr>
          <w:rFonts w:ascii="Book Antiqua" w:eastAsia="Book Antiqua" w:hAnsi="Book Antiqua" w:cs="Book Antiqua"/>
          <w:color w:val="000000"/>
        </w:rPr>
        <w:t>, endocan and miRNA 9-3p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 0.005,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 0.003,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 0.002,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 and </w:t>
      </w:r>
      <w:r w:rsidRPr="00BD6AF7">
        <w:rPr>
          <w:rFonts w:ascii="Book Antiqua" w:eastAsia="Book Antiqua" w:hAnsi="Book Antiqua" w:cs="Book Antiqua"/>
          <w:i/>
          <w:color w:val="000000"/>
        </w:rPr>
        <w:t xml:space="preserve">P </w:t>
      </w:r>
      <w:r w:rsidRPr="00BD6AF7">
        <w:rPr>
          <w:rFonts w:ascii="Book Antiqua" w:eastAsia="Book Antiqua" w:hAnsi="Book Antiqua" w:cs="Book Antiqua"/>
          <w:color w:val="000000"/>
        </w:rPr>
        <w:t xml:space="preserve">&lt; 0.001, respectively). </w:t>
      </w:r>
    </w:p>
    <w:p w14:paraId="6C53A7BE" w14:textId="7B3CFFB1" w:rsidR="004E296F" w:rsidRPr="00BD6AF7" w:rsidRDefault="00703776" w:rsidP="00BD6AF7">
      <w:pPr>
        <w:spacing w:line="360" w:lineRule="auto"/>
        <w:ind w:firstLine="240"/>
        <w:jc w:val="both"/>
        <w:rPr>
          <w:rFonts w:ascii="Book Antiqua" w:eastAsia="Book Antiqua" w:hAnsi="Book Antiqua" w:cs="Book Antiqua"/>
        </w:rPr>
      </w:pPr>
      <w:r w:rsidRPr="00BD6AF7">
        <w:rPr>
          <w:rFonts w:ascii="Book Antiqua" w:eastAsia="Book Antiqua" w:hAnsi="Book Antiqua" w:cs="Book Antiqua"/>
          <w:color w:val="000000"/>
        </w:rPr>
        <w:t xml:space="preserve">The HCC group differed significantly from the control group in terms of ALT, AST, platelet count, serum albumin, direct bilirubin, </w:t>
      </w:r>
      <w:r w:rsidR="00FF62A3">
        <w:rPr>
          <w:rFonts w:ascii="Book Antiqua" w:eastAsia="Book Antiqua" w:hAnsi="Book Antiqua" w:cs="Book Antiqua"/>
          <w:color w:val="000000"/>
        </w:rPr>
        <w:t>international normalized ratio</w:t>
      </w:r>
      <w:r w:rsidRPr="00BD6AF7">
        <w:rPr>
          <w:rFonts w:ascii="Book Antiqua" w:eastAsia="Book Antiqua" w:hAnsi="Book Antiqua" w:cs="Book Antiqua"/>
          <w:color w:val="000000"/>
        </w:rPr>
        <w:t>, α-fetoprotein level, endocan and miRNA 9-3p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 The chronic liver disease group differed significantly from the control group in terms of ALT, AST, hemoglobin level, platelet count, </w:t>
      </w:r>
      <w:r w:rsidR="00FF62A3">
        <w:rPr>
          <w:rFonts w:ascii="Book Antiqua" w:eastAsia="Book Antiqua" w:hAnsi="Book Antiqua" w:cs="Book Antiqua"/>
          <w:color w:val="000000"/>
        </w:rPr>
        <w:t>international normalized ratio</w:t>
      </w:r>
      <w:r w:rsidRPr="00BD6AF7">
        <w:rPr>
          <w:rFonts w:ascii="Book Antiqua" w:eastAsia="Book Antiqua" w:hAnsi="Book Antiqua" w:cs="Book Antiqua"/>
          <w:color w:val="000000"/>
        </w:rPr>
        <w:t xml:space="preserve">, α-fetoprotein level, endocan and miRNA </w:t>
      </w:r>
      <w:r w:rsidRPr="00BD6AF7">
        <w:rPr>
          <w:rFonts w:ascii="Book Antiqua" w:eastAsia="Book Antiqua" w:hAnsi="Book Antiqua" w:cs="Book Antiqua"/>
          <w:color w:val="000000"/>
        </w:rPr>
        <w:lastRenderedPageBreak/>
        <w:t>9-3p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 0.003,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 0.019,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 0.022,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 0.001,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 and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 respectively). </w:t>
      </w:r>
    </w:p>
    <w:p w14:paraId="605712C4" w14:textId="5F1D32EC" w:rsidR="004E296F" w:rsidRPr="00BD6AF7" w:rsidRDefault="00703776" w:rsidP="00BD6AF7">
      <w:pPr>
        <w:spacing w:line="360" w:lineRule="auto"/>
        <w:ind w:firstLine="240"/>
        <w:jc w:val="both"/>
        <w:rPr>
          <w:rFonts w:ascii="Book Antiqua" w:eastAsia="Book Antiqua" w:hAnsi="Book Antiqua" w:cs="Book Antiqua"/>
        </w:rPr>
      </w:pPr>
      <w:r w:rsidRPr="00BD6AF7">
        <w:rPr>
          <w:rFonts w:ascii="Book Antiqua" w:eastAsia="Book Antiqua" w:hAnsi="Book Antiqua" w:cs="Book Antiqua"/>
          <w:color w:val="000000"/>
        </w:rPr>
        <w:t>Serum endocan levels in the HCC group were significantly higher than those in the chronic liver disease and control groups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 Furthermore, serum miRNA 9-3p expression levels in the HCC group were significantly lower than those in the chronic liver disease and control groups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 while levels in the chronic liver disease group were significantly lower than those in the control group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w:t>
      </w:r>
    </w:p>
    <w:p w14:paraId="0777D507" w14:textId="7E378157" w:rsidR="004E296F" w:rsidRPr="00BD6AF7" w:rsidRDefault="00703776" w:rsidP="00BD6AF7">
      <w:pPr>
        <w:spacing w:line="360" w:lineRule="auto"/>
        <w:ind w:firstLine="240"/>
        <w:jc w:val="both"/>
        <w:rPr>
          <w:rFonts w:ascii="Book Antiqua" w:eastAsia="Book Antiqua" w:hAnsi="Book Antiqua" w:cs="Book Antiqua"/>
        </w:rPr>
      </w:pPr>
      <w:r w:rsidRPr="00BD6AF7">
        <w:rPr>
          <w:rFonts w:ascii="Book Antiqua" w:eastAsia="Book Antiqua" w:hAnsi="Book Antiqua" w:cs="Book Antiqua"/>
          <w:color w:val="000000"/>
        </w:rPr>
        <w:t>In the HCC group, 62.9% of patients (22 patients) were classified as grade A and (37.1%) of patients (13 patients) were classified as grade B according to Child-Pugh classifications; 4 (11.4%) patients were classified as grade A in BCLC stage, 18 (51.4 %) patients in stage B and 13 (37.1%) patients were in stage C. Detailed tumor characteristics of the HCC group are shown in Table 2.</w:t>
      </w:r>
    </w:p>
    <w:p w14:paraId="1B342FA2" w14:textId="02DA78C1" w:rsidR="004E296F" w:rsidRPr="00BD6AF7" w:rsidRDefault="00703776" w:rsidP="00BD6AF7">
      <w:pPr>
        <w:spacing w:line="360" w:lineRule="auto"/>
        <w:ind w:firstLine="240"/>
        <w:jc w:val="both"/>
        <w:rPr>
          <w:rFonts w:ascii="Book Antiqua" w:eastAsia="Book Antiqua" w:hAnsi="Book Antiqua" w:cs="Book Antiqua"/>
        </w:rPr>
      </w:pPr>
      <w:r w:rsidRPr="00BD6AF7">
        <w:rPr>
          <w:rFonts w:ascii="Book Antiqua" w:eastAsia="Book Antiqua" w:hAnsi="Book Antiqua" w:cs="Book Antiqua"/>
          <w:color w:val="000000"/>
        </w:rPr>
        <w:t>The correlations between serum miRNA 9-3p levels and clinical data in HCC patients are shown in Table 3</w:t>
      </w:r>
      <w:r w:rsidR="00664EC2">
        <w:rPr>
          <w:rFonts w:ascii="Book Antiqua" w:eastAsia="Book Antiqua" w:hAnsi="Book Antiqua" w:cs="Book Antiqua"/>
          <w:color w:val="000000"/>
        </w:rPr>
        <w:t>.</w:t>
      </w:r>
      <w:r w:rsidRPr="00BD6AF7">
        <w:rPr>
          <w:rFonts w:ascii="Book Antiqua" w:eastAsia="Book Antiqua" w:hAnsi="Book Antiqua" w:cs="Book Antiqua"/>
          <w:color w:val="000000"/>
        </w:rPr>
        <w:t xml:space="preserve"> miRNA 9-3p expression levels </w:t>
      </w:r>
      <w:r w:rsidR="00664EC2">
        <w:rPr>
          <w:rFonts w:ascii="Book Antiqua" w:eastAsia="Book Antiqua" w:hAnsi="Book Antiqua" w:cs="Book Antiqua"/>
          <w:color w:val="000000"/>
        </w:rPr>
        <w:t>we</w:t>
      </w:r>
      <w:r w:rsidRPr="00BD6AF7">
        <w:rPr>
          <w:rFonts w:ascii="Book Antiqua" w:eastAsia="Book Antiqua" w:hAnsi="Book Antiqua" w:cs="Book Antiqua"/>
          <w:color w:val="000000"/>
        </w:rPr>
        <w:t xml:space="preserve">re significantly inversely correlated to vascular invasion, BCLC classification and metastatic site. Moreover, miRNA 9-3p expression levels </w:t>
      </w:r>
      <w:r w:rsidR="00664EC2">
        <w:rPr>
          <w:rFonts w:ascii="Book Antiqua" w:eastAsia="Book Antiqua" w:hAnsi="Book Antiqua" w:cs="Book Antiqua"/>
          <w:color w:val="000000"/>
        </w:rPr>
        <w:t>we</w:t>
      </w:r>
      <w:r w:rsidRPr="00BD6AF7">
        <w:rPr>
          <w:rFonts w:ascii="Book Antiqua" w:eastAsia="Book Antiqua" w:hAnsi="Book Antiqua" w:cs="Book Antiqua"/>
          <w:color w:val="000000"/>
        </w:rPr>
        <w:t>re also significantly inversely correlated to serum endocan levels (Figure 1).</w:t>
      </w:r>
    </w:p>
    <w:p w14:paraId="3C141545" w14:textId="4A6A532B" w:rsidR="004E296F" w:rsidRPr="00BD6AF7" w:rsidRDefault="00703776" w:rsidP="00BD6AF7">
      <w:pPr>
        <w:spacing w:line="360" w:lineRule="auto"/>
        <w:ind w:firstLine="240"/>
        <w:jc w:val="both"/>
        <w:rPr>
          <w:rFonts w:ascii="Book Antiqua" w:eastAsia="Book Antiqua" w:hAnsi="Book Antiqua" w:cs="Book Antiqua"/>
        </w:rPr>
      </w:pPr>
      <w:r w:rsidRPr="00BD6AF7">
        <w:rPr>
          <w:rFonts w:ascii="Book Antiqua" w:eastAsia="Book Antiqua" w:hAnsi="Book Antiqua" w:cs="Book Antiqua"/>
          <w:color w:val="000000"/>
        </w:rPr>
        <w:t>Univariate and multivariate logistic regression analyses on the HCC group</w:t>
      </w:r>
      <w:r w:rsidR="00664EC2">
        <w:rPr>
          <w:rFonts w:ascii="Book Antiqua" w:eastAsia="Book Antiqua" w:hAnsi="Book Antiqua" w:cs="Book Antiqua"/>
          <w:color w:val="000000"/>
        </w:rPr>
        <w:t xml:space="preserve"> </w:t>
      </w:r>
      <w:r w:rsidRPr="00BD6AF7">
        <w:rPr>
          <w:rFonts w:ascii="Book Antiqua" w:eastAsia="Book Antiqua" w:hAnsi="Book Antiqua" w:cs="Book Antiqua"/>
          <w:color w:val="000000"/>
        </w:rPr>
        <w:t>indicate</w:t>
      </w:r>
      <w:r w:rsidR="00664EC2">
        <w:rPr>
          <w:rFonts w:ascii="Book Antiqua" w:eastAsia="Book Antiqua" w:hAnsi="Book Antiqua" w:cs="Book Antiqua"/>
          <w:color w:val="000000"/>
        </w:rPr>
        <w:t>d</w:t>
      </w:r>
      <w:r w:rsidRPr="00BD6AF7">
        <w:rPr>
          <w:rFonts w:ascii="Book Antiqua" w:eastAsia="Book Antiqua" w:hAnsi="Book Antiqua" w:cs="Book Antiqua"/>
          <w:color w:val="000000"/>
        </w:rPr>
        <w:t xml:space="preserve"> that miRNA 9-3p is an independent predictor factor of</w:t>
      </w:r>
      <w:r w:rsidR="00664EC2">
        <w:rPr>
          <w:rFonts w:ascii="Book Antiqua" w:eastAsia="Book Antiqua" w:hAnsi="Book Antiqua" w:cs="Book Antiqua"/>
          <w:color w:val="000000"/>
        </w:rPr>
        <w:t xml:space="preserve"> </w:t>
      </w:r>
      <w:r w:rsidRPr="00BD6AF7">
        <w:rPr>
          <w:rFonts w:ascii="Book Antiqua" w:eastAsia="Book Antiqua" w:hAnsi="Book Antiqua" w:cs="Book Antiqua"/>
          <w:color w:val="000000"/>
        </w:rPr>
        <w:t>metastasis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 0.041; 95%</w:t>
      </w:r>
      <w:r w:rsidR="00664EC2">
        <w:rPr>
          <w:rFonts w:ascii="Book Antiqua" w:eastAsia="Book Antiqua" w:hAnsi="Book Antiqua" w:cs="Book Antiqua"/>
          <w:color w:val="000000"/>
        </w:rPr>
        <w:t xml:space="preserve"> confidence interval</w:t>
      </w:r>
      <w:r w:rsidRPr="00BD6AF7">
        <w:rPr>
          <w:rFonts w:ascii="Book Antiqua" w:eastAsia="Book Antiqua" w:hAnsi="Book Antiqua" w:cs="Book Antiqua"/>
          <w:color w:val="000000"/>
        </w:rPr>
        <w:t>: 0.089-0.951) (Table 4).</w:t>
      </w:r>
    </w:p>
    <w:p w14:paraId="6980D37A" w14:textId="2A3AF1DC" w:rsidR="004E296F" w:rsidRPr="00BD6AF7" w:rsidRDefault="00703776" w:rsidP="00BD6AF7">
      <w:pPr>
        <w:spacing w:line="360" w:lineRule="auto"/>
        <w:ind w:firstLine="240"/>
        <w:jc w:val="both"/>
        <w:rPr>
          <w:rFonts w:ascii="Book Antiqua" w:eastAsia="Book Antiqua" w:hAnsi="Book Antiqua" w:cs="Book Antiqua"/>
        </w:rPr>
      </w:pPr>
      <w:r w:rsidRPr="00BD6AF7">
        <w:rPr>
          <w:rFonts w:ascii="Book Antiqua" w:eastAsia="Book Antiqua" w:hAnsi="Book Antiqua" w:cs="Book Antiqua"/>
          <w:color w:val="000000"/>
        </w:rPr>
        <w:t>ROC analysis of miRNA 9-3p and endocan levels indicate</w:t>
      </w:r>
      <w:r w:rsidR="00664EC2">
        <w:rPr>
          <w:rFonts w:ascii="Book Antiqua" w:eastAsia="Book Antiqua" w:hAnsi="Book Antiqua" w:cs="Book Antiqua"/>
          <w:color w:val="000000"/>
        </w:rPr>
        <w:t>d</w:t>
      </w:r>
      <w:r w:rsidRPr="00BD6AF7">
        <w:rPr>
          <w:rFonts w:ascii="Book Antiqua" w:eastAsia="Book Antiqua" w:hAnsi="Book Antiqua" w:cs="Book Antiqua"/>
          <w:color w:val="000000"/>
        </w:rPr>
        <w:t xml:space="preserve"> that at a cutoff point of 0.26, miRNA 9-3p can discriminate between patients with HCC and those with chronic liver disease with a sensitivity of 91.43%, a specificity of 87.88%, a positive predictive value of 88.9</w:t>
      </w:r>
      <w:r w:rsidR="00664EC2">
        <w:rPr>
          <w:rFonts w:ascii="Book Antiqua" w:eastAsia="Book Antiqua" w:hAnsi="Book Antiqua" w:cs="Book Antiqua"/>
          <w:color w:val="000000"/>
        </w:rPr>
        <w:t>0</w:t>
      </w:r>
      <w:r w:rsidRPr="00BD6AF7">
        <w:rPr>
          <w:rFonts w:ascii="Book Antiqua" w:eastAsia="Book Antiqua" w:hAnsi="Book Antiqua" w:cs="Book Antiqua"/>
          <w:color w:val="000000"/>
        </w:rPr>
        <w:t>% and a negative predictive value of 90.6</w:t>
      </w:r>
      <w:r w:rsidR="00664EC2">
        <w:rPr>
          <w:rFonts w:ascii="Book Antiqua" w:eastAsia="Book Antiqua" w:hAnsi="Book Antiqua" w:cs="Book Antiqua"/>
          <w:color w:val="000000"/>
        </w:rPr>
        <w:t>0</w:t>
      </w:r>
      <w:r w:rsidRPr="00BD6AF7">
        <w:rPr>
          <w:rFonts w:ascii="Book Antiqua" w:eastAsia="Book Antiqua" w:hAnsi="Book Antiqua" w:cs="Book Antiqua"/>
          <w:color w:val="000000"/>
        </w:rPr>
        <w:t>%. Meanwhile, at a cutoff point of 2370 pg/mL, endocan can discriminate between HCC and chronic liver disease patients with a sensitivity of 82.86%, a specificity of 84.85%, a positive predictive value of 85.3</w:t>
      </w:r>
      <w:r w:rsidR="00664EC2">
        <w:rPr>
          <w:rFonts w:ascii="Book Antiqua" w:eastAsia="Book Antiqua" w:hAnsi="Book Antiqua" w:cs="Book Antiqua"/>
          <w:color w:val="000000"/>
        </w:rPr>
        <w:t>0</w:t>
      </w:r>
      <w:r w:rsidRPr="00BD6AF7">
        <w:rPr>
          <w:rFonts w:ascii="Book Antiqua" w:eastAsia="Book Antiqua" w:hAnsi="Book Antiqua" w:cs="Book Antiqua"/>
          <w:color w:val="000000"/>
        </w:rPr>
        <w:t>% and a negative predictive value of 82.4</w:t>
      </w:r>
      <w:r w:rsidR="00664EC2">
        <w:rPr>
          <w:rFonts w:ascii="Book Antiqua" w:eastAsia="Book Antiqua" w:hAnsi="Book Antiqua" w:cs="Book Antiqua"/>
          <w:color w:val="000000"/>
        </w:rPr>
        <w:t>0</w:t>
      </w:r>
      <w:r w:rsidRPr="00BD6AF7">
        <w:rPr>
          <w:rFonts w:ascii="Book Antiqua" w:eastAsia="Book Antiqua" w:hAnsi="Book Antiqua" w:cs="Book Antiqua"/>
          <w:color w:val="000000"/>
        </w:rPr>
        <w:t>%. In comparison, α-fetoprotein was less sensitive and specific (60</w:t>
      </w:r>
      <w:r w:rsidR="00664EC2">
        <w:rPr>
          <w:rFonts w:ascii="Book Antiqua" w:eastAsia="Book Antiqua" w:hAnsi="Book Antiqua" w:cs="Book Antiqua"/>
          <w:color w:val="000000"/>
        </w:rPr>
        <w:t>.00</w:t>
      </w:r>
      <w:r w:rsidRPr="00BD6AF7">
        <w:rPr>
          <w:rFonts w:ascii="Book Antiqua" w:eastAsia="Book Antiqua" w:hAnsi="Book Antiqua" w:cs="Book Antiqua"/>
          <w:color w:val="000000"/>
        </w:rPr>
        <w:t>% and 33.3</w:t>
      </w:r>
      <w:r w:rsidR="00664EC2">
        <w:rPr>
          <w:rFonts w:ascii="Book Antiqua" w:eastAsia="Book Antiqua" w:hAnsi="Book Antiqua" w:cs="Book Antiqua"/>
          <w:color w:val="000000"/>
        </w:rPr>
        <w:t>0</w:t>
      </w:r>
      <w:r w:rsidRPr="00BD6AF7">
        <w:rPr>
          <w:rFonts w:ascii="Book Antiqua" w:eastAsia="Book Antiqua" w:hAnsi="Book Antiqua" w:cs="Book Antiqua"/>
          <w:color w:val="000000"/>
        </w:rPr>
        <w:t xml:space="preserve">%, respectively). </w:t>
      </w:r>
    </w:p>
    <w:p w14:paraId="0E3DE03E" w14:textId="4BD09864" w:rsidR="004E296F" w:rsidRPr="00BD6AF7" w:rsidRDefault="00703776" w:rsidP="00BD6AF7">
      <w:pPr>
        <w:spacing w:line="360" w:lineRule="auto"/>
        <w:ind w:firstLine="240"/>
        <w:jc w:val="both"/>
        <w:rPr>
          <w:rFonts w:ascii="Book Antiqua" w:eastAsia="Book Antiqua" w:hAnsi="Book Antiqua" w:cs="Book Antiqua"/>
        </w:rPr>
      </w:pPr>
      <w:r w:rsidRPr="00BD6AF7">
        <w:rPr>
          <w:rFonts w:ascii="Book Antiqua" w:eastAsia="Book Antiqua" w:hAnsi="Book Antiqua" w:cs="Book Antiqua"/>
          <w:color w:val="000000"/>
        </w:rPr>
        <w:t xml:space="preserve">At a cutoff point of 1.01, miRNA 9-3p can discriminate between HCC and control group patients with a sensitivity of 91.43%, a specificity of 87.50%, a positive predictive value of </w:t>
      </w:r>
      <w:r w:rsidRPr="00BD6AF7">
        <w:rPr>
          <w:rFonts w:ascii="Book Antiqua" w:eastAsia="Book Antiqua" w:hAnsi="Book Antiqua" w:cs="Book Antiqua"/>
          <w:color w:val="000000"/>
        </w:rPr>
        <w:lastRenderedPageBreak/>
        <w:t>88.9</w:t>
      </w:r>
      <w:r w:rsidR="00664EC2">
        <w:rPr>
          <w:rFonts w:ascii="Book Antiqua" w:eastAsia="Book Antiqua" w:hAnsi="Book Antiqua" w:cs="Book Antiqua"/>
          <w:color w:val="000000"/>
        </w:rPr>
        <w:t>0</w:t>
      </w:r>
      <w:r w:rsidRPr="00BD6AF7">
        <w:rPr>
          <w:rFonts w:ascii="Book Antiqua" w:eastAsia="Book Antiqua" w:hAnsi="Book Antiqua" w:cs="Book Antiqua"/>
          <w:color w:val="000000"/>
        </w:rPr>
        <w:t>% and a negative predictive value of 90.3</w:t>
      </w:r>
      <w:r w:rsidR="00664EC2">
        <w:rPr>
          <w:rFonts w:ascii="Book Antiqua" w:eastAsia="Book Antiqua" w:hAnsi="Book Antiqua" w:cs="Book Antiqua"/>
          <w:color w:val="000000"/>
        </w:rPr>
        <w:t>0</w:t>
      </w:r>
      <w:r w:rsidRPr="00BD6AF7">
        <w:rPr>
          <w:rFonts w:ascii="Book Antiqua" w:eastAsia="Book Antiqua" w:hAnsi="Book Antiqua" w:cs="Book Antiqua"/>
          <w:color w:val="000000"/>
        </w:rPr>
        <w:t>%. Meanwhile, at a cutoff point of 1510 pg/mL, endocan can discriminate between HCC and chronic liver disease patients with a sensitivity of 85.71%, a specificity of 87.50%, a positive predictive value of 88.2</w:t>
      </w:r>
      <w:r w:rsidR="00664EC2">
        <w:rPr>
          <w:rFonts w:ascii="Book Antiqua" w:eastAsia="Book Antiqua" w:hAnsi="Book Antiqua" w:cs="Book Antiqua"/>
          <w:color w:val="000000"/>
        </w:rPr>
        <w:t>0</w:t>
      </w:r>
      <w:r w:rsidRPr="00BD6AF7">
        <w:rPr>
          <w:rFonts w:ascii="Book Antiqua" w:eastAsia="Book Antiqua" w:hAnsi="Book Antiqua" w:cs="Book Antiqua"/>
          <w:color w:val="000000"/>
        </w:rPr>
        <w:t>% and a negative predictive value of 84.8</w:t>
      </w:r>
      <w:r w:rsidR="00664EC2">
        <w:rPr>
          <w:rFonts w:ascii="Book Antiqua" w:eastAsia="Book Antiqua" w:hAnsi="Book Antiqua" w:cs="Book Antiqua"/>
          <w:color w:val="000000"/>
        </w:rPr>
        <w:t>0</w:t>
      </w:r>
      <w:r w:rsidRPr="00BD6AF7">
        <w:rPr>
          <w:rFonts w:ascii="Book Antiqua" w:eastAsia="Book Antiqua" w:hAnsi="Book Antiqua" w:cs="Book Antiqua"/>
          <w:color w:val="000000"/>
        </w:rPr>
        <w:t>%. In comparison</w:t>
      </w:r>
      <w:r w:rsidR="00664EC2">
        <w:rPr>
          <w:rFonts w:ascii="Book Antiqua" w:eastAsia="Book Antiqua" w:hAnsi="Book Antiqua" w:cs="Book Antiqua"/>
          <w:color w:val="000000"/>
        </w:rPr>
        <w:t xml:space="preserve">, </w:t>
      </w:r>
      <w:r w:rsidRPr="00BD6AF7">
        <w:rPr>
          <w:rFonts w:ascii="Book Antiqua" w:eastAsia="Book Antiqua" w:hAnsi="Book Antiqua" w:cs="Book Antiqua"/>
          <w:color w:val="000000"/>
        </w:rPr>
        <w:t>α-fetoprotein was less sensitive and specific (80.0</w:t>
      </w:r>
      <w:r w:rsidR="00664EC2">
        <w:rPr>
          <w:rFonts w:ascii="Book Antiqua" w:eastAsia="Book Antiqua" w:hAnsi="Book Antiqua" w:cs="Book Antiqua"/>
          <w:color w:val="000000"/>
        </w:rPr>
        <w:t>0</w:t>
      </w:r>
      <w:r w:rsidRPr="00BD6AF7">
        <w:rPr>
          <w:rFonts w:ascii="Book Antiqua" w:eastAsia="Book Antiqua" w:hAnsi="Book Antiqua" w:cs="Book Antiqua"/>
          <w:color w:val="000000"/>
        </w:rPr>
        <w:t>% and 71.87%, respectively). Diagnostically, both miRNA 9-3p and endocan performed better than α-fetoprotein at discriminating HCC patients from both chronic liver disease and healthy patients (Figures 2 and 3).</w:t>
      </w:r>
    </w:p>
    <w:p w14:paraId="76D053BB" w14:textId="2A930626" w:rsidR="004E296F" w:rsidRPr="00BD6AF7" w:rsidRDefault="00703776" w:rsidP="00BD6AF7">
      <w:pPr>
        <w:spacing w:line="360" w:lineRule="auto"/>
        <w:ind w:firstLine="240"/>
        <w:jc w:val="both"/>
        <w:rPr>
          <w:rFonts w:ascii="Book Antiqua" w:eastAsia="Book Antiqua" w:hAnsi="Book Antiqua" w:cs="Book Antiqua"/>
        </w:rPr>
      </w:pPr>
      <w:r w:rsidRPr="00BD6AF7">
        <w:rPr>
          <w:rFonts w:ascii="Book Antiqua" w:eastAsia="Book Antiqua" w:hAnsi="Book Antiqua" w:cs="Book Antiqua"/>
          <w:color w:val="000000"/>
        </w:rPr>
        <w:t>ROC analysis of miRNA 9-3p levels in the HCC group indicate</w:t>
      </w:r>
      <w:r w:rsidR="00664EC2">
        <w:rPr>
          <w:rFonts w:ascii="Book Antiqua" w:eastAsia="Book Antiqua" w:hAnsi="Book Antiqua" w:cs="Book Antiqua"/>
          <w:color w:val="000000"/>
        </w:rPr>
        <w:t>d</w:t>
      </w:r>
      <w:r w:rsidRPr="00BD6AF7">
        <w:rPr>
          <w:rFonts w:ascii="Book Antiqua" w:eastAsia="Book Antiqua" w:hAnsi="Book Antiqua" w:cs="Book Antiqua"/>
          <w:color w:val="000000"/>
        </w:rPr>
        <w:t xml:space="preserve"> that at a cutoff point of 0.02, miRNA 9-3p can discriminate between metastatic and non-metastatic HCC patients with a sensitivity of 91.67%, a specificity of 82.61%, a positive predictive value of 73.3</w:t>
      </w:r>
      <w:r w:rsidR="00A65E2A">
        <w:rPr>
          <w:rFonts w:ascii="Book Antiqua" w:eastAsia="Book Antiqua" w:hAnsi="Book Antiqua" w:cs="Book Antiqua"/>
          <w:color w:val="000000"/>
        </w:rPr>
        <w:t>0</w:t>
      </w:r>
      <w:r w:rsidRPr="00BD6AF7">
        <w:rPr>
          <w:rFonts w:ascii="Book Antiqua" w:eastAsia="Book Antiqua" w:hAnsi="Book Antiqua" w:cs="Book Antiqua"/>
          <w:color w:val="000000"/>
        </w:rPr>
        <w:t>% and a negative predictive value of 95</w:t>
      </w:r>
      <w:r w:rsidR="00A65E2A">
        <w:rPr>
          <w:rFonts w:ascii="Book Antiqua" w:eastAsia="Book Antiqua" w:hAnsi="Book Antiqua" w:cs="Book Antiqua"/>
          <w:color w:val="000000"/>
        </w:rPr>
        <w:t>.00</w:t>
      </w:r>
      <w:r w:rsidRPr="00BD6AF7">
        <w:rPr>
          <w:rFonts w:ascii="Book Antiqua" w:eastAsia="Book Antiqua" w:hAnsi="Book Antiqua" w:cs="Book Antiqua"/>
          <w:color w:val="000000"/>
        </w:rPr>
        <w:t>%.</w:t>
      </w:r>
    </w:p>
    <w:p w14:paraId="31292964" w14:textId="77777777" w:rsidR="004E296F" w:rsidRPr="00BD6AF7" w:rsidRDefault="004E296F" w:rsidP="00BD6AF7">
      <w:pPr>
        <w:spacing w:line="360" w:lineRule="auto"/>
        <w:jc w:val="both"/>
        <w:rPr>
          <w:rFonts w:ascii="Book Antiqua" w:eastAsia="Book Antiqua" w:hAnsi="Book Antiqua" w:cs="Book Antiqua"/>
        </w:rPr>
      </w:pPr>
    </w:p>
    <w:p w14:paraId="1325AFEE"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smallCaps/>
          <w:color w:val="000000"/>
          <w:u w:val="single"/>
        </w:rPr>
        <w:t>DISCUSSION</w:t>
      </w:r>
    </w:p>
    <w:p w14:paraId="27DB05B2" w14:textId="655FACC1"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The increasing prevalence of HCC worldwide and its associated poor prognosis make it a global health problem. Studies in Egypt shows the increasing role of HCV infection in liver cancer etiology, and among all cancer deaths in Egypt, HCC is the primary cause</w:t>
      </w:r>
      <w:r w:rsidRPr="00BD6AF7">
        <w:rPr>
          <w:rFonts w:ascii="Book Antiqua" w:eastAsia="Book Antiqua" w:hAnsi="Book Antiqua" w:cs="Book Antiqua"/>
          <w:color w:val="000000"/>
          <w:vertAlign w:val="superscript"/>
        </w:rPr>
        <w:t>[17,18]</w:t>
      </w:r>
      <w:r w:rsidRPr="00BD6AF7">
        <w:rPr>
          <w:rFonts w:ascii="Book Antiqua" w:eastAsia="Book Antiqua" w:hAnsi="Book Antiqua" w:cs="Book Antiqua"/>
          <w:color w:val="000000"/>
        </w:rPr>
        <w:t>.</w:t>
      </w:r>
    </w:p>
    <w:p w14:paraId="1876350A" w14:textId="227356DC" w:rsidR="004E296F" w:rsidRPr="00BD6AF7" w:rsidRDefault="00703776" w:rsidP="00BD6AF7">
      <w:pPr>
        <w:spacing w:line="360" w:lineRule="auto"/>
        <w:ind w:firstLine="240"/>
        <w:jc w:val="both"/>
        <w:rPr>
          <w:rFonts w:ascii="Book Antiqua" w:eastAsia="Book Antiqua" w:hAnsi="Book Antiqua" w:cs="Book Antiqua"/>
        </w:rPr>
      </w:pPr>
      <w:r w:rsidRPr="00BD6AF7">
        <w:rPr>
          <w:rFonts w:ascii="Book Antiqua" w:eastAsia="Book Antiqua" w:hAnsi="Book Antiqua" w:cs="Book Antiqua"/>
          <w:color w:val="000000"/>
        </w:rPr>
        <w:t>HCC is often detected late, when it is no longer operable, which limits curative surgical treatment to only a few cases involving small HCC malignancies. Moreover, as a diagnostic tool, α-fetoprotein is limited in its accuracy</w:t>
      </w:r>
      <w:r w:rsidRPr="00BD6AF7">
        <w:rPr>
          <w:rFonts w:ascii="Book Antiqua" w:eastAsia="Book Antiqua" w:hAnsi="Book Antiqua" w:cs="Book Antiqua"/>
          <w:color w:val="000000"/>
          <w:vertAlign w:val="superscript"/>
        </w:rPr>
        <w:t>[19]</w:t>
      </w:r>
      <w:r w:rsidRPr="00BD6AF7">
        <w:rPr>
          <w:rFonts w:ascii="Book Antiqua" w:eastAsia="Book Antiqua" w:hAnsi="Book Antiqua" w:cs="Book Antiqua"/>
          <w:color w:val="000000"/>
        </w:rPr>
        <w:t>. In contrast, circulating miRNAs may serve as biomarkers and a useful diagnostic approach for the early detection of HCC</w:t>
      </w:r>
      <w:r w:rsidRPr="00BD6AF7">
        <w:rPr>
          <w:rFonts w:ascii="Book Antiqua" w:eastAsia="Book Antiqua" w:hAnsi="Book Antiqua" w:cs="Book Antiqua"/>
          <w:color w:val="000000"/>
          <w:vertAlign w:val="superscript"/>
        </w:rPr>
        <w:t>[20]</w:t>
      </w:r>
      <w:r w:rsidRPr="00BD6AF7">
        <w:rPr>
          <w:rFonts w:ascii="Book Antiqua" w:eastAsia="Book Antiqua" w:hAnsi="Book Antiqua" w:cs="Book Antiqua"/>
          <w:color w:val="000000"/>
        </w:rPr>
        <w:t>.</w:t>
      </w:r>
    </w:p>
    <w:p w14:paraId="09DD7D07" w14:textId="21CDE0F3" w:rsidR="004E296F" w:rsidRPr="00BD6AF7" w:rsidRDefault="00703776" w:rsidP="00BD6AF7">
      <w:pPr>
        <w:spacing w:line="360" w:lineRule="auto"/>
        <w:ind w:firstLine="240"/>
        <w:jc w:val="both"/>
        <w:rPr>
          <w:rFonts w:ascii="Book Antiqua" w:eastAsia="Book Antiqua" w:hAnsi="Book Antiqua" w:cs="Book Antiqua"/>
        </w:rPr>
      </w:pPr>
      <w:r w:rsidRPr="00BD6AF7">
        <w:rPr>
          <w:rFonts w:ascii="Book Antiqua" w:eastAsia="Book Antiqua" w:hAnsi="Book Antiqua" w:cs="Book Antiqua"/>
          <w:color w:val="000000"/>
        </w:rPr>
        <w:t>In the present study, clinical and laboratory data from the three different groups of patients reveal</w:t>
      </w:r>
      <w:r w:rsidR="00A65E2A">
        <w:rPr>
          <w:rFonts w:ascii="Book Antiqua" w:eastAsia="Book Antiqua" w:hAnsi="Book Antiqua" w:cs="Book Antiqua"/>
          <w:color w:val="000000"/>
        </w:rPr>
        <w:t>ed</w:t>
      </w:r>
      <w:r w:rsidRPr="00BD6AF7">
        <w:rPr>
          <w:rFonts w:ascii="Book Antiqua" w:eastAsia="Book Antiqua" w:hAnsi="Book Antiqua" w:cs="Book Antiqua"/>
          <w:color w:val="000000"/>
        </w:rPr>
        <w:t xml:space="preserve"> that serum α-fetoprotein levels of HCC and chronic liver disease patients </w:t>
      </w:r>
      <w:r w:rsidR="00A65E2A">
        <w:rPr>
          <w:rFonts w:ascii="Book Antiqua" w:eastAsia="Book Antiqua" w:hAnsi="Book Antiqua" w:cs="Book Antiqua"/>
          <w:color w:val="000000"/>
        </w:rPr>
        <w:t>was</w:t>
      </w:r>
      <w:r w:rsidRPr="00BD6AF7">
        <w:rPr>
          <w:rFonts w:ascii="Book Antiqua" w:eastAsia="Book Antiqua" w:hAnsi="Book Antiqua" w:cs="Book Antiqua"/>
          <w:color w:val="000000"/>
        </w:rPr>
        <w:t xml:space="preserve"> significantly different from those of control patients. α-</w:t>
      </w:r>
      <w:r w:rsidR="00A65E2A">
        <w:rPr>
          <w:rFonts w:ascii="Book Antiqua" w:eastAsia="Book Antiqua" w:hAnsi="Book Antiqua" w:cs="Book Antiqua"/>
          <w:color w:val="000000"/>
        </w:rPr>
        <w:t>f</w:t>
      </w:r>
      <w:r w:rsidRPr="00BD6AF7">
        <w:rPr>
          <w:rFonts w:ascii="Book Antiqua" w:eastAsia="Book Antiqua" w:hAnsi="Book Antiqua" w:cs="Book Antiqua"/>
          <w:color w:val="000000"/>
        </w:rPr>
        <w:t>etoprotein is known to be overexpressed in HCC</w:t>
      </w:r>
      <w:r w:rsidRPr="00BD6AF7">
        <w:rPr>
          <w:rFonts w:ascii="Book Antiqua" w:eastAsia="Book Antiqua" w:hAnsi="Book Antiqua" w:cs="Book Antiqua"/>
          <w:color w:val="000000"/>
          <w:vertAlign w:val="superscript"/>
        </w:rPr>
        <w:t>[21-23]</w:t>
      </w:r>
      <w:r w:rsidRPr="00BD6AF7">
        <w:rPr>
          <w:rFonts w:ascii="Book Antiqua" w:eastAsia="Book Antiqua" w:hAnsi="Book Antiqua" w:cs="Book Antiqua"/>
          <w:color w:val="000000"/>
        </w:rPr>
        <w:t>, and the severity of cirrhosis is a significant predictor of elevated serum α-fetoprotein levels; higher serum α-fetoprotein levels are significantly correlated with advanced cirrhosis in patients with chronic HCV</w:t>
      </w:r>
      <w:r w:rsidRPr="00BD6AF7">
        <w:rPr>
          <w:rFonts w:ascii="Book Antiqua" w:eastAsia="Book Antiqua" w:hAnsi="Book Antiqua" w:cs="Book Antiqua"/>
          <w:color w:val="000000"/>
          <w:vertAlign w:val="superscript"/>
        </w:rPr>
        <w:t>[24]</w:t>
      </w:r>
      <w:r w:rsidRPr="00BD6AF7">
        <w:rPr>
          <w:rFonts w:ascii="Book Antiqua" w:eastAsia="Book Antiqua" w:hAnsi="Book Antiqua" w:cs="Book Antiqua"/>
          <w:color w:val="000000"/>
        </w:rPr>
        <w:t xml:space="preserve">. </w:t>
      </w:r>
    </w:p>
    <w:p w14:paraId="11123875" w14:textId="7744CD80" w:rsidR="004E296F" w:rsidRPr="00BD6AF7" w:rsidRDefault="00703776" w:rsidP="00BD6AF7">
      <w:pPr>
        <w:spacing w:line="360" w:lineRule="auto"/>
        <w:ind w:firstLine="240"/>
        <w:jc w:val="both"/>
        <w:rPr>
          <w:rFonts w:ascii="Book Antiqua" w:eastAsia="Book Antiqua" w:hAnsi="Book Antiqua" w:cs="Book Antiqua"/>
        </w:rPr>
      </w:pPr>
      <w:r w:rsidRPr="00BD6AF7">
        <w:rPr>
          <w:rFonts w:ascii="Book Antiqua" w:eastAsia="Book Antiqua" w:hAnsi="Book Antiqua" w:cs="Book Antiqua"/>
          <w:color w:val="000000"/>
        </w:rPr>
        <w:t xml:space="preserve">We found that serum α-fetoprotein levels in the HCC group did not differ significantly from those of the chronic liver disease group. This agrees with the results of Massironi </w:t>
      </w:r>
      <w:r w:rsidRPr="00BD6AF7">
        <w:rPr>
          <w:rFonts w:ascii="Book Antiqua" w:eastAsia="Book Antiqua" w:hAnsi="Book Antiqua" w:cs="Book Antiqua"/>
          <w:i/>
          <w:color w:val="000000"/>
        </w:rPr>
        <w:t xml:space="preserve">et </w:t>
      </w:r>
      <w:r w:rsidRPr="00BD6AF7">
        <w:rPr>
          <w:rFonts w:ascii="Book Antiqua" w:eastAsia="Book Antiqua" w:hAnsi="Book Antiqua" w:cs="Book Antiqua"/>
          <w:i/>
          <w:color w:val="000000"/>
        </w:rPr>
        <w:lastRenderedPageBreak/>
        <w:t>al</w:t>
      </w:r>
      <w:r w:rsidRPr="00BD6AF7">
        <w:rPr>
          <w:rFonts w:ascii="Book Antiqua" w:eastAsia="Book Antiqua" w:hAnsi="Book Antiqua" w:cs="Book Antiqua"/>
          <w:color w:val="000000"/>
          <w:vertAlign w:val="superscript"/>
        </w:rPr>
        <w:t>[25]</w:t>
      </w:r>
      <w:r w:rsidRPr="00BD6AF7">
        <w:rPr>
          <w:rFonts w:ascii="Book Antiqua" w:eastAsia="Book Antiqua" w:hAnsi="Book Antiqua" w:cs="Book Antiqua"/>
          <w:color w:val="000000"/>
        </w:rPr>
        <w:t>, who reported similar findings in HCC and liver cirrhosis subjects. In our study, at a cutoff value of 23 ng/dL, α-fetoprotein discriminates between HCC and control patients at a sensitivity of 80.0</w:t>
      </w:r>
      <w:r w:rsidR="00A65E2A">
        <w:rPr>
          <w:rFonts w:ascii="Book Antiqua" w:eastAsia="Book Antiqua" w:hAnsi="Book Antiqua" w:cs="Book Antiqua"/>
          <w:color w:val="000000"/>
        </w:rPr>
        <w:t>0</w:t>
      </w:r>
      <w:r w:rsidRPr="00BD6AF7">
        <w:rPr>
          <w:rFonts w:ascii="Book Antiqua" w:eastAsia="Book Antiqua" w:hAnsi="Book Antiqua" w:cs="Book Antiqua"/>
          <w:color w:val="000000"/>
        </w:rPr>
        <w:t xml:space="preserve">% and a specificity of 71.87%. These results are similar to those of Massironi </w:t>
      </w:r>
      <w:r w:rsidRPr="00BD6AF7">
        <w:rPr>
          <w:rFonts w:ascii="Book Antiqua" w:eastAsia="Book Antiqua" w:hAnsi="Book Antiqua" w:cs="Book Antiqua"/>
          <w:i/>
          <w:color w:val="000000"/>
        </w:rPr>
        <w:t>et al</w:t>
      </w:r>
      <w:r w:rsidRPr="00BD6AF7">
        <w:rPr>
          <w:rFonts w:ascii="Book Antiqua" w:eastAsia="Book Antiqua" w:hAnsi="Book Antiqua" w:cs="Book Antiqua"/>
          <w:color w:val="000000"/>
          <w:vertAlign w:val="superscript"/>
        </w:rPr>
        <w:t>[25]</w:t>
      </w:r>
      <w:r w:rsidRPr="00BD6AF7">
        <w:rPr>
          <w:rFonts w:ascii="Book Antiqua" w:eastAsia="Book Antiqua" w:hAnsi="Book Antiqua" w:cs="Book Antiqua"/>
          <w:color w:val="000000"/>
        </w:rPr>
        <w:t xml:space="preserve"> and Metwaly </w:t>
      </w:r>
      <w:r w:rsidRPr="00BD6AF7">
        <w:rPr>
          <w:rFonts w:ascii="Book Antiqua" w:eastAsia="Book Antiqua" w:hAnsi="Book Antiqua" w:cs="Book Antiqua"/>
          <w:i/>
          <w:color w:val="000000"/>
        </w:rPr>
        <w:t>et al</w:t>
      </w:r>
      <w:r w:rsidRPr="00BD6AF7">
        <w:rPr>
          <w:rFonts w:ascii="Book Antiqua" w:eastAsia="Book Antiqua" w:hAnsi="Book Antiqua" w:cs="Book Antiqua"/>
          <w:color w:val="000000"/>
          <w:vertAlign w:val="superscript"/>
        </w:rPr>
        <w:t>[26]</w:t>
      </w:r>
      <w:r w:rsidRPr="00BD6AF7">
        <w:rPr>
          <w:rFonts w:ascii="Book Antiqua" w:eastAsia="Book Antiqua" w:hAnsi="Book Antiqua" w:cs="Book Antiqua"/>
          <w:color w:val="000000"/>
        </w:rPr>
        <w:t>, who reported a sensitivity of 75% and a specificity of 80% at a cutoff value of 16.9 ng/dL.</w:t>
      </w:r>
    </w:p>
    <w:p w14:paraId="030C9BDA" w14:textId="77777777" w:rsidR="004E296F" w:rsidRPr="00BD6AF7" w:rsidRDefault="00703776" w:rsidP="00BD6AF7">
      <w:pPr>
        <w:spacing w:line="360" w:lineRule="auto"/>
        <w:ind w:firstLine="240"/>
        <w:jc w:val="both"/>
        <w:rPr>
          <w:rFonts w:ascii="Book Antiqua" w:eastAsia="Book Antiqua" w:hAnsi="Book Antiqua" w:cs="Book Antiqua"/>
        </w:rPr>
      </w:pPr>
      <w:r w:rsidRPr="00BD6AF7">
        <w:rPr>
          <w:rFonts w:ascii="Book Antiqua" w:eastAsia="Book Antiqua" w:hAnsi="Book Antiqua" w:cs="Book Antiqua"/>
          <w:color w:val="000000"/>
        </w:rPr>
        <w:t xml:space="preserve">Our findings show higher serum endocan levels in HCC patients than in chronic liver disease patients, which agrees with previous studies by Nault </w:t>
      </w:r>
      <w:r w:rsidRPr="00BD6AF7">
        <w:rPr>
          <w:rFonts w:ascii="Book Antiqua" w:eastAsia="Book Antiqua" w:hAnsi="Book Antiqua" w:cs="Book Antiqua"/>
          <w:i/>
          <w:color w:val="000000"/>
        </w:rPr>
        <w:t>et al</w:t>
      </w:r>
      <w:r w:rsidRPr="00BD6AF7">
        <w:rPr>
          <w:rFonts w:ascii="Book Antiqua" w:eastAsia="Book Antiqua" w:hAnsi="Book Antiqua" w:cs="Book Antiqua"/>
          <w:color w:val="000000"/>
          <w:vertAlign w:val="superscript"/>
        </w:rPr>
        <w:t>[27]</w:t>
      </w:r>
      <w:r w:rsidRPr="00BD6AF7">
        <w:rPr>
          <w:rFonts w:ascii="Book Antiqua" w:eastAsia="Book Antiqua" w:hAnsi="Book Antiqua" w:cs="Book Antiqua"/>
          <w:color w:val="000000"/>
        </w:rPr>
        <w:t xml:space="preserve"> and Ozaki </w:t>
      </w:r>
      <w:r w:rsidRPr="00BD6AF7">
        <w:rPr>
          <w:rFonts w:ascii="Book Antiqua" w:eastAsia="Book Antiqua" w:hAnsi="Book Antiqua" w:cs="Book Antiqua"/>
          <w:i/>
          <w:color w:val="000000"/>
        </w:rPr>
        <w:t>et al</w:t>
      </w:r>
      <w:r w:rsidRPr="00BD6AF7">
        <w:rPr>
          <w:rFonts w:ascii="Book Antiqua" w:eastAsia="Book Antiqua" w:hAnsi="Book Antiqua" w:cs="Book Antiqua"/>
          <w:color w:val="000000"/>
          <w:vertAlign w:val="superscript"/>
        </w:rPr>
        <w:t>[28]</w:t>
      </w:r>
      <w:r w:rsidRPr="00BD6AF7">
        <w:rPr>
          <w:rFonts w:ascii="Book Antiqua" w:eastAsia="Book Antiqua" w:hAnsi="Book Antiqua" w:cs="Book Antiqua"/>
          <w:color w:val="000000"/>
        </w:rPr>
        <w:t>.</w:t>
      </w:r>
    </w:p>
    <w:p w14:paraId="15C3A847" w14:textId="71C10AD9"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Recent studies on HCC show that elevated serum endocan levels and endocan expression by stromal endothelial cells in HCC tissues are correlated with poor survival</w:t>
      </w:r>
      <w:r w:rsidRPr="00BD6AF7">
        <w:rPr>
          <w:rFonts w:ascii="Book Antiqua" w:eastAsia="Book Antiqua" w:hAnsi="Book Antiqua" w:cs="Book Antiqua"/>
          <w:color w:val="000000"/>
          <w:vertAlign w:val="superscript"/>
        </w:rPr>
        <w:t>[29]</w:t>
      </w:r>
      <w:r w:rsidRPr="00BD6AF7">
        <w:rPr>
          <w:rFonts w:ascii="Book Antiqua" w:eastAsia="Book Antiqua" w:hAnsi="Book Antiqua" w:cs="Book Antiqua"/>
          <w:color w:val="000000"/>
        </w:rPr>
        <w:t>. Endocan expression in tumors undergoing angiogenesis reflects the processes of angiogenesis and tumor invasion. Structurally, the glycan form and phenylalanine-rich region of endocan are its key effective sections through the nuclear factor-κB/IκB pathway</w:t>
      </w:r>
      <w:r w:rsidRPr="00BD6AF7">
        <w:rPr>
          <w:rFonts w:ascii="Book Antiqua" w:eastAsia="Book Antiqua" w:hAnsi="Book Antiqua" w:cs="Book Antiqua"/>
          <w:color w:val="000000"/>
          <w:vertAlign w:val="superscript"/>
        </w:rPr>
        <w:t>[30]</w:t>
      </w:r>
      <w:r w:rsidRPr="00BD6AF7">
        <w:rPr>
          <w:rFonts w:ascii="Book Antiqua" w:eastAsia="Book Antiqua" w:hAnsi="Book Antiqua" w:cs="Book Antiqua"/>
          <w:color w:val="000000"/>
        </w:rPr>
        <w:t>. However, the involvement of endocan in HCC development remains unclear.</w:t>
      </w:r>
    </w:p>
    <w:p w14:paraId="0E1B7A79" w14:textId="77640B9E" w:rsidR="004E296F" w:rsidRPr="00BD6AF7" w:rsidRDefault="00703776" w:rsidP="00BD6AF7">
      <w:pPr>
        <w:spacing w:line="360" w:lineRule="auto"/>
        <w:ind w:firstLine="240"/>
        <w:jc w:val="both"/>
        <w:rPr>
          <w:rFonts w:ascii="Book Antiqua" w:eastAsia="Book Antiqua" w:hAnsi="Book Antiqua" w:cs="Book Antiqua"/>
        </w:rPr>
      </w:pPr>
      <w:r w:rsidRPr="00BD6AF7">
        <w:rPr>
          <w:rFonts w:ascii="Book Antiqua" w:eastAsia="Book Antiqua" w:hAnsi="Book Antiqua" w:cs="Book Antiqua"/>
          <w:color w:val="000000"/>
        </w:rPr>
        <w:t>We found that plasma miRNA 9-3p levels are significantly lower in HCC patients compared to chronic liver disease and control patients. Overall, the order of miRNA 9-3p expression among the different groups is as follows: HCC &lt; chronic liver disease &lt; control.</w:t>
      </w:r>
    </w:p>
    <w:p w14:paraId="4F3633CC" w14:textId="35244079" w:rsidR="004E296F" w:rsidRPr="00BD6AF7" w:rsidRDefault="00703776" w:rsidP="00BD6AF7">
      <w:pPr>
        <w:spacing w:line="360" w:lineRule="auto"/>
        <w:ind w:firstLine="240"/>
        <w:jc w:val="both"/>
        <w:rPr>
          <w:rFonts w:ascii="Book Antiqua" w:eastAsia="Book Antiqua" w:hAnsi="Book Antiqua" w:cs="Book Antiqua"/>
        </w:rPr>
      </w:pPr>
      <w:r w:rsidRPr="00BD6AF7">
        <w:rPr>
          <w:rFonts w:ascii="Book Antiqua" w:eastAsia="Book Antiqua" w:hAnsi="Book Antiqua" w:cs="Book Antiqua"/>
          <w:color w:val="000000"/>
        </w:rPr>
        <w:t xml:space="preserve">This supports the concept of the antitumor function of miRNA 9-3p as reported by Higashi </w:t>
      </w:r>
      <w:r w:rsidRPr="00BD6AF7">
        <w:rPr>
          <w:rFonts w:ascii="Book Antiqua" w:eastAsia="Book Antiqua" w:hAnsi="Book Antiqua" w:cs="Book Antiqua"/>
          <w:i/>
          <w:color w:val="000000"/>
        </w:rPr>
        <w:t>et al</w:t>
      </w:r>
      <w:r w:rsidRPr="00BD6AF7">
        <w:rPr>
          <w:rFonts w:ascii="Book Antiqua" w:eastAsia="Book Antiqua" w:hAnsi="Book Antiqua" w:cs="Book Antiqua"/>
          <w:color w:val="000000"/>
          <w:vertAlign w:val="superscript"/>
        </w:rPr>
        <w:t>[12]</w:t>
      </w:r>
      <w:r w:rsidRPr="00BD6AF7">
        <w:rPr>
          <w:rFonts w:ascii="Book Antiqua" w:eastAsia="Book Antiqua" w:hAnsi="Book Antiqua" w:cs="Book Antiqua"/>
          <w:color w:val="000000"/>
        </w:rPr>
        <w:t xml:space="preserve">, Yang </w:t>
      </w:r>
      <w:r w:rsidRPr="00BD6AF7">
        <w:rPr>
          <w:rFonts w:ascii="Book Antiqua" w:eastAsia="Book Antiqua" w:hAnsi="Book Antiqua" w:cs="Book Antiqua"/>
          <w:i/>
          <w:color w:val="000000"/>
        </w:rPr>
        <w:t>et al</w:t>
      </w:r>
      <w:r w:rsidRPr="00BD6AF7">
        <w:rPr>
          <w:rFonts w:ascii="Book Antiqua" w:eastAsia="Book Antiqua" w:hAnsi="Book Antiqua" w:cs="Book Antiqua"/>
          <w:color w:val="000000"/>
          <w:vertAlign w:val="superscript"/>
        </w:rPr>
        <w:t>[31]</w:t>
      </w:r>
      <w:r w:rsidRPr="00BD6AF7">
        <w:rPr>
          <w:rFonts w:ascii="Book Antiqua" w:eastAsia="Book Antiqua" w:hAnsi="Book Antiqua" w:cs="Book Antiqua"/>
          <w:color w:val="000000"/>
        </w:rPr>
        <w:t xml:space="preserve"> and Tang </w:t>
      </w:r>
      <w:r w:rsidRPr="00BD6AF7">
        <w:rPr>
          <w:rFonts w:ascii="Book Antiqua" w:eastAsia="Book Antiqua" w:hAnsi="Book Antiqua" w:cs="Book Antiqua"/>
          <w:i/>
          <w:color w:val="000000"/>
        </w:rPr>
        <w:t>et al</w:t>
      </w:r>
      <w:r w:rsidRPr="00BD6AF7">
        <w:rPr>
          <w:rFonts w:ascii="Book Antiqua" w:eastAsia="Book Antiqua" w:hAnsi="Book Antiqua" w:cs="Book Antiqua"/>
          <w:color w:val="000000"/>
          <w:vertAlign w:val="superscript"/>
        </w:rPr>
        <w:t>[32]</w:t>
      </w:r>
      <w:r w:rsidRPr="00BD6AF7">
        <w:rPr>
          <w:rFonts w:ascii="Book Antiqua" w:eastAsia="Book Antiqua" w:hAnsi="Book Antiqua" w:cs="Book Antiqua"/>
          <w:color w:val="000000"/>
        </w:rPr>
        <w:t xml:space="preserve">. In contrast, Sun </w:t>
      </w:r>
      <w:r w:rsidRPr="00BD6AF7">
        <w:rPr>
          <w:rFonts w:ascii="Book Antiqua" w:eastAsia="Book Antiqua" w:hAnsi="Book Antiqua" w:cs="Book Antiqua"/>
          <w:i/>
          <w:color w:val="000000"/>
        </w:rPr>
        <w:t>et al</w:t>
      </w:r>
      <w:r w:rsidRPr="00BD6AF7">
        <w:rPr>
          <w:rFonts w:ascii="Book Antiqua" w:eastAsia="Book Antiqua" w:hAnsi="Book Antiqua" w:cs="Book Antiqua"/>
          <w:color w:val="000000"/>
          <w:vertAlign w:val="superscript"/>
        </w:rPr>
        <w:t>[33]</w:t>
      </w:r>
      <w:r w:rsidRPr="00BD6AF7">
        <w:rPr>
          <w:rFonts w:ascii="Book Antiqua" w:eastAsia="Book Antiqua" w:hAnsi="Book Antiqua" w:cs="Book Antiqua"/>
          <w:color w:val="000000"/>
        </w:rPr>
        <w:t xml:space="preserve"> showed that miR-9 increases the levels of migration and invasion of HCC cell lines. It is possible that miR-9 (</w:t>
      </w:r>
      <w:r w:rsidRPr="00BD6AF7">
        <w:rPr>
          <w:rFonts w:ascii="Book Antiqua" w:eastAsia="Book Antiqua" w:hAnsi="Book Antiqua" w:cs="Book Antiqua"/>
          <w:i/>
          <w:color w:val="000000"/>
        </w:rPr>
        <w:t>i.e.</w:t>
      </w:r>
      <w:r w:rsidRPr="00BD6AF7">
        <w:rPr>
          <w:rFonts w:ascii="Book Antiqua" w:eastAsia="Book Antiqua" w:hAnsi="Book Antiqua" w:cs="Book Antiqua"/>
          <w:color w:val="000000"/>
        </w:rPr>
        <w:t xml:space="preserve"> miR-9-5p) and miR-9* (miR-9-3p) are two different miRNAs that originate from the same precursor</w:t>
      </w:r>
      <w:r w:rsidR="00A65E2A">
        <w:rPr>
          <w:rFonts w:ascii="Book Antiqua" w:eastAsia="Book Antiqua" w:hAnsi="Book Antiqua" w:cs="Book Antiqua"/>
          <w:color w:val="000000"/>
        </w:rPr>
        <w:t>,</w:t>
      </w:r>
      <w:r w:rsidRPr="00BD6AF7">
        <w:rPr>
          <w:rFonts w:ascii="Book Antiqua" w:eastAsia="Book Antiqua" w:hAnsi="Book Antiqua" w:cs="Book Antiqua"/>
          <w:color w:val="000000"/>
        </w:rPr>
        <w:t xml:space="preserve"> and they can play either synergistic or opposite roles within one malignancy</w:t>
      </w:r>
      <w:r w:rsidRPr="00BD6AF7">
        <w:rPr>
          <w:rFonts w:ascii="Book Antiqua" w:eastAsia="Book Antiqua" w:hAnsi="Book Antiqua" w:cs="Book Antiqua"/>
          <w:color w:val="000000"/>
          <w:vertAlign w:val="superscript"/>
        </w:rPr>
        <w:t>[34]</w:t>
      </w:r>
      <w:r w:rsidRPr="00BD6AF7">
        <w:rPr>
          <w:rFonts w:ascii="Book Antiqua" w:eastAsia="Book Antiqua" w:hAnsi="Book Antiqua" w:cs="Book Antiqua"/>
          <w:color w:val="000000"/>
        </w:rPr>
        <w:t>.</w:t>
      </w:r>
    </w:p>
    <w:p w14:paraId="6D6DE9A8" w14:textId="49E0C43D" w:rsidR="004E296F" w:rsidRPr="00BD6AF7" w:rsidRDefault="00703776" w:rsidP="00BD6AF7">
      <w:pPr>
        <w:spacing w:line="360" w:lineRule="auto"/>
        <w:ind w:firstLine="240"/>
        <w:jc w:val="both"/>
        <w:rPr>
          <w:rFonts w:ascii="Book Antiqua" w:eastAsia="Book Antiqua" w:hAnsi="Book Antiqua" w:cs="Book Antiqua"/>
        </w:rPr>
      </w:pPr>
      <w:r w:rsidRPr="00BD6AF7">
        <w:rPr>
          <w:rFonts w:ascii="Book Antiqua" w:eastAsia="Book Antiqua" w:hAnsi="Book Antiqua" w:cs="Book Antiqua"/>
          <w:color w:val="000000"/>
        </w:rPr>
        <w:t>Interestingly, we observed significantly lower levels of miRNA 9-3p expression and vascular invasion at the advanced stage of BCLC and at the metastatic site of the HCC group.</w:t>
      </w:r>
    </w:p>
    <w:p w14:paraId="2CA9B5FD" w14:textId="6139D87E" w:rsidR="004E296F" w:rsidRPr="00BD6AF7" w:rsidRDefault="00703776" w:rsidP="00BD6AF7">
      <w:pPr>
        <w:spacing w:line="360" w:lineRule="auto"/>
        <w:ind w:firstLine="240"/>
        <w:jc w:val="both"/>
        <w:rPr>
          <w:rFonts w:ascii="Book Antiqua" w:eastAsia="Book Antiqua" w:hAnsi="Book Antiqua" w:cs="Book Antiqua"/>
        </w:rPr>
      </w:pPr>
      <w:r w:rsidRPr="00BD6AF7">
        <w:rPr>
          <w:rFonts w:ascii="Book Antiqua" w:eastAsia="Book Antiqua" w:hAnsi="Book Antiqua" w:cs="Book Antiqua"/>
          <w:color w:val="000000"/>
        </w:rPr>
        <w:t xml:space="preserve">In cervical adenocarcinoma, miRNA 9-3p is downregulated and acts as a tumor suppressor. Ectopic expression of miR-9-3p inhibits the JAK/STAT3 pathway by targeting interleukin 6, leading to the upregulation of vascular endothelial growth factor and increased angiogenesis. This results in decreased proliferation and migration and </w:t>
      </w:r>
      <w:r w:rsidRPr="00BD6AF7">
        <w:rPr>
          <w:rFonts w:ascii="Book Antiqua" w:eastAsia="Book Antiqua" w:hAnsi="Book Antiqua" w:cs="Book Antiqua"/>
          <w:color w:val="000000"/>
        </w:rPr>
        <w:lastRenderedPageBreak/>
        <w:t xml:space="preserve">reduced tumor growth </w:t>
      </w:r>
      <w:r w:rsidRPr="00BD6AF7">
        <w:rPr>
          <w:rFonts w:ascii="Book Antiqua" w:eastAsia="Book Antiqua" w:hAnsi="Book Antiqua" w:cs="Book Antiqua"/>
          <w:i/>
          <w:color w:val="000000"/>
        </w:rPr>
        <w:t>in vivo</w:t>
      </w:r>
      <w:r w:rsidRPr="00BD6AF7">
        <w:rPr>
          <w:rFonts w:ascii="Book Antiqua" w:eastAsia="Book Antiqua" w:hAnsi="Book Antiqua" w:cs="Book Antiqua"/>
          <w:color w:val="000000"/>
          <w:vertAlign w:val="superscript"/>
        </w:rPr>
        <w:t>[35]</w:t>
      </w:r>
      <w:r w:rsidRPr="00BD6AF7">
        <w:rPr>
          <w:rFonts w:ascii="Book Antiqua" w:eastAsia="Book Antiqua" w:hAnsi="Book Antiqua" w:cs="Book Antiqua"/>
          <w:color w:val="000000"/>
        </w:rPr>
        <w:t xml:space="preserve">. Moreover, Tang </w:t>
      </w:r>
      <w:r w:rsidRPr="00BD6AF7">
        <w:rPr>
          <w:rFonts w:ascii="Book Antiqua" w:eastAsia="Book Antiqua" w:hAnsi="Book Antiqua" w:cs="Book Antiqua"/>
          <w:i/>
          <w:color w:val="000000"/>
        </w:rPr>
        <w:t>et al</w:t>
      </w:r>
      <w:r w:rsidRPr="00BD6AF7">
        <w:rPr>
          <w:rFonts w:ascii="Book Antiqua" w:eastAsia="Book Antiqua" w:hAnsi="Book Antiqua" w:cs="Book Antiqua"/>
          <w:color w:val="000000"/>
          <w:vertAlign w:val="superscript"/>
        </w:rPr>
        <w:t>[32]</w:t>
      </w:r>
      <w:r w:rsidRPr="00BD6AF7">
        <w:rPr>
          <w:rFonts w:ascii="Book Antiqua" w:eastAsia="Book Antiqua" w:hAnsi="Book Antiqua" w:cs="Book Antiqua"/>
          <w:color w:val="000000"/>
        </w:rPr>
        <w:t xml:space="preserve"> reported that exosomal miRNA 9-3p suppresses the development and progression of HCC.</w:t>
      </w:r>
    </w:p>
    <w:p w14:paraId="05B76A61" w14:textId="03334A52" w:rsidR="004E296F" w:rsidRPr="00BD6AF7" w:rsidRDefault="00703776" w:rsidP="00BD6AF7">
      <w:pPr>
        <w:spacing w:line="360" w:lineRule="auto"/>
        <w:ind w:firstLine="240"/>
        <w:jc w:val="both"/>
        <w:rPr>
          <w:rFonts w:ascii="Book Antiqua" w:eastAsia="Book Antiqua" w:hAnsi="Book Antiqua" w:cs="Book Antiqua"/>
        </w:rPr>
      </w:pPr>
      <w:r w:rsidRPr="00BD6AF7">
        <w:rPr>
          <w:rFonts w:ascii="Book Antiqua" w:eastAsia="Book Antiqua" w:hAnsi="Book Antiqua" w:cs="Book Antiqua"/>
          <w:color w:val="000000"/>
        </w:rPr>
        <w:t xml:space="preserve">Cai </w:t>
      </w:r>
      <w:r w:rsidRPr="00BD6AF7">
        <w:rPr>
          <w:rFonts w:ascii="Book Antiqua" w:eastAsia="Book Antiqua" w:hAnsi="Book Antiqua" w:cs="Book Antiqua"/>
          <w:i/>
          <w:color w:val="000000"/>
        </w:rPr>
        <w:t>et al</w:t>
      </w:r>
      <w:r w:rsidRPr="00BD6AF7">
        <w:rPr>
          <w:rFonts w:ascii="Book Antiqua" w:eastAsia="Book Antiqua" w:hAnsi="Book Antiqua" w:cs="Book Antiqua"/>
          <w:color w:val="000000"/>
          <w:vertAlign w:val="superscript"/>
        </w:rPr>
        <w:t>[15]</w:t>
      </w:r>
      <w:r w:rsidRPr="00BD6AF7">
        <w:rPr>
          <w:rFonts w:ascii="Book Antiqua" w:eastAsia="Book Antiqua" w:hAnsi="Book Antiqua" w:cs="Book Antiqua"/>
          <w:color w:val="000000"/>
        </w:rPr>
        <w:t xml:space="preserve"> reported that increased exosomal miR-9-3p counteracts bladder cancer growth and metastasis and decreases endocan protein expression in nude mice. We similarly observed that miR-9-3p expression is inversely correlated to serum endocan levels in the HCC group.</w:t>
      </w:r>
    </w:p>
    <w:p w14:paraId="6878B8F1" w14:textId="124C33CF" w:rsidR="004E296F" w:rsidRPr="00BD6AF7" w:rsidRDefault="00703776" w:rsidP="00BD6AF7">
      <w:pPr>
        <w:spacing w:line="360" w:lineRule="auto"/>
        <w:ind w:firstLine="240"/>
        <w:jc w:val="both"/>
        <w:rPr>
          <w:rFonts w:ascii="Book Antiqua" w:eastAsia="Book Antiqua" w:hAnsi="Book Antiqua" w:cs="Book Antiqua"/>
        </w:rPr>
      </w:pPr>
      <w:r w:rsidRPr="00BD6AF7">
        <w:rPr>
          <w:rFonts w:ascii="Book Antiqua" w:eastAsia="Book Antiqua" w:hAnsi="Book Antiqua" w:cs="Book Antiqua"/>
          <w:color w:val="000000"/>
        </w:rPr>
        <w:t>We performed ROC analysis to compare the diagnostic accuracies of miRNA 9-3p, endocan and the traditional HCC tumor marker, α-fetoprotein. Diagnostically, both miRNA 9-3p and endocan perform better than α-fetoprotein in discriminating patients with HCC from those with or without (</w:t>
      </w:r>
      <w:r w:rsidRPr="00BD6AF7">
        <w:rPr>
          <w:rFonts w:ascii="Book Antiqua" w:eastAsia="Book Antiqua" w:hAnsi="Book Antiqua" w:cs="Book Antiqua"/>
          <w:i/>
          <w:color w:val="000000"/>
        </w:rPr>
        <w:t>i.e.</w:t>
      </w:r>
      <w:r w:rsidRPr="00BD6AF7">
        <w:rPr>
          <w:rFonts w:ascii="Book Antiqua" w:eastAsia="Book Antiqua" w:hAnsi="Book Antiqua" w:cs="Book Antiqua"/>
          <w:color w:val="000000"/>
        </w:rPr>
        <w:t xml:space="preserve"> healthy) chronic liver disease. Furthermore, ROC analysis reveal</w:t>
      </w:r>
      <w:r w:rsidR="00A65E2A">
        <w:rPr>
          <w:rFonts w:ascii="Book Antiqua" w:eastAsia="Book Antiqua" w:hAnsi="Book Antiqua" w:cs="Book Antiqua"/>
          <w:color w:val="000000"/>
        </w:rPr>
        <w:t>ed</w:t>
      </w:r>
      <w:r w:rsidRPr="00BD6AF7">
        <w:rPr>
          <w:rFonts w:ascii="Book Antiqua" w:eastAsia="Book Antiqua" w:hAnsi="Book Antiqua" w:cs="Book Antiqua"/>
          <w:color w:val="000000"/>
        </w:rPr>
        <w:t xml:space="preserve"> that miRNA 9-3p perform</w:t>
      </w:r>
      <w:r w:rsidR="00A65E2A">
        <w:rPr>
          <w:rFonts w:ascii="Book Antiqua" w:eastAsia="Book Antiqua" w:hAnsi="Book Antiqua" w:cs="Book Antiqua"/>
          <w:color w:val="000000"/>
        </w:rPr>
        <w:t>ed</w:t>
      </w:r>
      <w:r w:rsidRPr="00BD6AF7">
        <w:rPr>
          <w:rFonts w:ascii="Book Antiqua" w:eastAsia="Book Antiqua" w:hAnsi="Book Antiqua" w:cs="Book Antiqua"/>
          <w:color w:val="000000"/>
        </w:rPr>
        <w:t xml:space="preserve"> well at discriminating between metastatic and non-metastatic patients in the HCC group. Statistically, miRNA 9-3p is an independent predictor factor of metastasis. This study could be the nucleus of a larger study working on a larger number of patients that may include those with other causes of chronic liver disease like alcoholism as our study was limited to HCV</w:t>
      </w:r>
      <w:r w:rsidR="00A65E2A">
        <w:rPr>
          <w:rFonts w:ascii="Book Antiqua" w:eastAsia="Book Antiqua" w:hAnsi="Book Antiqua" w:cs="Book Antiqua"/>
          <w:color w:val="000000"/>
        </w:rPr>
        <w:t>-</w:t>
      </w:r>
      <w:r w:rsidRPr="00BD6AF7">
        <w:rPr>
          <w:rFonts w:ascii="Book Antiqua" w:eastAsia="Book Antiqua" w:hAnsi="Book Antiqua" w:cs="Book Antiqua"/>
          <w:color w:val="000000"/>
        </w:rPr>
        <w:t xml:space="preserve">induced chronic liver disease as it is highly prevalent in Egypt. </w:t>
      </w:r>
    </w:p>
    <w:p w14:paraId="7A5BEE1B" w14:textId="77777777" w:rsidR="004E296F" w:rsidRPr="00BD6AF7" w:rsidRDefault="004E296F" w:rsidP="00BD6AF7">
      <w:pPr>
        <w:spacing w:line="360" w:lineRule="auto"/>
        <w:jc w:val="both"/>
        <w:rPr>
          <w:rFonts w:ascii="Book Antiqua" w:eastAsia="Book Antiqua" w:hAnsi="Book Antiqua" w:cs="Book Antiqua"/>
        </w:rPr>
      </w:pPr>
    </w:p>
    <w:p w14:paraId="33CA8BFA"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smallCaps/>
          <w:color w:val="000000"/>
          <w:u w:val="single"/>
        </w:rPr>
        <w:t>CONCLUSION</w:t>
      </w:r>
    </w:p>
    <w:p w14:paraId="7C68CD8F" w14:textId="224CB31C"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Endocan and miRNA 9-3p could be biomarkers with potential use for the early diagnosis of HCV-related HCC. In this regard, they are more valuable than α-fetoprotein. Moreover, miRNA 9-3p is an independent predictor of metastasis in HCC patients.</w:t>
      </w:r>
    </w:p>
    <w:p w14:paraId="5BA2DBB0" w14:textId="77777777" w:rsidR="004E296F" w:rsidRPr="00BD6AF7" w:rsidRDefault="004E296F" w:rsidP="00BD6AF7">
      <w:pPr>
        <w:spacing w:line="360" w:lineRule="auto"/>
        <w:jc w:val="both"/>
        <w:rPr>
          <w:rFonts w:ascii="Book Antiqua" w:eastAsia="Book Antiqua" w:hAnsi="Book Antiqua" w:cs="Book Antiqua"/>
        </w:rPr>
      </w:pPr>
    </w:p>
    <w:p w14:paraId="11D2C8C8"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smallCaps/>
          <w:color w:val="000000"/>
          <w:u w:val="single"/>
        </w:rPr>
        <w:t>ARTICLE HIGHLIGHTS</w:t>
      </w:r>
    </w:p>
    <w:p w14:paraId="5E6D4BF7"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i/>
          <w:color w:val="000000"/>
        </w:rPr>
        <w:t>Research background</w:t>
      </w:r>
    </w:p>
    <w:p w14:paraId="22081C1F"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The high mortality rate of hepatocellular carcinoma (HCC) in Egypt is due mainly to the increasing prevalence of hepatitis C virus infection (HCV) and late diagnosis of the carcinoma. </w:t>
      </w:r>
    </w:p>
    <w:p w14:paraId="2C2B9F7D" w14:textId="77777777" w:rsidR="004E296F" w:rsidRPr="00BD6AF7" w:rsidRDefault="004E296F" w:rsidP="00BD6AF7">
      <w:pPr>
        <w:spacing w:line="360" w:lineRule="auto"/>
        <w:jc w:val="both"/>
        <w:rPr>
          <w:rFonts w:ascii="Book Antiqua" w:eastAsia="Book Antiqua" w:hAnsi="Book Antiqua" w:cs="Book Antiqua"/>
        </w:rPr>
      </w:pPr>
    </w:p>
    <w:p w14:paraId="20924A2A"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i/>
          <w:color w:val="000000"/>
        </w:rPr>
        <w:t>Research motivation</w:t>
      </w:r>
    </w:p>
    <w:p w14:paraId="2733F93D" w14:textId="73800393"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lastRenderedPageBreak/>
        <w:t>MicroRNAs</w:t>
      </w:r>
      <w:r w:rsidR="00C4797D">
        <w:rPr>
          <w:rFonts w:ascii="Book Antiqua" w:eastAsia="Book Antiqua" w:hAnsi="Book Antiqua" w:cs="Book Antiqua"/>
          <w:color w:val="000000"/>
        </w:rPr>
        <w:t xml:space="preserve"> (miRNA)</w:t>
      </w:r>
      <w:r w:rsidRPr="00BD6AF7">
        <w:rPr>
          <w:rFonts w:ascii="Book Antiqua" w:eastAsia="Book Antiqua" w:hAnsi="Book Antiqua" w:cs="Book Antiqua"/>
          <w:color w:val="000000"/>
        </w:rPr>
        <w:t>, which regulate tumor proliferation and metastasis in HCC</w:t>
      </w:r>
      <w:r w:rsidR="00CC4508">
        <w:rPr>
          <w:rFonts w:ascii="Book Antiqua" w:eastAsia="Book Antiqua" w:hAnsi="Book Antiqua" w:cs="Book Antiqua"/>
          <w:color w:val="000000"/>
        </w:rPr>
        <w:t>,</w:t>
      </w:r>
      <w:r w:rsidRPr="00BD6AF7">
        <w:rPr>
          <w:rFonts w:ascii="Book Antiqua" w:eastAsia="Book Antiqua" w:hAnsi="Book Antiqua" w:cs="Book Antiqua"/>
          <w:color w:val="000000"/>
        </w:rPr>
        <w:t xml:space="preserve"> may serve as a useful diagnostic approach for the early detection of HCC, thus decreasing its mortality. Meanwhile, endocan is a protein with angiogenic and inflammatory properties that are associated with tumor progression and poor outcomes. </w:t>
      </w:r>
    </w:p>
    <w:p w14:paraId="0FED53AF" w14:textId="77777777" w:rsidR="004E296F" w:rsidRPr="00BD6AF7" w:rsidRDefault="004E296F" w:rsidP="00BD6AF7">
      <w:pPr>
        <w:spacing w:line="360" w:lineRule="auto"/>
        <w:jc w:val="both"/>
        <w:rPr>
          <w:rFonts w:ascii="Book Antiqua" w:eastAsia="Book Antiqua" w:hAnsi="Book Antiqua" w:cs="Book Antiqua"/>
        </w:rPr>
      </w:pPr>
    </w:p>
    <w:p w14:paraId="1EB00EBB"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i/>
          <w:color w:val="000000"/>
        </w:rPr>
        <w:t>Research objectives</w:t>
      </w:r>
    </w:p>
    <w:p w14:paraId="6331F193" w14:textId="15007BC1"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To analyze the levels of miRNA 9-3p and endocan</w:t>
      </w:r>
      <w:r w:rsidRPr="00BD6AF7">
        <w:rPr>
          <w:rFonts w:ascii="Book Antiqua" w:eastAsia="Book Antiqua" w:hAnsi="Book Antiqua" w:cs="Book Antiqua"/>
          <w:b/>
          <w:color w:val="000000"/>
        </w:rPr>
        <w:t xml:space="preserve"> </w:t>
      </w:r>
      <w:r w:rsidRPr="00BD6AF7">
        <w:rPr>
          <w:rFonts w:ascii="Book Antiqua" w:eastAsia="Book Antiqua" w:hAnsi="Book Antiqua" w:cs="Book Antiqua"/>
          <w:color w:val="000000"/>
        </w:rPr>
        <w:t>in HCV</w:t>
      </w:r>
      <w:r w:rsidR="00526EEF">
        <w:rPr>
          <w:rFonts w:ascii="Book Antiqua" w:eastAsia="Book Antiqua" w:hAnsi="Book Antiqua" w:cs="Book Antiqua"/>
          <w:color w:val="000000"/>
        </w:rPr>
        <w:t>-</w:t>
      </w:r>
      <w:r w:rsidRPr="00BD6AF7">
        <w:rPr>
          <w:rFonts w:ascii="Book Antiqua" w:eastAsia="Book Antiqua" w:hAnsi="Book Antiqua" w:cs="Book Antiqua"/>
          <w:color w:val="000000"/>
        </w:rPr>
        <w:t>infected HCC patients and correlate them with clinicopathological parameters.</w:t>
      </w:r>
    </w:p>
    <w:p w14:paraId="0E0D85D9" w14:textId="77777777" w:rsidR="004E296F" w:rsidRPr="00BD6AF7" w:rsidRDefault="004E296F" w:rsidP="00BD6AF7">
      <w:pPr>
        <w:spacing w:line="360" w:lineRule="auto"/>
        <w:jc w:val="both"/>
        <w:rPr>
          <w:rFonts w:ascii="Book Antiqua" w:eastAsia="Book Antiqua" w:hAnsi="Book Antiqua" w:cs="Book Antiqua"/>
        </w:rPr>
      </w:pPr>
    </w:p>
    <w:p w14:paraId="37D48975"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i/>
          <w:color w:val="000000"/>
        </w:rPr>
        <w:t>Research methods</w:t>
      </w:r>
    </w:p>
    <w:p w14:paraId="6FAA2D1C" w14:textId="4E9868E3"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We compared levels of endocan and circulating miRNA 9-3p from 35 HCV-related HCC patients to 33 patients with HCV-induced chronic liver disease and 32 age and gender matched healthy controls. </w:t>
      </w:r>
    </w:p>
    <w:p w14:paraId="6E9182AE" w14:textId="77777777" w:rsidR="004E296F" w:rsidRPr="00BD6AF7" w:rsidRDefault="004E296F" w:rsidP="00BD6AF7">
      <w:pPr>
        <w:spacing w:line="360" w:lineRule="auto"/>
        <w:jc w:val="both"/>
        <w:rPr>
          <w:rFonts w:ascii="Book Antiqua" w:eastAsia="Book Antiqua" w:hAnsi="Book Antiqua" w:cs="Book Antiqua"/>
        </w:rPr>
      </w:pPr>
    </w:p>
    <w:p w14:paraId="5F4F429F"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i/>
          <w:color w:val="000000"/>
        </w:rPr>
        <w:t>Research results</w:t>
      </w:r>
    </w:p>
    <w:p w14:paraId="7EBBBFE0" w14:textId="7FEB56F4"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The levels of circulating miRNA 9-3p were significantly lower in the HCC group compared to the chronic liver disease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 and control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 groups</w:t>
      </w:r>
      <w:r w:rsidR="00526EEF">
        <w:rPr>
          <w:rFonts w:ascii="Book Antiqua" w:eastAsia="Book Antiqua" w:hAnsi="Book Antiqua" w:cs="Book Antiqua"/>
          <w:color w:val="000000"/>
        </w:rPr>
        <w:t>,</w:t>
      </w:r>
      <w:r w:rsidRPr="00BD6AF7">
        <w:rPr>
          <w:rFonts w:ascii="Book Antiqua" w:eastAsia="Book Antiqua" w:hAnsi="Book Antiqua" w:cs="Book Antiqua"/>
          <w:color w:val="000000"/>
        </w:rPr>
        <w:t xml:space="preserve"> while levels in the chronic liver disease were significantly lower than those in the control group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 While the levels of serum endocan were significantly higher in the HCC group compared to the chronic liver disease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 and control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 groups. Moreover, miRNA 9-3p and endocan performed better than α-fetoprotein in discriminating HCC patients from cirrhosis and healthy patients. The levels of miRNA 9-3p are significantly inversely correlated to vascular invasion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 0.002), stage of advancement of Barcelona Clinical Liver Cancer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 and the metastatic site (</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 of the HCC group.</w:t>
      </w:r>
    </w:p>
    <w:p w14:paraId="03BCE6B8" w14:textId="77777777" w:rsidR="004E296F" w:rsidRPr="00BD6AF7" w:rsidRDefault="004E296F" w:rsidP="00BD6AF7">
      <w:pPr>
        <w:spacing w:line="360" w:lineRule="auto"/>
        <w:jc w:val="both"/>
        <w:rPr>
          <w:rFonts w:ascii="Book Antiqua" w:eastAsia="Book Antiqua" w:hAnsi="Book Antiqua" w:cs="Book Antiqua"/>
        </w:rPr>
      </w:pPr>
    </w:p>
    <w:p w14:paraId="00EBDB84"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i/>
          <w:color w:val="000000"/>
        </w:rPr>
        <w:t>Research conclusions</w:t>
      </w:r>
    </w:p>
    <w:p w14:paraId="7351130B" w14:textId="31B030C0"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Endocan and miRNA 9-3p could be biomarkers with potential use for the early diagnosis of HCV-related HCC. In this regard, they are more valuable than α-fetoprotein. Moreover, miRNA 9-3p is an independent predictor of metastasis in HCC patients.</w:t>
      </w:r>
    </w:p>
    <w:p w14:paraId="085480C4" w14:textId="77777777" w:rsidR="004E296F" w:rsidRPr="00BD6AF7" w:rsidRDefault="004E296F" w:rsidP="00BD6AF7">
      <w:pPr>
        <w:spacing w:line="360" w:lineRule="auto"/>
        <w:jc w:val="both"/>
        <w:rPr>
          <w:rFonts w:ascii="Book Antiqua" w:eastAsia="Book Antiqua" w:hAnsi="Book Antiqua" w:cs="Book Antiqua"/>
        </w:rPr>
      </w:pPr>
    </w:p>
    <w:p w14:paraId="2CDC9048"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i/>
          <w:color w:val="000000"/>
        </w:rPr>
        <w:t>Research perspectives</w:t>
      </w:r>
    </w:p>
    <w:p w14:paraId="2497F306"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The findings of this study warrant additional investigation in prospective trials with larger cohorts and longer follow-up for confirming our results and validating the potential clinical use of these markers in early HCC detection.</w:t>
      </w:r>
    </w:p>
    <w:p w14:paraId="7452F0FD" w14:textId="77777777" w:rsidR="004E296F" w:rsidRPr="00BD6AF7" w:rsidRDefault="004E296F" w:rsidP="00BD6AF7">
      <w:pPr>
        <w:spacing w:line="360" w:lineRule="auto"/>
        <w:jc w:val="both"/>
        <w:rPr>
          <w:rFonts w:ascii="Book Antiqua" w:eastAsia="Book Antiqua" w:hAnsi="Book Antiqua" w:cs="Book Antiqua"/>
        </w:rPr>
      </w:pPr>
    </w:p>
    <w:p w14:paraId="2CF40283"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smallCaps/>
          <w:color w:val="000000"/>
          <w:u w:val="single"/>
        </w:rPr>
        <w:t>ACKNOWLEDGEMENTS</w:t>
      </w:r>
    </w:p>
    <w:p w14:paraId="281124F2"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We thank all medical staff and technicians of dialysis centers who agreed to participate in this study.</w:t>
      </w:r>
    </w:p>
    <w:p w14:paraId="34C32B16" w14:textId="77777777" w:rsidR="004E296F" w:rsidRPr="00BD6AF7" w:rsidRDefault="004E296F" w:rsidP="00BD6AF7">
      <w:pPr>
        <w:spacing w:line="360" w:lineRule="auto"/>
        <w:jc w:val="both"/>
        <w:rPr>
          <w:rFonts w:ascii="Book Antiqua" w:eastAsia="Book Antiqua" w:hAnsi="Book Antiqua" w:cs="Book Antiqua"/>
        </w:rPr>
      </w:pPr>
    </w:p>
    <w:p w14:paraId="3E58B64C"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t>REFERENCES</w:t>
      </w:r>
    </w:p>
    <w:p w14:paraId="6C564A23"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1 </w:t>
      </w:r>
      <w:r w:rsidRPr="00BD6AF7">
        <w:rPr>
          <w:rFonts w:ascii="Book Antiqua" w:eastAsia="Book Antiqua" w:hAnsi="Book Antiqua" w:cs="Book Antiqua"/>
          <w:b/>
          <w:color w:val="000000"/>
        </w:rPr>
        <w:t>Bray F</w:t>
      </w:r>
      <w:r w:rsidRPr="00BD6AF7">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BD6AF7">
        <w:rPr>
          <w:rFonts w:ascii="Book Antiqua" w:eastAsia="Book Antiqua" w:hAnsi="Book Antiqua" w:cs="Book Antiqua"/>
          <w:i/>
          <w:color w:val="000000"/>
        </w:rPr>
        <w:t>CA Cancer J Clin</w:t>
      </w:r>
      <w:r w:rsidRPr="00BD6AF7">
        <w:rPr>
          <w:rFonts w:ascii="Book Antiqua" w:eastAsia="Book Antiqua" w:hAnsi="Book Antiqua" w:cs="Book Antiqua"/>
          <w:color w:val="000000"/>
        </w:rPr>
        <w:t xml:space="preserve"> 2018; </w:t>
      </w:r>
      <w:r w:rsidRPr="00BD6AF7">
        <w:rPr>
          <w:rFonts w:ascii="Book Antiqua" w:eastAsia="Book Antiqua" w:hAnsi="Book Antiqua" w:cs="Book Antiqua"/>
          <w:b/>
          <w:color w:val="000000"/>
        </w:rPr>
        <w:t>68</w:t>
      </w:r>
      <w:r w:rsidRPr="00BD6AF7">
        <w:rPr>
          <w:rFonts w:ascii="Book Antiqua" w:eastAsia="Book Antiqua" w:hAnsi="Book Antiqua" w:cs="Book Antiqua"/>
          <w:color w:val="000000"/>
        </w:rPr>
        <w:t>: 394-424</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30207593 DOI: 10.3322/caac.21492]</w:t>
      </w:r>
    </w:p>
    <w:p w14:paraId="45671A53"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2 </w:t>
      </w:r>
      <w:r w:rsidRPr="00BD6AF7">
        <w:rPr>
          <w:rFonts w:ascii="Book Antiqua" w:eastAsia="Book Antiqua" w:hAnsi="Book Antiqua" w:cs="Book Antiqua"/>
          <w:b/>
          <w:color w:val="000000"/>
        </w:rPr>
        <w:t>Ferlay J</w:t>
      </w:r>
      <w:r w:rsidRPr="00BD6AF7">
        <w:rPr>
          <w:rFonts w:ascii="Book Antiqua" w:eastAsia="Book Antiqua" w:hAnsi="Book Antiqua" w:cs="Book Antiqua"/>
          <w:color w:val="000000"/>
        </w:rPr>
        <w:t xml:space="preserve">, Colombet M, Soerjomataram I, Mathers C, Parkin DM, Piñeros M, Znaor A, Bray F. Estimating the global cancer incidence and mortality in 2018: GLOBOCAN sources and methods. </w:t>
      </w:r>
      <w:r w:rsidRPr="00BD6AF7">
        <w:rPr>
          <w:rFonts w:ascii="Book Antiqua" w:eastAsia="Book Antiqua" w:hAnsi="Book Antiqua" w:cs="Book Antiqua"/>
          <w:i/>
          <w:color w:val="000000"/>
        </w:rPr>
        <w:t>Int J Cancer</w:t>
      </w:r>
      <w:r w:rsidRPr="00BD6AF7">
        <w:rPr>
          <w:rFonts w:ascii="Book Antiqua" w:eastAsia="Book Antiqua" w:hAnsi="Book Antiqua" w:cs="Book Antiqua"/>
          <w:color w:val="000000"/>
        </w:rPr>
        <w:t xml:space="preserve"> 2019; </w:t>
      </w:r>
      <w:r w:rsidRPr="00BD6AF7">
        <w:rPr>
          <w:rFonts w:ascii="Book Antiqua" w:eastAsia="Book Antiqua" w:hAnsi="Book Antiqua" w:cs="Book Antiqua"/>
          <w:b/>
          <w:color w:val="000000"/>
        </w:rPr>
        <w:t>144</w:t>
      </w:r>
      <w:r w:rsidRPr="00BD6AF7">
        <w:rPr>
          <w:rFonts w:ascii="Book Antiqua" w:eastAsia="Book Antiqua" w:hAnsi="Book Antiqua" w:cs="Book Antiqua"/>
          <w:color w:val="000000"/>
        </w:rPr>
        <w:t>: 1941-1953</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30350310 DOI: 10.1002/ijc.31937]</w:t>
      </w:r>
    </w:p>
    <w:p w14:paraId="1F69B480"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3 </w:t>
      </w:r>
      <w:r w:rsidRPr="00BD6AF7">
        <w:rPr>
          <w:rFonts w:ascii="Book Antiqua" w:eastAsia="Book Antiqua" w:hAnsi="Book Antiqua" w:cs="Book Antiqua"/>
          <w:b/>
          <w:color w:val="000000"/>
        </w:rPr>
        <w:t>Rashed WM</w:t>
      </w:r>
      <w:r w:rsidRPr="00BD6AF7">
        <w:rPr>
          <w:rFonts w:ascii="Book Antiqua" w:eastAsia="Book Antiqua" w:hAnsi="Book Antiqua" w:cs="Book Antiqua"/>
          <w:color w:val="000000"/>
        </w:rPr>
        <w:t xml:space="preserve">, Kandeil MAM, Mahmoud MO, Ezzat S. Hepatocellular Carcinoma (HCC) in Egypt: A comprehensive overview. </w:t>
      </w:r>
      <w:r w:rsidRPr="00BD6AF7">
        <w:rPr>
          <w:rFonts w:ascii="Book Antiqua" w:eastAsia="Book Antiqua" w:hAnsi="Book Antiqua" w:cs="Book Antiqua"/>
          <w:i/>
          <w:color w:val="000000"/>
        </w:rPr>
        <w:t>J Egypt Natl Canc Inst</w:t>
      </w:r>
      <w:r w:rsidRPr="00BD6AF7">
        <w:rPr>
          <w:rFonts w:ascii="Book Antiqua" w:eastAsia="Book Antiqua" w:hAnsi="Book Antiqua" w:cs="Book Antiqua"/>
          <w:color w:val="000000"/>
        </w:rPr>
        <w:t xml:space="preserve"> 2020; </w:t>
      </w:r>
      <w:r w:rsidRPr="00BD6AF7">
        <w:rPr>
          <w:rFonts w:ascii="Book Antiqua" w:eastAsia="Book Antiqua" w:hAnsi="Book Antiqua" w:cs="Book Antiqua"/>
          <w:b/>
          <w:color w:val="000000"/>
        </w:rPr>
        <w:t>32</w:t>
      </w:r>
      <w:r w:rsidRPr="00BD6AF7">
        <w:rPr>
          <w:rFonts w:ascii="Book Antiqua" w:eastAsia="Book Antiqua" w:hAnsi="Book Antiqua" w:cs="Book Antiqua"/>
          <w:color w:val="000000"/>
        </w:rPr>
        <w:t>: 5</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32372179 DOI: 10.1186/s43046-020-0016-x]</w:t>
      </w:r>
    </w:p>
    <w:p w14:paraId="353E5DE1"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4 </w:t>
      </w:r>
      <w:r w:rsidRPr="00BD6AF7">
        <w:rPr>
          <w:rFonts w:ascii="Book Antiqua" w:eastAsia="Book Antiqua" w:hAnsi="Book Antiqua" w:cs="Book Antiqua"/>
          <w:b/>
          <w:color w:val="000000"/>
        </w:rPr>
        <w:t>El Kassas M</w:t>
      </w:r>
      <w:r w:rsidRPr="00BD6AF7">
        <w:rPr>
          <w:rFonts w:ascii="Book Antiqua" w:eastAsia="Book Antiqua" w:hAnsi="Book Antiqua" w:cs="Book Antiqua"/>
          <w:color w:val="000000"/>
        </w:rPr>
        <w:t xml:space="preserve">, Elbaz T, Elsharkawy A, Omar H, Esmat G. HCV in Egypt, prevention, treatment and key barriers to elimination. </w:t>
      </w:r>
      <w:r w:rsidRPr="00BD6AF7">
        <w:rPr>
          <w:rFonts w:ascii="Book Antiqua" w:eastAsia="Book Antiqua" w:hAnsi="Book Antiqua" w:cs="Book Antiqua"/>
          <w:i/>
          <w:color w:val="000000"/>
        </w:rPr>
        <w:t>Expert Rev Anti Infect Ther</w:t>
      </w:r>
      <w:r w:rsidRPr="00BD6AF7">
        <w:rPr>
          <w:rFonts w:ascii="Book Antiqua" w:eastAsia="Book Antiqua" w:hAnsi="Book Antiqua" w:cs="Book Antiqua"/>
          <w:color w:val="000000"/>
        </w:rPr>
        <w:t xml:space="preserve"> 2018; </w:t>
      </w:r>
      <w:r w:rsidRPr="00BD6AF7">
        <w:rPr>
          <w:rFonts w:ascii="Book Antiqua" w:eastAsia="Book Antiqua" w:hAnsi="Book Antiqua" w:cs="Book Antiqua"/>
          <w:b/>
          <w:color w:val="000000"/>
        </w:rPr>
        <w:t>16</w:t>
      </w:r>
      <w:r w:rsidRPr="00BD6AF7">
        <w:rPr>
          <w:rFonts w:ascii="Book Antiqua" w:eastAsia="Book Antiqua" w:hAnsi="Book Antiqua" w:cs="Book Antiqua"/>
          <w:color w:val="000000"/>
        </w:rPr>
        <w:t>: 345-350</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29506418 DOI: 10.1080/14787210.2018.1448709]</w:t>
      </w:r>
    </w:p>
    <w:p w14:paraId="34A4503D"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5 </w:t>
      </w:r>
      <w:r w:rsidRPr="00BD6AF7">
        <w:rPr>
          <w:rFonts w:ascii="Book Antiqua" w:eastAsia="Book Antiqua" w:hAnsi="Book Antiqua" w:cs="Book Antiqua"/>
          <w:b/>
          <w:color w:val="000000"/>
        </w:rPr>
        <w:t>Zucman-Rossi J</w:t>
      </w:r>
      <w:r w:rsidRPr="00BD6AF7">
        <w:rPr>
          <w:rFonts w:ascii="Book Antiqua" w:eastAsia="Book Antiqua" w:hAnsi="Book Antiqua" w:cs="Book Antiqua"/>
          <w:color w:val="000000"/>
        </w:rPr>
        <w:t xml:space="preserve">, Villanueva A, Nault JC, Llovet JM. Genetic Landscape and Biomarkers of Hepatocellular Carcinoma. </w:t>
      </w:r>
      <w:r w:rsidRPr="00BD6AF7">
        <w:rPr>
          <w:rFonts w:ascii="Book Antiqua" w:eastAsia="Book Antiqua" w:hAnsi="Book Antiqua" w:cs="Book Antiqua"/>
          <w:i/>
          <w:color w:val="000000"/>
        </w:rPr>
        <w:t>Gastroenterology</w:t>
      </w:r>
      <w:r w:rsidRPr="00BD6AF7">
        <w:rPr>
          <w:rFonts w:ascii="Book Antiqua" w:eastAsia="Book Antiqua" w:hAnsi="Book Antiqua" w:cs="Book Antiqua"/>
          <w:color w:val="000000"/>
        </w:rPr>
        <w:t xml:space="preserve"> 2015; </w:t>
      </w:r>
      <w:r w:rsidRPr="00BD6AF7">
        <w:rPr>
          <w:rFonts w:ascii="Book Antiqua" w:eastAsia="Book Antiqua" w:hAnsi="Book Antiqua" w:cs="Book Antiqua"/>
          <w:b/>
          <w:color w:val="000000"/>
        </w:rPr>
        <w:t>149</w:t>
      </w:r>
      <w:r w:rsidRPr="00BD6AF7">
        <w:rPr>
          <w:rFonts w:ascii="Book Antiqua" w:eastAsia="Book Antiqua" w:hAnsi="Book Antiqua" w:cs="Book Antiqua"/>
          <w:color w:val="000000"/>
        </w:rPr>
        <w:t>: 1226-1239.e4</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26099527 DOI: 10.1053/j.gastro.2015.05.061]</w:t>
      </w:r>
    </w:p>
    <w:p w14:paraId="1EA70349"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6 </w:t>
      </w:r>
      <w:r w:rsidRPr="00BD6AF7">
        <w:rPr>
          <w:rFonts w:ascii="Book Antiqua" w:eastAsia="Book Antiqua" w:hAnsi="Book Antiqua" w:cs="Book Antiqua"/>
          <w:b/>
          <w:color w:val="000000"/>
        </w:rPr>
        <w:t>Cancer Genome Atlas Research Network. Electronic address: wheeler@bcm.edu.</w:t>
      </w:r>
      <w:r w:rsidRPr="00BD6AF7">
        <w:rPr>
          <w:rFonts w:ascii="Book Antiqua" w:eastAsia="Book Antiqua" w:hAnsi="Book Antiqua" w:cs="Book Antiqua"/>
          <w:color w:val="000000"/>
        </w:rPr>
        <w:t xml:space="preserve">; Cancer Genome Atlas Research Network. Comprehensive and Integrative Genomic </w:t>
      </w:r>
      <w:r w:rsidRPr="00BD6AF7">
        <w:rPr>
          <w:rFonts w:ascii="Book Antiqua" w:eastAsia="Book Antiqua" w:hAnsi="Book Antiqua" w:cs="Book Antiqua"/>
          <w:color w:val="000000"/>
        </w:rPr>
        <w:lastRenderedPageBreak/>
        <w:t xml:space="preserve">Characterization of Hepatocellular Carcinoma. </w:t>
      </w:r>
      <w:r w:rsidRPr="00BD6AF7">
        <w:rPr>
          <w:rFonts w:ascii="Book Antiqua" w:eastAsia="Book Antiqua" w:hAnsi="Book Antiqua" w:cs="Book Antiqua"/>
          <w:i/>
          <w:color w:val="000000"/>
        </w:rPr>
        <w:t>Cell</w:t>
      </w:r>
      <w:r w:rsidRPr="00BD6AF7">
        <w:rPr>
          <w:rFonts w:ascii="Book Antiqua" w:eastAsia="Book Antiqua" w:hAnsi="Book Antiqua" w:cs="Book Antiqua"/>
          <w:color w:val="000000"/>
        </w:rPr>
        <w:t xml:space="preserve"> 2017; </w:t>
      </w:r>
      <w:r w:rsidRPr="00BD6AF7">
        <w:rPr>
          <w:rFonts w:ascii="Book Antiqua" w:eastAsia="Book Antiqua" w:hAnsi="Book Antiqua" w:cs="Book Antiqua"/>
          <w:b/>
          <w:color w:val="000000"/>
        </w:rPr>
        <w:t>169</w:t>
      </w:r>
      <w:r w:rsidRPr="00BD6AF7">
        <w:rPr>
          <w:rFonts w:ascii="Book Antiqua" w:eastAsia="Book Antiqua" w:hAnsi="Book Antiqua" w:cs="Book Antiqua"/>
          <w:color w:val="000000"/>
        </w:rPr>
        <w:t>: 1327-1341.e23</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28622513 DOI: 10.1016/j.cell.2017.05.046]</w:t>
      </w:r>
    </w:p>
    <w:p w14:paraId="0835DA2B"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7 </w:t>
      </w:r>
      <w:r w:rsidRPr="00BD6AF7">
        <w:rPr>
          <w:rFonts w:ascii="Book Antiqua" w:eastAsia="Book Antiqua" w:hAnsi="Book Antiqua" w:cs="Book Antiqua"/>
          <w:b/>
          <w:color w:val="000000"/>
        </w:rPr>
        <w:t>El-Gebaly F</w:t>
      </w:r>
      <w:r w:rsidRPr="00BD6AF7">
        <w:rPr>
          <w:rFonts w:ascii="Book Antiqua" w:eastAsia="Book Antiqua" w:hAnsi="Book Antiqua" w:cs="Book Antiqua"/>
          <w:color w:val="000000"/>
        </w:rPr>
        <w:t xml:space="preserve">, Abou-Saif S, Elkadeem M, Helmy A, Abd-Elsalam S, Yousef M, Elkhouly RA, Amer IF, El-Demerdash T. Study of Serum Soluble Programmed Death Ligand 1 as a Prognostic Factor in Hepatocellular Carcinoma in Egyptian Patients. </w:t>
      </w:r>
      <w:r w:rsidRPr="00BD6AF7">
        <w:rPr>
          <w:rFonts w:ascii="Book Antiqua" w:eastAsia="Book Antiqua" w:hAnsi="Book Antiqua" w:cs="Book Antiqua"/>
          <w:i/>
          <w:color w:val="000000"/>
        </w:rPr>
        <w:t>Curr Cancer Drug Targets</w:t>
      </w:r>
      <w:r w:rsidRPr="00BD6AF7">
        <w:rPr>
          <w:rFonts w:ascii="Book Antiqua" w:eastAsia="Book Antiqua" w:hAnsi="Book Antiqua" w:cs="Book Antiqua"/>
          <w:color w:val="000000"/>
        </w:rPr>
        <w:t xml:space="preserve"> 2019; </w:t>
      </w:r>
      <w:r w:rsidRPr="00BD6AF7">
        <w:rPr>
          <w:rFonts w:ascii="Book Antiqua" w:eastAsia="Book Antiqua" w:hAnsi="Book Antiqua" w:cs="Book Antiqua"/>
          <w:b/>
          <w:color w:val="000000"/>
        </w:rPr>
        <w:t>19</w:t>
      </w:r>
      <w:r w:rsidRPr="00BD6AF7">
        <w:rPr>
          <w:rFonts w:ascii="Book Antiqua" w:eastAsia="Book Antiqua" w:hAnsi="Book Antiqua" w:cs="Book Antiqua"/>
          <w:color w:val="000000"/>
        </w:rPr>
        <w:t>: 896-905</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31538897 DOI: 10.2174/1568009619666190718141647]</w:t>
      </w:r>
    </w:p>
    <w:p w14:paraId="14FF6483"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8 </w:t>
      </w:r>
      <w:r w:rsidRPr="00BD6AF7">
        <w:rPr>
          <w:rFonts w:ascii="Book Antiqua" w:eastAsia="Book Antiqua" w:hAnsi="Book Antiqua" w:cs="Book Antiqua"/>
          <w:b/>
          <w:color w:val="000000"/>
        </w:rPr>
        <w:t>Catalanotto C</w:t>
      </w:r>
      <w:r w:rsidRPr="00BD6AF7">
        <w:rPr>
          <w:rFonts w:ascii="Book Antiqua" w:eastAsia="Book Antiqua" w:hAnsi="Book Antiqua" w:cs="Book Antiqua"/>
          <w:color w:val="000000"/>
        </w:rPr>
        <w:t xml:space="preserve">, Cogoni C, Zardo G. MicroRNA in Control of Gene Expression: An Overview of Nuclear Functions. </w:t>
      </w:r>
      <w:r w:rsidRPr="00BD6AF7">
        <w:rPr>
          <w:rFonts w:ascii="Book Antiqua" w:eastAsia="Book Antiqua" w:hAnsi="Book Antiqua" w:cs="Book Antiqua"/>
          <w:i/>
          <w:color w:val="000000"/>
        </w:rPr>
        <w:t>Int J Mol Sci</w:t>
      </w:r>
      <w:r w:rsidRPr="00BD6AF7">
        <w:rPr>
          <w:rFonts w:ascii="Book Antiqua" w:eastAsia="Book Antiqua" w:hAnsi="Book Antiqua" w:cs="Book Antiqua"/>
          <w:color w:val="000000"/>
        </w:rPr>
        <w:t xml:space="preserve"> 2016; </w:t>
      </w:r>
      <w:r w:rsidRPr="00BD6AF7">
        <w:rPr>
          <w:rFonts w:ascii="Book Antiqua" w:eastAsia="Book Antiqua" w:hAnsi="Book Antiqua" w:cs="Book Antiqua"/>
          <w:b/>
          <w:color w:val="000000"/>
        </w:rPr>
        <w:t>17</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27754357 DOI: 10.3390/ijms17101712]</w:t>
      </w:r>
    </w:p>
    <w:p w14:paraId="24BFB49B"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9 </w:t>
      </w:r>
      <w:r w:rsidRPr="00BD6AF7">
        <w:rPr>
          <w:rFonts w:ascii="Book Antiqua" w:eastAsia="Book Antiqua" w:hAnsi="Book Antiqua" w:cs="Book Antiqua"/>
          <w:b/>
          <w:color w:val="000000"/>
        </w:rPr>
        <w:t>Hu Q</w:t>
      </w:r>
      <w:r w:rsidRPr="00BD6AF7">
        <w:rPr>
          <w:rFonts w:ascii="Book Antiqua" w:eastAsia="Book Antiqua" w:hAnsi="Book Antiqua" w:cs="Book Antiqua"/>
          <w:color w:val="000000"/>
        </w:rPr>
        <w:t xml:space="preserve">, Du K, Mao X, Ning S. miR-197 is downregulated in cervical carcinogenesis and suppresses cell proliferation and invasion through targeting forkhead box M1. </w:t>
      </w:r>
      <w:r w:rsidRPr="00BD6AF7">
        <w:rPr>
          <w:rFonts w:ascii="Book Antiqua" w:eastAsia="Book Antiqua" w:hAnsi="Book Antiqua" w:cs="Book Antiqua"/>
          <w:i/>
          <w:color w:val="000000"/>
        </w:rPr>
        <w:t>Oncol Lett</w:t>
      </w:r>
      <w:r w:rsidRPr="00BD6AF7">
        <w:rPr>
          <w:rFonts w:ascii="Book Antiqua" w:eastAsia="Book Antiqua" w:hAnsi="Book Antiqua" w:cs="Book Antiqua"/>
          <w:color w:val="000000"/>
        </w:rPr>
        <w:t xml:space="preserve"> 2018; </w:t>
      </w:r>
      <w:r w:rsidRPr="00BD6AF7">
        <w:rPr>
          <w:rFonts w:ascii="Book Antiqua" w:eastAsia="Book Antiqua" w:hAnsi="Book Antiqua" w:cs="Book Antiqua"/>
          <w:b/>
          <w:color w:val="000000"/>
        </w:rPr>
        <w:t>15</w:t>
      </w:r>
      <w:r w:rsidRPr="00BD6AF7">
        <w:rPr>
          <w:rFonts w:ascii="Book Antiqua" w:eastAsia="Book Antiqua" w:hAnsi="Book Antiqua" w:cs="Book Antiqua"/>
          <w:color w:val="000000"/>
        </w:rPr>
        <w:t>: 10063-10069</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29928375 DOI: 10.3892/ol.2018.8565]</w:t>
      </w:r>
    </w:p>
    <w:p w14:paraId="69806EEE"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10 </w:t>
      </w:r>
      <w:r w:rsidRPr="00BD6AF7">
        <w:rPr>
          <w:rFonts w:ascii="Book Antiqua" w:eastAsia="Book Antiqua" w:hAnsi="Book Antiqua" w:cs="Book Antiqua"/>
          <w:b/>
          <w:color w:val="000000"/>
        </w:rPr>
        <w:t>Coolen M</w:t>
      </w:r>
      <w:r w:rsidRPr="00BD6AF7">
        <w:rPr>
          <w:rFonts w:ascii="Book Antiqua" w:eastAsia="Book Antiqua" w:hAnsi="Book Antiqua" w:cs="Book Antiqua"/>
          <w:color w:val="000000"/>
        </w:rPr>
        <w:t xml:space="preserve">, Katz S, Bally-Cuif L. miR-9: a versatile regulator of neurogenesis. </w:t>
      </w:r>
      <w:r w:rsidRPr="00BD6AF7">
        <w:rPr>
          <w:rFonts w:ascii="Book Antiqua" w:eastAsia="Book Antiqua" w:hAnsi="Book Antiqua" w:cs="Book Antiqua"/>
          <w:i/>
          <w:color w:val="000000"/>
        </w:rPr>
        <w:t>Front Cell Neurosci</w:t>
      </w:r>
      <w:r w:rsidRPr="00BD6AF7">
        <w:rPr>
          <w:rFonts w:ascii="Book Antiqua" w:eastAsia="Book Antiqua" w:hAnsi="Book Antiqua" w:cs="Book Antiqua"/>
          <w:color w:val="000000"/>
        </w:rPr>
        <w:t xml:space="preserve"> 2013; </w:t>
      </w:r>
      <w:r w:rsidRPr="00BD6AF7">
        <w:rPr>
          <w:rFonts w:ascii="Book Antiqua" w:eastAsia="Book Antiqua" w:hAnsi="Book Antiqua" w:cs="Book Antiqua"/>
          <w:b/>
          <w:color w:val="000000"/>
        </w:rPr>
        <w:t>7</w:t>
      </w:r>
      <w:r w:rsidRPr="00BD6AF7">
        <w:rPr>
          <w:rFonts w:ascii="Book Antiqua" w:eastAsia="Book Antiqua" w:hAnsi="Book Antiqua" w:cs="Book Antiqua"/>
          <w:color w:val="000000"/>
        </w:rPr>
        <w:t>: 220</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24312010 DOI: 10.3389/fncel.2013.00220]</w:t>
      </w:r>
    </w:p>
    <w:p w14:paraId="7F2C8B61"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11 </w:t>
      </w:r>
      <w:r w:rsidRPr="00BD6AF7">
        <w:rPr>
          <w:rFonts w:ascii="Book Antiqua" w:eastAsia="Book Antiqua" w:hAnsi="Book Antiqua" w:cs="Book Antiqua"/>
          <w:b/>
          <w:color w:val="000000"/>
        </w:rPr>
        <w:t>Ma L</w:t>
      </w:r>
      <w:r w:rsidRPr="00BD6AF7">
        <w:rPr>
          <w:rFonts w:ascii="Book Antiqua" w:eastAsia="Book Antiqua" w:hAnsi="Book Antiqua" w:cs="Book Antiqua"/>
          <w:color w:val="000000"/>
        </w:rPr>
        <w:t xml:space="preserve">, Young J, Prabhala H, Pan E, Mestdagh P, Muth D, Teruya-Feldstein J, Reinhardt F, Onder TT, Valastyan S, Westermann F, Speleman F, Vandesompele J, Weinberg RA. miR-9, a MYC/MYCN-activated microRNA, regulates E-cadherin and cancer metastasis. </w:t>
      </w:r>
      <w:r w:rsidRPr="00BD6AF7">
        <w:rPr>
          <w:rFonts w:ascii="Book Antiqua" w:eastAsia="Book Antiqua" w:hAnsi="Book Antiqua" w:cs="Book Antiqua"/>
          <w:i/>
          <w:color w:val="000000"/>
        </w:rPr>
        <w:t>Nat Cell Biol</w:t>
      </w:r>
      <w:r w:rsidRPr="00BD6AF7">
        <w:rPr>
          <w:rFonts w:ascii="Book Antiqua" w:eastAsia="Book Antiqua" w:hAnsi="Book Antiqua" w:cs="Book Antiqua"/>
          <w:color w:val="000000"/>
        </w:rPr>
        <w:t xml:space="preserve"> 2010; </w:t>
      </w:r>
      <w:r w:rsidRPr="00BD6AF7">
        <w:rPr>
          <w:rFonts w:ascii="Book Antiqua" w:eastAsia="Book Antiqua" w:hAnsi="Book Antiqua" w:cs="Book Antiqua"/>
          <w:b/>
          <w:color w:val="000000"/>
        </w:rPr>
        <w:t>12</w:t>
      </w:r>
      <w:r w:rsidRPr="00BD6AF7">
        <w:rPr>
          <w:rFonts w:ascii="Book Antiqua" w:eastAsia="Book Antiqua" w:hAnsi="Book Antiqua" w:cs="Book Antiqua"/>
          <w:color w:val="000000"/>
        </w:rPr>
        <w:t>: 247-256</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20173740 DOI: 10.1038/ncb2024]</w:t>
      </w:r>
    </w:p>
    <w:p w14:paraId="6AEC1028"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12 </w:t>
      </w:r>
      <w:r w:rsidRPr="00BD6AF7">
        <w:rPr>
          <w:rFonts w:ascii="Book Antiqua" w:eastAsia="Book Antiqua" w:hAnsi="Book Antiqua" w:cs="Book Antiqua"/>
          <w:b/>
          <w:color w:val="000000"/>
        </w:rPr>
        <w:t>Higashi T</w:t>
      </w:r>
      <w:r w:rsidRPr="00BD6AF7">
        <w:rPr>
          <w:rFonts w:ascii="Book Antiqua" w:eastAsia="Book Antiqua" w:hAnsi="Book Antiqua" w:cs="Book Antiqua"/>
          <w:color w:val="000000"/>
        </w:rPr>
        <w:t xml:space="preserve">, Hayashi H, Ishimoto T, Takeyama H, Kaida T, Arima K, Taki K, Sakamoto K, Kuroki H, Okabe H, Nitta H, Hashimoto D, Chikamoto A, Beppu T, Baba H. miR-9-3p plays a tumour-suppressor role by targeting TAZ (WWTR1) in hepatocellular carcinoma cells. </w:t>
      </w:r>
      <w:r w:rsidRPr="00BD6AF7">
        <w:rPr>
          <w:rFonts w:ascii="Book Antiqua" w:eastAsia="Book Antiqua" w:hAnsi="Book Antiqua" w:cs="Book Antiqua"/>
          <w:i/>
          <w:color w:val="000000"/>
        </w:rPr>
        <w:t>Br J Cancer</w:t>
      </w:r>
      <w:r w:rsidRPr="00BD6AF7">
        <w:rPr>
          <w:rFonts w:ascii="Book Antiqua" w:eastAsia="Book Antiqua" w:hAnsi="Book Antiqua" w:cs="Book Antiqua"/>
          <w:color w:val="000000"/>
        </w:rPr>
        <w:t xml:space="preserve"> 2015; </w:t>
      </w:r>
      <w:r w:rsidRPr="00BD6AF7">
        <w:rPr>
          <w:rFonts w:ascii="Book Antiqua" w:eastAsia="Book Antiqua" w:hAnsi="Book Antiqua" w:cs="Book Antiqua"/>
          <w:b/>
          <w:color w:val="000000"/>
        </w:rPr>
        <w:t>113</w:t>
      </w:r>
      <w:r w:rsidRPr="00BD6AF7">
        <w:rPr>
          <w:rFonts w:ascii="Book Antiqua" w:eastAsia="Book Antiqua" w:hAnsi="Book Antiqua" w:cs="Book Antiqua"/>
          <w:color w:val="000000"/>
        </w:rPr>
        <w:t>: 252-258</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26125451 DOI: 10.1038/bjc.2015.170]</w:t>
      </w:r>
    </w:p>
    <w:p w14:paraId="7D34BB8C"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13 </w:t>
      </w:r>
      <w:r w:rsidRPr="00BD6AF7">
        <w:rPr>
          <w:rFonts w:ascii="Book Antiqua" w:eastAsia="Book Antiqua" w:hAnsi="Book Antiqua" w:cs="Book Antiqua"/>
          <w:b/>
          <w:color w:val="000000"/>
        </w:rPr>
        <w:t>Sarrazin S</w:t>
      </w:r>
      <w:r w:rsidRPr="00BD6AF7">
        <w:rPr>
          <w:rFonts w:ascii="Book Antiqua" w:eastAsia="Book Antiqua" w:hAnsi="Book Antiqua" w:cs="Book Antiqua"/>
          <w:color w:val="000000"/>
        </w:rPr>
        <w:t xml:space="preserve">, Adam E, Lyon M, Depontieu F, Motte V, Landolfi C, Lortat-Jacob H, Bechard D, Lassalle P, Delehedde M. Endocan or endothelial cell specific molecule-1 (ESM-1): a potential novel endothelial cell marker and a new target for cancer therapy. </w:t>
      </w:r>
      <w:r w:rsidRPr="00BD6AF7">
        <w:rPr>
          <w:rFonts w:ascii="Book Antiqua" w:eastAsia="Book Antiqua" w:hAnsi="Book Antiqua" w:cs="Book Antiqua"/>
          <w:i/>
          <w:color w:val="000000"/>
        </w:rPr>
        <w:t>Biochim Biophys Acta</w:t>
      </w:r>
      <w:r w:rsidRPr="00BD6AF7">
        <w:rPr>
          <w:rFonts w:ascii="Book Antiqua" w:eastAsia="Book Antiqua" w:hAnsi="Book Antiqua" w:cs="Book Antiqua"/>
          <w:color w:val="000000"/>
        </w:rPr>
        <w:t xml:space="preserve"> 2006; </w:t>
      </w:r>
      <w:r w:rsidRPr="00BD6AF7">
        <w:rPr>
          <w:rFonts w:ascii="Book Antiqua" w:eastAsia="Book Antiqua" w:hAnsi="Book Antiqua" w:cs="Book Antiqua"/>
          <w:b/>
          <w:color w:val="000000"/>
        </w:rPr>
        <w:t>1765</w:t>
      </w:r>
      <w:r w:rsidRPr="00BD6AF7">
        <w:rPr>
          <w:rFonts w:ascii="Book Antiqua" w:eastAsia="Book Antiqua" w:hAnsi="Book Antiqua" w:cs="Book Antiqua"/>
          <w:color w:val="000000"/>
        </w:rPr>
        <w:t>: 25-37</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16168566 DOI: 10.1016/j.bbcan.2005.08.004]</w:t>
      </w:r>
    </w:p>
    <w:p w14:paraId="6B0BF526"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14 </w:t>
      </w:r>
      <w:r w:rsidRPr="00BD6AF7">
        <w:rPr>
          <w:rFonts w:ascii="Book Antiqua" w:eastAsia="Book Antiqua" w:hAnsi="Book Antiqua" w:cs="Book Antiqua"/>
          <w:b/>
          <w:color w:val="000000"/>
        </w:rPr>
        <w:t>Leroy X</w:t>
      </w:r>
      <w:r w:rsidRPr="00BD6AF7">
        <w:rPr>
          <w:rFonts w:ascii="Book Antiqua" w:eastAsia="Book Antiqua" w:hAnsi="Book Antiqua" w:cs="Book Antiqua"/>
          <w:color w:val="000000"/>
        </w:rPr>
        <w:t xml:space="preserve">, Aubert S, Zini L, Franquet H, Kervoaze G, Villers A, Delehedde M, Copin MC, Lassalle P. Vascular endocan (ESM-1) is markedly overexpressed in clear cell renal cell carcinoma. </w:t>
      </w:r>
      <w:r w:rsidRPr="00BD6AF7">
        <w:rPr>
          <w:rFonts w:ascii="Book Antiqua" w:eastAsia="Book Antiqua" w:hAnsi="Book Antiqua" w:cs="Book Antiqua"/>
          <w:i/>
          <w:color w:val="000000"/>
        </w:rPr>
        <w:t>Histopathology</w:t>
      </w:r>
      <w:r w:rsidRPr="00BD6AF7">
        <w:rPr>
          <w:rFonts w:ascii="Book Antiqua" w:eastAsia="Book Antiqua" w:hAnsi="Book Antiqua" w:cs="Book Antiqua"/>
          <w:color w:val="000000"/>
        </w:rPr>
        <w:t xml:space="preserve"> 2010; </w:t>
      </w:r>
      <w:r w:rsidRPr="00BD6AF7">
        <w:rPr>
          <w:rFonts w:ascii="Book Antiqua" w:eastAsia="Book Antiqua" w:hAnsi="Book Antiqua" w:cs="Book Antiqua"/>
          <w:b/>
          <w:color w:val="000000"/>
        </w:rPr>
        <w:t>56</w:t>
      </w:r>
      <w:r w:rsidRPr="00BD6AF7">
        <w:rPr>
          <w:rFonts w:ascii="Book Antiqua" w:eastAsia="Book Antiqua" w:hAnsi="Book Antiqua" w:cs="Book Antiqua"/>
          <w:color w:val="000000"/>
        </w:rPr>
        <w:t>: 180-187</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20102396 DOI: 10.1111/j.1365-2559.2009.03458.x]</w:t>
      </w:r>
    </w:p>
    <w:p w14:paraId="44C8A66B"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lastRenderedPageBreak/>
        <w:t xml:space="preserve">15 </w:t>
      </w:r>
      <w:r w:rsidRPr="00BD6AF7">
        <w:rPr>
          <w:rFonts w:ascii="Book Antiqua" w:eastAsia="Book Antiqua" w:hAnsi="Book Antiqua" w:cs="Book Antiqua"/>
          <w:b/>
          <w:color w:val="000000"/>
        </w:rPr>
        <w:t>Cai H</w:t>
      </w:r>
      <w:r w:rsidRPr="00BD6AF7">
        <w:rPr>
          <w:rFonts w:ascii="Book Antiqua" w:eastAsia="Book Antiqua" w:hAnsi="Book Antiqua" w:cs="Book Antiqua"/>
          <w:color w:val="000000"/>
        </w:rPr>
        <w:t xml:space="preserve">, Yang X, Gao Y, Xu Z, Yu B, Xu T, Li X, Xu W, Wang X, Hua L. Exosomal MicroRNA-9-3p Secreted from BMSCs Downregulates ESM1 to Suppress the Development of Bladder Cancer. </w:t>
      </w:r>
      <w:r w:rsidRPr="00BD6AF7">
        <w:rPr>
          <w:rFonts w:ascii="Book Antiqua" w:eastAsia="Book Antiqua" w:hAnsi="Book Antiqua" w:cs="Book Antiqua"/>
          <w:i/>
          <w:color w:val="000000"/>
        </w:rPr>
        <w:t>Mol Ther Nucleic Acids</w:t>
      </w:r>
      <w:r w:rsidRPr="00BD6AF7">
        <w:rPr>
          <w:rFonts w:ascii="Book Antiqua" w:eastAsia="Book Antiqua" w:hAnsi="Book Antiqua" w:cs="Book Antiqua"/>
          <w:color w:val="000000"/>
        </w:rPr>
        <w:t xml:space="preserve"> 2019; </w:t>
      </w:r>
      <w:r w:rsidRPr="00BD6AF7">
        <w:rPr>
          <w:rFonts w:ascii="Book Antiqua" w:eastAsia="Book Antiqua" w:hAnsi="Book Antiqua" w:cs="Book Antiqua"/>
          <w:b/>
          <w:color w:val="000000"/>
        </w:rPr>
        <w:t>18</w:t>
      </w:r>
      <w:r w:rsidRPr="00BD6AF7">
        <w:rPr>
          <w:rFonts w:ascii="Book Antiqua" w:eastAsia="Book Antiqua" w:hAnsi="Book Antiqua" w:cs="Book Antiqua"/>
          <w:color w:val="000000"/>
        </w:rPr>
        <w:t>: 787-800</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31734559 DOI: 10.1016/j.omtn.2019.09.023]</w:t>
      </w:r>
    </w:p>
    <w:p w14:paraId="60A53B33"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16 </w:t>
      </w:r>
      <w:r w:rsidRPr="00BD6AF7">
        <w:rPr>
          <w:rFonts w:ascii="Book Antiqua" w:eastAsia="Book Antiqua" w:hAnsi="Book Antiqua" w:cs="Book Antiqua"/>
          <w:b/>
          <w:color w:val="000000"/>
        </w:rPr>
        <w:t>Llovet JM</w:t>
      </w:r>
      <w:r w:rsidRPr="00BD6AF7">
        <w:rPr>
          <w:rFonts w:ascii="Book Antiqua" w:eastAsia="Book Antiqua" w:hAnsi="Book Antiqua" w:cs="Book Antiqua"/>
          <w:color w:val="000000"/>
        </w:rPr>
        <w:t xml:space="preserve">, Brú C, Bruix J. Prognosis of hepatocellular carcinoma: the BCLC staging classification. </w:t>
      </w:r>
      <w:r w:rsidRPr="00BD6AF7">
        <w:rPr>
          <w:rFonts w:ascii="Book Antiqua" w:eastAsia="Book Antiqua" w:hAnsi="Book Antiqua" w:cs="Book Antiqua"/>
          <w:i/>
          <w:color w:val="000000"/>
        </w:rPr>
        <w:t>Semin Liver Dis</w:t>
      </w:r>
      <w:r w:rsidRPr="00BD6AF7">
        <w:rPr>
          <w:rFonts w:ascii="Book Antiqua" w:eastAsia="Book Antiqua" w:hAnsi="Book Antiqua" w:cs="Book Antiqua"/>
          <w:color w:val="000000"/>
        </w:rPr>
        <w:t xml:space="preserve"> 1999; </w:t>
      </w:r>
      <w:r w:rsidRPr="00BD6AF7">
        <w:rPr>
          <w:rFonts w:ascii="Book Antiqua" w:eastAsia="Book Antiqua" w:hAnsi="Book Antiqua" w:cs="Book Antiqua"/>
          <w:b/>
          <w:color w:val="000000"/>
        </w:rPr>
        <w:t>19</w:t>
      </w:r>
      <w:r w:rsidRPr="00BD6AF7">
        <w:rPr>
          <w:rFonts w:ascii="Book Antiqua" w:eastAsia="Book Antiqua" w:hAnsi="Book Antiqua" w:cs="Book Antiqua"/>
          <w:color w:val="000000"/>
        </w:rPr>
        <w:t>: 329-338</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10518312 DOI: 10.1055/s-2007-1007122]</w:t>
      </w:r>
    </w:p>
    <w:p w14:paraId="3DDCF5AF"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17 </w:t>
      </w:r>
      <w:r w:rsidRPr="00BD6AF7">
        <w:rPr>
          <w:rFonts w:ascii="Book Antiqua" w:eastAsia="Book Antiqua" w:hAnsi="Book Antiqua" w:cs="Book Antiqua"/>
          <w:b/>
          <w:color w:val="000000"/>
        </w:rPr>
        <w:t>Patel M</w:t>
      </w:r>
      <w:r w:rsidRPr="00BD6AF7">
        <w:rPr>
          <w:rFonts w:ascii="Book Antiqua" w:eastAsia="Book Antiqua" w:hAnsi="Book Antiqua" w:cs="Book Antiqua"/>
          <w:color w:val="000000"/>
        </w:rPr>
        <w:t xml:space="preserve">, Shariff MI, Ladep NG, Thillainayagam AV, Thomas HC, Khan SA, Taylor-Robinson SD. Hepatocellular carcinoma: diagnostics and screening. </w:t>
      </w:r>
      <w:r w:rsidRPr="00BD6AF7">
        <w:rPr>
          <w:rFonts w:ascii="Book Antiqua" w:eastAsia="Book Antiqua" w:hAnsi="Book Antiqua" w:cs="Book Antiqua"/>
          <w:i/>
          <w:color w:val="000000"/>
        </w:rPr>
        <w:t>J Eval Clin Pract</w:t>
      </w:r>
      <w:r w:rsidRPr="00BD6AF7">
        <w:rPr>
          <w:rFonts w:ascii="Book Antiqua" w:eastAsia="Book Antiqua" w:hAnsi="Book Antiqua" w:cs="Book Antiqua"/>
          <w:color w:val="000000"/>
        </w:rPr>
        <w:t xml:space="preserve"> 2012; </w:t>
      </w:r>
      <w:r w:rsidRPr="00BD6AF7">
        <w:rPr>
          <w:rFonts w:ascii="Book Antiqua" w:eastAsia="Book Antiqua" w:hAnsi="Book Antiqua" w:cs="Book Antiqua"/>
          <w:b/>
          <w:color w:val="000000"/>
        </w:rPr>
        <w:t>18</w:t>
      </w:r>
      <w:r w:rsidRPr="00BD6AF7">
        <w:rPr>
          <w:rFonts w:ascii="Book Antiqua" w:eastAsia="Book Antiqua" w:hAnsi="Book Antiqua" w:cs="Book Antiqua"/>
          <w:color w:val="000000"/>
        </w:rPr>
        <w:t>: 335-342</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21114800 DOI: 10.1111/j.1365-2753.2010.01599.x]</w:t>
      </w:r>
    </w:p>
    <w:p w14:paraId="60CA1277"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18 </w:t>
      </w:r>
      <w:r w:rsidRPr="00BD6AF7">
        <w:rPr>
          <w:rFonts w:ascii="Book Antiqua" w:eastAsia="Book Antiqua" w:hAnsi="Book Antiqua" w:cs="Book Antiqua"/>
          <w:b/>
          <w:color w:val="000000"/>
        </w:rPr>
        <w:t>Abudeif A</w:t>
      </w:r>
      <w:r w:rsidRPr="00BD6AF7">
        <w:rPr>
          <w:rFonts w:ascii="Book Antiqua" w:eastAsia="Book Antiqua" w:hAnsi="Book Antiqua" w:cs="Book Antiqua"/>
          <w:color w:val="000000"/>
        </w:rPr>
        <w:t xml:space="preserve">. Epidemiology and Risk Factors of Hepatocellular Carcinoma in Egypt. </w:t>
      </w:r>
      <w:r w:rsidRPr="00BD6AF7">
        <w:rPr>
          <w:rFonts w:ascii="Book Antiqua" w:eastAsia="Book Antiqua" w:hAnsi="Book Antiqua" w:cs="Book Antiqua"/>
          <w:i/>
          <w:color w:val="000000"/>
        </w:rPr>
        <w:t>Sohag Medical Journal</w:t>
      </w:r>
      <w:r w:rsidRPr="00BD6AF7">
        <w:rPr>
          <w:rFonts w:ascii="Book Antiqua" w:eastAsia="Book Antiqua" w:hAnsi="Book Antiqua" w:cs="Book Antiqua"/>
          <w:color w:val="000000"/>
        </w:rPr>
        <w:t xml:space="preserve"> 2019; </w:t>
      </w:r>
      <w:r w:rsidRPr="00BD6AF7">
        <w:rPr>
          <w:rFonts w:ascii="Book Antiqua" w:eastAsia="Book Antiqua" w:hAnsi="Book Antiqua" w:cs="Book Antiqua"/>
          <w:b/>
          <w:color w:val="000000"/>
        </w:rPr>
        <w:t>23</w:t>
      </w:r>
      <w:r w:rsidRPr="00BD6AF7">
        <w:rPr>
          <w:rFonts w:ascii="Book Antiqua" w:eastAsia="Book Antiqua" w:hAnsi="Book Antiqua" w:cs="Book Antiqua"/>
          <w:color w:val="000000"/>
        </w:rPr>
        <w:t>: 8-12</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DOI: 10.21608/SMJ.2019.13376.1019]</w:t>
      </w:r>
    </w:p>
    <w:p w14:paraId="43333B8B"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19 </w:t>
      </w:r>
      <w:r w:rsidRPr="00BD6AF7">
        <w:rPr>
          <w:rFonts w:ascii="Book Antiqua" w:eastAsia="Book Antiqua" w:hAnsi="Book Antiqua" w:cs="Book Antiqua"/>
          <w:b/>
          <w:color w:val="000000"/>
        </w:rPr>
        <w:t>Sun S</w:t>
      </w:r>
      <w:r w:rsidRPr="00BD6AF7">
        <w:rPr>
          <w:rFonts w:ascii="Book Antiqua" w:eastAsia="Book Antiqua" w:hAnsi="Book Antiqua" w:cs="Book Antiqua"/>
          <w:color w:val="000000"/>
        </w:rPr>
        <w:t xml:space="preserve">, Poon RT, Lee NP, Yeung C, Chan KL, Ng IO, Day PJ, Luk JM. Proteomics of hepatocellular carcinoma: serum vimentin as a surrogate marker for small tumors (&lt;or=2 cm). </w:t>
      </w:r>
      <w:r w:rsidRPr="00BD6AF7">
        <w:rPr>
          <w:rFonts w:ascii="Book Antiqua" w:eastAsia="Book Antiqua" w:hAnsi="Book Antiqua" w:cs="Book Antiqua"/>
          <w:i/>
          <w:color w:val="000000"/>
        </w:rPr>
        <w:t>J Proteome Res</w:t>
      </w:r>
      <w:r w:rsidRPr="00BD6AF7">
        <w:rPr>
          <w:rFonts w:ascii="Book Antiqua" w:eastAsia="Book Antiqua" w:hAnsi="Book Antiqua" w:cs="Book Antiqua"/>
          <w:color w:val="000000"/>
        </w:rPr>
        <w:t xml:space="preserve"> 2010; </w:t>
      </w:r>
      <w:r w:rsidRPr="00BD6AF7">
        <w:rPr>
          <w:rFonts w:ascii="Book Antiqua" w:eastAsia="Book Antiqua" w:hAnsi="Book Antiqua" w:cs="Book Antiqua"/>
          <w:b/>
          <w:color w:val="000000"/>
        </w:rPr>
        <w:t>9</w:t>
      </w:r>
      <w:r w:rsidRPr="00BD6AF7">
        <w:rPr>
          <w:rFonts w:ascii="Book Antiqua" w:eastAsia="Book Antiqua" w:hAnsi="Book Antiqua" w:cs="Book Antiqua"/>
          <w:color w:val="000000"/>
        </w:rPr>
        <w:t>: 1923-1930</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20121168 DOI: 10.1021/pr901085z]</w:t>
      </w:r>
    </w:p>
    <w:p w14:paraId="1F8014F2"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20 </w:t>
      </w:r>
      <w:r w:rsidRPr="00BD6AF7">
        <w:rPr>
          <w:rFonts w:ascii="Book Antiqua" w:eastAsia="Book Antiqua" w:hAnsi="Book Antiqua" w:cs="Book Antiqua"/>
          <w:b/>
          <w:color w:val="000000"/>
        </w:rPr>
        <w:t>Chen X</w:t>
      </w:r>
      <w:r w:rsidRPr="00BD6AF7">
        <w:rPr>
          <w:rFonts w:ascii="Book Antiqua" w:eastAsia="Book Antiqua" w:hAnsi="Book Antiqua" w:cs="Book Antiqua"/>
          <w:color w:val="000000"/>
        </w:rPr>
        <w:t xml:space="preserve">, Ba Y, Ma L, Cai X, Yin Y, Wang K, Guo J, Zhang Y, Chen J, Guo X, Li Q, Li X, Wang W, Zhang Y, Wang J, Jiang X, Xiang Y, Xu C, Zheng P, Zhang J, Li R, Zhang H, Shang X, Gong T, Ning G, Wang J, Zen K, Zhang J, Zhang CY. Characterization of microRNAs in serum: a novel class of biomarkers for diagnosis of cancer and other diseases. </w:t>
      </w:r>
      <w:r w:rsidRPr="00BD6AF7">
        <w:rPr>
          <w:rFonts w:ascii="Book Antiqua" w:eastAsia="Book Antiqua" w:hAnsi="Book Antiqua" w:cs="Book Antiqua"/>
          <w:i/>
          <w:color w:val="000000"/>
        </w:rPr>
        <w:t>Cell Res</w:t>
      </w:r>
      <w:r w:rsidRPr="00BD6AF7">
        <w:rPr>
          <w:rFonts w:ascii="Book Antiqua" w:eastAsia="Book Antiqua" w:hAnsi="Book Antiqua" w:cs="Book Antiqua"/>
          <w:color w:val="000000"/>
        </w:rPr>
        <w:t xml:space="preserve"> 2008; </w:t>
      </w:r>
      <w:r w:rsidRPr="00BD6AF7">
        <w:rPr>
          <w:rFonts w:ascii="Book Antiqua" w:eastAsia="Book Antiqua" w:hAnsi="Book Antiqua" w:cs="Book Antiqua"/>
          <w:b/>
          <w:color w:val="000000"/>
        </w:rPr>
        <w:t>18</w:t>
      </w:r>
      <w:r w:rsidRPr="00BD6AF7">
        <w:rPr>
          <w:rFonts w:ascii="Book Antiqua" w:eastAsia="Book Antiqua" w:hAnsi="Book Antiqua" w:cs="Book Antiqua"/>
          <w:color w:val="000000"/>
        </w:rPr>
        <w:t>: 997-1006</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18766170 DOI: 10.1038/cr.2008.282]</w:t>
      </w:r>
    </w:p>
    <w:p w14:paraId="0FB04C67"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21 </w:t>
      </w:r>
      <w:r w:rsidRPr="00BD6AF7">
        <w:rPr>
          <w:rFonts w:ascii="Book Antiqua" w:eastAsia="Book Antiqua" w:hAnsi="Book Antiqua" w:cs="Book Antiqua"/>
          <w:b/>
          <w:color w:val="000000"/>
        </w:rPr>
        <w:t>Köberle V</w:t>
      </w:r>
      <w:r w:rsidRPr="00BD6AF7">
        <w:rPr>
          <w:rFonts w:ascii="Book Antiqua" w:eastAsia="Book Antiqua" w:hAnsi="Book Antiqua" w:cs="Book Antiqua"/>
          <w:color w:val="000000"/>
        </w:rPr>
        <w:t xml:space="preserve">, Kronenberger B, Pleli T, Trojan J, Imelmann E, Peveling-Oberhag J, Welker MW, Elhendawy M, Zeuzem S, Piiper A, Waidmann O. Serum microRNA-1 and microRNA-122 are prognostic markers in patients with hepatocellular carcinoma. </w:t>
      </w:r>
      <w:r w:rsidRPr="00BD6AF7">
        <w:rPr>
          <w:rFonts w:ascii="Book Antiqua" w:eastAsia="Book Antiqua" w:hAnsi="Book Antiqua" w:cs="Book Antiqua"/>
          <w:i/>
          <w:color w:val="000000"/>
        </w:rPr>
        <w:t>Eur J Cancer</w:t>
      </w:r>
      <w:r w:rsidRPr="00BD6AF7">
        <w:rPr>
          <w:rFonts w:ascii="Book Antiqua" w:eastAsia="Book Antiqua" w:hAnsi="Book Antiqua" w:cs="Book Antiqua"/>
          <w:color w:val="000000"/>
        </w:rPr>
        <w:t xml:space="preserve"> 2013; </w:t>
      </w:r>
      <w:r w:rsidRPr="00BD6AF7">
        <w:rPr>
          <w:rFonts w:ascii="Book Antiqua" w:eastAsia="Book Antiqua" w:hAnsi="Book Antiqua" w:cs="Book Antiqua"/>
          <w:b/>
          <w:color w:val="000000"/>
        </w:rPr>
        <w:t>49</w:t>
      </w:r>
      <w:r w:rsidRPr="00BD6AF7">
        <w:rPr>
          <w:rFonts w:ascii="Book Antiqua" w:eastAsia="Book Antiqua" w:hAnsi="Book Antiqua" w:cs="Book Antiqua"/>
          <w:color w:val="000000"/>
        </w:rPr>
        <w:t>: 3442-3449</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23810247 DOI: 10.1016/j.ejca.2013.06.002]</w:t>
      </w:r>
    </w:p>
    <w:p w14:paraId="796FBFA4"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22 </w:t>
      </w:r>
      <w:r w:rsidRPr="00BD6AF7">
        <w:rPr>
          <w:rFonts w:ascii="Book Antiqua" w:eastAsia="Book Antiqua" w:hAnsi="Book Antiqua" w:cs="Book Antiqua"/>
          <w:b/>
          <w:color w:val="000000"/>
        </w:rPr>
        <w:t>El-Abd NE</w:t>
      </w:r>
      <w:r w:rsidRPr="00BD6AF7">
        <w:rPr>
          <w:rFonts w:ascii="Book Antiqua" w:eastAsia="Book Antiqua" w:hAnsi="Book Antiqua" w:cs="Book Antiqua"/>
          <w:color w:val="000000"/>
        </w:rPr>
        <w:t xml:space="preserve">, Fawzy NA, El-Sheikh SM, Soliman ME. Circulating miRNA-122, miRNA-199a, and miRNA-16 as Biomarkers for Early Detection of Hepatocellular Carcinoma in Egyptian Patients with Chronic Hepatitis C Virus Infection. </w:t>
      </w:r>
      <w:r w:rsidRPr="00BD6AF7">
        <w:rPr>
          <w:rFonts w:ascii="Book Antiqua" w:eastAsia="Book Antiqua" w:hAnsi="Book Antiqua" w:cs="Book Antiqua"/>
          <w:i/>
          <w:color w:val="000000"/>
        </w:rPr>
        <w:t>Mol Diagn Ther</w:t>
      </w:r>
      <w:r w:rsidRPr="00BD6AF7">
        <w:rPr>
          <w:rFonts w:ascii="Book Antiqua" w:eastAsia="Book Antiqua" w:hAnsi="Book Antiqua" w:cs="Book Antiqua"/>
          <w:color w:val="000000"/>
        </w:rPr>
        <w:t xml:space="preserve"> 2015; </w:t>
      </w:r>
      <w:r w:rsidRPr="00BD6AF7">
        <w:rPr>
          <w:rFonts w:ascii="Book Antiqua" w:eastAsia="Book Antiqua" w:hAnsi="Book Antiqua" w:cs="Book Antiqua"/>
          <w:b/>
          <w:color w:val="000000"/>
        </w:rPr>
        <w:t>19</w:t>
      </w:r>
      <w:r w:rsidRPr="00BD6AF7">
        <w:rPr>
          <w:rFonts w:ascii="Book Antiqua" w:eastAsia="Book Antiqua" w:hAnsi="Book Antiqua" w:cs="Book Antiqua"/>
          <w:color w:val="000000"/>
        </w:rPr>
        <w:t>: 213-220</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26133725 DOI: 10.1007/s40291-015-0148-1]</w:t>
      </w:r>
    </w:p>
    <w:p w14:paraId="4F17E792"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lastRenderedPageBreak/>
        <w:t xml:space="preserve">23 </w:t>
      </w:r>
      <w:r w:rsidRPr="00BD6AF7">
        <w:rPr>
          <w:rFonts w:ascii="Book Antiqua" w:eastAsia="Book Antiqua" w:hAnsi="Book Antiqua" w:cs="Book Antiqua"/>
          <w:b/>
          <w:color w:val="000000"/>
        </w:rPr>
        <w:t>Naz Z,</w:t>
      </w:r>
      <w:r w:rsidRPr="00BD6AF7">
        <w:rPr>
          <w:rFonts w:ascii="Book Antiqua" w:eastAsia="Book Antiqua" w:hAnsi="Book Antiqua" w:cs="Book Antiqua"/>
          <w:color w:val="000000"/>
        </w:rPr>
        <w:t xml:space="preserve"> Usman S, Saleem K, Ahmed S, Bashir H, Bilal M, Sumrin A. Alpha-fetoprotein: A fabulous biomarker in hepatocellular, gastric and rectal cancer diagnosis. </w:t>
      </w:r>
      <w:r w:rsidRPr="00BD6AF7">
        <w:rPr>
          <w:rFonts w:ascii="Book Antiqua" w:eastAsia="Book Antiqua" w:hAnsi="Book Antiqua" w:cs="Book Antiqua"/>
          <w:i/>
          <w:color w:val="000000"/>
        </w:rPr>
        <w:t>Biomed Res</w:t>
      </w:r>
      <w:r w:rsidRPr="00BD6AF7">
        <w:rPr>
          <w:rFonts w:ascii="Book Antiqua" w:eastAsia="Book Antiqua" w:hAnsi="Book Antiqua" w:cs="Book Antiqua"/>
          <w:color w:val="000000"/>
        </w:rPr>
        <w:t xml:space="preserve"> 2018; </w:t>
      </w:r>
      <w:r w:rsidRPr="00BD6AF7">
        <w:rPr>
          <w:rFonts w:ascii="Book Antiqua" w:eastAsia="Book Antiqua" w:hAnsi="Book Antiqua" w:cs="Book Antiqua"/>
          <w:b/>
          <w:color w:val="000000"/>
        </w:rPr>
        <w:t>29</w:t>
      </w:r>
      <w:r w:rsidRPr="00BD6AF7">
        <w:rPr>
          <w:rFonts w:ascii="Book Antiqua" w:eastAsia="Book Antiqua" w:hAnsi="Book Antiqua" w:cs="Book Antiqua"/>
          <w:color w:val="000000"/>
        </w:rPr>
        <w:t>: 2478-2483</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DOI: 10.4066/biomedicalresearch.29-17-1550]</w:t>
      </w:r>
    </w:p>
    <w:p w14:paraId="631BA294"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24 </w:t>
      </w:r>
      <w:r w:rsidRPr="00BD6AF7">
        <w:rPr>
          <w:rFonts w:ascii="Book Antiqua" w:eastAsia="Book Antiqua" w:hAnsi="Book Antiqua" w:cs="Book Antiqua"/>
          <w:b/>
          <w:color w:val="000000"/>
        </w:rPr>
        <w:t>Chu CW</w:t>
      </w:r>
      <w:r w:rsidRPr="00BD6AF7">
        <w:rPr>
          <w:rFonts w:ascii="Book Antiqua" w:eastAsia="Book Antiqua" w:hAnsi="Book Antiqua" w:cs="Book Antiqua"/>
          <w:color w:val="000000"/>
        </w:rPr>
        <w:t xml:space="preserve">, Hwang SJ, Luo JC, Lai CR, Tsay SH, Li CP, Wu JC, Chang FY, Lee SD. Clinical, virologic, and pathologic significance of elevated serum alpha-fetoprotein levels in patients with chronic hepatitis C. </w:t>
      </w:r>
      <w:r w:rsidRPr="00BD6AF7">
        <w:rPr>
          <w:rFonts w:ascii="Book Antiqua" w:eastAsia="Book Antiqua" w:hAnsi="Book Antiqua" w:cs="Book Antiqua"/>
          <w:i/>
          <w:color w:val="000000"/>
        </w:rPr>
        <w:t>J Clin Gastroenterol</w:t>
      </w:r>
      <w:r w:rsidRPr="00BD6AF7">
        <w:rPr>
          <w:rFonts w:ascii="Book Antiqua" w:eastAsia="Book Antiqua" w:hAnsi="Book Antiqua" w:cs="Book Antiqua"/>
          <w:color w:val="000000"/>
        </w:rPr>
        <w:t xml:space="preserve"> 2001; </w:t>
      </w:r>
      <w:r w:rsidRPr="00BD6AF7">
        <w:rPr>
          <w:rFonts w:ascii="Book Antiqua" w:eastAsia="Book Antiqua" w:hAnsi="Book Antiqua" w:cs="Book Antiqua"/>
          <w:b/>
          <w:color w:val="000000"/>
        </w:rPr>
        <w:t>32</w:t>
      </w:r>
      <w:r w:rsidRPr="00BD6AF7">
        <w:rPr>
          <w:rFonts w:ascii="Book Antiqua" w:eastAsia="Book Antiqua" w:hAnsi="Book Antiqua" w:cs="Book Antiqua"/>
          <w:color w:val="000000"/>
        </w:rPr>
        <w:t>: 240-244</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11246354 DOI: 10.1097/00004836-200103000-00014]</w:t>
      </w:r>
    </w:p>
    <w:p w14:paraId="3639001A"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25 </w:t>
      </w:r>
      <w:r w:rsidRPr="00BD6AF7">
        <w:rPr>
          <w:rFonts w:ascii="Book Antiqua" w:eastAsia="Book Antiqua" w:hAnsi="Book Antiqua" w:cs="Book Antiqua"/>
          <w:b/>
          <w:color w:val="000000"/>
        </w:rPr>
        <w:t>Massironi S</w:t>
      </w:r>
      <w:r w:rsidRPr="00BD6AF7">
        <w:rPr>
          <w:rFonts w:ascii="Book Antiqua" w:eastAsia="Book Antiqua" w:hAnsi="Book Antiqua" w:cs="Book Antiqua"/>
          <w:color w:val="000000"/>
        </w:rPr>
        <w:t xml:space="preserve">, Fraquelli M, Paggi S, Sangiovanni A, Conte D, Sciola V, Ciafardini C, Colombo M, Peracchi M. Chromogranin A levels in chronic liver disease and hepatocellular carcinoma. </w:t>
      </w:r>
      <w:r w:rsidRPr="00BD6AF7">
        <w:rPr>
          <w:rFonts w:ascii="Book Antiqua" w:eastAsia="Book Antiqua" w:hAnsi="Book Antiqua" w:cs="Book Antiqua"/>
          <w:i/>
          <w:color w:val="000000"/>
        </w:rPr>
        <w:t>Dig Liver Dis</w:t>
      </w:r>
      <w:r w:rsidRPr="00BD6AF7">
        <w:rPr>
          <w:rFonts w:ascii="Book Antiqua" w:eastAsia="Book Antiqua" w:hAnsi="Book Antiqua" w:cs="Book Antiqua"/>
          <w:color w:val="000000"/>
        </w:rPr>
        <w:t xml:space="preserve"> 2009; </w:t>
      </w:r>
      <w:r w:rsidRPr="00BD6AF7">
        <w:rPr>
          <w:rFonts w:ascii="Book Antiqua" w:eastAsia="Book Antiqua" w:hAnsi="Book Antiqua" w:cs="Book Antiqua"/>
          <w:b/>
          <w:color w:val="000000"/>
        </w:rPr>
        <w:t>41</w:t>
      </w:r>
      <w:r w:rsidRPr="00BD6AF7">
        <w:rPr>
          <w:rFonts w:ascii="Book Antiqua" w:eastAsia="Book Antiqua" w:hAnsi="Book Antiqua" w:cs="Book Antiqua"/>
          <w:color w:val="000000"/>
        </w:rPr>
        <w:t>: 31-35</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18762462 DOI: 10.1016/j.dld.2008.05.002]</w:t>
      </w:r>
    </w:p>
    <w:p w14:paraId="43C5B458"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26 </w:t>
      </w:r>
      <w:r w:rsidRPr="00BD6AF7">
        <w:rPr>
          <w:rFonts w:ascii="Book Antiqua" w:eastAsia="Book Antiqua" w:hAnsi="Book Antiqua" w:cs="Book Antiqua"/>
          <w:b/>
          <w:color w:val="000000"/>
        </w:rPr>
        <w:t>Metwaly K,</w:t>
      </w:r>
      <w:r w:rsidRPr="00BD6AF7">
        <w:rPr>
          <w:rFonts w:ascii="Book Antiqua" w:eastAsia="Book Antiqua" w:hAnsi="Book Antiqua" w:cs="Book Antiqua"/>
          <w:color w:val="000000"/>
        </w:rPr>
        <w:t xml:space="preserve"> Sameea EA, El-Azab G, Assem M, Abbas M, Zakareya T, Abo Raia G. Mean platelet volume and mean platelet volume/platelet count ratio as markers for hepatocellular carcinoma in patients with chronic hepatitis C virus related cirrhosis. </w:t>
      </w:r>
      <w:r w:rsidRPr="00BD6AF7">
        <w:rPr>
          <w:rFonts w:ascii="Book Antiqua" w:eastAsia="Book Antiqua" w:hAnsi="Book Antiqua" w:cs="Book Antiqua"/>
          <w:i/>
          <w:color w:val="000000"/>
        </w:rPr>
        <w:t>J Cancer Res Clin Oncol</w:t>
      </w:r>
      <w:r w:rsidRPr="00BD6AF7">
        <w:rPr>
          <w:rFonts w:ascii="Book Antiqua" w:eastAsia="Book Antiqua" w:hAnsi="Book Antiqua" w:cs="Book Antiqua"/>
          <w:color w:val="000000"/>
        </w:rPr>
        <w:t xml:space="preserve"> 2016; </w:t>
      </w:r>
      <w:r w:rsidRPr="00BD6AF7">
        <w:rPr>
          <w:rFonts w:ascii="Book Antiqua" w:eastAsia="Book Antiqua" w:hAnsi="Book Antiqua" w:cs="Book Antiqua"/>
          <w:b/>
          <w:color w:val="000000"/>
        </w:rPr>
        <w:t>8</w:t>
      </w:r>
      <w:r w:rsidRPr="00BD6AF7">
        <w:rPr>
          <w:rFonts w:ascii="Book Antiqua" w:eastAsia="Book Antiqua" w:hAnsi="Book Antiqua" w:cs="Book Antiqua"/>
          <w:color w:val="000000"/>
        </w:rPr>
        <w:t>: 33-40</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DOI: 10.5897/JCREO2016.0135]</w:t>
      </w:r>
    </w:p>
    <w:p w14:paraId="12A47813"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27 </w:t>
      </w:r>
      <w:r w:rsidRPr="00BD6AF7">
        <w:rPr>
          <w:rFonts w:ascii="Book Antiqua" w:eastAsia="Book Antiqua" w:hAnsi="Book Antiqua" w:cs="Book Antiqua"/>
          <w:b/>
          <w:color w:val="000000"/>
        </w:rPr>
        <w:t>Nault JC</w:t>
      </w:r>
      <w:r w:rsidRPr="00BD6AF7">
        <w:rPr>
          <w:rFonts w:ascii="Book Antiqua" w:eastAsia="Book Antiqua" w:hAnsi="Book Antiqua" w:cs="Book Antiqua"/>
          <w:color w:val="000000"/>
        </w:rPr>
        <w:t xml:space="preserve">, Guyot E, Laguillier C, Chevret S, Ganne-Carrie N, N'Kontchou G, Beaugrand M, Seror O, Trinchet JC, Coelho J, Lasalle P, Charnaux N, Delehedde M, Sutton A, Nahon P. Serum proteoglycans as prognostic biomarkers of hepatocellular carcinoma in patients with alcoholic cirrhosis. </w:t>
      </w:r>
      <w:r w:rsidRPr="00BD6AF7">
        <w:rPr>
          <w:rFonts w:ascii="Book Antiqua" w:eastAsia="Book Antiqua" w:hAnsi="Book Antiqua" w:cs="Book Antiqua"/>
          <w:i/>
          <w:color w:val="000000"/>
        </w:rPr>
        <w:t>Cancer Epidemiol Biomarkers Prev</w:t>
      </w:r>
      <w:r w:rsidRPr="00BD6AF7">
        <w:rPr>
          <w:rFonts w:ascii="Book Antiqua" w:eastAsia="Book Antiqua" w:hAnsi="Book Antiqua" w:cs="Book Antiqua"/>
          <w:color w:val="000000"/>
        </w:rPr>
        <w:t xml:space="preserve"> 2013; </w:t>
      </w:r>
      <w:r w:rsidRPr="00BD6AF7">
        <w:rPr>
          <w:rFonts w:ascii="Book Antiqua" w:eastAsia="Book Antiqua" w:hAnsi="Book Antiqua" w:cs="Book Antiqua"/>
          <w:b/>
          <w:color w:val="000000"/>
        </w:rPr>
        <w:t>22</w:t>
      </w:r>
      <w:r w:rsidRPr="00BD6AF7">
        <w:rPr>
          <w:rFonts w:ascii="Book Antiqua" w:eastAsia="Book Antiqua" w:hAnsi="Book Antiqua" w:cs="Book Antiqua"/>
          <w:color w:val="000000"/>
        </w:rPr>
        <w:t>: 1343-1352</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23780836 DOI: 10.1158/1055-9965.EPI-13-0179]</w:t>
      </w:r>
    </w:p>
    <w:p w14:paraId="4A9F3E27"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28 </w:t>
      </w:r>
      <w:r w:rsidRPr="00BD6AF7">
        <w:rPr>
          <w:rFonts w:ascii="Book Antiqua" w:eastAsia="Book Antiqua" w:hAnsi="Book Antiqua" w:cs="Book Antiqua"/>
          <w:b/>
          <w:color w:val="000000"/>
        </w:rPr>
        <w:t>Ozaki K</w:t>
      </w:r>
      <w:r w:rsidRPr="00BD6AF7">
        <w:rPr>
          <w:rFonts w:ascii="Book Antiqua" w:eastAsia="Book Antiqua" w:hAnsi="Book Antiqua" w:cs="Book Antiqua"/>
          <w:color w:val="000000"/>
        </w:rPr>
        <w:t xml:space="preserve">, Toshikuni N, George J, Minato T, Matsue Y, Arisawa T, Tsutsumi M. Serum endocan as a novel prognostic biomarker in patients with hepatocellular carcinoma. </w:t>
      </w:r>
      <w:r w:rsidRPr="00BD6AF7">
        <w:rPr>
          <w:rFonts w:ascii="Book Antiqua" w:eastAsia="Book Antiqua" w:hAnsi="Book Antiqua" w:cs="Book Antiqua"/>
          <w:i/>
          <w:color w:val="000000"/>
        </w:rPr>
        <w:t>J Cancer</w:t>
      </w:r>
      <w:r w:rsidRPr="00BD6AF7">
        <w:rPr>
          <w:rFonts w:ascii="Book Antiqua" w:eastAsia="Book Antiqua" w:hAnsi="Book Antiqua" w:cs="Book Antiqua"/>
          <w:color w:val="000000"/>
        </w:rPr>
        <w:t xml:space="preserve"> 2014; </w:t>
      </w:r>
      <w:r w:rsidRPr="00BD6AF7">
        <w:rPr>
          <w:rFonts w:ascii="Book Antiqua" w:eastAsia="Book Antiqua" w:hAnsi="Book Antiqua" w:cs="Book Antiqua"/>
          <w:b/>
          <w:color w:val="000000"/>
        </w:rPr>
        <w:t>5</w:t>
      </w:r>
      <w:r w:rsidRPr="00BD6AF7">
        <w:rPr>
          <w:rFonts w:ascii="Book Antiqua" w:eastAsia="Book Antiqua" w:hAnsi="Book Antiqua" w:cs="Book Antiqua"/>
          <w:color w:val="000000"/>
        </w:rPr>
        <w:t>: 221-230</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24665346 DOI: 10.7150/jca.7691]</w:t>
      </w:r>
    </w:p>
    <w:p w14:paraId="5A20426C"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29 </w:t>
      </w:r>
      <w:r w:rsidRPr="00BD6AF7">
        <w:rPr>
          <w:rFonts w:ascii="Book Antiqua" w:eastAsia="Book Antiqua" w:hAnsi="Book Antiqua" w:cs="Book Antiqua"/>
          <w:b/>
          <w:color w:val="000000"/>
        </w:rPr>
        <w:t>Huang GW</w:t>
      </w:r>
      <w:r w:rsidRPr="00BD6AF7">
        <w:rPr>
          <w:rFonts w:ascii="Book Antiqua" w:eastAsia="Book Antiqua" w:hAnsi="Book Antiqua" w:cs="Book Antiqua"/>
          <w:color w:val="000000"/>
        </w:rPr>
        <w:t xml:space="preserve">, Tao YM, Ding X. Endocan expression correlated with poor survival in human hepatocellular carcinoma. </w:t>
      </w:r>
      <w:r w:rsidRPr="00BD6AF7">
        <w:rPr>
          <w:rFonts w:ascii="Book Antiqua" w:eastAsia="Book Antiqua" w:hAnsi="Book Antiqua" w:cs="Book Antiqua"/>
          <w:i/>
          <w:color w:val="000000"/>
        </w:rPr>
        <w:t>Dig Dis Sci</w:t>
      </w:r>
      <w:r w:rsidRPr="00BD6AF7">
        <w:rPr>
          <w:rFonts w:ascii="Book Antiqua" w:eastAsia="Book Antiqua" w:hAnsi="Book Antiqua" w:cs="Book Antiqua"/>
          <w:color w:val="000000"/>
        </w:rPr>
        <w:t xml:space="preserve"> 2009; </w:t>
      </w:r>
      <w:r w:rsidRPr="00BD6AF7">
        <w:rPr>
          <w:rFonts w:ascii="Book Antiqua" w:eastAsia="Book Antiqua" w:hAnsi="Book Antiqua" w:cs="Book Antiqua"/>
          <w:b/>
          <w:color w:val="000000"/>
        </w:rPr>
        <w:t>54</w:t>
      </w:r>
      <w:r w:rsidRPr="00BD6AF7">
        <w:rPr>
          <w:rFonts w:ascii="Book Antiqua" w:eastAsia="Book Antiqua" w:hAnsi="Book Antiqua" w:cs="Book Antiqua"/>
          <w:color w:val="000000"/>
        </w:rPr>
        <w:t>: 389-394</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18592377 DOI: 10.1007/s10620-008-0346-3]</w:t>
      </w:r>
    </w:p>
    <w:p w14:paraId="22A1046D"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30 </w:t>
      </w:r>
      <w:r w:rsidRPr="00BD6AF7">
        <w:rPr>
          <w:rFonts w:ascii="Book Antiqua" w:eastAsia="Book Antiqua" w:hAnsi="Book Antiqua" w:cs="Book Antiqua"/>
          <w:b/>
          <w:color w:val="000000"/>
        </w:rPr>
        <w:t>Chen LY</w:t>
      </w:r>
      <w:r w:rsidRPr="00BD6AF7">
        <w:rPr>
          <w:rFonts w:ascii="Book Antiqua" w:eastAsia="Book Antiqua" w:hAnsi="Book Antiqua" w:cs="Book Antiqua"/>
          <w:color w:val="000000"/>
        </w:rPr>
        <w:t xml:space="preserve">, Liu X, Wang SL, Qin CY. Over-expression of the Endocan gene in endothelial cells from hepatocellular carcinoma is associated with angiogenesis and tumour invasion. </w:t>
      </w:r>
      <w:r w:rsidRPr="00BD6AF7">
        <w:rPr>
          <w:rFonts w:ascii="Book Antiqua" w:eastAsia="Book Antiqua" w:hAnsi="Book Antiqua" w:cs="Book Antiqua"/>
          <w:i/>
          <w:color w:val="000000"/>
        </w:rPr>
        <w:t>J Int Med Res</w:t>
      </w:r>
      <w:r w:rsidRPr="00BD6AF7">
        <w:rPr>
          <w:rFonts w:ascii="Book Antiqua" w:eastAsia="Book Antiqua" w:hAnsi="Book Antiqua" w:cs="Book Antiqua"/>
          <w:color w:val="000000"/>
        </w:rPr>
        <w:t xml:space="preserve"> 2010; </w:t>
      </w:r>
      <w:r w:rsidRPr="00BD6AF7">
        <w:rPr>
          <w:rFonts w:ascii="Book Antiqua" w:eastAsia="Book Antiqua" w:hAnsi="Book Antiqua" w:cs="Book Antiqua"/>
          <w:b/>
          <w:color w:val="000000"/>
        </w:rPr>
        <w:t>38</w:t>
      </w:r>
      <w:r w:rsidRPr="00BD6AF7">
        <w:rPr>
          <w:rFonts w:ascii="Book Antiqua" w:eastAsia="Book Antiqua" w:hAnsi="Book Antiqua" w:cs="Book Antiqua"/>
          <w:color w:val="000000"/>
        </w:rPr>
        <w:t>: 498-510</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20515564 DOI: 10.1177/147323001003800213]</w:t>
      </w:r>
    </w:p>
    <w:p w14:paraId="16337F40"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lastRenderedPageBreak/>
        <w:t xml:space="preserve">31 </w:t>
      </w:r>
      <w:r w:rsidRPr="00BD6AF7">
        <w:rPr>
          <w:rFonts w:ascii="Book Antiqua" w:eastAsia="Book Antiqua" w:hAnsi="Book Antiqua" w:cs="Book Antiqua"/>
          <w:b/>
          <w:color w:val="000000"/>
        </w:rPr>
        <w:t>Yang L</w:t>
      </w:r>
      <w:r w:rsidRPr="00BD6AF7">
        <w:rPr>
          <w:rFonts w:ascii="Book Antiqua" w:eastAsia="Book Antiqua" w:hAnsi="Book Antiqua" w:cs="Book Antiqua"/>
          <w:color w:val="000000"/>
        </w:rPr>
        <w:t xml:space="preserve">, Mu Y, Cui H, Liang Y, Su X. MiR-9-3p augments apoptosis induced by H2O2 through down regulation of Herpud1 in glioma. </w:t>
      </w:r>
      <w:r w:rsidRPr="00BD6AF7">
        <w:rPr>
          <w:rFonts w:ascii="Book Antiqua" w:eastAsia="Book Antiqua" w:hAnsi="Book Antiqua" w:cs="Book Antiqua"/>
          <w:i/>
          <w:color w:val="000000"/>
        </w:rPr>
        <w:t>PLoS One</w:t>
      </w:r>
      <w:r w:rsidRPr="00BD6AF7">
        <w:rPr>
          <w:rFonts w:ascii="Book Antiqua" w:eastAsia="Book Antiqua" w:hAnsi="Book Antiqua" w:cs="Book Antiqua"/>
          <w:color w:val="000000"/>
        </w:rPr>
        <w:t xml:space="preserve"> 2017; </w:t>
      </w:r>
      <w:r w:rsidRPr="00BD6AF7">
        <w:rPr>
          <w:rFonts w:ascii="Book Antiqua" w:eastAsia="Book Antiqua" w:hAnsi="Book Antiqua" w:cs="Book Antiqua"/>
          <w:b/>
          <w:color w:val="000000"/>
        </w:rPr>
        <w:t>12</w:t>
      </w:r>
      <w:r w:rsidRPr="00BD6AF7">
        <w:rPr>
          <w:rFonts w:ascii="Book Antiqua" w:eastAsia="Book Antiqua" w:hAnsi="Book Antiqua" w:cs="Book Antiqua"/>
          <w:color w:val="000000"/>
        </w:rPr>
        <w:t>: e0174839</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28430789 DOI: 10.1371/journal.pone.0174839]</w:t>
      </w:r>
    </w:p>
    <w:p w14:paraId="50A56FD3"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32 </w:t>
      </w:r>
      <w:r w:rsidRPr="00BD6AF7">
        <w:rPr>
          <w:rFonts w:ascii="Book Antiqua" w:eastAsia="Book Antiqua" w:hAnsi="Book Antiqua" w:cs="Book Antiqua"/>
          <w:b/>
          <w:color w:val="000000"/>
        </w:rPr>
        <w:t>Tang J</w:t>
      </w:r>
      <w:r w:rsidRPr="00BD6AF7">
        <w:rPr>
          <w:rFonts w:ascii="Book Antiqua" w:eastAsia="Book Antiqua" w:hAnsi="Book Antiqua" w:cs="Book Antiqua"/>
          <w:color w:val="000000"/>
        </w:rPr>
        <w:t xml:space="preserve">, Li Y, Liu K, Zhu Q, Yang WH, Xiong LK, Guo DL. Exosomal miR-9-3p suppresses HBGF-5 expression and is a functional biomarker in hepatocellular carcinoma. </w:t>
      </w:r>
      <w:r w:rsidRPr="00BD6AF7">
        <w:rPr>
          <w:rFonts w:ascii="Book Antiqua" w:eastAsia="Book Antiqua" w:hAnsi="Book Antiqua" w:cs="Book Antiqua"/>
          <w:i/>
          <w:color w:val="000000"/>
        </w:rPr>
        <w:t>Minerva Med</w:t>
      </w:r>
      <w:r w:rsidRPr="00BD6AF7">
        <w:rPr>
          <w:rFonts w:ascii="Book Antiqua" w:eastAsia="Book Antiqua" w:hAnsi="Book Antiqua" w:cs="Book Antiqua"/>
          <w:color w:val="000000"/>
        </w:rPr>
        <w:t xml:space="preserve"> 2018; </w:t>
      </w:r>
      <w:r w:rsidRPr="00BD6AF7">
        <w:rPr>
          <w:rFonts w:ascii="Book Antiqua" w:eastAsia="Book Antiqua" w:hAnsi="Book Antiqua" w:cs="Book Antiqua"/>
          <w:b/>
          <w:color w:val="000000"/>
        </w:rPr>
        <w:t>109</w:t>
      </w:r>
      <w:r w:rsidRPr="00BD6AF7">
        <w:rPr>
          <w:rFonts w:ascii="Book Antiqua" w:eastAsia="Book Antiqua" w:hAnsi="Book Antiqua" w:cs="Book Antiqua"/>
          <w:color w:val="000000"/>
        </w:rPr>
        <w:t>: 15-23</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28750499 DOI: 10.23736/S0026-4806.17.05167-9]</w:t>
      </w:r>
    </w:p>
    <w:p w14:paraId="75BFC69E"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33 </w:t>
      </w:r>
      <w:r w:rsidRPr="00BD6AF7">
        <w:rPr>
          <w:rFonts w:ascii="Book Antiqua" w:eastAsia="Book Antiqua" w:hAnsi="Book Antiqua" w:cs="Book Antiqua"/>
          <w:b/>
          <w:color w:val="000000"/>
        </w:rPr>
        <w:t>Sun Z</w:t>
      </w:r>
      <w:r w:rsidRPr="00BD6AF7">
        <w:rPr>
          <w:rFonts w:ascii="Book Antiqua" w:eastAsia="Book Antiqua" w:hAnsi="Book Antiqua" w:cs="Book Antiqua"/>
          <w:color w:val="000000"/>
        </w:rPr>
        <w:t xml:space="preserve">, Han Q, Zhou N, Wang S, Lu S, Bai C, Zhao RC. MicroRNA-9 enhances migration and invasion through KLF17 in hepatocellular carcinoma. </w:t>
      </w:r>
      <w:r w:rsidRPr="00BD6AF7">
        <w:rPr>
          <w:rFonts w:ascii="Book Antiqua" w:eastAsia="Book Antiqua" w:hAnsi="Book Antiqua" w:cs="Book Antiqua"/>
          <w:i/>
          <w:color w:val="000000"/>
        </w:rPr>
        <w:t>Mol Oncol</w:t>
      </w:r>
      <w:r w:rsidRPr="00BD6AF7">
        <w:rPr>
          <w:rFonts w:ascii="Book Antiqua" w:eastAsia="Book Antiqua" w:hAnsi="Book Antiqua" w:cs="Book Antiqua"/>
          <w:color w:val="000000"/>
        </w:rPr>
        <w:t xml:space="preserve"> 2013; </w:t>
      </w:r>
      <w:r w:rsidRPr="00BD6AF7">
        <w:rPr>
          <w:rFonts w:ascii="Book Antiqua" w:eastAsia="Book Antiqua" w:hAnsi="Book Antiqua" w:cs="Book Antiqua"/>
          <w:b/>
          <w:color w:val="000000"/>
        </w:rPr>
        <w:t>7</w:t>
      </w:r>
      <w:r w:rsidRPr="00BD6AF7">
        <w:rPr>
          <w:rFonts w:ascii="Book Antiqua" w:eastAsia="Book Antiqua" w:hAnsi="Book Antiqua" w:cs="Book Antiqua"/>
          <w:color w:val="000000"/>
        </w:rPr>
        <w:t>: 884-894</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23684102 DOI: 10.1016/j.molonc.2013.04.007]</w:t>
      </w:r>
    </w:p>
    <w:p w14:paraId="59339ADA"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 xml:space="preserve">34 </w:t>
      </w:r>
      <w:r w:rsidRPr="00BD6AF7">
        <w:rPr>
          <w:rFonts w:ascii="Book Antiqua" w:eastAsia="Book Antiqua" w:hAnsi="Book Antiqua" w:cs="Book Antiqua"/>
          <w:b/>
          <w:color w:val="000000"/>
        </w:rPr>
        <w:t>Schraivogel D</w:t>
      </w:r>
      <w:r w:rsidRPr="00BD6AF7">
        <w:rPr>
          <w:rFonts w:ascii="Book Antiqua" w:eastAsia="Book Antiqua" w:hAnsi="Book Antiqua" w:cs="Book Antiqua"/>
          <w:color w:val="000000"/>
        </w:rPr>
        <w:t xml:space="preserve">, Weinmann L, Beier D, Tabatabai G, Eichner A, Zhu JY, Anton M, Sixt M, Weller M, Beier CP, Meister G. CAMTA1 is a novel tumour suppressor regulated by miR-9/9* in glioblastoma stem cells. </w:t>
      </w:r>
      <w:r w:rsidRPr="00BD6AF7">
        <w:rPr>
          <w:rFonts w:ascii="Book Antiqua" w:eastAsia="Book Antiqua" w:hAnsi="Book Antiqua" w:cs="Book Antiqua"/>
          <w:i/>
          <w:color w:val="000000"/>
        </w:rPr>
        <w:t>EMBO J</w:t>
      </w:r>
      <w:r w:rsidRPr="00BD6AF7">
        <w:rPr>
          <w:rFonts w:ascii="Book Antiqua" w:eastAsia="Book Antiqua" w:hAnsi="Book Antiqua" w:cs="Book Antiqua"/>
          <w:color w:val="000000"/>
        </w:rPr>
        <w:t xml:space="preserve"> 2011; </w:t>
      </w:r>
      <w:r w:rsidRPr="00BD6AF7">
        <w:rPr>
          <w:rFonts w:ascii="Book Antiqua" w:eastAsia="Book Antiqua" w:hAnsi="Book Antiqua" w:cs="Book Antiqua"/>
          <w:b/>
          <w:color w:val="000000"/>
        </w:rPr>
        <w:t>30</w:t>
      </w:r>
      <w:r w:rsidRPr="00BD6AF7">
        <w:rPr>
          <w:rFonts w:ascii="Book Antiqua" w:eastAsia="Book Antiqua" w:hAnsi="Book Antiqua" w:cs="Book Antiqua"/>
          <w:color w:val="000000"/>
        </w:rPr>
        <w:t>: 4309-4322</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21857646 DOI: 10.1038/emboj.2011.301]</w:t>
      </w:r>
    </w:p>
    <w:p w14:paraId="2BC875FD" w14:textId="77777777" w:rsidR="004E296F" w:rsidRPr="00BD6AF7" w:rsidRDefault="00703776" w:rsidP="00BD6AF7">
      <w:pPr>
        <w:spacing w:line="360" w:lineRule="auto"/>
        <w:jc w:val="both"/>
        <w:rPr>
          <w:rFonts w:ascii="Book Antiqua" w:eastAsia="Book Antiqua" w:hAnsi="Book Antiqua" w:cs="Book Antiqua"/>
        </w:rPr>
        <w:sectPr w:rsidR="004E296F" w:rsidRPr="00BD6AF7">
          <w:pgSz w:w="12240" w:h="15840"/>
          <w:pgMar w:top="1440" w:right="1440" w:bottom="1440" w:left="1440" w:header="720" w:footer="720" w:gutter="0"/>
          <w:cols w:space="720"/>
        </w:sectPr>
      </w:pPr>
      <w:r w:rsidRPr="00BD6AF7">
        <w:rPr>
          <w:rFonts w:ascii="Book Antiqua" w:eastAsia="Book Antiqua" w:hAnsi="Book Antiqua" w:cs="Book Antiqua"/>
          <w:color w:val="000000"/>
        </w:rPr>
        <w:t xml:space="preserve">35 </w:t>
      </w:r>
      <w:r w:rsidRPr="00BD6AF7">
        <w:rPr>
          <w:rFonts w:ascii="Book Antiqua" w:eastAsia="Book Antiqua" w:hAnsi="Book Antiqua" w:cs="Book Antiqua"/>
          <w:b/>
          <w:color w:val="000000"/>
        </w:rPr>
        <w:t>Zhang J</w:t>
      </w:r>
      <w:r w:rsidRPr="00BD6AF7">
        <w:rPr>
          <w:rFonts w:ascii="Book Antiqua" w:eastAsia="Book Antiqua" w:hAnsi="Book Antiqua" w:cs="Book Antiqua"/>
          <w:color w:val="000000"/>
        </w:rPr>
        <w:t xml:space="preserve">, Jia J, Zhao L, Li X, Xie Q, Chen X, Wang J, Lu F. Down-regulation of microRNA-9 Leads to activation of IL-6/Jak/STAT3 pathway through directly targeting IL-6 in HeLa cell. </w:t>
      </w:r>
      <w:r w:rsidRPr="00BD6AF7">
        <w:rPr>
          <w:rFonts w:ascii="Book Antiqua" w:eastAsia="Book Antiqua" w:hAnsi="Book Antiqua" w:cs="Book Antiqua"/>
          <w:i/>
          <w:color w:val="000000"/>
        </w:rPr>
        <w:t>Mol Carcinog</w:t>
      </w:r>
      <w:r w:rsidRPr="00BD6AF7">
        <w:rPr>
          <w:rFonts w:ascii="Book Antiqua" w:eastAsia="Book Antiqua" w:hAnsi="Book Antiqua" w:cs="Book Antiqua"/>
          <w:color w:val="000000"/>
        </w:rPr>
        <w:t xml:space="preserve"> 2016; </w:t>
      </w:r>
      <w:r w:rsidRPr="00BD6AF7">
        <w:rPr>
          <w:rFonts w:ascii="Book Antiqua" w:eastAsia="Book Antiqua" w:hAnsi="Book Antiqua" w:cs="Book Antiqua"/>
          <w:b/>
          <w:color w:val="000000"/>
        </w:rPr>
        <w:t>55</w:t>
      </w:r>
      <w:r w:rsidRPr="00BD6AF7">
        <w:rPr>
          <w:rFonts w:ascii="Book Antiqua" w:eastAsia="Book Antiqua" w:hAnsi="Book Antiqua" w:cs="Book Antiqua"/>
          <w:color w:val="000000"/>
        </w:rPr>
        <w:t>: 732-742</w:t>
      </w:r>
      <w:r w:rsidRPr="00BD6AF7">
        <w:rPr>
          <w:rFonts w:ascii="Book Antiqua" w:eastAsia="Book Antiqua" w:hAnsi="Book Antiqua" w:cs="Book Antiqua"/>
          <w:color w:val="000000"/>
          <w:vertAlign w:val="superscript"/>
        </w:rPr>
        <w:t>[</w:t>
      </w:r>
      <w:r w:rsidRPr="00BD6AF7">
        <w:rPr>
          <w:rFonts w:ascii="Book Antiqua" w:eastAsia="Book Antiqua" w:hAnsi="Book Antiqua" w:cs="Book Antiqua"/>
          <w:color w:val="000000"/>
        </w:rPr>
        <w:t>PMID: 25809226 DOI: 10.1002/mc.22317]</w:t>
      </w:r>
    </w:p>
    <w:p w14:paraId="446327C1"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lastRenderedPageBreak/>
        <w:t>Footnotes</w:t>
      </w:r>
    </w:p>
    <w:p w14:paraId="2AF8DD79"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t xml:space="preserve">Institutional review board statement: </w:t>
      </w:r>
      <w:r w:rsidRPr="00BD6AF7">
        <w:rPr>
          <w:rFonts w:ascii="Book Antiqua" w:eastAsia="Book Antiqua" w:hAnsi="Book Antiqua" w:cs="Book Antiqua"/>
          <w:color w:val="000000"/>
        </w:rPr>
        <w:t>The study was approved by the Menoufia University Faculty of Medicine Research Ethics Committee</w:t>
      </w:r>
      <w:r w:rsidRPr="00BD6AF7">
        <w:rPr>
          <w:rFonts w:ascii="Book Antiqua" w:eastAsia="Book Antiqua" w:hAnsi="Book Antiqua" w:cs="Book Antiqua"/>
          <w:b/>
          <w:color w:val="000000"/>
        </w:rPr>
        <w:t>.</w:t>
      </w:r>
    </w:p>
    <w:p w14:paraId="285533F0" w14:textId="77777777" w:rsidR="004E296F" w:rsidRPr="00BD6AF7" w:rsidRDefault="004E296F" w:rsidP="00BD6AF7">
      <w:pPr>
        <w:spacing w:line="360" w:lineRule="auto"/>
        <w:jc w:val="both"/>
        <w:rPr>
          <w:rFonts w:ascii="Book Antiqua" w:eastAsia="Book Antiqua" w:hAnsi="Book Antiqua" w:cs="Book Antiqua"/>
        </w:rPr>
      </w:pPr>
    </w:p>
    <w:p w14:paraId="67B654E1"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t xml:space="preserve">Informed consent statement: </w:t>
      </w:r>
      <w:r w:rsidRPr="00BD6AF7">
        <w:rPr>
          <w:rFonts w:ascii="Book Antiqua" w:eastAsia="Book Antiqua" w:hAnsi="Book Antiqua" w:cs="Book Antiqua"/>
          <w:color w:val="000000"/>
        </w:rPr>
        <w:t>Written informed consent was obtained from the patient or his/her guardians prior to the study.</w:t>
      </w:r>
    </w:p>
    <w:p w14:paraId="58E31BA5" w14:textId="77777777" w:rsidR="004E296F" w:rsidRPr="00BD6AF7" w:rsidRDefault="004E296F" w:rsidP="00BD6AF7">
      <w:pPr>
        <w:spacing w:line="360" w:lineRule="auto"/>
        <w:jc w:val="both"/>
        <w:rPr>
          <w:rFonts w:ascii="Book Antiqua" w:eastAsia="Book Antiqua" w:hAnsi="Book Antiqua" w:cs="Book Antiqua"/>
        </w:rPr>
      </w:pPr>
    </w:p>
    <w:p w14:paraId="1BA875F7"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t xml:space="preserve">Conflict-of-interest statement: </w:t>
      </w:r>
      <w:r w:rsidRPr="00BD6AF7">
        <w:rPr>
          <w:rFonts w:ascii="Book Antiqua" w:eastAsia="Book Antiqua" w:hAnsi="Book Antiqua" w:cs="Book Antiqua"/>
          <w:color w:val="000000"/>
        </w:rPr>
        <w:t xml:space="preserve">No benefits in any form have been received or will be received from a commercial party related directly or indirectly to the subject of this article. </w:t>
      </w:r>
    </w:p>
    <w:p w14:paraId="28C24339" w14:textId="77777777" w:rsidR="004E296F" w:rsidRPr="00BD6AF7" w:rsidRDefault="004E296F" w:rsidP="00BD6AF7">
      <w:pPr>
        <w:spacing w:line="360" w:lineRule="auto"/>
        <w:jc w:val="both"/>
        <w:rPr>
          <w:rFonts w:ascii="Book Antiqua" w:eastAsia="Book Antiqua" w:hAnsi="Book Antiqua" w:cs="Book Antiqua"/>
        </w:rPr>
      </w:pPr>
    </w:p>
    <w:p w14:paraId="3F99A7EA"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t xml:space="preserve">Data sharing statement: </w:t>
      </w:r>
      <w:r w:rsidRPr="00BD6AF7">
        <w:rPr>
          <w:rFonts w:ascii="Book Antiqua" w:eastAsia="Book Antiqua" w:hAnsi="Book Antiqua" w:cs="Book Antiqua"/>
          <w:color w:val="000000"/>
        </w:rPr>
        <w:t>No additional data are available.</w:t>
      </w:r>
    </w:p>
    <w:p w14:paraId="04CB9D6B" w14:textId="77777777" w:rsidR="004E296F" w:rsidRPr="00BD6AF7" w:rsidRDefault="004E296F" w:rsidP="00BD6AF7">
      <w:pPr>
        <w:spacing w:line="360" w:lineRule="auto"/>
        <w:jc w:val="both"/>
        <w:rPr>
          <w:rFonts w:ascii="Book Antiqua" w:eastAsia="Book Antiqua" w:hAnsi="Book Antiqua" w:cs="Book Antiqua"/>
        </w:rPr>
      </w:pPr>
    </w:p>
    <w:p w14:paraId="1262CA72"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t xml:space="preserve">STROBE statement: </w:t>
      </w:r>
      <w:r w:rsidRPr="00BD6AF7">
        <w:rPr>
          <w:rFonts w:ascii="Book Antiqua" w:eastAsia="Book Antiqua" w:hAnsi="Book Antiqua" w:cs="Book Antiqua"/>
          <w:color w:val="000000"/>
        </w:rPr>
        <w:t>The authors have read the STROBE Statement checklist of items, and the manuscript was prepared and revised according to the STROBE Statement-checklist of items.</w:t>
      </w:r>
    </w:p>
    <w:p w14:paraId="72FD3035" w14:textId="77777777" w:rsidR="004E296F" w:rsidRPr="00BD6AF7" w:rsidRDefault="004E296F" w:rsidP="00BD6AF7">
      <w:pPr>
        <w:spacing w:line="360" w:lineRule="auto"/>
        <w:jc w:val="both"/>
        <w:rPr>
          <w:rFonts w:ascii="Book Antiqua" w:eastAsia="Book Antiqua" w:hAnsi="Book Antiqua" w:cs="Book Antiqua"/>
        </w:rPr>
      </w:pPr>
    </w:p>
    <w:p w14:paraId="762F5551"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t xml:space="preserve">Open-Access: </w:t>
      </w:r>
      <w:r w:rsidRPr="00BD6AF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0E8EC34" w14:textId="77777777" w:rsidR="004E296F" w:rsidRPr="00BD6AF7" w:rsidRDefault="004E296F" w:rsidP="00BD6AF7">
      <w:pPr>
        <w:spacing w:line="360" w:lineRule="auto"/>
        <w:jc w:val="both"/>
        <w:rPr>
          <w:rFonts w:ascii="Book Antiqua" w:eastAsia="Book Antiqua" w:hAnsi="Book Antiqua" w:cs="Book Antiqua"/>
        </w:rPr>
      </w:pPr>
    </w:p>
    <w:p w14:paraId="52BA5065"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b/>
          <w:color w:val="000000"/>
        </w:rPr>
        <w:t xml:space="preserve">Manuscript source: </w:t>
      </w:r>
      <w:r w:rsidRPr="00BD6AF7">
        <w:rPr>
          <w:rFonts w:ascii="Book Antiqua" w:eastAsia="Book Antiqua" w:hAnsi="Book Antiqua" w:cs="Book Antiqua"/>
          <w:color w:val="000000"/>
        </w:rPr>
        <w:t>Invited manuscript</w:t>
      </w:r>
    </w:p>
    <w:p w14:paraId="50AB13CC" w14:textId="77777777" w:rsidR="004E296F" w:rsidRPr="00BD6AF7" w:rsidRDefault="004E296F" w:rsidP="00BD6AF7">
      <w:pPr>
        <w:spacing w:line="360" w:lineRule="auto"/>
        <w:jc w:val="both"/>
        <w:rPr>
          <w:rFonts w:ascii="Book Antiqua" w:eastAsia="Book Antiqua" w:hAnsi="Book Antiqua" w:cs="Book Antiqua"/>
        </w:rPr>
      </w:pPr>
    </w:p>
    <w:p w14:paraId="4E236288" w14:textId="4F4AF631"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t>Corresponding Author</w:t>
      </w:r>
      <w:r w:rsidR="00526EEF">
        <w:rPr>
          <w:rFonts w:ascii="Book Antiqua" w:eastAsia="Book Antiqua" w:hAnsi="Book Antiqua" w:cs="Book Antiqua"/>
          <w:b/>
          <w:color w:val="000000"/>
        </w:rPr>
        <w:t>’</w:t>
      </w:r>
      <w:r w:rsidRPr="00BD6AF7">
        <w:rPr>
          <w:rFonts w:ascii="Book Antiqua" w:eastAsia="Book Antiqua" w:hAnsi="Book Antiqua" w:cs="Book Antiqua"/>
          <w:b/>
          <w:color w:val="000000"/>
        </w:rPr>
        <w:t xml:space="preserve">s Membership in Professional Societies: </w:t>
      </w:r>
      <w:r w:rsidRPr="00BD6AF7">
        <w:rPr>
          <w:rFonts w:ascii="Book Antiqua" w:eastAsia="Book Antiqua" w:hAnsi="Book Antiqua" w:cs="Book Antiqua"/>
          <w:color w:val="000000"/>
        </w:rPr>
        <w:t>Egyptian Association for Research and Training in Hepatogastroenterology, 001 Founder and President.</w:t>
      </w:r>
    </w:p>
    <w:p w14:paraId="3E87EB0D" w14:textId="77777777" w:rsidR="004E296F" w:rsidRPr="00BD6AF7" w:rsidRDefault="004E296F" w:rsidP="00BD6AF7">
      <w:pPr>
        <w:spacing w:line="360" w:lineRule="auto"/>
        <w:jc w:val="both"/>
        <w:rPr>
          <w:rFonts w:ascii="Book Antiqua" w:eastAsia="Book Antiqua" w:hAnsi="Book Antiqua" w:cs="Book Antiqua"/>
        </w:rPr>
      </w:pPr>
    </w:p>
    <w:p w14:paraId="7F511DEC"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t xml:space="preserve">Peer-review started: </w:t>
      </w:r>
      <w:r w:rsidRPr="00BD6AF7">
        <w:rPr>
          <w:rFonts w:ascii="Book Antiqua" w:eastAsia="Book Antiqua" w:hAnsi="Book Antiqua" w:cs="Book Antiqua"/>
          <w:color w:val="000000"/>
        </w:rPr>
        <w:t>April 16, 2021</w:t>
      </w:r>
    </w:p>
    <w:p w14:paraId="65F5DC85"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lastRenderedPageBreak/>
        <w:t xml:space="preserve">First decision: </w:t>
      </w:r>
      <w:r w:rsidRPr="00BD6AF7">
        <w:rPr>
          <w:rFonts w:ascii="Book Antiqua" w:eastAsia="Book Antiqua" w:hAnsi="Book Antiqua" w:cs="Book Antiqua"/>
          <w:color w:val="000000"/>
        </w:rPr>
        <w:t>June 23, 2021</w:t>
      </w:r>
    </w:p>
    <w:p w14:paraId="2419C8D6"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t xml:space="preserve">Article in press: </w:t>
      </w:r>
    </w:p>
    <w:p w14:paraId="0C3A9083" w14:textId="77777777" w:rsidR="004E296F" w:rsidRPr="00BD6AF7" w:rsidRDefault="004E296F" w:rsidP="00BD6AF7">
      <w:pPr>
        <w:spacing w:line="360" w:lineRule="auto"/>
        <w:jc w:val="both"/>
        <w:rPr>
          <w:rFonts w:ascii="Book Antiqua" w:eastAsia="Book Antiqua" w:hAnsi="Book Antiqua" w:cs="Book Antiqua"/>
        </w:rPr>
      </w:pPr>
    </w:p>
    <w:p w14:paraId="3DC6B21B"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t xml:space="preserve">Specialty type: </w:t>
      </w:r>
      <w:r w:rsidRPr="00BD6AF7">
        <w:rPr>
          <w:rFonts w:ascii="Book Antiqua" w:eastAsia="Book Antiqua" w:hAnsi="Book Antiqua" w:cs="Book Antiqua"/>
          <w:color w:val="000000"/>
        </w:rPr>
        <w:t>Gastroenterology and hepatology</w:t>
      </w:r>
    </w:p>
    <w:p w14:paraId="0AAB7859"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t xml:space="preserve">Country/Territory of origin: </w:t>
      </w:r>
      <w:r w:rsidRPr="00BD6AF7">
        <w:rPr>
          <w:rFonts w:ascii="Book Antiqua" w:eastAsia="Book Antiqua" w:hAnsi="Book Antiqua" w:cs="Book Antiqua"/>
          <w:color w:val="000000"/>
        </w:rPr>
        <w:t>Egypt</w:t>
      </w:r>
    </w:p>
    <w:p w14:paraId="6F34AD32"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b/>
          <w:color w:val="000000"/>
        </w:rPr>
        <w:t>Peer-review report’s scientific quality classification</w:t>
      </w:r>
    </w:p>
    <w:p w14:paraId="52E54036"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Grade A (Excellent): 0</w:t>
      </w:r>
    </w:p>
    <w:p w14:paraId="3FDD4AEF"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Grade B (Very good): 0</w:t>
      </w:r>
    </w:p>
    <w:p w14:paraId="27907B35"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Grade C (Good): C, C</w:t>
      </w:r>
    </w:p>
    <w:p w14:paraId="6CD3658F"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Grade D (Fair): 0</w:t>
      </w:r>
    </w:p>
    <w:p w14:paraId="04EC1FD4"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color w:val="000000"/>
        </w:rPr>
        <w:t>Grade E (Poor): 0</w:t>
      </w:r>
    </w:p>
    <w:p w14:paraId="718DCBAC" w14:textId="77777777" w:rsidR="004E296F" w:rsidRPr="00BD6AF7" w:rsidRDefault="004E296F" w:rsidP="00BD6AF7">
      <w:pPr>
        <w:spacing w:line="360" w:lineRule="auto"/>
        <w:jc w:val="both"/>
        <w:rPr>
          <w:rFonts w:ascii="Book Antiqua" w:eastAsia="Book Antiqua" w:hAnsi="Book Antiqua" w:cs="Book Antiqua"/>
        </w:rPr>
      </w:pPr>
    </w:p>
    <w:p w14:paraId="67CB8682" w14:textId="132384CC" w:rsidR="004E296F" w:rsidRPr="00BD6AF7" w:rsidRDefault="00703776" w:rsidP="00BD6AF7">
      <w:pPr>
        <w:spacing w:line="360" w:lineRule="auto"/>
        <w:jc w:val="both"/>
        <w:rPr>
          <w:rFonts w:ascii="Book Antiqua" w:eastAsia="Book Antiqua" w:hAnsi="Book Antiqua" w:cs="Book Antiqua"/>
          <w:b/>
          <w:color w:val="000000"/>
        </w:rPr>
      </w:pPr>
      <w:r w:rsidRPr="00BD6AF7">
        <w:rPr>
          <w:rFonts w:ascii="Book Antiqua" w:eastAsia="Book Antiqua" w:hAnsi="Book Antiqua" w:cs="Book Antiqua"/>
          <w:b/>
          <w:color w:val="000000"/>
        </w:rPr>
        <w:t xml:space="preserve">P-Reviewer: </w:t>
      </w:r>
      <w:r w:rsidRPr="00BD6AF7">
        <w:rPr>
          <w:rFonts w:ascii="Book Antiqua" w:eastAsia="Book Antiqua" w:hAnsi="Book Antiqua" w:cs="Book Antiqua"/>
          <w:color w:val="000000"/>
        </w:rPr>
        <w:t>Goenka MK, Moldogazieva NT</w:t>
      </w:r>
      <w:r w:rsidRPr="00BD6AF7">
        <w:rPr>
          <w:rFonts w:ascii="Book Antiqua" w:eastAsia="Book Antiqua" w:hAnsi="Book Antiqua" w:cs="Book Antiqua"/>
          <w:b/>
          <w:color w:val="000000"/>
        </w:rPr>
        <w:t xml:space="preserve"> S-Editor: </w:t>
      </w:r>
      <w:r w:rsidRPr="00BD6AF7">
        <w:rPr>
          <w:rFonts w:ascii="Book Antiqua" w:eastAsia="Book Antiqua" w:hAnsi="Book Antiqua" w:cs="Book Antiqua"/>
          <w:color w:val="000000"/>
        </w:rPr>
        <w:t>Wang LL</w:t>
      </w:r>
      <w:r w:rsidRPr="00BD6AF7">
        <w:rPr>
          <w:rFonts w:ascii="Book Antiqua" w:eastAsia="Book Antiqua" w:hAnsi="Book Antiqua" w:cs="Book Antiqua"/>
          <w:b/>
          <w:color w:val="000000"/>
        </w:rPr>
        <w:t xml:space="preserve"> L-Editor: </w:t>
      </w:r>
      <w:r w:rsidRPr="00BD6AF7">
        <w:rPr>
          <w:rFonts w:ascii="Book Antiqua" w:eastAsia="Book Antiqua" w:hAnsi="Book Antiqua" w:cs="Book Antiqua"/>
          <w:color w:val="000000"/>
        </w:rPr>
        <w:t xml:space="preserve">Filipodia </w:t>
      </w:r>
      <w:r w:rsidRPr="00BD6AF7">
        <w:rPr>
          <w:rFonts w:ascii="Book Antiqua" w:eastAsia="Book Antiqua" w:hAnsi="Book Antiqua" w:cs="Book Antiqua"/>
          <w:b/>
          <w:color w:val="000000"/>
        </w:rPr>
        <w:t xml:space="preserve">P-Editor: </w:t>
      </w:r>
    </w:p>
    <w:p w14:paraId="05F42157" w14:textId="77777777" w:rsidR="004E296F" w:rsidRPr="00BD6AF7" w:rsidRDefault="00703776" w:rsidP="00BD6AF7">
      <w:pPr>
        <w:spacing w:line="360" w:lineRule="auto"/>
        <w:jc w:val="both"/>
        <w:rPr>
          <w:rFonts w:ascii="Book Antiqua" w:eastAsia="Book Antiqua" w:hAnsi="Book Antiqua" w:cs="Book Antiqua"/>
          <w:b/>
          <w:color w:val="000000"/>
        </w:rPr>
      </w:pPr>
      <w:r w:rsidRPr="00BD6AF7">
        <w:rPr>
          <w:rFonts w:ascii="Book Antiqua" w:hAnsi="Book Antiqua"/>
        </w:rPr>
        <w:br w:type="page"/>
      </w:r>
      <w:r w:rsidRPr="00BD6AF7">
        <w:rPr>
          <w:rFonts w:ascii="Book Antiqua" w:eastAsia="Book Antiqua" w:hAnsi="Book Antiqua" w:cs="Book Antiqua"/>
          <w:b/>
          <w:color w:val="000000"/>
        </w:rPr>
        <w:lastRenderedPageBreak/>
        <w:t>Figure Legends</w:t>
      </w:r>
    </w:p>
    <w:p w14:paraId="01AFC09B"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noProof/>
        </w:rPr>
        <w:drawing>
          <wp:inline distT="0" distB="0" distL="0" distR="0" wp14:anchorId="2CA3D886" wp14:editId="24B6469A">
            <wp:extent cx="5145405" cy="3206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145405" cy="3206750"/>
                    </a:xfrm>
                    <a:prstGeom prst="rect">
                      <a:avLst/>
                    </a:prstGeom>
                    <a:ln/>
                  </pic:spPr>
                </pic:pic>
              </a:graphicData>
            </a:graphic>
          </wp:inline>
        </w:drawing>
      </w:r>
    </w:p>
    <w:p w14:paraId="4E7C9E0D" w14:textId="77777777" w:rsidR="004E296F" w:rsidRPr="00BD6AF7" w:rsidRDefault="00703776" w:rsidP="00BD6AF7">
      <w:pPr>
        <w:spacing w:line="360" w:lineRule="auto"/>
        <w:jc w:val="both"/>
        <w:rPr>
          <w:rFonts w:ascii="Book Antiqua" w:eastAsia="Book Antiqua" w:hAnsi="Book Antiqua" w:cs="Book Antiqua"/>
          <w:b/>
        </w:rPr>
      </w:pPr>
      <w:r w:rsidRPr="00BD6AF7">
        <w:rPr>
          <w:rFonts w:ascii="Book Antiqua" w:eastAsia="Book Antiqua" w:hAnsi="Book Antiqua" w:cs="Book Antiqua"/>
          <w:b/>
        </w:rPr>
        <w:t>Figure 1 Correlation between microRNA 9-3p and endocan levels in the hepatocellular carcinoma group.</w:t>
      </w:r>
    </w:p>
    <w:p w14:paraId="1DC824DB"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hAnsi="Book Antiqua"/>
        </w:rPr>
        <w:br w:type="page"/>
      </w:r>
      <w:r w:rsidRPr="00BD6AF7">
        <w:rPr>
          <w:rFonts w:ascii="Book Antiqua" w:eastAsia="Book Antiqua" w:hAnsi="Book Antiqua" w:cs="Book Antiqua"/>
          <w:noProof/>
        </w:rPr>
        <w:lastRenderedPageBreak/>
        <w:drawing>
          <wp:inline distT="0" distB="0" distL="0" distR="0" wp14:anchorId="7FBF4514" wp14:editId="67CA06E0">
            <wp:extent cx="5114925" cy="375539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114925" cy="3755390"/>
                    </a:xfrm>
                    <a:prstGeom prst="rect">
                      <a:avLst/>
                    </a:prstGeom>
                    <a:ln/>
                  </pic:spPr>
                </pic:pic>
              </a:graphicData>
            </a:graphic>
          </wp:inline>
        </w:drawing>
      </w:r>
    </w:p>
    <w:p w14:paraId="223A9EA8" w14:textId="23C8C623" w:rsidR="004E296F" w:rsidRPr="00BD6AF7" w:rsidRDefault="00703776" w:rsidP="00BD6AF7">
      <w:pPr>
        <w:spacing w:line="360" w:lineRule="auto"/>
        <w:jc w:val="both"/>
        <w:rPr>
          <w:rFonts w:ascii="Book Antiqua" w:eastAsia="Book Antiqua" w:hAnsi="Book Antiqua" w:cs="Book Antiqua"/>
          <w:b/>
        </w:rPr>
      </w:pPr>
      <w:r w:rsidRPr="00BD6AF7">
        <w:rPr>
          <w:rFonts w:ascii="Book Antiqua" w:eastAsia="Book Antiqua" w:hAnsi="Book Antiqua" w:cs="Book Antiqua"/>
          <w:b/>
        </w:rPr>
        <w:t>Figure 2 Receiver operating characteristic curve analysis of microRNA 9-3p, endocan and α-fetoprotein for discriminating between hepatocellular carcinoma and chronic liver disease.</w:t>
      </w:r>
    </w:p>
    <w:p w14:paraId="3DE5563E"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hAnsi="Book Antiqua"/>
        </w:rPr>
        <w:br w:type="page"/>
      </w:r>
      <w:r w:rsidRPr="00BD6AF7">
        <w:rPr>
          <w:rFonts w:ascii="Book Antiqua" w:eastAsia="Book Antiqua" w:hAnsi="Book Antiqua" w:cs="Book Antiqua"/>
          <w:noProof/>
        </w:rPr>
        <w:lastRenderedPageBreak/>
        <w:drawing>
          <wp:inline distT="0" distB="0" distL="0" distR="0" wp14:anchorId="4C76ADE5" wp14:editId="7FFA00F4">
            <wp:extent cx="5285740" cy="368871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285740" cy="3688715"/>
                    </a:xfrm>
                    <a:prstGeom prst="rect">
                      <a:avLst/>
                    </a:prstGeom>
                    <a:ln/>
                  </pic:spPr>
                </pic:pic>
              </a:graphicData>
            </a:graphic>
          </wp:inline>
        </w:drawing>
      </w:r>
    </w:p>
    <w:p w14:paraId="222A5FBE" w14:textId="2A6D05E9" w:rsidR="004E296F" w:rsidRPr="00BD6AF7" w:rsidRDefault="00703776" w:rsidP="00BD6AF7">
      <w:pPr>
        <w:spacing w:line="360" w:lineRule="auto"/>
        <w:jc w:val="both"/>
        <w:rPr>
          <w:rFonts w:ascii="Book Antiqua" w:eastAsia="Book Antiqua" w:hAnsi="Book Antiqua" w:cs="Book Antiqua"/>
          <w:b/>
        </w:rPr>
      </w:pPr>
      <w:r w:rsidRPr="00BD6AF7">
        <w:rPr>
          <w:rFonts w:ascii="Book Antiqua" w:eastAsia="Book Antiqua" w:hAnsi="Book Antiqua" w:cs="Book Antiqua"/>
          <w:b/>
        </w:rPr>
        <w:t>Figure 3 Receiver operating characteristic curve analysis of microRNA 9-3p, endocan and α-fetoprotein for discriminating between hepatocellular carcinoma and control.</w:t>
      </w:r>
    </w:p>
    <w:p w14:paraId="4EA7BFFC" w14:textId="77777777" w:rsidR="004E296F" w:rsidRPr="00BD6AF7" w:rsidRDefault="00703776" w:rsidP="00BD6AF7">
      <w:pPr>
        <w:spacing w:line="360" w:lineRule="auto"/>
        <w:jc w:val="both"/>
        <w:rPr>
          <w:rFonts w:ascii="Book Antiqua" w:eastAsia="Book Antiqua" w:hAnsi="Book Antiqua" w:cs="Book Antiqua"/>
          <w:b/>
        </w:rPr>
      </w:pPr>
      <w:r w:rsidRPr="00BD6AF7">
        <w:rPr>
          <w:rFonts w:ascii="Book Antiqua" w:hAnsi="Book Antiqua"/>
        </w:rPr>
        <w:br w:type="page"/>
      </w:r>
      <w:r w:rsidRPr="00BD6AF7">
        <w:rPr>
          <w:rFonts w:ascii="Book Antiqua" w:eastAsia="Book Antiqua" w:hAnsi="Book Antiqua" w:cs="Book Antiqua"/>
          <w:b/>
        </w:rPr>
        <w:lastRenderedPageBreak/>
        <w:t>Table 1 Demographic and laboratory data of the study participants</w:t>
      </w:r>
    </w:p>
    <w:tbl>
      <w:tblPr>
        <w:tblStyle w:val="a"/>
        <w:tblW w:w="7569" w:type="dxa"/>
        <w:tblInd w:w="93" w:type="dxa"/>
        <w:tblLayout w:type="fixed"/>
        <w:tblLook w:val="0400" w:firstRow="0" w:lastRow="0" w:firstColumn="0" w:lastColumn="0" w:noHBand="0" w:noVBand="1"/>
      </w:tblPr>
      <w:tblGrid>
        <w:gridCol w:w="1841"/>
        <w:gridCol w:w="713"/>
        <w:gridCol w:w="998"/>
        <w:gridCol w:w="1068"/>
        <w:gridCol w:w="1031"/>
        <w:gridCol w:w="1167"/>
        <w:gridCol w:w="751"/>
      </w:tblGrid>
      <w:tr w:rsidR="004E296F" w:rsidRPr="00BD6AF7" w14:paraId="4E52ADFD" w14:textId="77777777">
        <w:trPr>
          <w:trHeight w:val="714"/>
        </w:trPr>
        <w:tc>
          <w:tcPr>
            <w:tcW w:w="2554" w:type="dxa"/>
            <w:gridSpan w:val="2"/>
            <w:vMerge w:val="restart"/>
            <w:tcBorders>
              <w:top w:val="single" w:sz="4" w:space="0" w:color="000000"/>
              <w:bottom w:val="single" w:sz="4" w:space="0" w:color="000000"/>
            </w:tcBorders>
            <w:shd w:val="clear" w:color="auto" w:fill="auto"/>
          </w:tcPr>
          <w:p w14:paraId="147CF6B9" w14:textId="77777777" w:rsidR="004E296F" w:rsidRPr="00BD6AF7" w:rsidRDefault="00703776" w:rsidP="00BD6AF7">
            <w:pPr>
              <w:spacing w:line="360" w:lineRule="auto"/>
              <w:jc w:val="both"/>
              <w:rPr>
                <w:rFonts w:ascii="Book Antiqua" w:eastAsia="Book Antiqua" w:hAnsi="Book Antiqua" w:cs="Book Antiqua"/>
                <w:b/>
                <w:color w:val="000000"/>
              </w:rPr>
            </w:pPr>
            <w:r w:rsidRPr="00BD6AF7">
              <w:rPr>
                <w:rFonts w:ascii="Book Antiqua" w:eastAsia="Book Antiqua" w:hAnsi="Book Antiqua" w:cs="Book Antiqua"/>
                <w:b/>
                <w:color w:val="000000"/>
              </w:rPr>
              <w:t>Variables</w:t>
            </w:r>
          </w:p>
        </w:tc>
        <w:tc>
          <w:tcPr>
            <w:tcW w:w="998" w:type="dxa"/>
            <w:tcBorders>
              <w:top w:val="single" w:sz="4" w:space="0" w:color="000000"/>
              <w:bottom w:val="single" w:sz="4" w:space="0" w:color="000000"/>
            </w:tcBorders>
            <w:shd w:val="clear" w:color="auto" w:fill="auto"/>
          </w:tcPr>
          <w:p w14:paraId="1911D853" w14:textId="77777777" w:rsidR="004E296F" w:rsidRPr="00BD6AF7" w:rsidRDefault="00703776" w:rsidP="00BD6AF7">
            <w:pPr>
              <w:spacing w:line="360" w:lineRule="auto"/>
              <w:jc w:val="both"/>
              <w:rPr>
                <w:rFonts w:ascii="Book Antiqua" w:eastAsia="Book Antiqua" w:hAnsi="Book Antiqua" w:cs="Book Antiqua"/>
                <w:b/>
                <w:color w:val="000000"/>
              </w:rPr>
            </w:pPr>
            <w:r w:rsidRPr="00BD6AF7">
              <w:rPr>
                <w:rFonts w:ascii="Book Antiqua" w:eastAsia="Book Antiqua" w:hAnsi="Book Antiqua" w:cs="Book Antiqua"/>
                <w:b/>
                <w:color w:val="000000"/>
              </w:rPr>
              <w:t>Group I</w:t>
            </w:r>
          </w:p>
        </w:tc>
        <w:tc>
          <w:tcPr>
            <w:tcW w:w="1068" w:type="dxa"/>
            <w:tcBorders>
              <w:top w:val="single" w:sz="4" w:space="0" w:color="000000"/>
              <w:bottom w:val="single" w:sz="4" w:space="0" w:color="000000"/>
            </w:tcBorders>
            <w:shd w:val="clear" w:color="auto" w:fill="auto"/>
          </w:tcPr>
          <w:p w14:paraId="5CA495B5" w14:textId="33888048" w:rsidR="004E296F" w:rsidRPr="00BD6AF7" w:rsidRDefault="00703776" w:rsidP="00BD6AF7">
            <w:pPr>
              <w:spacing w:line="360" w:lineRule="auto"/>
              <w:jc w:val="both"/>
              <w:rPr>
                <w:rFonts w:ascii="Book Antiqua" w:eastAsia="Book Antiqua" w:hAnsi="Book Antiqua" w:cs="Book Antiqua"/>
                <w:b/>
                <w:color w:val="000000"/>
              </w:rPr>
            </w:pPr>
            <w:r w:rsidRPr="00BD6AF7">
              <w:rPr>
                <w:rFonts w:ascii="Book Antiqua" w:eastAsia="Book Antiqua" w:hAnsi="Book Antiqua" w:cs="Book Antiqua"/>
                <w:b/>
                <w:color w:val="000000"/>
              </w:rPr>
              <w:t xml:space="preserve">Group </w:t>
            </w:r>
            <w:r w:rsidR="00870DD9">
              <w:rPr>
                <w:rFonts w:ascii="Book Antiqua" w:eastAsia="Book Antiqua" w:hAnsi="Book Antiqua" w:cs="Book Antiqua"/>
                <w:b/>
                <w:color w:val="000000"/>
              </w:rPr>
              <w:t>II</w:t>
            </w:r>
          </w:p>
        </w:tc>
        <w:tc>
          <w:tcPr>
            <w:tcW w:w="1031" w:type="dxa"/>
            <w:tcBorders>
              <w:top w:val="single" w:sz="4" w:space="0" w:color="000000"/>
              <w:bottom w:val="single" w:sz="4" w:space="0" w:color="000000"/>
            </w:tcBorders>
            <w:shd w:val="clear" w:color="auto" w:fill="auto"/>
          </w:tcPr>
          <w:p w14:paraId="31102B61" w14:textId="16AE0C52" w:rsidR="004E296F" w:rsidRPr="00BD6AF7" w:rsidRDefault="00703776" w:rsidP="00BD6AF7">
            <w:pPr>
              <w:spacing w:line="360" w:lineRule="auto"/>
              <w:jc w:val="both"/>
              <w:rPr>
                <w:rFonts w:ascii="Book Antiqua" w:eastAsia="Book Antiqua" w:hAnsi="Book Antiqua" w:cs="Book Antiqua"/>
                <w:b/>
                <w:color w:val="000000"/>
              </w:rPr>
            </w:pPr>
            <w:r w:rsidRPr="00BD6AF7">
              <w:rPr>
                <w:rFonts w:ascii="Book Antiqua" w:eastAsia="Book Antiqua" w:hAnsi="Book Antiqua" w:cs="Book Antiqua"/>
                <w:b/>
                <w:color w:val="000000"/>
              </w:rPr>
              <w:t xml:space="preserve">Group </w:t>
            </w:r>
            <w:r w:rsidR="00870DD9">
              <w:rPr>
                <w:rFonts w:ascii="Book Antiqua" w:eastAsia="Book Antiqua" w:hAnsi="Book Antiqua" w:cs="Book Antiqua"/>
                <w:b/>
                <w:color w:val="000000"/>
              </w:rPr>
              <w:t>III</w:t>
            </w:r>
          </w:p>
        </w:tc>
        <w:tc>
          <w:tcPr>
            <w:tcW w:w="1167" w:type="dxa"/>
            <w:vMerge w:val="restart"/>
            <w:tcBorders>
              <w:top w:val="single" w:sz="4" w:space="0" w:color="000000"/>
              <w:bottom w:val="single" w:sz="4" w:space="0" w:color="000000"/>
            </w:tcBorders>
            <w:shd w:val="clear" w:color="auto" w:fill="auto"/>
          </w:tcPr>
          <w:p w14:paraId="545CEDEC" w14:textId="77777777" w:rsidR="004E296F" w:rsidRPr="00BD6AF7" w:rsidRDefault="00703776" w:rsidP="00BD6AF7">
            <w:pPr>
              <w:spacing w:line="360" w:lineRule="auto"/>
              <w:jc w:val="both"/>
              <w:rPr>
                <w:rFonts w:ascii="Book Antiqua" w:eastAsia="Book Antiqua" w:hAnsi="Book Antiqua" w:cs="Book Antiqua"/>
                <w:b/>
                <w:i/>
                <w:color w:val="000000"/>
              </w:rPr>
            </w:pPr>
            <w:r w:rsidRPr="00BD6AF7">
              <w:rPr>
                <w:rFonts w:ascii="Book Antiqua" w:eastAsia="Book Antiqua" w:hAnsi="Book Antiqua" w:cs="Book Antiqua"/>
                <w:b/>
                <w:i/>
                <w:color w:val="000000"/>
              </w:rPr>
              <w:t>P</w:t>
            </w:r>
            <w:r w:rsidRPr="00BD6AF7">
              <w:rPr>
                <w:rFonts w:ascii="Book Antiqua" w:eastAsia="Book Antiqua" w:hAnsi="Book Antiqua" w:cs="Book Antiqua"/>
                <w:b/>
                <w:color w:val="000000"/>
              </w:rPr>
              <w:t xml:space="preserve"> value</w:t>
            </w:r>
          </w:p>
        </w:tc>
        <w:tc>
          <w:tcPr>
            <w:tcW w:w="751" w:type="dxa"/>
            <w:vMerge w:val="restart"/>
            <w:tcBorders>
              <w:top w:val="single" w:sz="4" w:space="0" w:color="000000"/>
              <w:bottom w:val="single" w:sz="4" w:space="0" w:color="000000"/>
            </w:tcBorders>
            <w:shd w:val="clear" w:color="auto" w:fill="auto"/>
          </w:tcPr>
          <w:p w14:paraId="0C204DBB" w14:textId="77777777" w:rsidR="004E296F" w:rsidRPr="00BD6AF7" w:rsidRDefault="004E296F" w:rsidP="00BD6AF7">
            <w:pPr>
              <w:spacing w:line="360" w:lineRule="auto"/>
              <w:jc w:val="both"/>
              <w:rPr>
                <w:rFonts w:ascii="Book Antiqua" w:eastAsia="Book Antiqua" w:hAnsi="Book Antiqua" w:cs="Book Antiqua"/>
                <w:color w:val="000000"/>
              </w:rPr>
            </w:pPr>
          </w:p>
        </w:tc>
      </w:tr>
      <w:tr w:rsidR="004E296F" w:rsidRPr="00BD6AF7" w14:paraId="04AA5C8F" w14:textId="77777777" w:rsidTr="00593210">
        <w:trPr>
          <w:trHeight w:val="1308"/>
        </w:trPr>
        <w:tc>
          <w:tcPr>
            <w:tcW w:w="2554" w:type="dxa"/>
            <w:gridSpan w:val="2"/>
            <w:vMerge/>
            <w:tcBorders>
              <w:top w:val="single" w:sz="4" w:space="0" w:color="000000"/>
              <w:bottom w:val="single" w:sz="4" w:space="0" w:color="000000"/>
            </w:tcBorders>
            <w:shd w:val="clear" w:color="auto" w:fill="auto"/>
          </w:tcPr>
          <w:p w14:paraId="54E99F72" w14:textId="77777777" w:rsidR="004E296F" w:rsidRPr="00BD6AF7" w:rsidRDefault="004E296F" w:rsidP="00BD6AF7">
            <w:pPr>
              <w:widowControl w:val="0"/>
              <w:pBdr>
                <w:top w:val="nil"/>
                <w:left w:val="nil"/>
                <w:bottom w:val="nil"/>
                <w:right w:val="nil"/>
                <w:between w:val="nil"/>
              </w:pBdr>
              <w:spacing w:line="360" w:lineRule="auto"/>
              <w:rPr>
                <w:rFonts w:ascii="Book Antiqua" w:eastAsia="Book Antiqua" w:hAnsi="Book Antiqua" w:cs="Book Antiqua"/>
                <w:color w:val="000000"/>
              </w:rPr>
            </w:pPr>
          </w:p>
        </w:tc>
        <w:tc>
          <w:tcPr>
            <w:tcW w:w="998" w:type="dxa"/>
            <w:tcBorders>
              <w:top w:val="single" w:sz="4" w:space="0" w:color="000000"/>
            </w:tcBorders>
            <w:shd w:val="clear" w:color="auto" w:fill="auto"/>
          </w:tcPr>
          <w:p w14:paraId="2196BEC5" w14:textId="77777777" w:rsidR="004E296F" w:rsidRPr="00BD6AF7" w:rsidRDefault="00703776" w:rsidP="00BD6AF7">
            <w:pPr>
              <w:spacing w:line="360" w:lineRule="auto"/>
              <w:jc w:val="both"/>
              <w:rPr>
                <w:rFonts w:ascii="Book Antiqua" w:eastAsia="Book Antiqua" w:hAnsi="Book Antiqua" w:cs="Book Antiqua"/>
                <w:b/>
                <w:color w:val="000000"/>
              </w:rPr>
            </w:pPr>
            <w:r w:rsidRPr="00BD6AF7">
              <w:rPr>
                <w:rFonts w:ascii="Book Antiqua" w:eastAsia="Book Antiqua" w:hAnsi="Book Antiqua" w:cs="Book Antiqua"/>
                <w:b/>
                <w:color w:val="000000"/>
              </w:rPr>
              <w:t>HCC</w:t>
            </w:r>
          </w:p>
        </w:tc>
        <w:tc>
          <w:tcPr>
            <w:tcW w:w="1068" w:type="dxa"/>
            <w:tcBorders>
              <w:top w:val="single" w:sz="4" w:space="0" w:color="000000"/>
            </w:tcBorders>
            <w:shd w:val="clear" w:color="auto" w:fill="auto"/>
          </w:tcPr>
          <w:p w14:paraId="2F2143B0" w14:textId="77777777" w:rsidR="004E296F" w:rsidRPr="00BD6AF7" w:rsidRDefault="00703776" w:rsidP="00BD6AF7">
            <w:pPr>
              <w:spacing w:line="360" w:lineRule="auto"/>
              <w:jc w:val="both"/>
              <w:rPr>
                <w:rFonts w:ascii="Book Antiqua" w:eastAsia="Book Antiqua" w:hAnsi="Book Antiqua" w:cs="Book Antiqua"/>
                <w:b/>
                <w:color w:val="000000"/>
              </w:rPr>
            </w:pPr>
            <w:r w:rsidRPr="00BD6AF7">
              <w:rPr>
                <w:rFonts w:ascii="Book Antiqua" w:eastAsia="Book Antiqua" w:hAnsi="Book Antiqua" w:cs="Book Antiqua"/>
                <w:b/>
                <w:color w:val="000000"/>
              </w:rPr>
              <w:t>Chronic liver disease</w:t>
            </w:r>
          </w:p>
        </w:tc>
        <w:tc>
          <w:tcPr>
            <w:tcW w:w="1031" w:type="dxa"/>
            <w:tcBorders>
              <w:top w:val="single" w:sz="4" w:space="0" w:color="000000"/>
            </w:tcBorders>
            <w:shd w:val="clear" w:color="auto" w:fill="auto"/>
          </w:tcPr>
          <w:p w14:paraId="2A2E92A7" w14:textId="77777777" w:rsidR="004E296F" w:rsidRPr="00BD6AF7" w:rsidRDefault="00703776" w:rsidP="00BD6AF7">
            <w:pPr>
              <w:spacing w:line="360" w:lineRule="auto"/>
              <w:jc w:val="both"/>
              <w:rPr>
                <w:rFonts w:ascii="Book Antiqua" w:eastAsia="Book Antiqua" w:hAnsi="Book Antiqua" w:cs="Book Antiqua"/>
                <w:b/>
                <w:color w:val="000000"/>
              </w:rPr>
            </w:pPr>
            <w:r w:rsidRPr="00BD6AF7">
              <w:rPr>
                <w:rFonts w:ascii="Book Antiqua" w:eastAsia="Book Antiqua" w:hAnsi="Book Antiqua" w:cs="Book Antiqua"/>
                <w:b/>
                <w:color w:val="000000"/>
              </w:rPr>
              <w:t>Control</w:t>
            </w:r>
          </w:p>
        </w:tc>
        <w:tc>
          <w:tcPr>
            <w:tcW w:w="1167" w:type="dxa"/>
            <w:vMerge/>
            <w:tcBorders>
              <w:top w:val="single" w:sz="4" w:space="0" w:color="000000"/>
              <w:bottom w:val="single" w:sz="4" w:space="0" w:color="000000"/>
            </w:tcBorders>
            <w:shd w:val="clear" w:color="auto" w:fill="auto"/>
          </w:tcPr>
          <w:p w14:paraId="57BCD0BB" w14:textId="77777777" w:rsidR="004E296F" w:rsidRPr="00BD6AF7" w:rsidRDefault="004E296F" w:rsidP="00BD6AF7">
            <w:pPr>
              <w:widowControl w:val="0"/>
              <w:pBdr>
                <w:top w:val="nil"/>
                <w:left w:val="nil"/>
                <w:bottom w:val="nil"/>
                <w:right w:val="nil"/>
                <w:between w:val="nil"/>
              </w:pBdr>
              <w:spacing w:line="360" w:lineRule="auto"/>
              <w:rPr>
                <w:rFonts w:ascii="Book Antiqua" w:eastAsia="Book Antiqua" w:hAnsi="Book Antiqua" w:cs="Book Antiqua"/>
                <w:b/>
                <w:color w:val="000000"/>
              </w:rPr>
            </w:pPr>
          </w:p>
        </w:tc>
        <w:tc>
          <w:tcPr>
            <w:tcW w:w="751" w:type="dxa"/>
            <w:vMerge/>
            <w:tcBorders>
              <w:top w:val="single" w:sz="4" w:space="0" w:color="000000"/>
              <w:bottom w:val="single" w:sz="4" w:space="0" w:color="000000"/>
            </w:tcBorders>
            <w:shd w:val="clear" w:color="auto" w:fill="auto"/>
          </w:tcPr>
          <w:p w14:paraId="01A07B64" w14:textId="77777777" w:rsidR="004E296F" w:rsidRPr="00BD6AF7" w:rsidRDefault="004E296F" w:rsidP="00BD6AF7">
            <w:pPr>
              <w:widowControl w:val="0"/>
              <w:pBdr>
                <w:top w:val="nil"/>
                <w:left w:val="nil"/>
                <w:bottom w:val="nil"/>
                <w:right w:val="nil"/>
                <w:between w:val="nil"/>
              </w:pBdr>
              <w:spacing w:line="360" w:lineRule="auto"/>
              <w:rPr>
                <w:rFonts w:ascii="Book Antiqua" w:eastAsia="Book Antiqua" w:hAnsi="Book Antiqua" w:cs="Book Antiqua"/>
                <w:b/>
                <w:color w:val="000000"/>
              </w:rPr>
            </w:pPr>
          </w:p>
        </w:tc>
      </w:tr>
      <w:tr w:rsidR="004E296F" w:rsidRPr="00BD6AF7" w14:paraId="4E5D1E14" w14:textId="77777777" w:rsidTr="00593210">
        <w:trPr>
          <w:trHeight w:val="342"/>
        </w:trPr>
        <w:tc>
          <w:tcPr>
            <w:tcW w:w="2554" w:type="dxa"/>
            <w:gridSpan w:val="2"/>
            <w:vMerge/>
            <w:tcBorders>
              <w:top w:val="single" w:sz="4" w:space="0" w:color="000000"/>
              <w:bottom w:val="single" w:sz="4" w:space="0" w:color="000000"/>
            </w:tcBorders>
            <w:shd w:val="clear" w:color="auto" w:fill="auto"/>
          </w:tcPr>
          <w:p w14:paraId="16AD9A64" w14:textId="77777777" w:rsidR="004E296F" w:rsidRPr="00BD6AF7" w:rsidRDefault="004E296F" w:rsidP="00BD6AF7">
            <w:pPr>
              <w:widowControl w:val="0"/>
              <w:pBdr>
                <w:top w:val="nil"/>
                <w:left w:val="nil"/>
                <w:bottom w:val="nil"/>
                <w:right w:val="nil"/>
                <w:between w:val="nil"/>
              </w:pBdr>
              <w:spacing w:line="360" w:lineRule="auto"/>
              <w:rPr>
                <w:rFonts w:ascii="Book Antiqua" w:eastAsia="Book Antiqua" w:hAnsi="Book Antiqua" w:cs="Book Antiqua"/>
                <w:b/>
                <w:color w:val="000000"/>
              </w:rPr>
            </w:pPr>
          </w:p>
        </w:tc>
        <w:tc>
          <w:tcPr>
            <w:tcW w:w="998" w:type="dxa"/>
            <w:tcBorders>
              <w:bottom w:val="single" w:sz="6" w:space="0" w:color="auto"/>
            </w:tcBorders>
            <w:shd w:val="clear" w:color="auto" w:fill="auto"/>
          </w:tcPr>
          <w:p w14:paraId="1D08B565" w14:textId="77777777" w:rsidR="004E296F" w:rsidRPr="00BD6AF7" w:rsidRDefault="00703776" w:rsidP="00BD6AF7">
            <w:pPr>
              <w:spacing w:line="360" w:lineRule="auto"/>
              <w:jc w:val="both"/>
              <w:rPr>
                <w:rFonts w:ascii="Book Antiqua" w:eastAsia="Book Antiqua" w:hAnsi="Book Antiqua" w:cs="Book Antiqua"/>
                <w:b/>
                <w:color w:val="000000"/>
              </w:rPr>
            </w:pPr>
            <w:r w:rsidRPr="00BD6AF7">
              <w:rPr>
                <w:rFonts w:ascii="Book Antiqua" w:eastAsia="Book Antiqua" w:hAnsi="Book Antiqua" w:cs="Book Antiqua"/>
                <w:b/>
                <w:i/>
                <w:color w:val="000000"/>
              </w:rPr>
              <w:t>n</w:t>
            </w:r>
            <w:r w:rsidRPr="00BD6AF7">
              <w:rPr>
                <w:rFonts w:ascii="Book Antiqua" w:eastAsia="Book Antiqua" w:hAnsi="Book Antiqua" w:cs="Book Antiqua"/>
                <w:b/>
                <w:color w:val="000000"/>
              </w:rPr>
              <w:t xml:space="preserve"> = 35</w:t>
            </w:r>
          </w:p>
        </w:tc>
        <w:tc>
          <w:tcPr>
            <w:tcW w:w="1068" w:type="dxa"/>
            <w:tcBorders>
              <w:bottom w:val="single" w:sz="6" w:space="0" w:color="auto"/>
            </w:tcBorders>
            <w:shd w:val="clear" w:color="auto" w:fill="auto"/>
          </w:tcPr>
          <w:p w14:paraId="7223ADB3" w14:textId="77777777" w:rsidR="004E296F" w:rsidRPr="00BD6AF7" w:rsidRDefault="00703776" w:rsidP="00BD6AF7">
            <w:pPr>
              <w:spacing w:line="360" w:lineRule="auto"/>
              <w:jc w:val="both"/>
              <w:rPr>
                <w:rFonts w:ascii="Book Antiqua" w:eastAsia="Book Antiqua" w:hAnsi="Book Antiqua" w:cs="Book Antiqua"/>
                <w:b/>
                <w:color w:val="000000"/>
              </w:rPr>
            </w:pPr>
            <w:r w:rsidRPr="00BD6AF7">
              <w:rPr>
                <w:rFonts w:ascii="Book Antiqua" w:eastAsia="Book Antiqua" w:hAnsi="Book Antiqua" w:cs="Book Antiqua"/>
                <w:b/>
                <w:i/>
                <w:color w:val="000000"/>
              </w:rPr>
              <w:t>n</w:t>
            </w:r>
            <w:r w:rsidRPr="00BD6AF7">
              <w:rPr>
                <w:rFonts w:ascii="Book Antiqua" w:eastAsia="Book Antiqua" w:hAnsi="Book Antiqua" w:cs="Book Antiqua"/>
                <w:b/>
                <w:color w:val="000000"/>
              </w:rPr>
              <w:t xml:space="preserve"> = 33</w:t>
            </w:r>
          </w:p>
        </w:tc>
        <w:tc>
          <w:tcPr>
            <w:tcW w:w="1031" w:type="dxa"/>
            <w:tcBorders>
              <w:bottom w:val="single" w:sz="6" w:space="0" w:color="auto"/>
            </w:tcBorders>
            <w:shd w:val="clear" w:color="auto" w:fill="auto"/>
          </w:tcPr>
          <w:p w14:paraId="5DCB9F6A" w14:textId="77777777" w:rsidR="004E296F" w:rsidRPr="00BD6AF7" w:rsidRDefault="00703776" w:rsidP="00BD6AF7">
            <w:pPr>
              <w:spacing w:line="360" w:lineRule="auto"/>
              <w:jc w:val="both"/>
              <w:rPr>
                <w:rFonts w:ascii="Book Antiqua" w:eastAsia="Book Antiqua" w:hAnsi="Book Antiqua" w:cs="Book Antiqua"/>
                <w:b/>
                <w:color w:val="000000"/>
              </w:rPr>
            </w:pPr>
            <w:r w:rsidRPr="00BD6AF7">
              <w:rPr>
                <w:rFonts w:ascii="Book Antiqua" w:eastAsia="Book Antiqua" w:hAnsi="Book Antiqua" w:cs="Book Antiqua"/>
                <w:b/>
                <w:i/>
                <w:color w:val="000000"/>
              </w:rPr>
              <w:t>n</w:t>
            </w:r>
            <w:r w:rsidRPr="00BD6AF7">
              <w:rPr>
                <w:rFonts w:ascii="Book Antiqua" w:eastAsia="Book Antiqua" w:hAnsi="Book Antiqua" w:cs="Book Antiqua"/>
                <w:b/>
                <w:color w:val="000000"/>
              </w:rPr>
              <w:t xml:space="preserve"> = 32</w:t>
            </w:r>
          </w:p>
        </w:tc>
        <w:tc>
          <w:tcPr>
            <w:tcW w:w="1167" w:type="dxa"/>
            <w:vMerge/>
            <w:tcBorders>
              <w:top w:val="single" w:sz="4" w:space="0" w:color="000000"/>
              <w:bottom w:val="single" w:sz="4" w:space="0" w:color="000000"/>
            </w:tcBorders>
            <w:shd w:val="clear" w:color="auto" w:fill="auto"/>
          </w:tcPr>
          <w:p w14:paraId="67AF9B38" w14:textId="77777777" w:rsidR="004E296F" w:rsidRPr="00BD6AF7" w:rsidRDefault="004E296F" w:rsidP="00BD6AF7">
            <w:pPr>
              <w:widowControl w:val="0"/>
              <w:pBdr>
                <w:top w:val="nil"/>
                <w:left w:val="nil"/>
                <w:bottom w:val="nil"/>
                <w:right w:val="nil"/>
                <w:between w:val="nil"/>
              </w:pBdr>
              <w:spacing w:line="360" w:lineRule="auto"/>
              <w:rPr>
                <w:rFonts w:ascii="Book Antiqua" w:eastAsia="Book Antiqua" w:hAnsi="Book Antiqua" w:cs="Book Antiqua"/>
                <w:b/>
                <w:color w:val="000000"/>
              </w:rPr>
            </w:pPr>
          </w:p>
        </w:tc>
        <w:tc>
          <w:tcPr>
            <w:tcW w:w="751" w:type="dxa"/>
            <w:vMerge/>
            <w:tcBorders>
              <w:top w:val="single" w:sz="4" w:space="0" w:color="000000"/>
              <w:bottom w:val="single" w:sz="4" w:space="0" w:color="000000"/>
            </w:tcBorders>
            <w:shd w:val="clear" w:color="auto" w:fill="auto"/>
          </w:tcPr>
          <w:p w14:paraId="56E29AE5" w14:textId="77777777" w:rsidR="004E296F" w:rsidRPr="00BD6AF7" w:rsidRDefault="004E296F" w:rsidP="00BD6AF7">
            <w:pPr>
              <w:widowControl w:val="0"/>
              <w:pBdr>
                <w:top w:val="nil"/>
                <w:left w:val="nil"/>
                <w:bottom w:val="nil"/>
                <w:right w:val="nil"/>
                <w:between w:val="nil"/>
              </w:pBdr>
              <w:spacing w:line="360" w:lineRule="auto"/>
              <w:rPr>
                <w:rFonts w:ascii="Book Antiqua" w:eastAsia="Book Antiqua" w:hAnsi="Book Antiqua" w:cs="Book Antiqua"/>
                <w:b/>
                <w:color w:val="000000"/>
              </w:rPr>
            </w:pPr>
          </w:p>
        </w:tc>
      </w:tr>
      <w:tr w:rsidR="004E296F" w:rsidRPr="00BD6AF7" w14:paraId="70FD1C63" w14:textId="77777777" w:rsidTr="00593210">
        <w:trPr>
          <w:trHeight w:val="312"/>
        </w:trPr>
        <w:tc>
          <w:tcPr>
            <w:tcW w:w="2554" w:type="dxa"/>
            <w:gridSpan w:val="2"/>
            <w:shd w:val="clear" w:color="auto" w:fill="auto"/>
          </w:tcPr>
          <w:p w14:paraId="6557CBC4"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Gender</w:t>
            </w:r>
          </w:p>
        </w:tc>
        <w:tc>
          <w:tcPr>
            <w:tcW w:w="998" w:type="dxa"/>
            <w:tcBorders>
              <w:top w:val="single" w:sz="6" w:space="0" w:color="auto"/>
            </w:tcBorders>
            <w:shd w:val="clear" w:color="auto" w:fill="auto"/>
          </w:tcPr>
          <w:p w14:paraId="74310A9F" w14:textId="77777777" w:rsidR="004E296F" w:rsidRPr="00BD6AF7" w:rsidRDefault="004E296F" w:rsidP="00BD6AF7">
            <w:pPr>
              <w:spacing w:line="360" w:lineRule="auto"/>
              <w:jc w:val="both"/>
              <w:rPr>
                <w:rFonts w:ascii="Book Antiqua" w:eastAsia="Book Antiqua" w:hAnsi="Book Antiqua" w:cs="Book Antiqua"/>
                <w:color w:val="000000"/>
              </w:rPr>
            </w:pPr>
          </w:p>
        </w:tc>
        <w:tc>
          <w:tcPr>
            <w:tcW w:w="1068" w:type="dxa"/>
            <w:tcBorders>
              <w:top w:val="single" w:sz="6" w:space="0" w:color="auto"/>
            </w:tcBorders>
            <w:shd w:val="clear" w:color="auto" w:fill="auto"/>
          </w:tcPr>
          <w:p w14:paraId="18716F99" w14:textId="77777777" w:rsidR="004E296F" w:rsidRPr="00BD6AF7" w:rsidRDefault="004E296F" w:rsidP="00BD6AF7">
            <w:pPr>
              <w:spacing w:line="360" w:lineRule="auto"/>
              <w:jc w:val="both"/>
              <w:rPr>
                <w:rFonts w:ascii="Book Antiqua" w:eastAsia="Book Antiqua" w:hAnsi="Book Antiqua" w:cs="Book Antiqua"/>
                <w:color w:val="000000"/>
              </w:rPr>
            </w:pPr>
          </w:p>
        </w:tc>
        <w:tc>
          <w:tcPr>
            <w:tcW w:w="1031" w:type="dxa"/>
            <w:tcBorders>
              <w:top w:val="single" w:sz="6" w:space="0" w:color="auto"/>
            </w:tcBorders>
            <w:shd w:val="clear" w:color="auto" w:fill="auto"/>
          </w:tcPr>
          <w:p w14:paraId="52D3018B" w14:textId="77777777" w:rsidR="004E296F" w:rsidRPr="00BD6AF7" w:rsidRDefault="004E296F" w:rsidP="00BD6AF7">
            <w:pPr>
              <w:spacing w:line="360" w:lineRule="auto"/>
              <w:jc w:val="both"/>
              <w:rPr>
                <w:rFonts w:ascii="Book Antiqua" w:eastAsia="Book Antiqua" w:hAnsi="Book Antiqua" w:cs="Book Antiqua"/>
                <w:color w:val="000000"/>
              </w:rPr>
            </w:pPr>
          </w:p>
        </w:tc>
        <w:tc>
          <w:tcPr>
            <w:tcW w:w="1167" w:type="dxa"/>
            <w:shd w:val="clear" w:color="auto" w:fill="auto"/>
          </w:tcPr>
          <w:p w14:paraId="03EF1DD9" w14:textId="77777777" w:rsidR="004E296F" w:rsidRPr="00BD6AF7" w:rsidRDefault="004E296F" w:rsidP="00BD6AF7">
            <w:pPr>
              <w:spacing w:line="360" w:lineRule="auto"/>
              <w:jc w:val="both"/>
              <w:rPr>
                <w:rFonts w:ascii="Book Antiqua" w:eastAsia="Book Antiqua" w:hAnsi="Book Antiqua" w:cs="Book Antiqua"/>
                <w:color w:val="000000"/>
              </w:rPr>
            </w:pPr>
          </w:p>
        </w:tc>
        <w:tc>
          <w:tcPr>
            <w:tcW w:w="751" w:type="dxa"/>
            <w:shd w:val="clear" w:color="auto" w:fill="auto"/>
          </w:tcPr>
          <w:p w14:paraId="0758B3F9" w14:textId="77777777" w:rsidR="004E296F" w:rsidRPr="00BD6AF7" w:rsidRDefault="004E296F" w:rsidP="00BD6AF7">
            <w:pPr>
              <w:spacing w:line="360" w:lineRule="auto"/>
              <w:jc w:val="both"/>
              <w:rPr>
                <w:rFonts w:ascii="Book Antiqua" w:eastAsia="Book Antiqua" w:hAnsi="Book Antiqua" w:cs="Book Antiqua"/>
                <w:color w:val="000000"/>
              </w:rPr>
            </w:pPr>
          </w:p>
        </w:tc>
      </w:tr>
      <w:tr w:rsidR="004E296F" w:rsidRPr="00BD6AF7" w14:paraId="7B82E3E3" w14:textId="77777777">
        <w:trPr>
          <w:trHeight w:val="624"/>
        </w:trPr>
        <w:tc>
          <w:tcPr>
            <w:tcW w:w="2554" w:type="dxa"/>
            <w:gridSpan w:val="2"/>
            <w:shd w:val="clear" w:color="auto" w:fill="auto"/>
          </w:tcPr>
          <w:p w14:paraId="3937065D"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 xml:space="preserve">Male, </w:t>
            </w:r>
            <w:r w:rsidRPr="00BD6AF7">
              <w:rPr>
                <w:rFonts w:ascii="Book Antiqua" w:eastAsia="Book Antiqua" w:hAnsi="Book Antiqua" w:cs="Book Antiqua"/>
                <w:i/>
                <w:color w:val="000000"/>
              </w:rPr>
              <w:t>n</w:t>
            </w:r>
            <w:r w:rsidRPr="00BD6AF7">
              <w:rPr>
                <w:rFonts w:ascii="Book Antiqua" w:eastAsia="Book Antiqua" w:hAnsi="Book Antiqua" w:cs="Book Antiqua"/>
                <w:color w:val="000000"/>
              </w:rPr>
              <w:t xml:space="preserve"> (%)</w:t>
            </w:r>
          </w:p>
        </w:tc>
        <w:tc>
          <w:tcPr>
            <w:tcW w:w="998" w:type="dxa"/>
            <w:shd w:val="clear" w:color="auto" w:fill="auto"/>
          </w:tcPr>
          <w:p w14:paraId="0EFBF621"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30 (85.7)</w:t>
            </w:r>
          </w:p>
        </w:tc>
        <w:tc>
          <w:tcPr>
            <w:tcW w:w="1068" w:type="dxa"/>
            <w:shd w:val="clear" w:color="auto" w:fill="auto"/>
          </w:tcPr>
          <w:p w14:paraId="731E0961"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23 (69.7)</w:t>
            </w:r>
          </w:p>
        </w:tc>
        <w:tc>
          <w:tcPr>
            <w:tcW w:w="1031" w:type="dxa"/>
            <w:shd w:val="clear" w:color="auto" w:fill="auto"/>
          </w:tcPr>
          <w:p w14:paraId="625AD3AF"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27 (84.4)</w:t>
            </w:r>
          </w:p>
        </w:tc>
        <w:tc>
          <w:tcPr>
            <w:tcW w:w="1167" w:type="dxa"/>
            <w:vMerge w:val="restart"/>
            <w:shd w:val="clear" w:color="auto" w:fill="auto"/>
          </w:tcPr>
          <w:p w14:paraId="5177CDBE"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NS</w:t>
            </w:r>
          </w:p>
        </w:tc>
        <w:tc>
          <w:tcPr>
            <w:tcW w:w="751" w:type="dxa"/>
            <w:shd w:val="clear" w:color="auto" w:fill="auto"/>
          </w:tcPr>
          <w:p w14:paraId="7C1CE4CF" w14:textId="77777777" w:rsidR="004E296F" w:rsidRPr="00BD6AF7" w:rsidRDefault="004E296F" w:rsidP="00BD6AF7">
            <w:pPr>
              <w:spacing w:line="360" w:lineRule="auto"/>
              <w:jc w:val="both"/>
              <w:rPr>
                <w:rFonts w:ascii="Book Antiqua" w:eastAsia="Book Antiqua" w:hAnsi="Book Antiqua" w:cs="Book Antiqua"/>
                <w:color w:val="000000"/>
              </w:rPr>
            </w:pPr>
          </w:p>
        </w:tc>
      </w:tr>
      <w:tr w:rsidR="004E296F" w:rsidRPr="00BD6AF7" w14:paraId="65E9008E" w14:textId="77777777">
        <w:trPr>
          <w:trHeight w:val="624"/>
        </w:trPr>
        <w:tc>
          <w:tcPr>
            <w:tcW w:w="2554" w:type="dxa"/>
            <w:gridSpan w:val="2"/>
            <w:shd w:val="clear" w:color="auto" w:fill="auto"/>
          </w:tcPr>
          <w:p w14:paraId="676D840F"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 xml:space="preserve">Female, </w:t>
            </w:r>
            <w:r w:rsidRPr="00BD6AF7">
              <w:rPr>
                <w:rFonts w:ascii="Book Antiqua" w:eastAsia="Book Antiqua" w:hAnsi="Book Antiqua" w:cs="Book Antiqua"/>
                <w:i/>
                <w:color w:val="000000"/>
              </w:rPr>
              <w:t>n</w:t>
            </w:r>
            <w:r w:rsidRPr="00BD6AF7">
              <w:rPr>
                <w:rFonts w:ascii="Book Antiqua" w:eastAsia="Book Antiqua" w:hAnsi="Book Antiqua" w:cs="Book Antiqua"/>
                <w:color w:val="000000"/>
              </w:rPr>
              <w:t xml:space="preserve"> (%)</w:t>
            </w:r>
          </w:p>
        </w:tc>
        <w:tc>
          <w:tcPr>
            <w:tcW w:w="998" w:type="dxa"/>
            <w:shd w:val="clear" w:color="auto" w:fill="auto"/>
          </w:tcPr>
          <w:p w14:paraId="6F701261"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5 (14.3)</w:t>
            </w:r>
          </w:p>
        </w:tc>
        <w:tc>
          <w:tcPr>
            <w:tcW w:w="1068" w:type="dxa"/>
            <w:shd w:val="clear" w:color="auto" w:fill="auto"/>
          </w:tcPr>
          <w:p w14:paraId="397E18C3"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10 (30.3)</w:t>
            </w:r>
          </w:p>
        </w:tc>
        <w:tc>
          <w:tcPr>
            <w:tcW w:w="1031" w:type="dxa"/>
            <w:shd w:val="clear" w:color="auto" w:fill="auto"/>
          </w:tcPr>
          <w:p w14:paraId="3588BEB1"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5 (15.6)</w:t>
            </w:r>
          </w:p>
        </w:tc>
        <w:tc>
          <w:tcPr>
            <w:tcW w:w="1167" w:type="dxa"/>
            <w:vMerge/>
            <w:shd w:val="clear" w:color="auto" w:fill="auto"/>
          </w:tcPr>
          <w:p w14:paraId="5A085B93" w14:textId="77777777" w:rsidR="004E296F" w:rsidRPr="00BD6AF7" w:rsidRDefault="004E296F" w:rsidP="00BD6AF7">
            <w:pPr>
              <w:widowControl w:val="0"/>
              <w:pBdr>
                <w:top w:val="nil"/>
                <w:left w:val="nil"/>
                <w:bottom w:val="nil"/>
                <w:right w:val="nil"/>
                <w:between w:val="nil"/>
              </w:pBdr>
              <w:spacing w:line="360" w:lineRule="auto"/>
              <w:rPr>
                <w:rFonts w:ascii="Book Antiqua" w:eastAsia="Book Antiqua" w:hAnsi="Book Antiqua" w:cs="Book Antiqua"/>
                <w:color w:val="000000"/>
              </w:rPr>
            </w:pPr>
          </w:p>
        </w:tc>
        <w:tc>
          <w:tcPr>
            <w:tcW w:w="751" w:type="dxa"/>
            <w:shd w:val="clear" w:color="auto" w:fill="auto"/>
          </w:tcPr>
          <w:p w14:paraId="0DADF6FD" w14:textId="77777777" w:rsidR="004E296F" w:rsidRPr="00BD6AF7" w:rsidRDefault="004E296F" w:rsidP="00BD6AF7">
            <w:pPr>
              <w:spacing w:line="360" w:lineRule="auto"/>
              <w:jc w:val="both"/>
              <w:rPr>
                <w:rFonts w:ascii="Book Antiqua" w:eastAsia="Book Antiqua" w:hAnsi="Book Antiqua" w:cs="Book Antiqua"/>
                <w:color w:val="000000"/>
              </w:rPr>
            </w:pPr>
          </w:p>
        </w:tc>
      </w:tr>
      <w:tr w:rsidR="004E296F" w:rsidRPr="00BD6AF7" w14:paraId="6359F538" w14:textId="77777777">
        <w:trPr>
          <w:trHeight w:val="312"/>
        </w:trPr>
        <w:tc>
          <w:tcPr>
            <w:tcW w:w="2554" w:type="dxa"/>
            <w:gridSpan w:val="2"/>
            <w:shd w:val="clear" w:color="auto" w:fill="auto"/>
          </w:tcPr>
          <w:p w14:paraId="36C72DB7"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Age (yr)</w:t>
            </w:r>
          </w:p>
        </w:tc>
        <w:tc>
          <w:tcPr>
            <w:tcW w:w="998" w:type="dxa"/>
            <w:shd w:val="clear" w:color="auto" w:fill="auto"/>
          </w:tcPr>
          <w:p w14:paraId="12318F10" w14:textId="77777777" w:rsidR="004E296F" w:rsidRPr="00BD6AF7" w:rsidRDefault="004E296F" w:rsidP="00BD6AF7">
            <w:pPr>
              <w:spacing w:line="360" w:lineRule="auto"/>
              <w:jc w:val="both"/>
              <w:rPr>
                <w:rFonts w:ascii="Book Antiqua" w:eastAsia="Book Antiqua" w:hAnsi="Book Antiqua" w:cs="Book Antiqua"/>
                <w:color w:val="000000"/>
              </w:rPr>
            </w:pPr>
          </w:p>
        </w:tc>
        <w:tc>
          <w:tcPr>
            <w:tcW w:w="1068" w:type="dxa"/>
            <w:shd w:val="clear" w:color="auto" w:fill="auto"/>
          </w:tcPr>
          <w:p w14:paraId="124A1A87" w14:textId="77777777" w:rsidR="004E296F" w:rsidRPr="00BD6AF7" w:rsidRDefault="004E296F" w:rsidP="00BD6AF7">
            <w:pPr>
              <w:spacing w:line="360" w:lineRule="auto"/>
              <w:jc w:val="both"/>
              <w:rPr>
                <w:rFonts w:ascii="Book Antiqua" w:eastAsia="Book Antiqua" w:hAnsi="Book Antiqua" w:cs="Book Antiqua"/>
                <w:color w:val="000000"/>
              </w:rPr>
            </w:pPr>
          </w:p>
        </w:tc>
        <w:tc>
          <w:tcPr>
            <w:tcW w:w="1031" w:type="dxa"/>
            <w:shd w:val="clear" w:color="auto" w:fill="auto"/>
          </w:tcPr>
          <w:p w14:paraId="3FE86BFC" w14:textId="77777777" w:rsidR="004E296F" w:rsidRPr="00BD6AF7" w:rsidRDefault="004E296F" w:rsidP="00BD6AF7">
            <w:pPr>
              <w:spacing w:line="360" w:lineRule="auto"/>
              <w:jc w:val="both"/>
              <w:rPr>
                <w:rFonts w:ascii="Book Antiqua" w:eastAsia="Book Antiqua" w:hAnsi="Book Antiqua" w:cs="Book Antiqua"/>
                <w:color w:val="000000"/>
              </w:rPr>
            </w:pPr>
          </w:p>
        </w:tc>
        <w:tc>
          <w:tcPr>
            <w:tcW w:w="1167" w:type="dxa"/>
            <w:shd w:val="clear" w:color="auto" w:fill="auto"/>
          </w:tcPr>
          <w:p w14:paraId="52836C33" w14:textId="77777777" w:rsidR="004E296F" w:rsidRPr="00BD6AF7" w:rsidRDefault="004E296F" w:rsidP="00BD6AF7">
            <w:pPr>
              <w:spacing w:line="360" w:lineRule="auto"/>
              <w:jc w:val="both"/>
              <w:rPr>
                <w:rFonts w:ascii="Book Antiqua" w:eastAsia="Book Antiqua" w:hAnsi="Book Antiqua" w:cs="Book Antiqua"/>
                <w:color w:val="000000"/>
              </w:rPr>
            </w:pPr>
          </w:p>
        </w:tc>
        <w:tc>
          <w:tcPr>
            <w:tcW w:w="751" w:type="dxa"/>
            <w:shd w:val="clear" w:color="auto" w:fill="auto"/>
          </w:tcPr>
          <w:p w14:paraId="16DACF93" w14:textId="77777777" w:rsidR="004E296F" w:rsidRPr="00BD6AF7" w:rsidRDefault="004E296F" w:rsidP="00BD6AF7">
            <w:pPr>
              <w:spacing w:line="360" w:lineRule="auto"/>
              <w:jc w:val="both"/>
              <w:rPr>
                <w:rFonts w:ascii="Book Antiqua" w:eastAsia="Book Antiqua" w:hAnsi="Book Antiqua" w:cs="Book Antiqua"/>
                <w:color w:val="000000"/>
              </w:rPr>
            </w:pPr>
          </w:p>
        </w:tc>
      </w:tr>
      <w:tr w:rsidR="004E296F" w:rsidRPr="00BD6AF7" w14:paraId="76395253" w14:textId="77777777">
        <w:trPr>
          <w:trHeight w:val="669"/>
        </w:trPr>
        <w:tc>
          <w:tcPr>
            <w:tcW w:w="2554" w:type="dxa"/>
            <w:gridSpan w:val="2"/>
            <w:shd w:val="clear" w:color="auto" w:fill="auto"/>
          </w:tcPr>
          <w:p w14:paraId="0D2155BD"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mean ± SD</w:t>
            </w:r>
          </w:p>
        </w:tc>
        <w:tc>
          <w:tcPr>
            <w:tcW w:w="998" w:type="dxa"/>
            <w:shd w:val="clear" w:color="auto" w:fill="auto"/>
          </w:tcPr>
          <w:p w14:paraId="52E2F8D1"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 xml:space="preserve">55.2 </w:t>
            </w:r>
            <w:r w:rsidRPr="00BD6AF7">
              <w:rPr>
                <w:rFonts w:ascii="Book Antiqua" w:hAnsi="Book Antiqua"/>
                <w:color w:val="000000"/>
              </w:rPr>
              <w:t>±</w:t>
            </w:r>
            <w:r w:rsidRPr="00BD6AF7">
              <w:rPr>
                <w:rFonts w:ascii="Book Antiqua" w:eastAsia="Book Antiqua" w:hAnsi="Book Antiqua" w:cs="Book Antiqua"/>
                <w:color w:val="000000"/>
              </w:rPr>
              <w:t xml:space="preserve"> 5.2</w:t>
            </w:r>
          </w:p>
        </w:tc>
        <w:tc>
          <w:tcPr>
            <w:tcW w:w="1068" w:type="dxa"/>
            <w:shd w:val="clear" w:color="auto" w:fill="auto"/>
          </w:tcPr>
          <w:p w14:paraId="68705CDD"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 xml:space="preserve">52.7 </w:t>
            </w:r>
            <w:r w:rsidRPr="00BD6AF7">
              <w:rPr>
                <w:rFonts w:ascii="Book Antiqua" w:hAnsi="Book Antiqua"/>
                <w:color w:val="000000"/>
              </w:rPr>
              <w:t>±</w:t>
            </w:r>
            <w:r w:rsidRPr="00BD6AF7">
              <w:rPr>
                <w:rFonts w:ascii="Book Antiqua" w:eastAsia="Book Antiqua" w:hAnsi="Book Antiqua" w:cs="Book Antiqua"/>
                <w:color w:val="000000"/>
              </w:rPr>
              <w:t xml:space="preserve"> 5.3</w:t>
            </w:r>
          </w:p>
        </w:tc>
        <w:tc>
          <w:tcPr>
            <w:tcW w:w="1031" w:type="dxa"/>
            <w:shd w:val="clear" w:color="auto" w:fill="auto"/>
          </w:tcPr>
          <w:p w14:paraId="39A77C8D"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 xml:space="preserve">52.8 </w:t>
            </w:r>
            <w:r w:rsidRPr="00BD6AF7">
              <w:rPr>
                <w:rFonts w:ascii="Book Antiqua" w:hAnsi="Book Antiqua"/>
                <w:color w:val="000000"/>
              </w:rPr>
              <w:t>±</w:t>
            </w:r>
            <w:r w:rsidRPr="00BD6AF7">
              <w:rPr>
                <w:rFonts w:ascii="Book Antiqua" w:eastAsia="Book Antiqua" w:hAnsi="Book Antiqua" w:cs="Book Antiqua"/>
                <w:color w:val="000000"/>
              </w:rPr>
              <w:t xml:space="preserve"> 5.6</w:t>
            </w:r>
          </w:p>
        </w:tc>
        <w:tc>
          <w:tcPr>
            <w:tcW w:w="1167" w:type="dxa"/>
            <w:shd w:val="clear" w:color="auto" w:fill="auto"/>
          </w:tcPr>
          <w:p w14:paraId="69620722"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NS</w:t>
            </w:r>
          </w:p>
        </w:tc>
        <w:tc>
          <w:tcPr>
            <w:tcW w:w="751" w:type="dxa"/>
            <w:shd w:val="clear" w:color="auto" w:fill="auto"/>
          </w:tcPr>
          <w:p w14:paraId="70B8A25A" w14:textId="77777777" w:rsidR="004E296F" w:rsidRPr="00BD6AF7" w:rsidRDefault="004E296F" w:rsidP="00BD6AF7">
            <w:pPr>
              <w:spacing w:line="360" w:lineRule="auto"/>
              <w:jc w:val="both"/>
              <w:rPr>
                <w:rFonts w:ascii="Book Antiqua" w:eastAsia="Book Antiqua" w:hAnsi="Book Antiqua" w:cs="Book Antiqua"/>
                <w:color w:val="000000"/>
              </w:rPr>
            </w:pPr>
          </w:p>
        </w:tc>
      </w:tr>
      <w:tr w:rsidR="004E296F" w:rsidRPr="00BD6AF7" w14:paraId="0C6F3A13" w14:textId="77777777">
        <w:trPr>
          <w:trHeight w:val="684"/>
        </w:trPr>
        <w:tc>
          <w:tcPr>
            <w:tcW w:w="2554" w:type="dxa"/>
            <w:gridSpan w:val="2"/>
            <w:shd w:val="clear" w:color="auto" w:fill="auto"/>
          </w:tcPr>
          <w:p w14:paraId="10182F45" w14:textId="2E1B682D"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 xml:space="preserve">ALT (IU/L), </w:t>
            </w:r>
            <w:r w:rsidR="00203887">
              <w:rPr>
                <w:rFonts w:ascii="Book Antiqua" w:eastAsia="Book Antiqua" w:hAnsi="Book Antiqua" w:cs="Book Antiqua"/>
                <w:color w:val="000000"/>
              </w:rPr>
              <w:t>m</w:t>
            </w:r>
            <w:r w:rsidRPr="00BD6AF7">
              <w:rPr>
                <w:rFonts w:ascii="Book Antiqua" w:eastAsia="Book Antiqua" w:hAnsi="Book Antiqua" w:cs="Book Antiqua"/>
                <w:color w:val="000000"/>
              </w:rPr>
              <w:t>edian (IQR)</w:t>
            </w:r>
          </w:p>
        </w:tc>
        <w:tc>
          <w:tcPr>
            <w:tcW w:w="998" w:type="dxa"/>
            <w:shd w:val="clear" w:color="auto" w:fill="auto"/>
          </w:tcPr>
          <w:p w14:paraId="0ADA19F3" w14:textId="6C785DA3"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50</w:t>
            </w:r>
            <w:r w:rsidR="00870DD9">
              <w:rPr>
                <w:rFonts w:ascii="Book Antiqua" w:eastAsia="Book Antiqua" w:hAnsi="Book Antiqua" w:cs="Book Antiqua"/>
                <w:color w:val="000000"/>
              </w:rPr>
              <w:t xml:space="preserve">.0 </w:t>
            </w:r>
            <w:r w:rsidRPr="00BD6AF7">
              <w:rPr>
                <w:rFonts w:ascii="Book Antiqua" w:eastAsia="Book Antiqua" w:hAnsi="Book Antiqua" w:cs="Book Antiqua"/>
                <w:color w:val="000000"/>
              </w:rPr>
              <w:t>(35</w:t>
            </w:r>
            <w:r w:rsidR="00870DD9">
              <w:rPr>
                <w:rFonts w:ascii="Book Antiqua" w:eastAsia="Book Antiqua" w:hAnsi="Book Antiqua" w:cs="Book Antiqua"/>
                <w:color w:val="000000"/>
              </w:rPr>
              <w:t>.0</w:t>
            </w:r>
            <w:r w:rsidRPr="00BD6AF7">
              <w:rPr>
                <w:rFonts w:ascii="Book Antiqua" w:hAnsi="Book Antiqua"/>
                <w:color w:val="000000"/>
              </w:rPr>
              <w:t>-</w:t>
            </w:r>
            <w:r w:rsidRPr="00BD6AF7">
              <w:rPr>
                <w:rFonts w:ascii="Book Antiqua" w:eastAsia="Book Antiqua" w:hAnsi="Book Antiqua" w:cs="Book Antiqua"/>
                <w:color w:val="000000"/>
              </w:rPr>
              <w:t>55</w:t>
            </w:r>
            <w:r w:rsidR="00870DD9">
              <w:rPr>
                <w:rFonts w:ascii="Book Antiqua" w:eastAsia="Book Antiqua" w:hAnsi="Book Antiqua" w:cs="Book Antiqua"/>
                <w:color w:val="000000"/>
              </w:rPr>
              <w:t>.0</w:t>
            </w:r>
            <w:r w:rsidRPr="00BD6AF7">
              <w:rPr>
                <w:rFonts w:ascii="Book Antiqua" w:eastAsia="Book Antiqua" w:hAnsi="Book Antiqua" w:cs="Book Antiqua"/>
                <w:color w:val="000000"/>
              </w:rPr>
              <w:t>)</w:t>
            </w:r>
          </w:p>
        </w:tc>
        <w:tc>
          <w:tcPr>
            <w:tcW w:w="1068" w:type="dxa"/>
            <w:shd w:val="clear" w:color="auto" w:fill="auto"/>
          </w:tcPr>
          <w:p w14:paraId="6C223560" w14:textId="26170BF4"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34</w:t>
            </w:r>
            <w:r w:rsidR="00870DD9">
              <w:rPr>
                <w:rFonts w:ascii="Book Antiqua" w:eastAsia="Book Antiqua" w:hAnsi="Book Antiqua" w:cs="Book Antiqua"/>
                <w:color w:val="000000"/>
              </w:rPr>
              <w:t>.0</w:t>
            </w:r>
            <w:r w:rsidRPr="00BD6AF7">
              <w:rPr>
                <w:rFonts w:ascii="Book Antiqua" w:eastAsia="Book Antiqua" w:hAnsi="Book Antiqua" w:cs="Book Antiqua"/>
                <w:color w:val="000000"/>
              </w:rPr>
              <w:t xml:space="preserve"> (28</w:t>
            </w:r>
            <w:r w:rsidR="00870DD9">
              <w:rPr>
                <w:rFonts w:ascii="Book Antiqua" w:eastAsia="Book Antiqua" w:hAnsi="Book Antiqua" w:cs="Book Antiqua"/>
                <w:color w:val="000000"/>
              </w:rPr>
              <w:t>.0</w:t>
            </w:r>
            <w:r w:rsidRPr="00BD6AF7">
              <w:rPr>
                <w:rFonts w:ascii="Book Antiqua" w:hAnsi="Book Antiqua"/>
                <w:color w:val="000000"/>
              </w:rPr>
              <w:t>-</w:t>
            </w:r>
            <w:r w:rsidRPr="00BD6AF7">
              <w:rPr>
                <w:rFonts w:ascii="Book Antiqua" w:eastAsia="Book Antiqua" w:hAnsi="Book Antiqua" w:cs="Book Antiqua"/>
                <w:color w:val="000000"/>
              </w:rPr>
              <w:t>50</w:t>
            </w:r>
            <w:r w:rsidR="00870DD9">
              <w:rPr>
                <w:rFonts w:ascii="Book Antiqua" w:eastAsia="Book Antiqua" w:hAnsi="Book Antiqua" w:cs="Book Antiqua"/>
                <w:color w:val="000000"/>
              </w:rPr>
              <w:t>.0</w:t>
            </w:r>
            <w:r w:rsidRPr="00BD6AF7">
              <w:rPr>
                <w:rFonts w:ascii="Book Antiqua" w:eastAsia="Book Antiqua" w:hAnsi="Book Antiqua" w:cs="Book Antiqua"/>
                <w:color w:val="000000"/>
              </w:rPr>
              <w:t>)</w:t>
            </w:r>
          </w:p>
        </w:tc>
        <w:tc>
          <w:tcPr>
            <w:tcW w:w="1031" w:type="dxa"/>
            <w:shd w:val="clear" w:color="auto" w:fill="auto"/>
          </w:tcPr>
          <w:p w14:paraId="77668341"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29.7 (23.5</w:t>
            </w:r>
            <w:r w:rsidRPr="00BD6AF7">
              <w:rPr>
                <w:rFonts w:ascii="Book Antiqua" w:hAnsi="Book Antiqua"/>
                <w:color w:val="000000"/>
              </w:rPr>
              <w:t>-</w:t>
            </w:r>
            <w:r w:rsidRPr="00BD6AF7">
              <w:rPr>
                <w:rFonts w:ascii="Book Antiqua" w:eastAsia="Book Antiqua" w:hAnsi="Book Antiqua" w:cs="Book Antiqua"/>
                <w:color w:val="000000"/>
              </w:rPr>
              <w:t>31.7)</w:t>
            </w:r>
          </w:p>
        </w:tc>
        <w:tc>
          <w:tcPr>
            <w:tcW w:w="1167" w:type="dxa"/>
            <w:shd w:val="clear" w:color="auto" w:fill="auto"/>
          </w:tcPr>
          <w:p w14:paraId="32C65DA9"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w:t>
            </w:r>
          </w:p>
        </w:tc>
        <w:tc>
          <w:tcPr>
            <w:tcW w:w="751" w:type="dxa"/>
            <w:shd w:val="clear" w:color="auto" w:fill="auto"/>
          </w:tcPr>
          <w:p w14:paraId="6E068D7F" w14:textId="6DD17247" w:rsidR="004E296F" w:rsidRPr="00BD6AF7" w:rsidRDefault="00703776" w:rsidP="00526EEF">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vertAlign w:val="superscript"/>
              </w:rPr>
              <w:t>a</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 0.005; </w:t>
            </w:r>
            <w:r w:rsidRPr="00BD6AF7">
              <w:rPr>
                <w:rFonts w:ascii="Book Antiqua" w:eastAsia="Book Antiqua" w:hAnsi="Book Antiqua" w:cs="Book Antiqua"/>
                <w:color w:val="000000"/>
                <w:vertAlign w:val="superscript"/>
              </w:rPr>
              <w:t>b</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 </w:t>
            </w:r>
            <w:r w:rsidRPr="00BD6AF7">
              <w:rPr>
                <w:rFonts w:ascii="Book Antiqua" w:eastAsia="Book Antiqua" w:hAnsi="Book Antiqua" w:cs="Book Antiqua"/>
                <w:color w:val="000000"/>
                <w:vertAlign w:val="superscript"/>
              </w:rPr>
              <w:t>c</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 0.003</w:t>
            </w:r>
          </w:p>
        </w:tc>
      </w:tr>
      <w:tr w:rsidR="004E296F" w:rsidRPr="00BD6AF7" w14:paraId="18AE1583" w14:textId="77777777">
        <w:trPr>
          <w:trHeight w:val="654"/>
        </w:trPr>
        <w:tc>
          <w:tcPr>
            <w:tcW w:w="2554" w:type="dxa"/>
            <w:gridSpan w:val="2"/>
            <w:shd w:val="clear" w:color="auto" w:fill="auto"/>
          </w:tcPr>
          <w:p w14:paraId="2213A4F9" w14:textId="1719F5A5"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 xml:space="preserve">AST (IU/L), </w:t>
            </w:r>
            <w:r w:rsidR="00203887">
              <w:rPr>
                <w:rFonts w:ascii="Book Antiqua" w:eastAsia="Book Antiqua" w:hAnsi="Book Antiqua" w:cs="Book Antiqua"/>
                <w:color w:val="000000"/>
              </w:rPr>
              <w:t>m</w:t>
            </w:r>
            <w:r w:rsidRPr="00BD6AF7">
              <w:rPr>
                <w:rFonts w:ascii="Book Antiqua" w:eastAsia="Book Antiqua" w:hAnsi="Book Antiqua" w:cs="Book Antiqua"/>
                <w:color w:val="000000"/>
              </w:rPr>
              <w:t>edian (IQR)</w:t>
            </w:r>
          </w:p>
        </w:tc>
        <w:tc>
          <w:tcPr>
            <w:tcW w:w="998" w:type="dxa"/>
            <w:shd w:val="clear" w:color="auto" w:fill="auto"/>
          </w:tcPr>
          <w:p w14:paraId="66ACB587" w14:textId="63F1AC14"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52</w:t>
            </w:r>
            <w:r w:rsidR="00870DD9">
              <w:rPr>
                <w:rFonts w:ascii="Book Antiqua" w:eastAsia="Book Antiqua" w:hAnsi="Book Antiqua" w:cs="Book Antiqua"/>
                <w:color w:val="000000"/>
              </w:rPr>
              <w:t>.0</w:t>
            </w:r>
            <w:r w:rsidRPr="00BD6AF7">
              <w:rPr>
                <w:rFonts w:ascii="Book Antiqua" w:eastAsia="Book Antiqua" w:hAnsi="Book Antiqua" w:cs="Book Antiqua"/>
                <w:color w:val="000000"/>
              </w:rPr>
              <w:t xml:space="preserve"> (39</w:t>
            </w:r>
            <w:r w:rsidR="00870DD9">
              <w:rPr>
                <w:rFonts w:ascii="Book Antiqua" w:eastAsia="Book Antiqua" w:hAnsi="Book Antiqua" w:cs="Book Antiqua"/>
                <w:color w:val="000000"/>
              </w:rPr>
              <w:t>.0</w:t>
            </w:r>
            <w:r w:rsidRPr="00BD6AF7">
              <w:rPr>
                <w:rFonts w:ascii="Book Antiqua" w:eastAsia="Book Antiqua" w:hAnsi="Book Antiqua" w:cs="Book Antiqua"/>
                <w:color w:val="000000"/>
              </w:rPr>
              <w:t>-70</w:t>
            </w:r>
            <w:r w:rsidR="00870DD9">
              <w:rPr>
                <w:rFonts w:ascii="Book Antiqua" w:eastAsia="Book Antiqua" w:hAnsi="Book Antiqua" w:cs="Book Antiqua"/>
                <w:color w:val="000000"/>
              </w:rPr>
              <w:t>.0</w:t>
            </w:r>
            <w:r w:rsidRPr="00BD6AF7">
              <w:rPr>
                <w:rFonts w:ascii="Book Antiqua" w:eastAsia="Book Antiqua" w:hAnsi="Book Antiqua" w:cs="Book Antiqua"/>
                <w:color w:val="000000"/>
              </w:rPr>
              <w:t>)</w:t>
            </w:r>
          </w:p>
        </w:tc>
        <w:tc>
          <w:tcPr>
            <w:tcW w:w="1068" w:type="dxa"/>
            <w:shd w:val="clear" w:color="auto" w:fill="auto"/>
          </w:tcPr>
          <w:p w14:paraId="0ABCEA6A" w14:textId="78777E21"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42</w:t>
            </w:r>
            <w:r w:rsidR="00870DD9">
              <w:rPr>
                <w:rFonts w:ascii="Book Antiqua" w:eastAsia="Book Antiqua" w:hAnsi="Book Antiqua" w:cs="Book Antiqua"/>
                <w:color w:val="000000"/>
              </w:rPr>
              <w:t>.0</w:t>
            </w:r>
            <w:r w:rsidRPr="00BD6AF7">
              <w:rPr>
                <w:rFonts w:ascii="Book Antiqua" w:eastAsia="Book Antiqua" w:hAnsi="Book Antiqua" w:cs="Book Antiqua"/>
                <w:color w:val="000000"/>
              </w:rPr>
              <w:t xml:space="preserve"> (32</w:t>
            </w:r>
            <w:r w:rsidR="00870DD9">
              <w:rPr>
                <w:rFonts w:ascii="Book Antiqua" w:eastAsia="Book Antiqua" w:hAnsi="Book Antiqua" w:cs="Book Antiqua"/>
                <w:color w:val="000000"/>
              </w:rPr>
              <w:t>.0</w:t>
            </w:r>
            <w:r w:rsidRPr="00BD6AF7">
              <w:rPr>
                <w:rFonts w:ascii="Book Antiqua" w:eastAsia="Book Antiqua" w:hAnsi="Book Antiqua" w:cs="Book Antiqua"/>
                <w:color w:val="000000"/>
              </w:rPr>
              <w:t>-57</w:t>
            </w:r>
            <w:r w:rsidR="00870DD9">
              <w:rPr>
                <w:rFonts w:ascii="Book Antiqua" w:eastAsia="Book Antiqua" w:hAnsi="Book Antiqua" w:cs="Book Antiqua"/>
                <w:color w:val="000000"/>
              </w:rPr>
              <w:t>.0</w:t>
            </w:r>
            <w:r w:rsidRPr="00BD6AF7">
              <w:rPr>
                <w:rFonts w:ascii="Book Antiqua" w:eastAsia="Book Antiqua" w:hAnsi="Book Antiqua" w:cs="Book Antiqua"/>
                <w:color w:val="000000"/>
              </w:rPr>
              <w:t>)</w:t>
            </w:r>
          </w:p>
        </w:tc>
        <w:tc>
          <w:tcPr>
            <w:tcW w:w="1031" w:type="dxa"/>
            <w:shd w:val="clear" w:color="auto" w:fill="auto"/>
          </w:tcPr>
          <w:p w14:paraId="0C79AD57" w14:textId="3E8D79AA"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32.8 (30</w:t>
            </w:r>
            <w:r w:rsidR="00870DD9">
              <w:rPr>
                <w:rFonts w:ascii="Book Antiqua" w:eastAsia="Book Antiqua" w:hAnsi="Book Antiqua" w:cs="Book Antiqua"/>
                <w:color w:val="000000"/>
              </w:rPr>
              <w:t>.0</w:t>
            </w:r>
            <w:r w:rsidRPr="00BD6AF7">
              <w:rPr>
                <w:rFonts w:ascii="Book Antiqua" w:eastAsia="Book Antiqua" w:hAnsi="Book Antiqua" w:cs="Book Antiqua"/>
                <w:color w:val="000000"/>
              </w:rPr>
              <w:t>-36</w:t>
            </w:r>
            <w:r w:rsidR="00870DD9">
              <w:rPr>
                <w:rFonts w:ascii="Book Antiqua" w:eastAsia="Book Antiqua" w:hAnsi="Book Antiqua" w:cs="Book Antiqua"/>
                <w:color w:val="000000"/>
              </w:rPr>
              <w:t>.0</w:t>
            </w:r>
            <w:r w:rsidRPr="00BD6AF7">
              <w:rPr>
                <w:rFonts w:ascii="Book Antiqua" w:eastAsia="Book Antiqua" w:hAnsi="Book Antiqua" w:cs="Book Antiqua"/>
                <w:color w:val="000000"/>
              </w:rPr>
              <w:t>)</w:t>
            </w:r>
          </w:p>
        </w:tc>
        <w:tc>
          <w:tcPr>
            <w:tcW w:w="1167" w:type="dxa"/>
            <w:shd w:val="clear" w:color="auto" w:fill="auto"/>
          </w:tcPr>
          <w:p w14:paraId="32FBAB5D" w14:textId="77777777" w:rsidR="004E296F" w:rsidRPr="00BD6AF7" w:rsidRDefault="00703776" w:rsidP="00BD6AF7">
            <w:pPr>
              <w:spacing w:line="360" w:lineRule="auto"/>
              <w:jc w:val="both"/>
              <w:rPr>
                <w:rFonts w:ascii="Book Antiqua" w:eastAsia="Book Antiqua" w:hAnsi="Book Antiqua" w:cs="Book Antiqua"/>
                <w:i/>
                <w:color w:val="000000"/>
              </w:rPr>
            </w:pPr>
            <w:r w:rsidRPr="00BD6AF7">
              <w:rPr>
                <w:rFonts w:ascii="Book Antiqua" w:eastAsia="Book Antiqua" w:hAnsi="Book Antiqua" w:cs="Book Antiqua"/>
                <w:color w:val="000000"/>
              </w:rPr>
              <w:t>&lt; 0.001</w:t>
            </w:r>
          </w:p>
        </w:tc>
        <w:tc>
          <w:tcPr>
            <w:tcW w:w="751" w:type="dxa"/>
            <w:shd w:val="clear" w:color="auto" w:fill="auto"/>
          </w:tcPr>
          <w:p w14:paraId="3A4F8BAC" w14:textId="22811E5E" w:rsidR="004E296F" w:rsidRPr="00BD6AF7" w:rsidRDefault="00703776" w:rsidP="00526EEF">
            <w:pPr>
              <w:spacing w:line="360" w:lineRule="auto"/>
              <w:jc w:val="both"/>
              <w:rPr>
                <w:rFonts w:ascii="Book Antiqua" w:hAnsi="Book Antiqua"/>
                <w:color w:val="000000"/>
              </w:rPr>
            </w:pPr>
            <w:r w:rsidRPr="00BD6AF7">
              <w:rPr>
                <w:rFonts w:ascii="Book Antiqua" w:eastAsia="Book Antiqua" w:hAnsi="Book Antiqua" w:cs="Book Antiqua"/>
                <w:color w:val="000000"/>
                <w:vertAlign w:val="superscript"/>
              </w:rPr>
              <w:t>a</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 0.060; </w:t>
            </w:r>
            <w:r w:rsidRPr="00BD6AF7">
              <w:rPr>
                <w:rFonts w:ascii="Book Antiqua" w:eastAsia="Book Antiqua" w:hAnsi="Book Antiqua" w:cs="Book Antiqua"/>
                <w:color w:val="000000"/>
                <w:vertAlign w:val="superscript"/>
              </w:rPr>
              <w:t>b</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w:t>
            </w:r>
            <w:r w:rsidRPr="00BD6AF7">
              <w:rPr>
                <w:rFonts w:ascii="Book Antiqua" w:eastAsia="Book Antiqua" w:hAnsi="Book Antiqua" w:cs="Book Antiqua"/>
                <w:color w:val="000000"/>
              </w:rPr>
              <w:lastRenderedPageBreak/>
              <w:t xml:space="preserve">1; </w:t>
            </w:r>
            <w:r w:rsidRPr="00BD6AF7">
              <w:rPr>
                <w:rFonts w:ascii="Book Antiqua" w:eastAsia="Book Antiqua" w:hAnsi="Book Antiqua" w:cs="Book Antiqua"/>
                <w:color w:val="000000"/>
                <w:vertAlign w:val="superscript"/>
              </w:rPr>
              <w:t>c</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w:t>
            </w:r>
          </w:p>
        </w:tc>
      </w:tr>
      <w:tr w:rsidR="004E296F" w:rsidRPr="00BD6AF7" w14:paraId="161725CC" w14:textId="77777777">
        <w:trPr>
          <w:trHeight w:val="624"/>
        </w:trPr>
        <w:tc>
          <w:tcPr>
            <w:tcW w:w="2554" w:type="dxa"/>
            <w:gridSpan w:val="2"/>
            <w:shd w:val="clear" w:color="auto" w:fill="auto"/>
          </w:tcPr>
          <w:p w14:paraId="697BF5C3"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lastRenderedPageBreak/>
              <w:t>Hb (mg/dL), mean ± SD</w:t>
            </w:r>
          </w:p>
        </w:tc>
        <w:tc>
          <w:tcPr>
            <w:tcW w:w="998" w:type="dxa"/>
            <w:shd w:val="clear" w:color="auto" w:fill="auto"/>
          </w:tcPr>
          <w:p w14:paraId="53903C5D"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 xml:space="preserve">13.1 </w:t>
            </w:r>
            <w:r w:rsidRPr="00BD6AF7">
              <w:rPr>
                <w:rFonts w:ascii="Book Antiqua" w:hAnsi="Book Antiqua"/>
                <w:color w:val="000000"/>
              </w:rPr>
              <w:t>±</w:t>
            </w:r>
            <w:r w:rsidRPr="00BD6AF7">
              <w:rPr>
                <w:rFonts w:ascii="Book Antiqua" w:eastAsia="Book Antiqua" w:hAnsi="Book Antiqua" w:cs="Book Antiqua"/>
                <w:color w:val="000000"/>
              </w:rPr>
              <w:t xml:space="preserve"> 1.7</w:t>
            </w:r>
          </w:p>
        </w:tc>
        <w:tc>
          <w:tcPr>
            <w:tcW w:w="1068" w:type="dxa"/>
            <w:shd w:val="clear" w:color="auto" w:fill="auto"/>
          </w:tcPr>
          <w:p w14:paraId="5F68A5A8"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 xml:space="preserve">12.5 </w:t>
            </w:r>
            <w:r w:rsidRPr="00BD6AF7">
              <w:rPr>
                <w:rFonts w:ascii="Book Antiqua" w:hAnsi="Book Antiqua"/>
                <w:color w:val="000000"/>
              </w:rPr>
              <w:t>±</w:t>
            </w:r>
            <w:r w:rsidRPr="00BD6AF7">
              <w:rPr>
                <w:rFonts w:ascii="Book Antiqua" w:eastAsia="Book Antiqua" w:hAnsi="Book Antiqua" w:cs="Book Antiqua"/>
                <w:color w:val="000000"/>
              </w:rPr>
              <w:t xml:space="preserve"> 1.6</w:t>
            </w:r>
          </w:p>
        </w:tc>
        <w:tc>
          <w:tcPr>
            <w:tcW w:w="1031" w:type="dxa"/>
            <w:shd w:val="clear" w:color="auto" w:fill="auto"/>
          </w:tcPr>
          <w:p w14:paraId="4CA8111F" w14:textId="7CEDBCB8"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 xml:space="preserve">13.5 </w:t>
            </w:r>
            <w:r w:rsidRPr="00BD6AF7">
              <w:rPr>
                <w:rFonts w:ascii="Book Antiqua" w:hAnsi="Book Antiqua"/>
                <w:color w:val="000000"/>
              </w:rPr>
              <w:t>±</w:t>
            </w:r>
            <w:r w:rsidRPr="00BD6AF7">
              <w:rPr>
                <w:rFonts w:ascii="Book Antiqua" w:eastAsia="Book Antiqua" w:hAnsi="Book Antiqua" w:cs="Book Antiqua"/>
                <w:color w:val="000000"/>
              </w:rPr>
              <w:t xml:space="preserve"> 1</w:t>
            </w:r>
            <w:r w:rsidR="00870DD9">
              <w:rPr>
                <w:rFonts w:ascii="Book Antiqua" w:eastAsia="Book Antiqua" w:hAnsi="Book Antiqua" w:cs="Book Antiqua"/>
                <w:color w:val="000000"/>
              </w:rPr>
              <w:t>.0</w:t>
            </w:r>
          </w:p>
        </w:tc>
        <w:tc>
          <w:tcPr>
            <w:tcW w:w="1167" w:type="dxa"/>
            <w:shd w:val="clear" w:color="auto" w:fill="auto"/>
          </w:tcPr>
          <w:p w14:paraId="66A5AC19"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0.025</w:t>
            </w:r>
          </w:p>
        </w:tc>
        <w:tc>
          <w:tcPr>
            <w:tcW w:w="751" w:type="dxa"/>
            <w:shd w:val="clear" w:color="auto" w:fill="auto"/>
          </w:tcPr>
          <w:p w14:paraId="574BE82F" w14:textId="3C028A5D" w:rsidR="004E296F" w:rsidRPr="00BD6AF7" w:rsidRDefault="00703776" w:rsidP="00526EEF">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vertAlign w:val="superscript"/>
              </w:rPr>
              <w:t>a</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 0.260; </w:t>
            </w:r>
            <w:r w:rsidRPr="00BD6AF7">
              <w:rPr>
                <w:rFonts w:ascii="Book Antiqua" w:eastAsia="Book Antiqua" w:hAnsi="Book Antiqua" w:cs="Book Antiqua"/>
                <w:color w:val="000000"/>
                <w:vertAlign w:val="superscript"/>
              </w:rPr>
              <w:t>b</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 0.438; </w:t>
            </w:r>
            <w:r w:rsidRPr="00BD6AF7">
              <w:rPr>
                <w:rFonts w:ascii="Book Antiqua" w:eastAsia="Book Antiqua" w:hAnsi="Book Antiqua" w:cs="Book Antiqua"/>
                <w:color w:val="000000"/>
                <w:vertAlign w:val="superscript"/>
              </w:rPr>
              <w:t>c</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 0.019</w:t>
            </w:r>
          </w:p>
        </w:tc>
      </w:tr>
      <w:tr w:rsidR="004E296F" w:rsidRPr="00BD6AF7" w14:paraId="6B7D94AC" w14:textId="77777777">
        <w:trPr>
          <w:trHeight w:val="1519"/>
        </w:trPr>
        <w:tc>
          <w:tcPr>
            <w:tcW w:w="2554" w:type="dxa"/>
            <w:gridSpan w:val="2"/>
            <w:shd w:val="clear" w:color="auto" w:fill="auto"/>
          </w:tcPr>
          <w:p w14:paraId="1111CAF8" w14:textId="4882EC39"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 xml:space="preserve">Platelets, (× 10³/μL), </w:t>
            </w:r>
            <w:r w:rsidR="00203887">
              <w:rPr>
                <w:rFonts w:ascii="Book Antiqua" w:eastAsia="Book Antiqua" w:hAnsi="Book Antiqua" w:cs="Book Antiqua"/>
                <w:color w:val="000000"/>
              </w:rPr>
              <w:t>m</w:t>
            </w:r>
            <w:r w:rsidRPr="00BD6AF7">
              <w:rPr>
                <w:rFonts w:ascii="Book Antiqua" w:eastAsia="Book Antiqua" w:hAnsi="Book Antiqua" w:cs="Book Antiqua"/>
                <w:color w:val="000000"/>
              </w:rPr>
              <w:t>edian (IQR)</w:t>
            </w:r>
          </w:p>
        </w:tc>
        <w:tc>
          <w:tcPr>
            <w:tcW w:w="998" w:type="dxa"/>
            <w:shd w:val="clear" w:color="auto" w:fill="auto"/>
          </w:tcPr>
          <w:p w14:paraId="72A446FC" w14:textId="5C0A2D01"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141</w:t>
            </w:r>
            <w:r w:rsidR="00870DD9">
              <w:rPr>
                <w:rFonts w:ascii="Book Antiqua" w:eastAsia="Book Antiqua" w:hAnsi="Book Antiqua" w:cs="Book Antiqua"/>
                <w:color w:val="000000"/>
              </w:rPr>
              <w:t>.0</w:t>
            </w:r>
            <w:r w:rsidRPr="00BD6AF7">
              <w:rPr>
                <w:rFonts w:ascii="Book Antiqua" w:eastAsia="Book Antiqua" w:hAnsi="Book Antiqua" w:cs="Book Antiqua"/>
                <w:color w:val="000000"/>
              </w:rPr>
              <w:t xml:space="preserve"> (104.5</w:t>
            </w:r>
            <w:r w:rsidRPr="00BD6AF7">
              <w:rPr>
                <w:rFonts w:ascii="Book Antiqua" w:hAnsi="Book Antiqua"/>
                <w:color w:val="000000"/>
              </w:rPr>
              <w:t>-</w:t>
            </w:r>
            <w:r w:rsidRPr="00BD6AF7">
              <w:rPr>
                <w:rFonts w:ascii="Book Antiqua" w:eastAsia="Book Antiqua" w:hAnsi="Book Antiqua" w:cs="Book Antiqua"/>
                <w:color w:val="000000"/>
              </w:rPr>
              <w:t>193.5)</w:t>
            </w:r>
          </w:p>
        </w:tc>
        <w:tc>
          <w:tcPr>
            <w:tcW w:w="1068" w:type="dxa"/>
            <w:shd w:val="clear" w:color="auto" w:fill="auto"/>
          </w:tcPr>
          <w:p w14:paraId="234428E9" w14:textId="113AC89F"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162</w:t>
            </w:r>
            <w:r w:rsidR="00870DD9">
              <w:rPr>
                <w:rFonts w:ascii="Book Antiqua" w:eastAsia="Book Antiqua" w:hAnsi="Book Antiqua" w:cs="Book Antiqua"/>
                <w:color w:val="000000"/>
              </w:rPr>
              <w:t>.0</w:t>
            </w:r>
            <w:r w:rsidRPr="00BD6AF7">
              <w:rPr>
                <w:rFonts w:ascii="Book Antiqua" w:eastAsia="Book Antiqua" w:hAnsi="Book Antiqua" w:cs="Book Antiqua"/>
                <w:color w:val="000000"/>
              </w:rPr>
              <w:t xml:space="preserve"> (134</w:t>
            </w:r>
            <w:r w:rsidR="00870DD9">
              <w:rPr>
                <w:rFonts w:ascii="Book Antiqua" w:eastAsia="Book Antiqua" w:hAnsi="Book Antiqua" w:cs="Book Antiqua"/>
                <w:color w:val="000000"/>
              </w:rPr>
              <w:t>.0</w:t>
            </w:r>
            <w:r w:rsidRPr="00BD6AF7">
              <w:rPr>
                <w:rFonts w:ascii="Book Antiqua" w:hAnsi="Book Antiqua"/>
                <w:color w:val="000000"/>
              </w:rPr>
              <w:t>-</w:t>
            </w:r>
            <w:r w:rsidRPr="00BD6AF7">
              <w:rPr>
                <w:rFonts w:ascii="Book Antiqua" w:eastAsia="Book Antiqua" w:hAnsi="Book Antiqua" w:cs="Book Antiqua"/>
                <w:color w:val="000000"/>
              </w:rPr>
              <w:t>213</w:t>
            </w:r>
            <w:r w:rsidR="00870DD9">
              <w:rPr>
                <w:rFonts w:ascii="Book Antiqua" w:eastAsia="Book Antiqua" w:hAnsi="Book Antiqua" w:cs="Book Antiqua"/>
                <w:color w:val="000000"/>
              </w:rPr>
              <w:t>.0</w:t>
            </w:r>
            <w:r w:rsidRPr="00BD6AF7">
              <w:rPr>
                <w:rFonts w:ascii="Book Antiqua" w:eastAsia="Book Antiqua" w:hAnsi="Book Antiqua" w:cs="Book Antiqua"/>
                <w:color w:val="000000"/>
              </w:rPr>
              <w:t>)</w:t>
            </w:r>
          </w:p>
        </w:tc>
        <w:tc>
          <w:tcPr>
            <w:tcW w:w="1031" w:type="dxa"/>
            <w:shd w:val="clear" w:color="auto" w:fill="auto"/>
          </w:tcPr>
          <w:p w14:paraId="08E233C3" w14:textId="0B16C799"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197.5 (180.5</w:t>
            </w:r>
            <w:r w:rsidRPr="00BD6AF7">
              <w:rPr>
                <w:rFonts w:ascii="Book Antiqua" w:hAnsi="Book Antiqua"/>
                <w:color w:val="000000"/>
              </w:rPr>
              <w:t>-</w:t>
            </w:r>
            <w:r w:rsidRPr="00BD6AF7">
              <w:rPr>
                <w:rFonts w:ascii="Book Antiqua" w:eastAsia="Book Antiqua" w:hAnsi="Book Antiqua" w:cs="Book Antiqua"/>
                <w:color w:val="000000"/>
              </w:rPr>
              <w:t>246</w:t>
            </w:r>
            <w:r w:rsidR="00870DD9">
              <w:rPr>
                <w:rFonts w:ascii="Book Antiqua" w:eastAsia="Book Antiqua" w:hAnsi="Book Antiqua" w:cs="Book Antiqua"/>
                <w:color w:val="000000"/>
              </w:rPr>
              <w:t>.0</w:t>
            </w:r>
            <w:r w:rsidRPr="00BD6AF7">
              <w:rPr>
                <w:rFonts w:ascii="Book Antiqua" w:eastAsia="Book Antiqua" w:hAnsi="Book Antiqua" w:cs="Book Antiqua"/>
                <w:color w:val="000000"/>
              </w:rPr>
              <w:t>)</w:t>
            </w:r>
          </w:p>
        </w:tc>
        <w:tc>
          <w:tcPr>
            <w:tcW w:w="1167" w:type="dxa"/>
            <w:shd w:val="clear" w:color="auto" w:fill="auto"/>
          </w:tcPr>
          <w:p w14:paraId="68E86D65"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0.002</w:t>
            </w:r>
          </w:p>
        </w:tc>
        <w:tc>
          <w:tcPr>
            <w:tcW w:w="751" w:type="dxa"/>
            <w:shd w:val="clear" w:color="auto" w:fill="auto"/>
          </w:tcPr>
          <w:p w14:paraId="5005042A" w14:textId="4B27FCA0" w:rsidR="004E296F" w:rsidRPr="00BD6AF7" w:rsidRDefault="00703776" w:rsidP="00526EEF">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vertAlign w:val="superscript"/>
              </w:rPr>
              <w:t>a</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 0.225; </w:t>
            </w:r>
            <w:r w:rsidRPr="00BD6AF7">
              <w:rPr>
                <w:rFonts w:ascii="Book Antiqua" w:eastAsia="Book Antiqua" w:hAnsi="Book Antiqua" w:cs="Book Antiqua"/>
                <w:color w:val="000000"/>
                <w:vertAlign w:val="superscript"/>
              </w:rPr>
              <w:t>b</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 </w:t>
            </w:r>
            <w:r w:rsidRPr="00BD6AF7">
              <w:rPr>
                <w:rFonts w:ascii="Book Antiqua" w:eastAsia="Book Antiqua" w:hAnsi="Book Antiqua" w:cs="Book Antiqua"/>
                <w:color w:val="000000"/>
                <w:vertAlign w:val="superscript"/>
              </w:rPr>
              <w:t>c</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 0.022</w:t>
            </w:r>
          </w:p>
        </w:tc>
      </w:tr>
      <w:tr w:rsidR="004E296F" w:rsidRPr="00BD6AF7" w14:paraId="3C937AD5" w14:textId="77777777">
        <w:trPr>
          <w:trHeight w:val="936"/>
        </w:trPr>
        <w:tc>
          <w:tcPr>
            <w:tcW w:w="2554" w:type="dxa"/>
            <w:gridSpan w:val="2"/>
            <w:shd w:val="clear" w:color="auto" w:fill="auto"/>
          </w:tcPr>
          <w:p w14:paraId="4BBD8D62"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Serum ALB (g/dL), mean ± SD</w:t>
            </w:r>
          </w:p>
        </w:tc>
        <w:tc>
          <w:tcPr>
            <w:tcW w:w="998" w:type="dxa"/>
            <w:shd w:val="clear" w:color="auto" w:fill="auto"/>
          </w:tcPr>
          <w:p w14:paraId="41E5CF07"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 xml:space="preserve">3.6 </w:t>
            </w:r>
            <w:r w:rsidRPr="00BD6AF7">
              <w:rPr>
                <w:rFonts w:ascii="Book Antiqua" w:hAnsi="Book Antiqua"/>
                <w:color w:val="000000"/>
              </w:rPr>
              <w:t>±</w:t>
            </w:r>
            <w:r w:rsidRPr="00BD6AF7">
              <w:rPr>
                <w:rFonts w:ascii="Book Antiqua" w:eastAsia="Book Antiqua" w:hAnsi="Book Antiqua" w:cs="Book Antiqua"/>
                <w:color w:val="000000"/>
              </w:rPr>
              <w:t xml:space="preserve"> 0.7</w:t>
            </w:r>
          </w:p>
        </w:tc>
        <w:tc>
          <w:tcPr>
            <w:tcW w:w="1068" w:type="dxa"/>
            <w:shd w:val="clear" w:color="auto" w:fill="auto"/>
          </w:tcPr>
          <w:p w14:paraId="284424FF"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 xml:space="preserve">3.8 </w:t>
            </w:r>
            <w:r w:rsidRPr="00BD6AF7">
              <w:rPr>
                <w:rFonts w:ascii="Book Antiqua" w:hAnsi="Book Antiqua"/>
                <w:color w:val="000000"/>
              </w:rPr>
              <w:t>±</w:t>
            </w:r>
            <w:r w:rsidRPr="00BD6AF7">
              <w:rPr>
                <w:rFonts w:ascii="Book Antiqua" w:eastAsia="Book Antiqua" w:hAnsi="Book Antiqua" w:cs="Book Antiqua"/>
                <w:color w:val="000000"/>
              </w:rPr>
              <w:t xml:space="preserve"> 0.6</w:t>
            </w:r>
          </w:p>
        </w:tc>
        <w:tc>
          <w:tcPr>
            <w:tcW w:w="1031" w:type="dxa"/>
            <w:shd w:val="clear" w:color="auto" w:fill="auto"/>
          </w:tcPr>
          <w:p w14:paraId="594C223A"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 xml:space="preserve">4.1 </w:t>
            </w:r>
            <w:r w:rsidRPr="00BD6AF7">
              <w:rPr>
                <w:rFonts w:ascii="Book Antiqua" w:hAnsi="Book Antiqua"/>
                <w:color w:val="000000"/>
              </w:rPr>
              <w:t>±</w:t>
            </w:r>
            <w:r w:rsidRPr="00BD6AF7">
              <w:rPr>
                <w:rFonts w:ascii="Book Antiqua" w:eastAsia="Book Antiqua" w:hAnsi="Book Antiqua" w:cs="Book Antiqua"/>
                <w:color w:val="000000"/>
              </w:rPr>
              <w:t xml:space="preserve"> 0.4</w:t>
            </w:r>
          </w:p>
        </w:tc>
        <w:tc>
          <w:tcPr>
            <w:tcW w:w="1167" w:type="dxa"/>
            <w:shd w:val="clear" w:color="auto" w:fill="auto"/>
          </w:tcPr>
          <w:p w14:paraId="58C9F1DF"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0.001</w:t>
            </w:r>
          </w:p>
        </w:tc>
        <w:tc>
          <w:tcPr>
            <w:tcW w:w="751" w:type="dxa"/>
            <w:shd w:val="clear" w:color="auto" w:fill="auto"/>
          </w:tcPr>
          <w:p w14:paraId="1F91EF3B" w14:textId="790AC746" w:rsidR="004E296F" w:rsidRPr="00BD6AF7" w:rsidRDefault="00703776" w:rsidP="00526EEF">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vertAlign w:val="superscript"/>
              </w:rPr>
              <w:t>a</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 0.382; </w:t>
            </w:r>
            <w:r w:rsidRPr="00BD6AF7">
              <w:rPr>
                <w:rFonts w:ascii="Book Antiqua" w:eastAsia="Book Antiqua" w:hAnsi="Book Antiqua" w:cs="Book Antiqua"/>
                <w:color w:val="000000"/>
                <w:vertAlign w:val="superscript"/>
              </w:rPr>
              <w:t>b</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 0.001; </w:t>
            </w:r>
            <w:r w:rsidRPr="00BD6AF7">
              <w:rPr>
                <w:rFonts w:ascii="Book Antiqua" w:eastAsia="Book Antiqua" w:hAnsi="Book Antiqua" w:cs="Book Antiqua"/>
                <w:color w:val="000000"/>
                <w:vertAlign w:val="superscript"/>
              </w:rPr>
              <w:t>c</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 </w:t>
            </w:r>
            <w:r w:rsidRPr="00BD6AF7">
              <w:rPr>
                <w:rFonts w:ascii="Book Antiqua" w:eastAsia="Book Antiqua" w:hAnsi="Book Antiqua" w:cs="Book Antiqua"/>
                <w:color w:val="000000"/>
              </w:rPr>
              <w:lastRenderedPageBreak/>
              <w:t>0.050</w:t>
            </w:r>
          </w:p>
        </w:tc>
      </w:tr>
      <w:tr w:rsidR="004E296F" w:rsidRPr="00BD6AF7" w14:paraId="1F481805" w14:textId="77777777">
        <w:trPr>
          <w:trHeight w:val="312"/>
        </w:trPr>
        <w:tc>
          <w:tcPr>
            <w:tcW w:w="2554" w:type="dxa"/>
            <w:gridSpan w:val="2"/>
            <w:shd w:val="clear" w:color="auto" w:fill="auto"/>
          </w:tcPr>
          <w:p w14:paraId="00DC1367"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lastRenderedPageBreak/>
              <w:t>INR, mean ± SD</w:t>
            </w:r>
          </w:p>
        </w:tc>
        <w:tc>
          <w:tcPr>
            <w:tcW w:w="998" w:type="dxa"/>
            <w:shd w:val="clear" w:color="auto" w:fill="auto"/>
          </w:tcPr>
          <w:p w14:paraId="15E0F79D"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 xml:space="preserve">1.3 </w:t>
            </w:r>
            <w:r w:rsidRPr="00BD6AF7">
              <w:rPr>
                <w:rFonts w:ascii="Book Antiqua" w:hAnsi="Book Antiqua"/>
                <w:color w:val="000000"/>
              </w:rPr>
              <w:t>±</w:t>
            </w:r>
            <w:r w:rsidRPr="00BD6AF7">
              <w:rPr>
                <w:rFonts w:ascii="Book Antiqua" w:eastAsia="Book Antiqua" w:hAnsi="Book Antiqua" w:cs="Book Antiqua"/>
                <w:color w:val="000000"/>
              </w:rPr>
              <w:t xml:space="preserve"> 0.2</w:t>
            </w:r>
          </w:p>
        </w:tc>
        <w:tc>
          <w:tcPr>
            <w:tcW w:w="1068" w:type="dxa"/>
            <w:shd w:val="clear" w:color="auto" w:fill="auto"/>
          </w:tcPr>
          <w:p w14:paraId="7288076B"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 xml:space="preserve">1.1 </w:t>
            </w:r>
            <w:r w:rsidRPr="00BD6AF7">
              <w:rPr>
                <w:rFonts w:ascii="Book Antiqua" w:hAnsi="Book Antiqua"/>
                <w:color w:val="000000"/>
              </w:rPr>
              <w:t>±</w:t>
            </w:r>
            <w:r w:rsidRPr="00BD6AF7">
              <w:rPr>
                <w:rFonts w:ascii="Book Antiqua" w:eastAsia="Book Antiqua" w:hAnsi="Book Antiqua" w:cs="Book Antiqua"/>
                <w:color w:val="000000"/>
              </w:rPr>
              <w:t xml:space="preserve"> 0.4</w:t>
            </w:r>
          </w:p>
        </w:tc>
        <w:tc>
          <w:tcPr>
            <w:tcW w:w="1031" w:type="dxa"/>
            <w:shd w:val="clear" w:color="auto" w:fill="auto"/>
          </w:tcPr>
          <w:p w14:paraId="679180DA"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 xml:space="preserve">0.8 </w:t>
            </w:r>
            <w:r w:rsidRPr="00BD6AF7">
              <w:rPr>
                <w:rFonts w:ascii="Book Antiqua" w:hAnsi="Book Antiqua"/>
                <w:color w:val="000000"/>
              </w:rPr>
              <w:t>±</w:t>
            </w:r>
            <w:r w:rsidRPr="00BD6AF7">
              <w:rPr>
                <w:rFonts w:ascii="Book Antiqua" w:eastAsia="Book Antiqua" w:hAnsi="Book Antiqua" w:cs="Book Antiqua"/>
                <w:color w:val="000000"/>
              </w:rPr>
              <w:t xml:space="preserve"> 0.2</w:t>
            </w:r>
          </w:p>
        </w:tc>
        <w:tc>
          <w:tcPr>
            <w:tcW w:w="1167" w:type="dxa"/>
            <w:shd w:val="clear" w:color="auto" w:fill="auto"/>
          </w:tcPr>
          <w:p w14:paraId="54091FDC"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&lt; 0.001</w:t>
            </w:r>
          </w:p>
        </w:tc>
        <w:tc>
          <w:tcPr>
            <w:tcW w:w="751" w:type="dxa"/>
            <w:shd w:val="clear" w:color="auto" w:fill="auto"/>
          </w:tcPr>
          <w:p w14:paraId="356C8571" w14:textId="62D40C41" w:rsidR="004E296F" w:rsidRPr="00BD6AF7" w:rsidRDefault="00703776" w:rsidP="00526EEF">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vertAlign w:val="superscript"/>
              </w:rPr>
              <w:t>a</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 0.002; </w:t>
            </w:r>
            <w:r w:rsidRPr="00BD6AF7">
              <w:rPr>
                <w:rFonts w:ascii="Book Antiqua" w:eastAsia="Book Antiqua" w:hAnsi="Book Antiqua" w:cs="Book Antiqua"/>
                <w:color w:val="000000"/>
                <w:vertAlign w:val="superscript"/>
              </w:rPr>
              <w:t>b</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 0.001; </w:t>
            </w:r>
            <w:r w:rsidRPr="00BD6AF7">
              <w:rPr>
                <w:rFonts w:ascii="Book Antiqua" w:eastAsia="Book Antiqua" w:hAnsi="Book Antiqua" w:cs="Book Antiqua"/>
                <w:color w:val="000000"/>
                <w:vertAlign w:val="superscript"/>
              </w:rPr>
              <w:t>c</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 0.001</w:t>
            </w:r>
          </w:p>
        </w:tc>
      </w:tr>
      <w:tr w:rsidR="004E296F" w:rsidRPr="00BD6AF7" w14:paraId="1C4BEFBB" w14:textId="77777777">
        <w:trPr>
          <w:trHeight w:val="1248"/>
        </w:trPr>
        <w:tc>
          <w:tcPr>
            <w:tcW w:w="2554" w:type="dxa"/>
            <w:gridSpan w:val="2"/>
            <w:shd w:val="clear" w:color="auto" w:fill="auto"/>
          </w:tcPr>
          <w:p w14:paraId="2BCE34BC" w14:textId="7BE708A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 xml:space="preserve">α-fetoprotein (ng/mL), </w:t>
            </w:r>
            <w:r w:rsidR="00203887">
              <w:rPr>
                <w:rFonts w:ascii="Book Antiqua" w:eastAsia="Book Antiqua" w:hAnsi="Book Antiqua" w:cs="Book Antiqua"/>
                <w:color w:val="000000"/>
              </w:rPr>
              <w:t>m</w:t>
            </w:r>
            <w:r w:rsidRPr="00BD6AF7">
              <w:rPr>
                <w:rFonts w:ascii="Book Antiqua" w:eastAsia="Book Antiqua" w:hAnsi="Book Antiqua" w:cs="Book Antiqua"/>
                <w:color w:val="000000"/>
              </w:rPr>
              <w:t>edian (IQR)</w:t>
            </w:r>
          </w:p>
        </w:tc>
        <w:tc>
          <w:tcPr>
            <w:tcW w:w="998" w:type="dxa"/>
            <w:shd w:val="clear" w:color="auto" w:fill="auto"/>
          </w:tcPr>
          <w:p w14:paraId="20C9DDA0" w14:textId="41DAA76F"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240</w:t>
            </w:r>
            <w:r w:rsidR="00870DD9">
              <w:rPr>
                <w:rFonts w:ascii="Book Antiqua" w:eastAsia="Book Antiqua" w:hAnsi="Book Antiqua" w:cs="Book Antiqua"/>
                <w:color w:val="000000"/>
              </w:rPr>
              <w:t>.0</w:t>
            </w:r>
            <w:r w:rsidRPr="00BD6AF7">
              <w:rPr>
                <w:rFonts w:ascii="Book Antiqua" w:eastAsia="Book Antiqua" w:hAnsi="Book Antiqua" w:cs="Book Antiqua"/>
                <w:color w:val="000000"/>
              </w:rPr>
              <w:t xml:space="preserve"> (28.2</w:t>
            </w:r>
            <w:r w:rsidRPr="00BD6AF7">
              <w:rPr>
                <w:rFonts w:ascii="Book Antiqua" w:hAnsi="Book Antiqua"/>
                <w:color w:val="000000"/>
              </w:rPr>
              <w:t>-</w:t>
            </w:r>
            <w:r w:rsidRPr="00BD6AF7">
              <w:rPr>
                <w:rFonts w:ascii="Book Antiqua" w:eastAsia="Book Antiqua" w:hAnsi="Book Antiqua" w:cs="Book Antiqua"/>
                <w:color w:val="000000"/>
              </w:rPr>
              <w:t>635</w:t>
            </w:r>
            <w:r w:rsidR="00870DD9">
              <w:rPr>
                <w:rFonts w:ascii="Book Antiqua" w:eastAsia="Book Antiqua" w:hAnsi="Book Antiqua" w:cs="Book Antiqua"/>
                <w:color w:val="000000"/>
              </w:rPr>
              <w:t>.0</w:t>
            </w:r>
            <w:r w:rsidRPr="00BD6AF7">
              <w:rPr>
                <w:rFonts w:ascii="Book Antiqua" w:eastAsia="Book Antiqua" w:hAnsi="Book Antiqua" w:cs="Book Antiqua"/>
                <w:color w:val="000000"/>
              </w:rPr>
              <w:t>)</w:t>
            </w:r>
          </w:p>
        </w:tc>
        <w:tc>
          <w:tcPr>
            <w:tcW w:w="1068" w:type="dxa"/>
            <w:shd w:val="clear" w:color="auto" w:fill="auto"/>
          </w:tcPr>
          <w:p w14:paraId="7B4807FB" w14:textId="118DF39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124</w:t>
            </w:r>
            <w:r w:rsidR="00870DD9">
              <w:rPr>
                <w:rFonts w:ascii="Book Antiqua" w:eastAsia="Book Antiqua" w:hAnsi="Book Antiqua" w:cs="Book Antiqua"/>
                <w:color w:val="000000"/>
              </w:rPr>
              <w:t>.0</w:t>
            </w:r>
            <w:r w:rsidRPr="00BD6AF7">
              <w:rPr>
                <w:rFonts w:ascii="Book Antiqua" w:eastAsia="Book Antiqua" w:hAnsi="Book Antiqua" w:cs="Book Antiqua"/>
                <w:color w:val="000000"/>
              </w:rPr>
              <w:t xml:space="preserve"> (108.9</w:t>
            </w:r>
            <w:r w:rsidRPr="00BD6AF7">
              <w:rPr>
                <w:rFonts w:ascii="Book Antiqua" w:hAnsi="Book Antiqua"/>
                <w:color w:val="000000"/>
              </w:rPr>
              <w:t>-</w:t>
            </w:r>
            <w:r w:rsidRPr="00BD6AF7">
              <w:rPr>
                <w:rFonts w:ascii="Book Antiqua" w:eastAsia="Book Antiqua" w:hAnsi="Book Antiqua" w:cs="Book Antiqua"/>
                <w:color w:val="000000"/>
              </w:rPr>
              <w:t>166</w:t>
            </w:r>
            <w:r w:rsidR="00870DD9">
              <w:rPr>
                <w:rFonts w:ascii="Book Antiqua" w:eastAsia="Book Antiqua" w:hAnsi="Book Antiqua" w:cs="Book Antiqua"/>
                <w:color w:val="000000"/>
              </w:rPr>
              <w:t>.0</w:t>
            </w:r>
            <w:r w:rsidRPr="00BD6AF7">
              <w:rPr>
                <w:rFonts w:ascii="Book Antiqua" w:eastAsia="Book Antiqua" w:hAnsi="Book Antiqua" w:cs="Book Antiqua"/>
                <w:color w:val="000000"/>
              </w:rPr>
              <w:t>)</w:t>
            </w:r>
          </w:p>
        </w:tc>
        <w:tc>
          <w:tcPr>
            <w:tcW w:w="1031" w:type="dxa"/>
            <w:shd w:val="clear" w:color="auto" w:fill="auto"/>
          </w:tcPr>
          <w:p w14:paraId="1567259E" w14:textId="22900220"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17.4 (14</w:t>
            </w:r>
            <w:r w:rsidR="00870DD9">
              <w:rPr>
                <w:rFonts w:ascii="Book Antiqua" w:eastAsia="Book Antiqua" w:hAnsi="Book Antiqua" w:cs="Book Antiqua"/>
                <w:color w:val="000000"/>
              </w:rPr>
              <w:t>.0</w:t>
            </w:r>
            <w:r w:rsidRPr="00BD6AF7">
              <w:rPr>
                <w:rFonts w:ascii="Book Antiqua" w:hAnsi="Book Antiqua"/>
                <w:color w:val="000000"/>
              </w:rPr>
              <w:t>-</w:t>
            </w:r>
            <w:r w:rsidRPr="00BD6AF7">
              <w:rPr>
                <w:rFonts w:ascii="Book Antiqua" w:eastAsia="Book Antiqua" w:hAnsi="Book Antiqua" w:cs="Book Antiqua"/>
                <w:color w:val="000000"/>
              </w:rPr>
              <w:t>24</w:t>
            </w:r>
            <w:r w:rsidR="00870DD9">
              <w:rPr>
                <w:rFonts w:ascii="Book Antiqua" w:eastAsia="Book Antiqua" w:hAnsi="Book Antiqua" w:cs="Book Antiqua"/>
                <w:color w:val="000000"/>
              </w:rPr>
              <w:t>.0</w:t>
            </w:r>
            <w:r w:rsidRPr="00BD6AF7">
              <w:rPr>
                <w:rFonts w:ascii="Book Antiqua" w:eastAsia="Book Antiqua" w:hAnsi="Book Antiqua" w:cs="Book Antiqua"/>
                <w:color w:val="000000"/>
              </w:rPr>
              <w:t>)</w:t>
            </w:r>
          </w:p>
        </w:tc>
        <w:tc>
          <w:tcPr>
            <w:tcW w:w="1167" w:type="dxa"/>
            <w:shd w:val="clear" w:color="auto" w:fill="auto"/>
          </w:tcPr>
          <w:p w14:paraId="311AD493"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&lt; 0.001</w:t>
            </w:r>
          </w:p>
        </w:tc>
        <w:tc>
          <w:tcPr>
            <w:tcW w:w="751" w:type="dxa"/>
            <w:shd w:val="clear" w:color="auto" w:fill="auto"/>
          </w:tcPr>
          <w:p w14:paraId="32059C5A" w14:textId="6F496615" w:rsidR="004E296F" w:rsidRPr="00BD6AF7" w:rsidRDefault="00703776" w:rsidP="00526EEF">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vertAlign w:val="superscript"/>
              </w:rPr>
              <w:t>a</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 0.895; </w:t>
            </w:r>
            <w:r w:rsidRPr="00BD6AF7">
              <w:rPr>
                <w:rFonts w:ascii="Book Antiqua" w:eastAsia="Book Antiqua" w:hAnsi="Book Antiqua" w:cs="Book Antiqua"/>
                <w:color w:val="000000"/>
                <w:vertAlign w:val="superscript"/>
              </w:rPr>
              <w:t>b</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 </w:t>
            </w:r>
            <w:r w:rsidRPr="00BD6AF7">
              <w:rPr>
                <w:rFonts w:ascii="Book Antiqua" w:eastAsia="Book Antiqua" w:hAnsi="Book Antiqua" w:cs="Book Antiqua"/>
                <w:color w:val="000000"/>
                <w:vertAlign w:val="superscript"/>
              </w:rPr>
              <w:t>c</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w:t>
            </w:r>
          </w:p>
        </w:tc>
      </w:tr>
      <w:tr w:rsidR="004E296F" w:rsidRPr="00BD6AF7" w14:paraId="7BDE79B4" w14:textId="77777777">
        <w:trPr>
          <w:trHeight w:val="1248"/>
        </w:trPr>
        <w:tc>
          <w:tcPr>
            <w:tcW w:w="2554" w:type="dxa"/>
            <w:gridSpan w:val="2"/>
            <w:shd w:val="clear" w:color="auto" w:fill="auto"/>
          </w:tcPr>
          <w:p w14:paraId="283893E7" w14:textId="6DDE261E"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 xml:space="preserve">Endocan (pg/mL), </w:t>
            </w:r>
            <w:r w:rsidR="00203887">
              <w:rPr>
                <w:rFonts w:ascii="Book Antiqua" w:eastAsia="Book Antiqua" w:hAnsi="Book Antiqua" w:cs="Book Antiqua"/>
                <w:color w:val="000000"/>
              </w:rPr>
              <w:t>m</w:t>
            </w:r>
            <w:r w:rsidRPr="00BD6AF7">
              <w:rPr>
                <w:rFonts w:ascii="Book Antiqua" w:eastAsia="Book Antiqua" w:hAnsi="Book Antiqua" w:cs="Book Antiqua"/>
                <w:color w:val="000000"/>
              </w:rPr>
              <w:t>edian (IQR)</w:t>
            </w:r>
          </w:p>
        </w:tc>
        <w:tc>
          <w:tcPr>
            <w:tcW w:w="998" w:type="dxa"/>
            <w:shd w:val="clear" w:color="auto" w:fill="auto"/>
          </w:tcPr>
          <w:p w14:paraId="1D8EDCE3" w14:textId="639A604C"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3450</w:t>
            </w:r>
            <w:r w:rsidR="00870DD9">
              <w:rPr>
                <w:rFonts w:ascii="Book Antiqua" w:eastAsia="Book Antiqua" w:hAnsi="Book Antiqua" w:cs="Book Antiqua"/>
                <w:color w:val="000000"/>
              </w:rPr>
              <w:t>.0</w:t>
            </w:r>
            <w:r w:rsidRPr="00BD6AF7">
              <w:rPr>
                <w:rFonts w:ascii="Book Antiqua" w:eastAsia="Book Antiqua" w:hAnsi="Book Antiqua" w:cs="Book Antiqua"/>
                <w:color w:val="000000"/>
              </w:rPr>
              <w:t xml:space="preserve"> (3188.5</w:t>
            </w:r>
            <w:r w:rsidRPr="00BD6AF7">
              <w:rPr>
                <w:rFonts w:ascii="Book Antiqua" w:hAnsi="Book Antiqua"/>
                <w:color w:val="000000"/>
              </w:rPr>
              <w:t>-</w:t>
            </w:r>
            <w:r w:rsidRPr="00BD6AF7">
              <w:rPr>
                <w:rFonts w:ascii="Book Antiqua" w:eastAsia="Book Antiqua" w:hAnsi="Book Antiqua" w:cs="Book Antiqua"/>
                <w:color w:val="000000"/>
              </w:rPr>
              <w:t>4135</w:t>
            </w:r>
            <w:r w:rsidR="00870DD9">
              <w:rPr>
                <w:rFonts w:ascii="Book Antiqua" w:eastAsia="Book Antiqua" w:hAnsi="Book Antiqua" w:cs="Book Antiqua"/>
                <w:color w:val="000000"/>
              </w:rPr>
              <w:t>.0</w:t>
            </w:r>
            <w:r w:rsidRPr="00BD6AF7">
              <w:rPr>
                <w:rFonts w:ascii="Book Antiqua" w:eastAsia="Book Antiqua" w:hAnsi="Book Antiqua" w:cs="Book Antiqua"/>
                <w:color w:val="000000"/>
              </w:rPr>
              <w:t>)</w:t>
            </w:r>
          </w:p>
        </w:tc>
        <w:tc>
          <w:tcPr>
            <w:tcW w:w="1068" w:type="dxa"/>
            <w:shd w:val="clear" w:color="auto" w:fill="auto"/>
          </w:tcPr>
          <w:p w14:paraId="0CBCAD63" w14:textId="5EAB74B9"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1934</w:t>
            </w:r>
            <w:r w:rsidR="00870DD9">
              <w:rPr>
                <w:rFonts w:ascii="Book Antiqua" w:eastAsia="Book Antiqua" w:hAnsi="Book Antiqua" w:cs="Book Antiqua"/>
                <w:color w:val="000000"/>
              </w:rPr>
              <w:t>.0</w:t>
            </w:r>
            <w:r w:rsidRPr="00BD6AF7">
              <w:rPr>
                <w:rFonts w:ascii="Book Antiqua" w:eastAsia="Book Antiqua" w:hAnsi="Book Antiqua" w:cs="Book Antiqua"/>
                <w:color w:val="000000"/>
              </w:rPr>
              <w:t xml:space="preserve"> (1450</w:t>
            </w:r>
            <w:r w:rsidR="00870DD9">
              <w:rPr>
                <w:rFonts w:ascii="Book Antiqua" w:eastAsia="Book Antiqua" w:hAnsi="Book Antiqua" w:cs="Book Antiqua"/>
                <w:color w:val="000000"/>
              </w:rPr>
              <w:t>.0</w:t>
            </w:r>
            <w:r w:rsidRPr="00BD6AF7">
              <w:rPr>
                <w:rFonts w:ascii="Book Antiqua" w:hAnsi="Book Antiqua"/>
                <w:color w:val="000000"/>
              </w:rPr>
              <w:t>-</w:t>
            </w:r>
            <w:r w:rsidRPr="00BD6AF7">
              <w:rPr>
                <w:rFonts w:ascii="Book Antiqua" w:eastAsia="Book Antiqua" w:hAnsi="Book Antiqua" w:cs="Book Antiqua"/>
                <w:color w:val="000000"/>
              </w:rPr>
              <w:t>2257</w:t>
            </w:r>
            <w:r w:rsidR="00870DD9">
              <w:rPr>
                <w:rFonts w:ascii="Book Antiqua" w:eastAsia="Book Antiqua" w:hAnsi="Book Antiqua" w:cs="Book Antiqua"/>
                <w:color w:val="000000"/>
              </w:rPr>
              <w:t>.0</w:t>
            </w:r>
            <w:r w:rsidRPr="00BD6AF7">
              <w:rPr>
                <w:rFonts w:ascii="Book Antiqua" w:eastAsia="Book Antiqua" w:hAnsi="Book Antiqua" w:cs="Book Antiqua"/>
                <w:color w:val="000000"/>
              </w:rPr>
              <w:t>)</w:t>
            </w:r>
          </w:p>
        </w:tc>
        <w:tc>
          <w:tcPr>
            <w:tcW w:w="1031" w:type="dxa"/>
            <w:shd w:val="clear" w:color="auto" w:fill="auto"/>
          </w:tcPr>
          <w:p w14:paraId="3D5455EE" w14:textId="18C5D6E0"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878.5 (850</w:t>
            </w:r>
            <w:r w:rsidR="00870DD9">
              <w:rPr>
                <w:rFonts w:ascii="Book Antiqua" w:eastAsia="Book Antiqua" w:hAnsi="Book Antiqua" w:cs="Book Antiqua"/>
                <w:color w:val="000000"/>
              </w:rPr>
              <w:t>.0</w:t>
            </w:r>
            <w:r w:rsidRPr="00BD6AF7">
              <w:rPr>
                <w:rFonts w:ascii="Book Antiqua" w:hAnsi="Book Antiqua"/>
                <w:color w:val="000000"/>
              </w:rPr>
              <w:t>-</w:t>
            </w:r>
            <w:r w:rsidRPr="00BD6AF7">
              <w:rPr>
                <w:rFonts w:ascii="Book Antiqua" w:eastAsia="Book Antiqua" w:hAnsi="Book Antiqua" w:cs="Book Antiqua"/>
                <w:color w:val="000000"/>
              </w:rPr>
              <w:t>1188</w:t>
            </w:r>
            <w:r w:rsidR="00870DD9">
              <w:rPr>
                <w:rFonts w:ascii="Book Antiqua" w:eastAsia="Book Antiqua" w:hAnsi="Book Antiqua" w:cs="Book Antiqua"/>
                <w:color w:val="000000"/>
              </w:rPr>
              <w:t>.0</w:t>
            </w:r>
            <w:r w:rsidRPr="00BD6AF7">
              <w:rPr>
                <w:rFonts w:ascii="Book Antiqua" w:eastAsia="Book Antiqua" w:hAnsi="Book Antiqua" w:cs="Book Antiqua"/>
                <w:color w:val="000000"/>
              </w:rPr>
              <w:t>)</w:t>
            </w:r>
          </w:p>
        </w:tc>
        <w:tc>
          <w:tcPr>
            <w:tcW w:w="1167" w:type="dxa"/>
            <w:shd w:val="clear" w:color="auto" w:fill="auto"/>
          </w:tcPr>
          <w:p w14:paraId="67715051"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&lt; 0.001</w:t>
            </w:r>
          </w:p>
        </w:tc>
        <w:tc>
          <w:tcPr>
            <w:tcW w:w="751" w:type="dxa"/>
            <w:shd w:val="clear" w:color="auto" w:fill="auto"/>
          </w:tcPr>
          <w:p w14:paraId="7187A554" w14:textId="2624CE33" w:rsidR="004E296F" w:rsidRPr="00BD6AF7" w:rsidRDefault="00703776" w:rsidP="00526EEF">
            <w:pPr>
              <w:spacing w:line="360" w:lineRule="auto"/>
              <w:jc w:val="both"/>
              <w:rPr>
                <w:rFonts w:ascii="Book Antiqua" w:eastAsia="Book Antiqua" w:hAnsi="Book Antiqua" w:cs="Book Antiqua"/>
                <w:color w:val="000000"/>
                <w:vertAlign w:val="superscript"/>
              </w:rPr>
            </w:pPr>
            <w:r w:rsidRPr="00BD6AF7">
              <w:rPr>
                <w:rFonts w:ascii="Book Antiqua" w:eastAsia="Book Antiqua" w:hAnsi="Book Antiqua" w:cs="Book Antiqua"/>
                <w:color w:val="000000"/>
                <w:vertAlign w:val="superscript"/>
              </w:rPr>
              <w:t>a</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 </w:t>
            </w:r>
            <w:r w:rsidRPr="00BD6AF7">
              <w:rPr>
                <w:rFonts w:ascii="Book Antiqua" w:eastAsia="Book Antiqua" w:hAnsi="Book Antiqua" w:cs="Book Antiqua"/>
                <w:color w:val="000000"/>
                <w:vertAlign w:val="superscript"/>
              </w:rPr>
              <w:t>b</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 </w:t>
            </w:r>
            <w:r w:rsidRPr="00BD6AF7">
              <w:rPr>
                <w:rFonts w:ascii="Book Antiqua" w:eastAsia="Book Antiqua" w:hAnsi="Book Antiqua" w:cs="Book Antiqua"/>
                <w:color w:val="000000"/>
                <w:vertAlign w:val="superscript"/>
              </w:rPr>
              <w:t>c</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 0.001</w:t>
            </w:r>
          </w:p>
        </w:tc>
      </w:tr>
      <w:tr w:rsidR="004E296F" w:rsidRPr="00BD6AF7" w14:paraId="78DA5ED2" w14:textId="77777777">
        <w:trPr>
          <w:trHeight w:val="327"/>
        </w:trPr>
        <w:tc>
          <w:tcPr>
            <w:tcW w:w="1841" w:type="dxa"/>
            <w:tcBorders>
              <w:bottom w:val="single" w:sz="4" w:space="0" w:color="000000"/>
            </w:tcBorders>
            <w:shd w:val="clear" w:color="auto" w:fill="auto"/>
          </w:tcPr>
          <w:p w14:paraId="20EFE7B4" w14:textId="6D073199"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lastRenderedPageBreak/>
              <w:t xml:space="preserve">microRNA 9-3p, </w:t>
            </w:r>
            <w:r w:rsidR="00203887">
              <w:rPr>
                <w:rFonts w:ascii="Book Antiqua" w:eastAsia="Book Antiqua" w:hAnsi="Book Antiqua" w:cs="Book Antiqua"/>
                <w:color w:val="000000"/>
              </w:rPr>
              <w:t>m</w:t>
            </w:r>
            <w:r w:rsidRPr="00BD6AF7">
              <w:rPr>
                <w:rFonts w:ascii="Book Antiqua" w:eastAsia="Book Antiqua" w:hAnsi="Book Antiqua" w:cs="Book Antiqua"/>
                <w:color w:val="000000"/>
              </w:rPr>
              <w:t>edian (IQR)</w:t>
            </w:r>
          </w:p>
        </w:tc>
        <w:tc>
          <w:tcPr>
            <w:tcW w:w="713" w:type="dxa"/>
            <w:tcBorders>
              <w:bottom w:val="single" w:sz="4" w:space="0" w:color="000000"/>
            </w:tcBorders>
            <w:shd w:val="clear" w:color="auto" w:fill="auto"/>
          </w:tcPr>
          <w:p w14:paraId="2E989ADD" w14:textId="77777777" w:rsidR="004E296F" w:rsidRPr="00BD6AF7" w:rsidRDefault="004E296F" w:rsidP="00BD6AF7">
            <w:pPr>
              <w:spacing w:line="360" w:lineRule="auto"/>
              <w:jc w:val="both"/>
              <w:rPr>
                <w:rFonts w:ascii="Book Antiqua" w:eastAsia="Book Antiqua" w:hAnsi="Book Antiqua" w:cs="Book Antiqua"/>
                <w:color w:val="000000"/>
              </w:rPr>
            </w:pPr>
          </w:p>
        </w:tc>
        <w:tc>
          <w:tcPr>
            <w:tcW w:w="998" w:type="dxa"/>
            <w:tcBorders>
              <w:bottom w:val="single" w:sz="4" w:space="0" w:color="000000"/>
            </w:tcBorders>
            <w:shd w:val="clear" w:color="auto" w:fill="auto"/>
          </w:tcPr>
          <w:p w14:paraId="2F79EC26"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0.03 (0.02</w:t>
            </w:r>
            <w:r w:rsidRPr="00BD6AF7">
              <w:rPr>
                <w:rFonts w:ascii="Book Antiqua" w:hAnsi="Book Antiqua"/>
                <w:color w:val="000000"/>
              </w:rPr>
              <w:t>-</w:t>
            </w:r>
            <w:r w:rsidRPr="00BD6AF7">
              <w:rPr>
                <w:rFonts w:ascii="Book Antiqua" w:eastAsia="Book Antiqua" w:hAnsi="Book Antiqua" w:cs="Book Antiqua"/>
                <w:color w:val="000000"/>
              </w:rPr>
              <w:t>0.05)</w:t>
            </w:r>
          </w:p>
        </w:tc>
        <w:tc>
          <w:tcPr>
            <w:tcW w:w="1068" w:type="dxa"/>
            <w:tcBorders>
              <w:bottom w:val="single" w:sz="4" w:space="0" w:color="000000"/>
            </w:tcBorders>
            <w:shd w:val="clear" w:color="auto" w:fill="auto"/>
          </w:tcPr>
          <w:p w14:paraId="73653BCD"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0.42 (0.29</w:t>
            </w:r>
            <w:r w:rsidRPr="00BD6AF7">
              <w:rPr>
                <w:rFonts w:ascii="Book Antiqua" w:hAnsi="Book Antiqua"/>
                <w:color w:val="000000"/>
              </w:rPr>
              <w:t>-</w:t>
            </w:r>
            <w:r w:rsidRPr="00BD6AF7">
              <w:rPr>
                <w:rFonts w:ascii="Book Antiqua" w:eastAsia="Book Antiqua" w:hAnsi="Book Antiqua" w:cs="Book Antiqua"/>
                <w:color w:val="000000"/>
              </w:rPr>
              <w:t>1.35)</w:t>
            </w:r>
          </w:p>
        </w:tc>
        <w:tc>
          <w:tcPr>
            <w:tcW w:w="1031" w:type="dxa"/>
            <w:tcBorders>
              <w:bottom w:val="single" w:sz="4" w:space="0" w:color="000000"/>
            </w:tcBorders>
            <w:shd w:val="clear" w:color="auto" w:fill="auto"/>
          </w:tcPr>
          <w:p w14:paraId="0DB42B0D" w14:textId="78D10DDD"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1.7</w:t>
            </w:r>
            <w:r w:rsidR="00870DD9">
              <w:rPr>
                <w:rFonts w:ascii="Book Antiqua" w:eastAsia="Book Antiqua" w:hAnsi="Book Antiqua" w:cs="Book Antiqua"/>
                <w:color w:val="000000"/>
              </w:rPr>
              <w:t>0</w:t>
            </w:r>
            <w:r w:rsidRPr="00BD6AF7">
              <w:rPr>
                <w:rFonts w:ascii="Book Antiqua" w:eastAsia="Book Antiqua" w:hAnsi="Book Antiqua" w:cs="Book Antiqua"/>
                <w:color w:val="000000"/>
              </w:rPr>
              <w:t xml:space="preserve"> (1.40</w:t>
            </w:r>
            <w:r w:rsidRPr="00BD6AF7">
              <w:rPr>
                <w:rFonts w:ascii="Book Antiqua" w:hAnsi="Book Antiqua"/>
                <w:color w:val="000000"/>
              </w:rPr>
              <w:t>-</w:t>
            </w:r>
            <w:r w:rsidRPr="00BD6AF7">
              <w:rPr>
                <w:rFonts w:ascii="Book Antiqua" w:eastAsia="Book Antiqua" w:hAnsi="Book Antiqua" w:cs="Book Antiqua"/>
                <w:color w:val="000000"/>
              </w:rPr>
              <w:t>2.15)</w:t>
            </w:r>
          </w:p>
        </w:tc>
        <w:tc>
          <w:tcPr>
            <w:tcW w:w="1167" w:type="dxa"/>
            <w:tcBorders>
              <w:bottom w:val="single" w:sz="4" w:space="0" w:color="000000"/>
            </w:tcBorders>
            <w:shd w:val="clear" w:color="auto" w:fill="auto"/>
          </w:tcPr>
          <w:p w14:paraId="53E443B3" w14:textId="77777777" w:rsidR="004E296F" w:rsidRPr="00BD6AF7" w:rsidRDefault="00703776" w:rsidP="00BD6AF7">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rPr>
              <w:t>&lt; 0.001</w:t>
            </w:r>
          </w:p>
        </w:tc>
        <w:tc>
          <w:tcPr>
            <w:tcW w:w="751" w:type="dxa"/>
            <w:tcBorders>
              <w:bottom w:val="single" w:sz="4" w:space="0" w:color="000000"/>
            </w:tcBorders>
            <w:shd w:val="clear" w:color="auto" w:fill="auto"/>
          </w:tcPr>
          <w:p w14:paraId="7AC5299D" w14:textId="42614390" w:rsidR="004E296F" w:rsidRPr="00BD6AF7" w:rsidRDefault="00703776" w:rsidP="00526EEF">
            <w:pPr>
              <w:spacing w:line="360" w:lineRule="auto"/>
              <w:jc w:val="both"/>
              <w:rPr>
                <w:rFonts w:ascii="Book Antiqua" w:eastAsia="Book Antiqua" w:hAnsi="Book Antiqua" w:cs="Book Antiqua"/>
                <w:color w:val="000000"/>
              </w:rPr>
            </w:pPr>
            <w:r w:rsidRPr="00BD6AF7">
              <w:rPr>
                <w:rFonts w:ascii="Book Antiqua" w:eastAsia="Book Antiqua" w:hAnsi="Book Antiqua" w:cs="Book Antiqua"/>
                <w:color w:val="000000"/>
                <w:vertAlign w:val="superscript"/>
              </w:rPr>
              <w:t>a</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 </w:t>
            </w:r>
            <w:r w:rsidRPr="00BD6AF7">
              <w:rPr>
                <w:rFonts w:ascii="Book Antiqua" w:eastAsia="Book Antiqua" w:hAnsi="Book Antiqua" w:cs="Book Antiqua"/>
                <w:color w:val="000000"/>
                <w:vertAlign w:val="superscript"/>
              </w:rPr>
              <w:t>b</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 </w:t>
            </w:r>
            <w:r w:rsidRPr="00BD6AF7">
              <w:rPr>
                <w:rFonts w:ascii="Book Antiqua" w:eastAsia="Book Antiqua" w:hAnsi="Book Antiqua" w:cs="Book Antiqua"/>
                <w:color w:val="000000"/>
                <w:vertAlign w:val="superscript"/>
              </w:rPr>
              <w:t>c</w:t>
            </w:r>
            <w:r w:rsidRPr="00BD6AF7">
              <w:rPr>
                <w:rFonts w:ascii="Book Antiqua" w:eastAsia="Book Antiqua" w:hAnsi="Book Antiqua" w:cs="Book Antiqua"/>
                <w:i/>
                <w:color w:val="000000"/>
              </w:rPr>
              <w:t>P</w:t>
            </w:r>
            <w:r w:rsidRPr="00BD6AF7">
              <w:rPr>
                <w:rFonts w:ascii="Book Antiqua" w:eastAsia="Book Antiqua" w:hAnsi="Book Antiqua" w:cs="Book Antiqua"/>
                <w:color w:val="000000"/>
              </w:rPr>
              <w:t xml:space="preserve"> &lt; 0.001</w:t>
            </w:r>
          </w:p>
        </w:tc>
      </w:tr>
    </w:tbl>
    <w:p w14:paraId="1AEECC72" w14:textId="323D73D9"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vertAlign w:val="superscript"/>
        </w:rPr>
        <w:t>a</w:t>
      </w:r>
      <w:r w:rsidRPr="00BD6AF7">
        <w:rPr>
          <w:rFonts w:ascii="Book Antiqua" w:eastAsia="Book Antiqua" w:hAnsi="Book Antiqua" w:cs="Book Antiqua"/>
          <w:i/>
        </w:rPr>
        <w:t>P</w:t>
      </w:r>
      <w:r w:rsidRPr="00BD6AF7">
        <w:rPr>
          <w:rFonts w:ascii="Book Antiqua" w:eastAsia="Book Antiqua" w:hAnsi="Book Antiqua" w:cs="Book Antiqua"/>
        </w:rPr>
        <w:t xml:space="preserve">: </w:t>
      </w:r>
      <w:r w:rsidRPr="00BD6AF7">
        <w:rPr>
          <w:rFonts w:ascii="Book Antiqua" w:eastAsia="Book Antiqua" w:hAnsi="Book Antiqua" w:cs="Book Antiqua"/>
          <w:i/>
        </w:rPr>
        <w:t>P</w:t>
      </w:r>
      <w:r w:rsidRPr="00BD6AF7">
        <w:rPr>
          <w:rFonts w:ascii="Book Antiqua" w:eastAsia="Book Antiqua" w:hAnsi="Book Antiqua" w:cs="Book Antiqua"/>
        </w:rPr>
        <w:t xml:space="preserve"> value for comparing between HCC and </w:t>
      </w:r>
      <w:r w:rsidRPr="00BD6AF7">
        <w:rPr>
          <w:rFonts w:ascii="Book Antiqua" w:eastAsia="Book Antiqua" w:hAnsi="Book Antiqua" w:cs="Book Antiqua"/>
          <w:color w:val="000000"/>
        </w:rPr>
        <w:t>chronic liver disease</w:t>
      </w:r>
      <w:r w:rsidRPr="00BD6AF7">
        <w:rPr>
          <w:rFonts w:ascii="Book Antiqua" w:eastAsia="Book Antiqua" w:hAnsi="Book Antiqua" w:cs="Book Antiqua"/>
        </w:rPr>
        <w:t>;</w:t>
      </w:r>
      <w:r w:rsidR="00870DD9">
        <w:rPr>
          <w:rFonts w:ascii="Book Antiqua" w:eastAsia="Book Antiqua" w:hAnsi="Book Antiqua" w:cs="Book Antiqua"/>
          <w:vertAlign w:val="superscript"/>
        </w:rPr>
        <w:t xml:space="preserve"> </w:t>
      </w:r>
      <w:r w:rsidRPr="00BD6AF7">
        <w:rPr>
          <w:rFonts w:ascii="Book Antiqua" w:eastAsia="Book Antiqua" w:hAnsi="Book Antiqua" w:cs="Book Antiqua"/>
          <w:vertAlign w:val="superscript"/>
        </w:rPr>
        <w:t>b</w:t>
      </w:r>
      <w:r w:rsidRPr="00BD6AF7">
        <w:rPr>
          <w:rFonts w:ascii="Book Antiqua" w:eastAsia="Book Antiqua" w:hAnsi="Book Antiqua" w:cs="Book Antiqua"/>
          <w:i/>
        </w:rPr>
        <w:t>P</w:t>
      </w:r>
      <w:r w:rsidRPr="00BD6AF7">
        <w:rPr>
          <w:rFonts w:ascii="Book Antiqua" w:eastAsia="Book Antiqua" w:hAnsi="Book Antiqua" w:cs="Book Antiqua"/>
        </w:rPr>
        <w:t xml:space="preserve">: </w:t>
      </w:r>
      <w:r w:rsidRPr="00BD6AF7">
        <w:rPr>
          <w:rFonts w:ascii="Book Antiqua" w:eastAsia="Book Antiqua" w:hAnsi="Book Antiqua" w:cs="Book Antiqua"/>
          <w:i/>
        </w:rPr>
        <w:t>P</w:t>
      </w:r>
      <w:r w:rsidRPr="00BD6AF7">
        <w:rPr>
          <w:rFonts w:ascii="Book Antiqua" w:eastAsia="Book Antiqua" w:hAnsi="Book Antiqua" w:cs="Book Antiqua"/>
        </w:rPr>
        <w:t xml:space="preserve"> value for comparing between HCC and control;</w:t>
      </w:r>
      <w:r w:rsidR="00870DD9">
        <w:rPr>
          <w:rFonts w:ascii="Book Antiqua" w:eastAsia="Book Antiqua" w:hAnsi="Book Antiqua" w:cs="Book Antiqua"/>
          <w:vertAlign w:val="superscript"/>
        </w:rPr>
        <w:t xml:space="preserve"> </w:t>
      </w:r>
      <w:r w:rsidRPr="00BD6AF7">
        <w:rPr>
          <w:rFonts w:ascii="Book Antiqua" w:eastAsia="Book Antiqua" w:hAnsi="Book Antiqua" w:cs="Book Antiqua"/>
          <w:vertAlign w:val="superscript"/>
        </w:rPr>
        <w:t>c</w:t>
      </w:r>
      <w:r w:rsidRPr="00BD6AF7">
        <w:rPr>
          <w:rFonts w:ascii="Book Antiqua" w:eastAsia="Book Antiqua" w:hAnsi="Book Antiqua" w:cs="Book Antiqua"/>
          <w:i/>
        </w:rPr>
        <w:t>P</w:t>
      </w:r>
      <w:r w:rsidRPr="00BD6AF7">
        <w:rPr>
          <w:rFonts w:ascii="Book Antiqua" w:eastAsia="Book Antiqua" w:hAnsi="Book Antiqua" w:cs="Book Antiqua"/>
        </w:rPr>
        <w:t xml:space="preserve">: </w:t>
      </w:r>
      <w:r w:rsidRPr="00BD6AF7">
        <w:rPr>
          <w:rFonts w:ascii="Book Antiqua" w:eastAsia="Book Antiqua" w:hAnsi="Book Antiqua" w:cs="Book Antiqua"/>
          <w:i/>
        </w:rPr>
        <w:t>P</w:t>
      </w:r>
      <w:r w:rsidRPr="00BD6AF7">
        <w:rPr>
          <w:rFonts w:ascii="Book Antiqua" w:eastAsia="Book Antiqua" w:hAnsi="Book Antiqua" w:cs="Book Antiqua"/>
        </w:rPr>
        <w:t xml:space="preserve"> value for comparing between </w:t>
      </w:r>
      <w:r w:rsidRPr="00BD6AF7">
        <w:rPr>
          <w:rFonts w:ascii="Book Antiqua" w:eastAsia="Book Antiqua" w:hAnsi="Book Antiqua" w:cs="Book Antiqua"/>
          <w:color w:val="000000"/>
        </w:rPr>
        <w:t>chronic liver disease</w:t>
      </w:r>
      <w:r w:rsidRPr="00BD6AF7">
        <w:rPr>
          <w:rFonts w:ascii="Book Antiqua" w:eastAsia="Book Antiqua" w:hAnsi="Book Antiqua" w:cs="Book Antiqua"/>
        </w:rPr>
        <w:t xml:space="preserve"> and control. Statistically significant at </w:t>
      </w:r>
      <w:r w:rsidRPr="00BD6AF7">
        <w:rPr>
          <w:rFonts w:ascii="Book Antiqua" w:eastAsia="Book Antiqua" w:hAnsi="Book Antiqua" w:cs="Book Antiqua"/>
          <w:i/>
        </w:rPr>
        <w:t>P</w:t>
      </w:r>
      <w:r w:rsidRPr="00BD6AF7">
        <w:rPr>
          <w:rFonts w:ascii="Book Antiqua" w:eastAsia="Book Antiqua" w:hAnsi="Book Antiqua" w:cs="Book Antiqua"/>
        </w:rPr>
        <w:t xml:space="preserve"> ≤ 0.05. SD: Standard deviation; AST: Aspartate aminotransferase; ALT: Alanine aminotransferase; Hb: Hemoglobin; ALB: Albumin; INR: International normalized ratio; </w:t>
      </w:r>
      <w:r w:rsidR="00870DD9">
        <w:rPr>
          <w:rFonts w:ascii="Book Antiqua" w:eastAsia="Book Antiqua" w:hAnsi="Book Antiqua" w:cs="Book Antiqua"/>
        </w:rPr>
        <w:t>HCC: Hepatocellular carcinoma; NS: Not significant; IQR: Interquartile range</w:t>
      </w:r>
      <w:r w:rsidRPr="00BD6AF7">
        <w:rPr>
          <w:rFonts w:ascii="Book Antiqua" w:eastAsia="Book Antiqua" w:hAnsi="Book Antiqua" w:cs="Book Antiqua"/>
        </w:rPr>
        <w:t xml:space="preserve">. </w:t>
      </w:r>
    </w:p>
    <w:p w14:paraId="5625EA35" w14:textId="334D21CF" w:rsidR="004E296F" w:rsidRPr="00BD6AF7" w:rsidRDefault="00703776" w:rsidP="00BD6AF7">
      <w:pPr>
        <w:spacing w:line="360" w:lineRule="auto"/>
        <w:jc w:val="both"/>
        <w:rPr>
          <w:rFonts w:ascii="Book Antiqua" w:eastAsia="Book Antiqua" w:hAnsi="Book Antiqua" w:cs="Book Antiqua"/>
          <w:b/>
        </w:rPr>
      </w:pPr>
      <w:r w:rsidRPr="00BD6AF7">
        <w:rPr>
          <w:rFonts w:ascii="Book Antiqua" w:hAnsi="Book Antiqua"/>
        </w:rPr>
        <w:br w:type="page"/>
      </w:r>
      <w:r w:rsidRPr="00BD6AF7">
        <w:rPr>
          <w:rFonts w:ascii="Book Antiqua" w:eastAsia="Book Antiqua" w:hAnsi="Book Antiqua" w:cs="Book Antiqua"/>
          <w:b/>
        </w:rPr>
        <w:lastRenderedPageBreak/>
        <w:t xml:space="preserve">Table 2 Clinical characteristics of tumors in the </w:t>
      </w:r>
      <w:r w:rsidR="00870DD9">
        <w:rPr>
          <w:rFonts w:ascii="Book Antiqua" w:eastAsia="Book Antiqua" w:hAnsi="Book Antiqua" w:cs="Book Antiqua"/>
          <w:b/>
        </w:rPr>
        <w:t>hepatocellular carcinoma</w:t>
      </w:r>
      <w:r w:rsidRPr="00BD6AF7">
        <w:rPr>
          <w:rFonts w:ascii="Book Antiqua" w:eastAsia="Book Antiqua" w:hAnsi="Book Antiqua" w:cs="Book Antiqua"/>
          <w:b/>
        </w:rPr>
        <w:t xml:space="preserve"> group</w:t>
      </w:r>
      <w:r w:rsidR="00FC58B7">
        <w:rPr>
          <w:rFonts w:ascii="Book Antiqua" w:eastAsia="Book Antiqua" w:hAnsi="Book Antiqua" w:cs="Book Antiqua"/>
          <w:b/>
        </w:rPr>
        <w:t>,</w:t>
      </w:r>
      <w:r w:rsidRPr="00BD6AF7">
        <w:rPr>
          <w:rFonts w:ascii="Book Antiqua" w:eastAsia="Book Antiqua" w:hAnsi="Book Antiqua" w:cs="Book Antiqua"/>
          <w:b/>
        </w:rPr>
        <w:t xml:space="preserve"> </w:t>
      </w:r>
      <w:r w:rsidRPr="00BD6AF7">
        <w:rPr>
          <w:rFonts w:ascii="Book Antiqua" w:eastAsia="Book Antiqua" w:hAnsi="Book Antiqua" w:cs="Book Antiqua"/>
          <w:b/>
          <w:i/>
        </w:rPr>
        <w:t>n</w:t>
      </w:r>
      <w:r w:rsidRPr="00BD6AF7">
        <w:rPr>
          <w:rFonts w:ascii="Book Antiqua" w:eastAsia="Book Antiqua" w:hAnsi="Book Antiqua" w:cs="Book Antiqua"/>
          <w:b/>
        </w:rPr>
        <w:t xml:space="preserve"> = 35</w:t>
      </w:r>
    </w:p>
    <w:tbl>
      <w:tblPr>
        <w:tblStyle w:val="a0"/>
        <w:tblW w:w="6265" w:type="dxa"/>
        <w:tblBorders>
          <w:top w:val="single" w:sz="12" w:space="0" w:color="000000"/>
          <w:left w:val="nil"/>
          <w:bottom w:val="single" w:sz="12" w:space="0" w:color="000000"/>
          <w:right w:val="nil"/>
          <w:insideH w:val="nil"/>
          <w:insideV w:val="nil"/>
        </w:tblBorders>
        <w:tblLayout w:type="fixed"/>
        <w:tblLook w:val="0400" w:firstRow="0" w:lastRow="0" w:firstColumn="0" w:lastColumn="0" w:noHBand="0" w:noVBand="1"/>
      </w:tblPr>
      <w:tblGrid>
        <w:gridCol w:w="3417"/>
        <w:gridCol w:w="2848"/>
      </w:tblGrid>
      <w:tr w:rsidR="004E296F" w:rsidRPr="00BD6AF7" w14:paraId="61D31273" w14:textId="77777777">
        <w:trPr>
          <w:trHeight w:val="287"/>
        </w:trPr>
        <w:tc>
          <w:tcPr>
            <w:tcW w:w="3417" w:type="dxa"/>
            <w:tcBorders>
              <w:bottom w:val="single" w:sz="4" w:space="0" w:color="000000"/>
            </w:tcBorders>
          </w:tcPr>
          <w:p w14:paraId="0796E752" w14:textId="77777777" w:rsidR="004E296F" w:rsidRPr="00BD6AF7" w:rsidRDefault="00703776" w:rsidP="00BD6AF7">
            <w:pPr>
              <w:spacing w:line="360" w:lineRule="auto"/>
              <w:jc w:val="both"/>
              <w:rPr>
                <w:rFonts w:ascii="Book Antiqua" w:eastAsia="Book Antiqua" w:hAnsi="Book Antiqua" w:cs="Book Antiqua"/>
                <w:b/>
              </w:rPr>
            </w:pPr>
            <w:r w:rsidRPr="00BD6AF7">
              <w:rPr>
                <w:rFonts w:ascii="Book Antiqua" w:eastAsia="Book Antiqua" w:hAnsi="Book Antiqua" w:cs="Book Antiqua"/>
                <w:b/>
              </w:rPr>
              <w:t>Number of the focal lesions</w:t>
            </w:r>
          </w:p>
        </w:tc>
        <w:tc>
          <w:tcPr>
            <w:tcW w:w="2848" w:type="dxa"/>
            <w:tcBorders>
              <w:bottom w:val="single" w:sz="4" w:space="0" w:color="000000"/>
            </w:tcBorders>
          </w:tcPr>
          <w:p w14:paraId="4334F620" w14:textId="77777777" w:rsidR="004E296F" w:rsidRPr="00BD6AF7" w:rsidRDefault="00703776" w:rsidP="00BD6AF7">
            <w:pPr>
              <w:spacing w:line="360" w:lineRule="auto"/>
              <w:jc w:val="both"/>
              <w:rPr>
                <w:rFonts w:ascii="Book Antiqua" w:eastAsia="Book Antiqua" w:hAnsi="Book Antiqua" w:cs="Book Antiqua"/>
                <w:b/>
              </w:rPr>
            </w:pPr>
            <w:r w:rsidRPr="00BD6AF7">
              <w:rPr>
                <w:rFonts w:ascii="Book Antiqua" w:eastAsia="Book Antiqua" w:hAnsi="Book Antiqua" w:cs="Book Antiqua"/>
                <w:b/>
                <w:i/>
              </w:rPr>
              <w:t xml:space="preserve"> n</w:t>
            </w:r>
            <w:r w:rsidRPr="00BD6AF7">
              <w:rPr>
                <w:rFonts w:ascii="Book Antiqua" w:eastAsia="Book Antiqua" w:hAnsi="Book Antiqua" w:cs="Book Antiqua"/>
                <w:b/>
              </w:rPr>
              <w:t xml:space="preserve"> (%)</w:t>
            </w:r>
          </w:p>
        </w:tc>
      </w:tr>
      <w:tr w:rsidR="004E296F" w:rsidRPr="00BD6AF7" w14:paraId="1CB4ED8E" w14:textId="77777777">
        <w:trPr>
          <w:trHeight w:val="301"/>
        </w:trPr>
        <w:tc>
          <w:tcPr>
            <w:tcW w:w="3417" w:type="dxa"/>
            <w:tcBorders>
              <w:top w:val="nil"/>
            </w:tcBorders>
          </w:tcPr>
          <w:p w14:paraId="7977A409"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Single</w:t>
            </w:r>
          </w:p>
        </w:tc>
        <w:tc>
          <w:tcPr>
            <w:tcW w:w="2848" w:type="dxa"/>
            <w:tcBorders>
              <w:top w:val="nil"/>
            </w:tcBorders>
          </w:tcPr>
          <w:p w14:paraId="7DDCDA70"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16 (45.7)</w:t>
            </w:r>
          </w:p>
        </w:tc>
      </w:tr>
      <w:tr w:rsidR="004E296F" w:rsidRPr="00BD6AF7" w14:paraId="66DAE7D9" w14:textId="77777777">
        <w:trPr>
          <w:trHeight w:val="287"/>
        </w:trPr>
        <w:tc>
          <w:tcPr>
            <w:tcW w:w="3417" w:type="dxa"/>
            <w:tcBorders>
              <w:bottom w:val="nil"/>
            </w:tcBorders>
          </w:tcPr>
          <w:p w14:paraId="640A2598"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Multiple</w:t>
            </w:r>
          </w:p>
        </w:tc>
        <w:tc>
          <w:tcPr>
            <w:tcW w:w="2848" w:type="dxa"/>
            <w:tcBorders>
              <w:bottom w:val="nil"/>
            </w:tcBorders>
          </w:tcPr>
          <w:p w14:paraId="74511D38"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19 (54.3)</w:t>
            </w:r>
          </w:p>
        </w:tc>
      </w:tr>
      <w:tr w:rsidR="004E296F" w:rsidRPr="00BD6AF7" w14:paraId="300BD9F7" w14:textId="77777777">
        <w:trPr>
          <w:trHeight w:val="301"/>
        </w:trPr>
        <w:tc>
          <w:tcPr>
            <w:tcW w:w="3417" w:type="dxa"/>
            <w:tcBorders>
              <w:top w:val="nil"/>
              <w:bottom w:val="nil"/>
            </w:tcBorders>
          </w:tcPr>
          <w:p w14:paraId="76FD6F6F" w14:textId="53BF6BEB"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 xml:space="preserve">Tumor size </w:t>
            </w:r>
            <w:r w:rsidR="00FC58B7">
              <w:rPr>
                <w:rFonts w:ascii="Book Antiqua" w:eastAsia="Book Antiqua" w:hAnsi="Book Antiqua" w:cs="Book Antiqua"/>
              </w:rPr>
              <w:t xml:space="preserve">in </w:t>
            </w:r>
            <w:r w:rsidRPr="00BD6AF7">
              <w:rPr>
                <w:rFonts w:ascii="Book Antiqua" w:eastAsia="Book Antiqua" w:hAnsi="Book Antiqua" w:cs="Book Antiqua"/>
              </w:rPr>
              <w:t>cm</w:t>
            </w:r>
          </w:p>
        </w:tc>
        <w:tc>
          <w:tcPr>
            <w:tcW w:w="2848" w:type="dxa"/>
            <w:tcBorders>
              <w:top w:val="nil"/>
              <w:bottom w:val="nil"/>
            </w:tcBorders>
          </w:tcPr>
          <w:p w14:paraId="73A8DBF9" w14:textId="77777777" w:rsidR="004E296F" w:rsidRPr="00BD6AF7" w:rsidRDefault="004E296F" w:rsidP="00BD6AF7">
            <w:pPr>
              <w:spacing w:line="360" w:lineRule="auto"/>
              <w:jc w:val="both"/>
              <w:rPr>
                <w:rFonts w:ascii="Book Antiqua" w:eastAsia="Book Antiqua" w:hAnsi="Book Antiqua" w:cs="Book Antiqua"/>
              </w:rPr>
            </w:pPr>
          </w:p>
        </w:tc>
      </w:tr>
      <w:tr w:rsidR="004E296F" w:rsidRPr="00BD6AF7" w14:paraId="450E3C62" w14:textId="77777777">
        <w:trPr>
          <w:trHeight w:val="287"/>
        </w:trPr>
        <w:tc>
          <w:tcPr>
            <w:tcW w:w="3417" w:type="dxa"/>
          </w:tcPr>
          <w:p w14:paraId="51B5B1F8"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Small &lt; 3</w:t>
            </w:r>
          </w:p>
        </w:tc>
        <w:tc>
          <w:tcPr>
            <w:tcW w:w="2848" w:type="dxa"/>
          </w:tcPr>
          <w:p w14:paraId="42795DBF" w14:textId="027D896E"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7 (20</w:t>
            </w:r>
            <w:r w:rsidR="00870DD9">
              <w:rPr>
                <w:rFonts w:ascii="Book Antiqua" w:eastAsia="Book Antiqua" w:hAnsi="Book Antiqua" w:cs="Book Antiqua"/>
              </w:rPr>
              <w:t>.0</w:t>
            </w:r>
            <w:r w:rsidRPr="00BD6AF7">
              <w:rPr>
                <w:rFonts w:ascii="Book Antiqua" w:eastAsia="Book Antiqua" w:hAnsi="Book Antiqua" w:cs="Book Antiqua"/>
              </w:rPr>
              <w:t>)</w:t>
            </w:r>
          </w:p>
        </w:tc>
      </w:tr>
      <w:tr w:rsidR="004E296F" w:rsidRPr="00BD6AF7" w14:paraId="1FBF66EB" w14:textId="77777777">
        <w:trPr>
          <w:trHeight w:val="287"/>
        </w:trPr>
        <w:tc>
          <w:tcPr>
            <w:tcW w:w="3417" w:type="dxa"/>
          </w:tcPr>
          <w:p w14:paraId="4E2F46D4"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Medium 3-5</w:t>
            </w:r>
          </w:p>
        </w:tc>
        <w:tc>
          <w:tcPr>
            <w:tcW w:w="2848" w:type="dxa"/>
          </w:tcPr>
          <w:p w14:paraId="06BD1AF2"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15 (42.9)</w:t>
            </w:r>
          </w:p>
        </w:tc>
      </w:tr>
      <w:tr w:rsidR="004E296F" w:rsidRPr="00BD6AF7" w14:paraId="1FD613DD" w14:textId="77777777">
        <w:trPr>
          <w:trHeight w:val="301"/>
        </w:trPr>
        <w:tc>
          <w:tcPr>
            <w:tcW w:w="3417" w:type="dxa"/>
          </w:tcPr>
          <w:p w14:paraId="0CDC1745"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Large &gt; 5</w:t>
            </w:r>
          </w:p>
        </w:tc>
        <w:tc>
          <w:tcPr>
            <w:tcW w:w="2848" w:type="dxa"/>
          </w:tcPr>
          <w:p w14:paraId="727579FF"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13 (37.1)</w:t>
            </w:r>
          </w:p>
        </w:tc>
      </w:tr>
      <w:tr w:rsidR="004E296F" w:rsidRPr="00BD6AF7" w14:paraId="4CB337F4" w14:textId="77777777">
        <w:trPr>
          <w:trHeight w:val="287"/>
        </w:trPr>
        <w:tc>
          <w:tcPr>
            <w:tcW w:w="3417" w:type="dxa"/>
          </w:tcPr>
          <w:p w14:paraId="72C4D23C"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Location of the focal lesions</w:t>
            </w:r>
          </w:p>
        </w:tc>
        <w:tc>
          <w:tcPr>
            <w:tcW w:w="2848" w:type="dxa"/>
          </w:tcPr>
          <w:p w14:paraId="03C2368B" w14:textId="77777777" w:rsidR="004E296F" w:rsidRPr="00BD6AF7" w:rsidRDefault="004E296F" w:rsidP="00BD6AF7">
            <w:pPr>
              <w:spacing w:line="360" w:lineRule="auto"/>
              <w:jc w:val="both"/>
              <w:rPr>
                <w:rFonts w:ascii="Book Antiqua" w:eastAsia="Book Antiqua" w:hAnsi="Book Antiqua" w:cs="Book Antiqua"/>
              </w:rPr>
            </w:pPr>
          </w:p>
        </w:tc>
      </w:tr>
      <w:tr w:rsidR="004E296F" w:rsidRPr="00BD6AF7" w14:paraId="5B1DB220" w14:textId="77777777">
        <w:trPr>
          <w:trHeight w:val="301"/>
        </w:trPr>
        <w:tc>
          <w:tcPr>
            <w:tcW w:w="3417" w:type="dxa"/>
          </w:tcPr>
          <w:p w14:paraId="12767418"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Rt. Lobe</w:t>
            </w:r>
          </w:p>
        </w:tc>
        <w:tc>
          <w:tcPr>
            <w:tcW w:w="2848" w:type="dxa"/>
          </w:tcPr>
          <w:p w14:paraId="65507823"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19 (54.3)</w:t>
            </w:r>
          </w:p>
        </w:tc>
      </w:tr>
      <w:tr w:rsidR="004E296F" w:rsidRPr="00BD6AF7" w14:paraId="41FD32A2" w14:textId="77777777">
        <w:trPr>
          <w:trHeight w:val="287"/>
        </w:trPr>
        <w:tc>
          <w:tcPr>
            <w:tcW w:w="3417" w:type="dxa"/>
          </w:tcPr>
          <w:p w14:paraId="1D47668B"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Lt. Lobe</w:t>
            </w:r>
          </w:p>
        </w:tc>
        <w:tc>
          <w:tcPr>
            <w:tcW w:w="2848" w:type="dxa"/>
          </w:tcPr>
          <w:p w14:paraId="5735B212"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8 (22.9)</w:t>
            </w:r>
          </w:p>
        </w:tc>
      </w:tr>
      <w:tr w:rsidR="004E296F" w:rsidRPr="00BD6AF7" w14:paraId="2BA6695C" w14:textId="77777777">
        <w:trPr>
          <w:trHeight w:val="287"/>
        </w:trPr>
        <w:tc>
          <w:tcPr>
            <w:tcW w:w="3417" w:type="dxa"/>
          </w:tcPr>
          <w:p w14:paraId="298C3F61"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Both</w:t>
            </w:r>
          </w:p>
        </w:tc>
        <w:tc>
          <w:tcPr>
            <w:tcW w:w="2848" w:type="dxa"/>
          </w:tcPr>
          <w:p w14:paraId="04682D81" w14:textId="23A95B64"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7 (20</w:t>
            </w:r>
            <w:r w:rsidR="00870DD9">
              <w:rPr>
                <w:rFonts w:ascii="Book Antiqua" w:eastAsia="Book Antiqua" w:hAnsi="Book Antiqua" w:cs="Book Antiqua"/>
              </w:rPr>
              <w:t>.0</w:t>
            </w:r>
            <w:r w:rsidRPr="00BD6AF7">
              <w:rPr>
                <w:rFonts w:ascii="Book Antiqua" w:eastAsia="Book Antiqua" w:hAnsi="Book Antiqua" w:cs="Book Antiqua"/>
              </w:rPr>
              <w:t>)</w:t>
            </w:r>
          </w:p>
        </w:tc>
      </w:tr>
      <w:tr w:rsidR="004E296F" w:rsidRPr="00BD6AF7" w14:paraId="5C139FFE" w14:textId="77777777">
        <w:trPr>
          <w:trHeight w:val="301"/>
        </w:trPr>
        <w:tc>
          <w:tcPr>
            <w:tcW w:w="3417" w:type="dxa"/>
          </w:tcPr>
          <w:p w14:paraId="2A24AA71"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Caudate lobe</w:t>
            </w:r>
          </w:p>
        </w:tc>
        <w:tc>
          <w:tcPr>
            <w:tcW w:w="2848" w:type="dxa"/>
          </w:tcPr>
          <w:p w14:paraId="5BAB777B"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1 (2.9)</w:t>
            </w:r>
          </w:p>
        </w:tc>
      </w:tr>
      <w:tr w:rsidR="004E296F" w:rsidRPr="00BD6AF7" w14:paraId="76088A57" w14:textId="77777777">
        <w:trPr>
          <w:trHeight w:val="287"/>
        </w:trPr>
        <w:tc>
          <w:tcPr>
            <w:tcW w:w="3417" w:type="dxa"/>
          </w:tcPr>
          <w:p w14:paraId="77EDCC34"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BCLC stage</w:t>
            </w:r>
          </w:p>
        </w:tc>
        <w:tc>
          <w:tcPr>
            <w:tcW w:w="2848" w:type="dxa"/>
          </w:tcPr>
          <w:p w14:paraId="78BFED89" w14:textId="77777777" w:rsidR="004E296F" w:rsidRPr="00BD6AF7" w:rsidRDefault="004E296F" w:rsidP="00BD6AF7">
            <w:pPr>
              <w:spacing w:line="360" w:lineRule="auto"/>
              <w:jc w:val="both"/>
              <w:rPr>
                <w:rFonts w:ascii="Book Antiqua" w:eastAsia="Book Antiqua" w:hAnsi="Book Antiqua" w:cs="Book Antiqua"/>
              </w:rPr>
            </w:pPr>
          </w:p>
        </w:tc>
      </w:tr>
      <w:tr w:rsidR="004E296F" w:rsidRPr="00BD6AF7" w14:paraId="459894FD" w14:textId="77777777">
        <w:trPr>
          <w:trHeight w:val="301"/>
        </w:trPr>
        <w:tc>
          <w:tcPr>
            <w:tcW w:w="3417" w:type="dxa"/>
          </w:tcPr>
          <w:p w14:paraId="40B02943"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A</w:t>
            </w:r>
          </w:p>
        </w:tc>
        <w:tc>
          <w:tcPr>
            <w:tcW w:w="2848" w:type="dxa"/>
          </w:tcPr>
          <w:p w14:paraId="412BBA58"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4 (11.4)</w:t>
            </w:r>
          </w:p>
        </w:tc>
      </w:tr>
      <w:tr w:rsidR="004E296F" w:rsidRPr="00BD6AF7" w14:paraId="5F5E7C31" w14:textId="77777777">
        <w:trPr>
          <w:trHeight w:val="287"/>
        </w:trPr>
        <w:tc>
          <w:tcPr>
            <w:tcW w:w="3417" w:type="dxa"/>
          </w:tcPr>
          <w:p w14:paraId="099891A5"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B</w:t>
            </w:r>
          </w:p>
        </w:tc>
        <w:tc>
          <w:tcPr>
            <w:tcW w:w="2848" w:type="dxa"/>
          </w:tcPr>
          <w:p w14:paraId="3D18115A"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18 (51.4)</w:t>
            </w:r>
          </w:p>
        </w:tc>
      </w:tr>
      <w:tr w:rsidR="004E296F" w:rsidRPr="00BD6AF7" w14:paraId="1C7D2168" w14:textId="77777777">
        <w:trPr>
          <w:trHeight w:val="287"/>
        </w:trPr>
        <w:tc>
          <w:tcPr>
            <w:tcW w:w="3417" w:type="dxa"/>
          </w:tcPr>
          <w:p w14:paraId="46CF3D1D"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C</w:t>
            </w:r>
          </w:p>
        </w:tc>
        <w:tc>
          <w:tcPr>
            <w:tcW w:w="2848" w:type="dxa"/>
          </w:tcPr>
          <w:p w14:paraId="17686F28"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13 (37.1)</w:t>
            </w:r>
          </w:p>
        </w:tc>
      </w:tr>
      <w:tr w:rsidR="004E296F" w:rsidRPr="00BD6AF7" w14:paraId="2B28A17D" w14:textId="77777777">
        <w:trPr>
          <w:trHeight w:val="301"/>
        </w:trPr>
        <w:tc>
          <w:tcPr>
            <w:tcW w:w="3417" w:type="dxa"/>
          </w:tcPr>
          <w:p w14:paraId="07775E63"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Vascular invasion</w:t>
            </w:r>
          </w:p>
        </w:tc>
        <w:tc>
          <w:tcPr>
            <w:tcW w:w="2848" w:type="dxa"/>
          </w:tcPr>
          <w:p w14:paraId="096CBA02" w14:textId="77777777" w:rsidR="004E296F" w:rsidRPr="00BD6AF7" w:rsidRDefault="004E296F" w:rsidP="00BD6AF7">
            <w:pPr>
              <w:spacing w:line="360" w:lineRule="auto"/>
              <w:jc w:val="both"/>
              <w:rPr>
                <w:rFonts w:ascii="Book Antiqua" w:eastAsia="Book Antiqua" w:hAnsi="Book Antiqua" w:cs="Book Antiqua"/>
              </w:rPr>
            </w:pPr>
          </w:p>
        </w:tc>
      </w:tr>
      <w:tr w:rsidR="004E296F" w:rsidRPr="00BD6AF7" w14:paraId="71DC9FFA" w14:textId="77777777">
        <w:trPr>
          <w:trHeight w:val="287"/>
        </w:trPr>
        <w:tc>
          <w:tcPr>
            <w:tcW w:w="3417" w:type="dxa"/>
          </w:tcPr>
          <w:p w14:paraId="50C80C2E"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Negative</w:t>
            </w:r>
          </w:p>
        </w:tc>
        <w:tc>
          <w:tcPr>
            <w:tcW w:w="2848" w:type="dxa"/>
          </w:tcPr>
          <w:p w14:paraId="25881D66"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25 (71.4)</w:t>
            </w:r>
          </w:p>
        </w:tc>
      </w:tr>
      <w:tr w:rsidR="004E296F" w:rsidRPr="00BD6AF7" w14:paraId="53238EB4" w14:textId="77777777">
        <w:trPr>
          <w:trHeight w:val="301"/>
        </w:trPr>
        <w:tc>
          <w:tcPr>
            <w:tcW w:w="3417" w:type="dxa"/>
          </w:tcPr>
          <w:p w14:paraId="37F2366D"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Positive</w:t>
            </w:r>
          </w:p>
        </w:tc>
        <w:tc>
          <w:tcPr>
            <w:tcW w:w="2848" w:type="dxa"/>
          </w:tcPr>
          <w:p w14:paraId="621ED022"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10 (28.6)</w:t>
            </w:r>
          </w:p>
        </w:tc>
      </w:tr>
      <w:tr w:rsidR="004E296F" w:rsidRPr="00BD6AF7" w14:paraId="74C0606B" w14:textId="77777777">
        <w:trPr>
          <w:trHeight w:val="287"/>
        </w:trPr>
        <w:tc>
          <w:tcPr>
            <w:tcW w:w="3417" w:type="dxa"/>
          </w:tcPr>
          <w:p w14:paraId="16266DE1"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LN metastasis</w:t>
            </w:r>
          </w:p>
        </w:tc>
        <w:tc>
          <w:tcPr>
            <w:tcW w:w="2848" w:type="dxa"/>
          </w:tcPr>
          <w:p w14:paraId="5B520616" w14:textId="77777777" w:rsidR="004E296F" w:rsidRPr="00BD6AF7" w:rsidRDefault="004E296F" w:rsidP="00BD6AF7">
            <w:pPr>
              <w:spacing w:line="360" w:lineRule="auto"/>
              <w:jc w:val="both"/>
              <w:rPr>
                <w:rFonts w:ascii="Book Antiqua" w:eastAsia="Book Antiqua" w:hAnsi="Book Antiqua" w:cs="Book Antiqua"/>
              </w:rPr>
            </w:pPr>
          </w:p>
        </w:tc>
      </w:tr>
      <w:tr w:rsidR="004E296F" w:rsidRPr="00BD6AF7" w14:paraId="1E16A892" w14:textId="77777777">
        <w:trPr>
          <w:trHeight w:val="287"/>
        </w:trPr>
        <w:tc>
          <w:tcPr>
            <w:tcW w:w="3417" w:type="dxa"/>
          </w:tcPr>
          <w:p w14:paraId="133FCE54"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Negative</w:t>
            </w:r>
          </w:p>
        </w:tc>
        <w:tc>
          <w:tcPr>
            <w:tcW w:w="2848" w:type="dxa"/>
          </w:tcPr>
          <w:p w14:paraId="11DB1DE6" w14:textId="2C032CD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28 (80</w:t>
            </w:r>
            <w:r w:rsidR="00870DD9">
              <w:rPr>
                <w:rFonts w:ascii="Book Antiqua" w:eastAsia="Book Antiqua" w:hAnsi="Book Antiqua" w:cs="Book Antiqua"/>
              </w:rPr>
              <w:t>.0</w:t>
            </w:r>
            <w:r w:rsidRPr="00BD6AF7">
              <w:rPr>
                <w:rFonts w:ascii="Book Antiqua" w:eastAsia="Book Antiqua" w:hAnsi="Book Antiqua" w:cs="Book Antiqua"/>
              </w:rPr>
              <w:t>)</w:t>
            </w:r>
          </w:p>
        </w:tc>
      </w:tr>
      <w:tr w:rsidR="004E296F" w:rsidRPr="00BD6AF7" w14:paraId="734110BB" w14:textId="77777777">
        <w:trPr>
          <w:trHeight w:val="301"/>
        </w:trPr>
        <w:tc>
          <w:tcPr>
            <w:tcW w:w="3417" w:type="dxa"/>
          </w:tcPr>
          <w:p w14:paraId="664D9C5D"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Positive</w:t>
            </w:r>
          </w:p>
        </w:tc>
        <w:tc>
          <w:tcPr>
            <w:tcW w:w="2848" w:type="dxa"/>
          </w:tcPr>
          <w:p w14:paraId="4A7485E2" w14:textId="63AE3E7E"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7 (20</w:t>
            </w:r>
            <w:r w:rsidR="00870DD9">
              <w:rPr>
                <w:rFonts w:ascii="Book Antiqua" w:eastAsia="Book Antiqua" w:hAnsi="Book Antiqua" w:cs="Book Antiqua"/>
              </w:rPr>
              <w:t>.0</w:t>
            </w:r>
            <w:r w:rsidRPr="00BD6AF7">
              <w:rPr>
                <w:rFonts w:ascii="Book Antiqua" w:eastAsia="Book Antiqua" w:hAnsi="Book Antiqua" w:cs="Book Antiqua"/>
              </w:rPr>
              <w:t>)</w:t>
            </w:r>
          </w:p>
        </w:tc>
      </w:tr>
      <w:tr w:rsidR="004E296F" w:rsidRPr="00BD6AF7" w14:paraId="67180522" w14:textId="77777777">
        <w:trPr>
          <w:trHeight w:val="340"/>
        </w:trPr>
        <w:tc>
          <w:tcPr>
            <w:tcW w:w="3417" w:type="dxa"/>
          </w:tcPr>
          <w:p w14:paraId="222BC9C6"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Ascites</w:t>
            </w:r>
          </w:p>
        </w:tc>
        <w:tc>
          <w:tcPr>
            <w:tcW w:w="2848" w:type="dxa"/>
          </w:tcPr>
          <w:p w14:paraId="04E883E1" w14:textId="77777777" w:rsidR="004E296F" w:rsidRPr="00BD6AF7" w:rsidRDefault="004E296F" w:rsidP="00BD6AF7">
            <w:pPr>
              <w:bidi/>
              <w:spacing w:line="360" w:lineRule="auto"/>
              <w:jc w:val="both"/>
              <w:rPr>
                <w:rFonts w:ascii="Book Antiqua" w:eastAsia="Book Antiqua" w:hAnsi="Book Antiqua" w:cs="Book Antiqua"/>
              </w:rPr>
            </w:pPr>
          </w:p>
        </w:tc>
      </w:tr>
      <w:tr w:rsidR="004E296F" w:rsidRPr="00BD6AF7" w14:paraId="03557696" w14:textId="77777777">
        <w:trPr>
          <w:trHeight w:val="353"/>
        </w:trPr>
        <w:tc>
          <w:tcPr>
            <w:tcW w:w="3417" w:type="dxa"/>
          </w:tcPr>
          <w:p w14:paraId="1F89E49C" w14:textId="77777777" w:rsidR="004E296F" w:rsidRPr="00BD6AF7" w:rsidRDefault="00703776" w:rsidP="00BD6AF7">
            <w:pPr>
              <w:spacing w:line="360" w:lineRule="auto"/>
              <w:jc w:val="both"/>
              <w:rPr>
                <w:rFonts w:ascii="Book Antiqua" w:eastAsia="Book Antiqua" w:hAnsi="Book Antiqua" w:cs="Book Antiqua"/>
                <w:highlight w:val="yellow"/>
              </w:rPr>
            </w:pPr>
            <w:r w:rsidRPr="00BD6AF7">
              <w:rPr>
                <w:rFonts w:ascii="Book Antiqua" w:eastAsia="Book Antiqua" w:hAnsi="Book Antiqua" w:cs="Book Antiqua"/>
              </w:rPr>
              <w:t>No</w:t>
            </w:r>
          </w:p>
        </w:tc>
        <w:tc>
          <w:tcPr>
            <w:tcW w:w="2848" w:type="dxa"/>
          </w:tcPr>
          <w:p w14:paraId="081406CC"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 xml:space="preserve">25 (73.5) </w:t>
            </w:r>
          </w:p>
        </w:tc>
      </w:tr>
      <w:tr w:rsidR="004E296F" w:rsidRPr="00BD6AF7" w14:paraId="79B435A3" w14:textId="77777777">
        <w:trPr>
          <w:trHeight w:val="340"/>
        </w:trPr>
        <w:tc>
          <w:tcPr>
            <w:tcW w:w="3417" w:type="dxa"/>
          </w:tcPr>
          <w:p w14:paraId="00B30DFF"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Mild</w:t>
            </w:r>
          </w:p>
        </w:tc>
        <w:tc>
          <w:tcPr>
            <w:tcW w:w="2848" w:type="dxa"/>
          </w:tcPr>
          <w:p w14:paraId="702C9745"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 xml:space="preserve">8 (23.5) </w:t>
            </w:r>
          </w:p>
        </w:tc>
      </w:tr>
      <w:tr w:rsidR="004E296F" w:rsidRPr="00BD6AF7" w14:paraId="139FCB1C" w14:textId="77777777">
        <w:trPr>
          <w:trHeight w:val="219"/>
        </w:trPr>
        <w:tc>
          <w:tcPr>
            <w:tcW w:w="3417" w:type="dxa"/>
          </w:tcPr>
          <w:p w14:paraId="117AB876"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Moderate</w:t>
            </w:r>
          </w:p>
        </w:tc>
        <w:tc>
          <w:tcPr>
            <w:tcW w:w="2848" w:type="dxa"/>
          </w:tcPr>
          <w:p w14:paraId="2C033F4A"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 xml:space="preserve">1 (2.9) </w:t>
            </w:r>
          </w:p>
        </w:tc>
      </w:tr>
      <w:tr w:rsidR="004E296F" w:rsidRPr="00BD6AF7" w14:paraId="1F2998D1" w14:textId="77777777">
        <w:trPr>
          <w:trHeight w:val="573"/>
        </w:trPr>
        <w:tc>
          <w:tcPr>
            <w:tcW w:w="3417" w:type="dxa"/>
          </w:tcPr>
          <w:p w14:paraId="743FA0C0" w14:textId="719BF514"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 xml:space="preserve">Child </w:t>
            </w:r>
            <w:r w:rsidR="00526EEF">
              <w:rPr>
                <w:rFonts w:ascii="Book Antiqua" w:eastAsia="Book Antiqua" w:hAnsi="Book Antiqua" w:cs="Book Antiqua"/>
              </w:rPr>
              <w:t>P</w:t>
            </w:r>
            <w:r w:rsidRPr="00BD6AF7">
              <w:rPr>
                <w:rFonts w:ascii="Book Antiqua" w:eastAsia="Book Antiqua" w:hAnsi="Book Antiqua" w:cs="Book Antiqua"/>
              </w:rPr>
              <w:t>ugh class</w:t>
            </w:r>
          </w:p>
          <w:p w14:paraId="4806CCB4"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A</w:t>
            </w:r>
          </w:p>
        </w:tc>
        <w:tc>
          <w:tcPr>
            <w:tcW w:w="2848" w:type="dxa"/>
          </w:tcPr>
          <w:p w14:paraId="47E7DF0C" w14:textId="77777777" w:rsidR="004E296F" w:rsidRPr="00BD6AF7" w:rsidRDefault="004E296F" w:rsidP="00BD6AF7">
            <w:pPr>
              <w:spacing w:line="360" w:lineRule="auto"/>
              <w:jc w:val="both"/>
              <w:rPr>
                <w:rFonts w:ascii="Book Antiqua" w:eastAsia="Book Antiqua" w:hAnsi="Book Antiqua" w:cs="Book Antiqua"/>
              </w:rPr>
            </w:pPr>
          </w:p>
          <w:p w14:paraId="2564980B"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22 (62.9)</w:t>
            </w:r>
          </w:p>
        </w:tc>
      </w:tr>
      <w:tr w:rsidR="004E296F" w:rsidRPr="00BD6AF7" w14:paraId="41954ED6" w14:textId="77777777">
        <w:trPr>
          <w:trHeight w:val="572"/>
        </w:trPr>
        <w:tc>
          <w:tcPr>
            <w:tcW w:w="3417" w:type="dxa"/>
          </w:tcPr>
          <w:p w14:paraId="19D853F5"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lastRenderedPageBreak/>
              <w:t>B</w:t>
            </w:r>
          </w:p>
        </w:tc>
        <w:tc>
          <w:tcPr>
            <w:tcW w:w="2848" w:type="dxa"/>
          </w:tcPr>
          <w:p w14:paraId="1B19A32A"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13 (37.1)</w:t>
            </w:r>
          </w:p>
        </w:tc>
      </w:tr>
      <w:tr w:rsidR="004E296F" w:rsidRPr="00BD6AF7" w14:paraId="1AE31C34" w14:textId="77777777">
        <w:trPr>
          <w:trHeight w:val="572"/>
        </w:trPr>
        <w:tc>
          <w:tcPr>
            <w:tcW w:w="3417" w:type="dxa"/>
          </w:tcPr>
          <w:p w14:paraId="17FE33A6"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C</w:t>
            </w:r>
          </w:p>
        </w:tc>
        <w:tc>
          <w:tcPr>
            <w:tcW w:w="2848" w:type="dxa"/>
          </w:tcPr>
          <w:p w14:paraId="0E101ADC"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0 (0)</w:t>
            </w:r>
          </w:p>
        </w:tc>
      </w:tr>
      <w:tr w:rsidR="004E296F" w:rsidRPr="00BD6AF7" w14:paraId="19E17B5A" w14:textId="77777777">
        <w:trPr>
          <w:trHeight w:val="80"/>
        </w:trPr>
        <w:tc>
          <w:tcPr>
            <w:tcW w:w="3417" w:type="dxa"/>
          </w:tcPr>
          <w:p w14:paraId="15BDA5CC"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Distant metastasis</w:t>
            </w:r>
          </w:p>
        </w:tc>
        <w:tc>
          <w:tcPr>
            <w:tcW w:w="2848" w:type="dxa"/>
          </w:tcPr>
          <w:p w14:paraId="278E51B6" w14:textId="77777777" w:rsidR="004E296F" w:rsidRPr="00BD6AF7" w:rsidRDefault="004E296F" w:rsidP="00BD6AF7">
            <w:pPr>
              <w:bidi/>
              <w:spacing w:line="360" w:lineRule="auto"/>
              <w:jc w:val="both"/>
              <w:rPr>
                <w:rFonts w:ascii="Book Antiqua" w:eastAsia="Book Antiqua" w:hAnsi="Book Antiqua" w:cs="Book Antiqua"/>
              </w:rPr>
            </w:pPr>
          </w:p>
        </w:tc>
      </w:tr>
      <w:tr w:rsidR="004E296F" w:rsidRPr="00BD6AF7" w14:paraId="3095C4E3" w14:textId="77777777">
        <w:trPr>
          <w:trHeight w:val="80"/>
        </w:trPr>
        <w:tc>
          <w:tcPr>
            <w:tcW w:w="3417" w:type="dxa"/>
          </w:tcPr>
          <w:p w14:paraId="7A45E310"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No</w:t>
            </w:r>
          </w:p>
        </w:tc>
        <w:tc>
          <w:tcPr>
            <w:tcW w:w="2848" w:type="dxa"/>
          </w:tcPr>
          <w:p w14:paraId="6624E5EE"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23 (65.7)</w:t>
            </w:r>
          </w:p>
        </w:tc>
      </w:tr>
      <w:tr w:rsidR="004E296F" w:rsidRPr="00BD6AF7" w14:paraId="7736185A" w14:textId="77777777">
        <w:trPr>
          <w:trHeight w:val="80"/>
        </w:trPr>
        <w:tc>
          <w:tcPr>
            <w:tcW w:w="3417" w:type="dxa"/>
          </w:tcPr>
          <w:p w14:paraId="7CAF01BE"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Yes</w:t>
            </w:r>
          </w:p>
        </w:tc>
        <w:tc>
          <w:tcPr>
            <w:tcW w:w="2848" w:type="dxa"/>
          </w:tcPr>
          <w:p w14:paraId="60E2C896"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12 (34.3)</w:t>
            </w:r>
          </w:p>
        </w:tc>
      </w:tr>
    </w:tbl>
    <w:p w14:paraId="71512A2E" w14:textId="0408FE87" w:rsidR="004E296F" w:rsidRPr="00BD6AF7" w:rsidRDefault="00703776" w:rsidP="00BD6AF7">
      <w:pPr>
        <w:spacing w:line="360" w:lineRule="auto"/>
        <w:jc w:val="both"/>
        <w:rPr>
          <w:rFonts w:ascii="Book Antiqua" w:eastAsia="Book Antiqua" w:hAnsi="Book Antiqua" w:cs="Book Antiqua"/>
          <w:b/>
        </w:rPr>
      </w:pPr>
      <w:r w:rsidRPr="00BD6AF7">
        <w:rPr>
          <w:rFonts w:ascii="Book Antiqua" w:eastAsia="Book Antiqua" w:hAnsi="Book Antiqua" w:cs="Book Antiqua"/>
        </w:rPr>
        <w:t>Rt.: Right; Lt.: Left; BCLC: Barcelona Clinic Liver Cancer</w:t>
      </w:r>
      <w:r w:rsidR="00870DD9">
        <w:rPr>
          <w:rFonts w:ascii="Book Antiqua" w:eastAsia="Book Antiqua" w:hAnsi="Book Antiqua" w:cs="Book Antiqua"/>
        </w:rPr>
        <w:t>; LN: Lymph node</w:t>
      </w:r>
      <w:r w:rsidRPr="00BD6AF7">
        <w:rPr>
          <w:rFonts w:ascii="Book Antiqua" w:eastAsia="Book Antiqua" w:hAnsi="Book Antiqua" w:cs="Book Antiqua"/>
        </w:rPr>
        <w:t>.</w:t>
      </w:r>
    </w:p>
    <w:p w14:paraId="51CC1FB8" w14:textId="77777777" w:rsidR="004E296F" w:rsidRPr="00BD6AF7" w:rsidRDefault="00703776" w:rsidP="00BD6AF7">
      <w:pPr>
        <w:spacing w:line="360" w:lineRule="auto"/>
        <w:jc w:val="both"/>
        <w:rPr>
          <w:rFonts w:ascii="Book Antiqua" w:eastAsia="Book Antiqua" w:hAnsi="Book Antiqua" w:cs="Book Antiqua"/>
          <w:b/>
        </w:rPr>
      </w:pPr>
      <w:r w:rsidRPr="00BD6AF7">
        <w:rPr>
          <w:rFonts w:ascii="Book Antiqua" w:hAnsi="Book Antiqua"/>
        </w:rPr>
        <w:br w:type="page"/>
      </w:r>
      <w:r w:rsidRPr="00BD6AF7">
        <w:rPr>
          <w:rFonts w:ascii="Book Antiqua" w:eastAsia="Book Antiqua" w:hAnsi="Book Antiqua" w:cs="Book Antiqua"/>
          <w:b/>
        </w:rPr>
        <w:lastRenderedPageBreak/>
        <w:t>Table 3 Correlations between microRNA 9-3p levels and clinical data in hepatocellular carcinoma group</w:t>
      </w:r>
    </w:p>
    <w:tbl>
      <w:tblPr>
        <w:tblStyle w:val="a1"/>
        <w:tblW w:w="9248" w:type="dxa"/>
        <w:tblBorders>
          <w:top w:val="single" w:sz="12" w:space="0" w:color="000000"/>
          <w:left w:val="nil"/>
          <w:bottom w:val="single" w:sz="12" w:space="0" w:color="000000"/>
          <w:right w:val="nil"/>
          <w:insideH w:val="nil"/>
          <w:insideV w:val="nil"/>
        </w:tblBorders>
        <w:tblLayout w:type="fixed"/>
        <w:tblLook w:val="0400" w:firstRow="0" w:lastRow="0" w:firstColumn="0" w:lastColumn="0" w:noHBand="0" w:noVBand="1"/>
      </w:tblPr>
      <w:tblGrid>
        <w:gridCol w:w="2920"/>
        <w:gridCol w:w="648"/>
        <w:gridCol w:w="1530"/>
        <w:gridCol w:w="2851"/>
        <w:gridCol w:w="1299"/>
      </w:tblGrid>
      <w:tr w:rsidR="004E296F" w:rsidRPr="00BD6AF7" w14:paraId="54E3C684" w14:textId="77777777">
        <w:trPr>
          <w:trHeight w:val="264"/>
        </w:trPr>
        <w:tc>
          <w:tcPr>
            <w:tcW w:w="2920" w:type="dxa"/>
            <w:tcBorders>
              <w:top w:val="single" w:sz="12" w:space="0" w:color="000000"/>
              <w:bottom w:val="nil"/>
            </w:tcBorders>
            <w:vAlign w:val="center"/>
          </w:tcPr>
          <w:p w14:paraId="1EE9BD2C" w14:textId="77777777" w:rsidR="004E296F" w:rsidRPr="00BD6AF7" w:rsidRDefault="004E296F" w:rsidP="00BD6AF7">
            <w:pPr>
              <w:spacing w:line="360" w:lineRule="auto"/>
              <w:jc w:val="both"/>
              <w:rPr>
                <w:rFonts w:ascii="Book Antiqua" w:eastAsia="Book Antiqua" w:hAnsi="Book Antiqua" w:cs="Book Antiqua"/>
                <w:b/>
              </w:rPr>
            </w:pPr>
          </w:p>
        </w:tc>
        <w:tc>
          <w:tcPr>
            <w:tcW w:w="648" w:type="dxa"/>
            <w:vMerge w:val="restart"/>
            <w:vAlign w:val="center"/>
          </w:tcPr>
          <w:p w14:paraId="080B06F9" w14:textId="77777777" w:rsidR="004E296F" w:rsidRPr="00BD6AF7" w:rsidRDefault="00703776" w:rsidP="00BD6AF7">
            <w:pPr>
              <w:spacing w:line="360" w:lineRule="auto"/>
              <w:jc w:val="both"/>
              <w:rPr>
                <w:rFonts w:ascii="Book Antiqua" w:eastAsia="Book Antiqua" w:hAnsi="Book Antiqua" w:cs="Book Antiqua"/>
                <w:b/>
              </w:rPr>
            </w:pPr>
            <w:r w:rsidRPr="00BD6AF7">
              <w:rPr>
                <w:rFonts w:ascii="Book Antiqua" w:eastAsia="Book Antiqua" w:hAnsi="Book Antiqua" w:cs="Book Antiqua"/>
                <w:b/>
                <w:i/>
              </w:rPr>
              <w:t>n</w:t>
            </w:r>
          </w:p>
        </w:tc>
        <w:tc>
          <w:tcPr>
            <w:tcW w:w="5680" w:type="dxa"/>
            <w:gridSpan w:val="3"/>
            <w:tcBorders>
              <w:bottom w:val="single" w:sz="4" w:space="0" w:color="000000"/>
            </w:tcBorders>
            <w:vAlign w:val="center"/>
          </w:tcPr>
          <w:p w14:paraId="2A172499" w14:textId="77777777" w:rsidR="004E296F" w:rsidRPr="00BD6AF7" w:rsidRDefault="00703776" w:rsidP="00BD6AF7">
            <w:pPr>
              <w:spacing w:line="360" w:lineRule="auto"/>
              <w:jc w:val="both"/>
              <w:rPr>
                <w:rFonts w:ascii="Book Antiqua" w:eastAsia="Book Antiqua" w:hAnsi="Book Antiqua" w:cs="Book Antiqua"/>
                <w:b/>
              </w:rPr>
            </w:pPr>
            <w:r w:rsidRPr="00BD6AF7">
              <w:rPr>
                <w:rFonts w:ascii="Book Antiqua" w:eastAsia="Book Antiqua" w:hAnsi="Book Antiqua" w:cs="Book Antiqua"/>
                <w:b/>
              </w:rPr>
              <w:t>microRNA 9-3p</w:t>
            </w:r>
          </w:p>
        </w:tc>
      </w:tr>
      <w:tr w:rsidR="004E296F" w:rsidRPr="00BD6AF7" w14:paraId="71667D17" w14:textId="77777777">
        <w:trPr>
          <w:trHeight w:val="531"/>
        </w:trPr>
        <w:tc>
          <w:tcPr>
            <w:tcW w:w="2920" w:type="dxa"/>
            <w:tcBorders>
              <w:top w:val="nil"/>
              <w:bottom w:val="single" w:sz="4" w:space="0" w:color="000000"/>
            </w:tcBorders>
            <w:vAlign w:val="center"/>
          </w:tcPr>
          <w:p w14:paraId="414393FD" w14:textId="77777777" w:rsidR="004E296F" w:rsidRPr="00BD6AF7" w:rsidRDefault="004E296F" w:rsidP="00BD6AF7">
            <w:pPr>
              <w:spacing w:line="360" w:lineRule="auto"/>
              <w:jc w:val="both"/>
              <w:rPr>
                <w:rFonts w:ascii="Book Antiqua" w:eastAsia="Book Antiqua" w:hAnsi="Book Antiqua" w:cs="Book Antiqua"/>
                <w:b/>
              </w:rPr>
            </w:pPr>
          </w:p>
        </w:tc>
        <w:tc>
          <w:tcPr>
            <w:tcW w:w="648" w:type="dxa"/>
            <w:vMerge/>
            <w:vAlign w:val="center"/>
          </w:tcPr>
          <w:p w14:paraId="5891292D" w14:textId="77777777" w:rsidR="004E296F" w:rsidRPr="00BD6AF7" w:rsidRDefault="004E296F" w:rsidP="00BD6AF7">
            <w:pPr>
              <w:widowControl w:val="0"/>
              <w:pBdr>
                <w:top w:val="nil"/>
                <w:left w:val="nil"/>
                <w:bottom w:val="nil"/>
                <w:right w:val="nil"/>
                <w:between w:val="nil"/>
              </w:pBdr>
              <w:spacing w:line="360" w:lineRule="auto"/>
              <w:rPr>
                <w:rFonts w:ascii="Book Antiqua" w:eastAsia="Book Antiqua" w:hAnsi="Book Antiqua" w:cs="Book Antiqua"/>
                <w:b/>
              </w:rPr>
            </w:pPr>
          </w:p>
        </w:tc>
        <w:tc>
          <w:tcPr>
            <w:tcW w:w="4381" w:type="dxa"/>
            <w:gridSpan w:val="2"/>
            <w:tcBorders>
              <w:bottom w:val="single" w:sz="4" w:space="0" w:color="000000"/>
            </w:tcBorders>
            <w:vAlign w:val="center"/>
          </w:tcPr>
          <w:p w14:paraId="53E57C23" w14:textId="77777777" w:rsidR="004E296F" w:rsidRPr="00BD6AF7" w:rsidRDefault="00703776" w:rsidP="00BD6AF7">
            <w:pPr>
              <w:spacing w:line="360" w:lineRule="auto"/>
              <w:jc w:val="both"/>
              <w:rPr>
                <w:rFonts w:ascii="Book Antiqua" w:eastAsia="Book Antiqua" w:hAnsi="Book Antiqua" w:cs="Book Antiqua"/>
                <w:b/>
              </w:rPr>
            </w:pPr>
            <w:r w:rsidRPr="00BD6AF7">
              <w:rPr>
                <w:rFonts w:ascii="Book Antiqua" w:eastAsia="Book Antiqua" w:hAnsi="Book Antiqua" w:cs="Book Antiqua"/>
                <w:b/>
              </w:rPr>
              <w:t>Median (IQR)</w:t>
            </w:r>
          </w:p>
        </w:tc>
        <w:tc>
          <w:tcPr>
            <w:tcW w:w="1299" w:type="dxa"/>
            <w:tcBorders>
              <w:bottom w:val="single" w:sz="4" w:space="0" w:color="000000"/>
            </w:tcBorders>
            <w:vAlign w:val="center"/>
          </w:tcPr>
          <w:p w14:paraId="25D82DEC" w14:textId="77777777" w:rsidR="004E296F" w:rsidRPr="00BD6AF7" w:rsidRDefault="00703776" w:rsidP="00BD6AF7">
            <w:pPr>
              <w:spacing w:line="360" w:lineRule="auto"/>
              <w:jc w:val="both"/>
              <w:rPr>
                <w:rFonts w:ascii="Book Antiqua" w:eastAsia="Book Antiqua" w:hAnsi="Book Antiqua" w:cs="Book Antiqua"/>
                <w:b/>
              </w:rPr>
            </w:pPr>
            <w:r w:rsidRPr="00BD6AF7">
              <w:rPr>
                <w:rFonts w:ascii="Book Antiqua" w:eastAsia="Book Antiqua" w:hAnsi="Book Antiqua" w:cs="Book Antiqua"/>
                <w:b/>
                <w:i/>
              </w:rPr>
              <w:t>P</w:t>
            </w:r>
            <w:r w:rsidRPr="00BD6AF7">
              <w:rPr>
                <w:rFonts w:ascii="Book Antiqua" w:eastAsia="Book Antiqua" w:hAnsi="Book Antiqua" w:cs="Book Antiqua"/>
                <w:b/>
              </w:rPr>
              <w:t xml:space="preserve"> value</w:t>
            </w:r>
          </w:p>
        </w:tc>
      </w:tr>
      <w:tr w:rsidR="004E296F" w:rsidRPr="00BD6AF7" w14:paraId="60DC1D2E" w14:textId="77777777">
        <w:trPr>
          <w:trHeight w:val="264"/>
        </w:trPr>
        <w:tc>
          <w:tcPr>
            <w:tcW w:w="2920" w:type="dxa"/>
            <w:tcBorders>
              <w:top w:val="single" w:sz="4" w:space="0" w:color="000000"/>
              <w:bottom w:val="nil"/>
            </w:tcBorders>
          </w:tcPr>
          <w:p w14:paraId="03D9CAB4"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Vascular invasion</w:t>
            </w:r>
          </w:p>
        </w:tc>
        <w:tc>
          <w:tcPr>
            <w:tcW w:w="648" w:type="dxa"/>
            <w:tcBorders>
              <w:top w:val="single" w:sz="4" w:space="0" w:color="000000"/>
              <w:bottom w:val="nil"/>
            </w:tcBorders>
            <w:vAlign w:val="center"/>
          </w:tcPr>
          <w:p w14:paraId="55420BDE" w14:textId="77777777" w:rsidR="004E296F" w:rsidRPr="00BD6AF7" w:rsidRDefault="004E296F" w:rsidP="00BD6AF7">
            <w:pPr>
              <w:spacing w:line="360" w:lineRule="auto"/>
              <w:jc w:val="both"/>
              <w:rPr>
                <w:rFonts w:ascii="Book Antiqua" w:eastAsia="Book Antiqua" w:hAnsi="Book Antiqua" w:cs="Book Antiqua"/>
              </w:rPr>
            </w:pPr>
          </w:p>
        </w:tc>
        <w:tc>
          <w:tcPr>
            <w:tcW w:w="1530" w:type="dxa"/>
            <w:tcBorders>
              <w:top w:val="single" w:sz="4" w:space="0" w:color="000000"/>
              <w:bottom w:val="nil"/>
            </w:tcBorders>
            <w:vAlign w:val="center"/>
          </w:tcPr>
          <w:p w14:paraId="61CE317E" w14:textId="77777777" w:rsidR="004E296F" w:rsidRPr="00BD6AF7" w:rsidRDefault="004E296F" w:rsidP="00BD6AF7">
            <w:pPr>
              <w:spacing w:line="360" w:lineRule="auto"/>
              <w:jc w:val="both"/>
              <w:rPr>
                <w:rFonts w:ascii="Book Antiqua" w:eastAsia="Book Antiqua" w:hAnsi="Book Antiqua" w:cs="Book Antiqua"/>
              </w:rPr>
            </w:pPr>
          </w:p>
        </w:tc>
        <w:tc>
          <w:tcPr>
            <w:tcW w:w="2851" w:type="dxa"/>
            <w:tcBorders>
              <w:top w:val="single" w:sz="4" w:space="0" w:color="000000"/>
              <w:bottom w:val="nil"/>
            </w:tcBorders>
            <w:vAlign w:val="center"/>
          </w:tcPr>
          <w:p w14:paraId="3E4D938D" w14:textId="77777777" w:rsidR="004E296F" w:rsidRPr="00BD6AF7" w:rsidRDefault="004E296F" w:rsidP="00BD6AF7">
            <w:pPr>
              <w:spacing w:line="360" w:lineRule="auto"/>
              <w:jc w:val="both"/>
              <w:rPr>
                <w:rFonts w:ascii="Book Antiqua" w:eastAsia="Book Antiqua" w:hAnsi="Book Antiqua" w:cs="Book Antiqua"/>
              </w:rPr>
            </w:pPr>
          </w:p>
        </w:tc>
        <w:tc>
          <w:tcPr>
            <w:tcW w:w="1299" w:type="dxa"/>
            <w:tcBorders>
              <w:top w:val="single" w:sz="4" w:space="0" w:color="000000"/>
              <w:bottom w:val="nil"/>
            </w:tcBorders>
            <w:vAlign w:val="center"/>
          </w:tcPr>
          <w:p w14:paraId="41226DD3" w14:textId="77777777" w:rsidR="004E296F" w:rsidRPr="00BD6AF7" w:rsidRDefault="004E296F" w:rsidP="00BD6AF7">
            <w:pPr>
              <w:spacing w:line="360" w:lineRule="auto"/>
              <w:jc w:val="both"/>
              <w:rPr>
                <w:rFonts w:ascii="Book Antiqua" w:eastAsia="Book Antiqua" w:hAnsi="Book Antiqua" w:cs="Book Antiqua"/>
                <w:highlight w:val="yellow"/>
              </w:rPr>
            </w:pPr>
          </w:p>
        </w:tc>
      </w:tr>
      <w:tr w:rsidR="004E296F" w:rsidRPr="00BD6AF7" w14:paraId="142BDDF4" w14:textId="77777777">
        <w:trPr>
          <w:trHeight w:val="264"/>
        </w:trPr>
        <w:tc>
          <w:tcPr>
            <w:tcW w:w="2920" w:type="dxa"/>
            <w:vAlign w:val="center"/>
          </w:tcPr>
          <w:p w14:paraId="77584C44"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Negative</w:t>
            </w:r>
          </w:p>
        </w:tc>
        <w:tc>
          <w:tcPr>
            <w:tcW w:w="648" w:type="dxa"/>
            <w:vAlign w:val="center"/>
          </w:tcPr>
          <w:p w14:paraId="1172D5C0"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25</w:t>
            </w:r>
          </w:p>
        </w:tc>
        <w:tc>
          <w:tcPr>
            <w:tcW w:w="4381" w:type="dxa"/>
            <w:gridSpan w:val="2"/>
            <w:vAlign w:val="center"/>
          </w:tcPr>
          <w:p w14:paraId="7D7EE2C4"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0.04 (0.02-0.26)</w:t>
            </w:r>
          </w:p>
        </w:tc>
        <w:tc>
          <w:tcPr>
            <w:tcW w:w="1299" w:type="dxa"/>
            <w:vMerge w:val="restart"/>
            <w:vAlign w:val="center"/>
          </w:tcPr>
          <w:p w14:paraId="07CE6601" w14:textId="77777777" w:rsidR="004E296F" w:rsidRPr="00BD6AF7" w:rsidRDefault="00703776" w:rsidP="00BD6AF7">
            <w:pPr>
              <w:spacing w:line="360" w:lineRule="auto"/>
              <w:jc w:val="both"/>
              <w:rPr>
                <w:rFonts w:ascii="Book Antiqua" w:eastAsia="Book Antiqua" w:hAnsi="Book Antiqua" w:cs="Book Antiqua"/>
                <w:highlight w:val="yellow"/>
              </w:rPr>
            </w:pPr>
            <w:r w:rsidRPr="00BD6AF7">
              <w:rPr>
                <w:rFonts w:ascii="Book Antiqua" w:eastAsia="Book Antiqua" w:hAnsi="Book Antiqua" w:cs="Book Antiqua"/>
              </w:rPr>
              <w:t>0.002</w:t>
            </w:r>
            <w:r w:rsidRPr="00BD6AF7">
              <w:rPr>
                <w:rFonts w:ascii="Book Antiqua" w:eastAsia="Book Antiqua" w:hAnsi="Book Antiqua" w:cs="Book Antiqua"/>
                <w:highlight w:val="yellow"/>
              </w:rPr>
              <w:br/>
            </w:r>
          </w:p>
        </w:tc>
      </w:tr>
      <w:tr w:rsidR="004E296F" w:rsidRPr="00BD6AF7" w14:paraId="0CF1654B" w14:textId="77777777">
        <w:trPr>
          <w:trHeight w:val="264"/>
        </w:trPr>
        <w:tc>
          <w:tcPr>
            <w:tcW w:w="2920" w:type="dxa"/>
            <w:tcBorders>
              <w:bottom w:val="nil"/>
            </w:tcBorders>
            <w:vAlign w:val="center"/>
          </w:tcPr>
          <w:p w14:paraId="71EE85D8"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Positive</w:t>
            </w:r>
          </w:p>
        </w:tc>
        <w:tc>
          <w:tcPr>
            <w:tcW w:w="648" w:type="dxa"/>
            <w:tcBorders>
              <w:bottom w:val="nil"/>
            </w:tcBorders>
            <w:vAlign w:val="center"/>
          </w:tcPr>
          <w:p w14:paraId="6691B61D"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10</w:t>
            </w:r>
          </w:p>
        </w:tc>
        <w:tc>
          <w:tcPr>
            <w:tcW w:w="4381" w:type="dxa"/>
            <w:gridSpan w:val="2"/>
            <w:tcBorders>
              <w:bottom w:val="nil"/>
            </w:tcBorders>
            <w:vAlign w:val="center"/>
          </w:tcPr>
          <w:p w14:paraId="7F04601B"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0.02 (0.02-0.02)</w:t>
            </w:r>
          </w:p>
        </w:tc>
        <w:tc>
          <w:tcPr>
            <w:tcW w:w="1299" w:type="dxa"/>
            <w:vMerge/>
            <w:vAlign w:val="center"/>
          </w:tcPr>
          <w:p w14:paraId="65E7E963" w14:textId="77777777" w:rsidR="004E296F" w:rsidRPr="00BD6AF7" w:rsidRDefault="004E296F" w:rsidP="00BD6AF7">
            <w:pPr>
              <w:widowControl w:val="0"/>
              <w:pBdr>
                <w:top w:val="nil"/>
                <w:left w:val="nil"/>
                <w:bottom w:val="nil"/>
                <w:right w:val="nil"/>
                <w:between w:val="nil"/>
              </w:pBdr>
              <w:spacing w:line="360" w:lineRule="auto"/>
              <w:rPr>
                <w:rFonts w:ascii="Book Antiqua" w:eastAsia="Book Antiqua" w:hAnsi="Book Antiqua" w:cs="Book Antiqua"/>
              </w:rPr>
            </w:pPr>
          </w:p>
        </w:tc>
      </w:tr>
      <w:tr w:rsidR="004E296F" w:rsidRPr="00BD6AF7" w14:paraId="0126D259" w14:textId="77777777">
        <w:trPr>
          <w:trHeight w:val="264"/>
        </w:trPr>
        <w:tc>
          <w:tcPr>
            <w:tcW w:w="2920" w:type="dxa"/>
            <w:tcBorders>
              <w:top w:val="nil"/>
              <w:bottom w:val="nil"/>
            </w:tcBorders>
          </w:tcPr>
          <w:p w14:paraId="23C7980F"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LN metastasis</w:t>
            </w:r>
          </w:p>
        </w:tc>
        <w:tc>
          <w:tcPr>
            <w:tcW w:w="648" w:type="dxa"/>
            <w:tcBorders>
              <w:top w:val="nil"/>
              <w:bottom w:val="nil"/>
            </w:tcBorders>
            <w:vAlign w:val="center"/>
          </w:tcPr>
          <w:p w14:paraId="3B213890" w14:textId="77777777" w:rsidR="004E296F" w:rsidRPr="00BD6AF7" w:rsidRDefault="004E296F" w:rsidP="00BD6AF7">
            <w:pPr>
              <w:spacing w:line="360" w:lineRule="auto"/>
              <w:jc w:val="both"/>
              <w:rPr>
                <w:rFonts w:ascii="Book Antiqua" w:eastAsia="Book Antiqua" w:hAnsi="Book Antiqua" w:cs="Book Antiqua"/>
              </w:rPr>
            </w:pPr>
          </w:p>
        </w:tc>
        <w:tc>
          <w:tcPr>
            <w:tcW w:w="1530" w:type="dxa"/>
            <w:tcBorders>
              <w:top w:val="nil"/>
              <w:bottom w:val="nil"/>
            </w:tcBorders>
            <w:vAlign w:val="center"/>
          </w:tcPr>
          <w:p w14:paraId="0483C03C" w14:textId="77777777" w:rsidR="004E296F" w:rsidRPr="00BD6AF7" w:rsidRDefault="004E296F" w:rsidP="00BD6AF7">
            <w:pPr>
              <w:spacing w:line="360" w:lineRule="auto"/>
              <w:jc w:val="both"/>
              <w:rPr>
                <w:rFonts w:ascii="Book Antiqua" w:eastAsia="Book Antiqua" w:hAnsi="Book Antiqua" w:cs="Book Antiqua"/>
              </w:rPr>
            </w:pPr>
          </w:p>
        </w:tc>
        <w:tc>
          <w:tcPr>
            <w:tcW w:w="2851" w:type="dxa"/>
            <w:tcBorders>
              <w:top w:val="nil"/>
              <w:bottom w:val="nil"/>
            </w:tcBorders>
            <w:vAlign w:val="center"/>
          </w:tcPr>
          <w:p w14:paraId="4D72820E" w14:textId="77777777" w:rsidR="004E296F" w:rsidRPr="00BD6AF7" w:rsidRDefault="004E296F" w:rsidP="00BD6AF7">
            <w:pPr>
              <w:spacing w:line="360" w:lineRule="auto"/>
              <w:jc w:val="both"/>
              <w:rPr>
                <w:rFonts w:ascii="Book Antiqua" w:eastAsia="Book Antiqua" w:hAnsi="Book Antiqua" w:cs="Book Antiqua"/>
              </w:rPr>
            </w:pPr>
          </w:p>
        </w:tc>
        <w:tc>
          <w:tcPr>
            <w:tcW w:w="1299" w:type="dxa"/>
            <w:tcBorders>
              <w:top w:val="nil"/>
              <w:bottom w:val="nil"/>
            </w:tcBorders>
            <w:vAlign w:val="center"/>
          </w:tcPr>
          <w:p w14:paraId="3CF43F22" w14:textId="77777777" w:rsidR="004E296F" w:rsidRPr="00BD6AF7" w:rsidRDefault="004E296F" w:rsidP="00BD6AF7">
            <w:pPr>
              <w:spacing w:line="360" w:lineRule="auto"/>
              <w:jc w:val="both"/>
              <w:rPr>
                <w:rFonts w:ascii="Book Antiqua" w:eastAsia="Book Antiqua" w:hAnsi="Book Antiqua" w:cs="Book Antiqua"/>
                <w:highlight w:val="yellow"/>
              </w:rPr>
            </w:pPr>
          </w:p>
        </w:tc>
      </w:tr>
      <w:tr w:rsidR="004E296F" w:rsidRPr="00BD6AF7" w14:paraId="7414AA31" w14:textId="77777777">
        <w:trPr>
          <w:trHeight w:val="264"/>
        </w:trPr>
        <w:tc>
          <w:tcPr>
            <w:tcW w:w="2920" w:type="dxa"/>
            <w:vAlign w:val="center"/>
          </w:tcPr>
          <w:p w14:paraId="49604F63"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Negative</w:t>
            </w:r>
          </w:p>
        </w:tc>
        <w:tc>
          <w:tcPr>
            <w:tcW w:w="648" w:type="dxa"/>
            <w:vAlign w:val="center"/>
          </w:tcPr>
          <w:p w14:paraId="0ED26581"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28</w:t>
            </w:r>
          </w:p>
        </w:tc>
        <w:tc>
          <w:tcPr>
            <w:tcW w:w="4381" w:type="dxa"/>
            <w:gridSpan w:val="2"/>
            <w:vAlign w:val="center"/>
          </w:tcPr>
          <w:p w14:paraId="388CD151"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0.04 (0.02-0.17)</w:t>
            </w:r>
          </w:p>
        </w:tc>
        <w:tc>
          <w:tcPr>
            <w:tcW w:w="1299" w:type="dxa"/>
            <w:vMerge w:val="restart"/>
            <w:vAlign w:val="center"/>
          </w:tcPr>
          <w:p w14:paraId="0D46E6E5" w14:textId="77777777" w:rsidR="004E296F" w:rsidRPr="00BD6AF7" w:rsidRDefault="00703776" w:rsidP="00BD6AF7">
            <w:pPr>
              <w:spacing w:line="360" w:lineRule="auto"/>
              <w:jc w:val="both"/>
              <w:rPr>
                <w:rFonts w:ascii="Book Antiqua" w:eastAsia="Book Antiqua" w:hAnsi="Book Antiqua" w:cs="Book Antiqua"/>
                <w:highlight w:val="yellow"/>
              </w:rPr>
            </w:pPr>
            <w:r w:rsidRPr="00BD6AF7">
              <w:rPr>
                <w:rFonts w:ascii="Book Antiqua" w:eastAsia="Book Antiqua" w:hAnsi="Book Antiqua" w:cs="Book Antiqua"/>
              </w:rPr>
              <w:t>0.072</w:t>
            </w:r>
            <w:r w:rsidRPr="00BD6AF7">
              <w:rPr>
                <w:rFonts w:ascii="Book Antiqua" w:eastAsia="Book Antiqua" w:hAnsi="Book Antiqua" w:cs="Book Antiqua"/>
                <w:highlight w:val="yellow"/>
              </w:rPr>
              <w:br/>
            </w:r>
          </w:p>
        </w:tc>
      </w:tr>
      <w:tr w:rsidR="004E296F" w:rsidRPr="00BD6AF7" w14:paraId="58C561EF" w14:textId="77777777">
        <w:trPr>
          <w:trHeight w:val="264"/>
        </w:trPr>
        <w:tc>
          <w:tcPr>
            <w:tcW w:w="2920" w:type="dxa"/>
            <w:vAlign w:val="center"/>
          </w:tcPr>
          <w:p w14:paraId="57D2132F"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Positive</w:t>
            </w:r>
          </w:p>
        </w:tc>
        <w:tc>
          <w:tcPr>
            <w:tcW w:w="648" w:type="dxa"/>
            <w:vAlign w:val="center"/>
          </w:tcPr>
          <w:p w14:paraId="3136D5CE"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7</w:t>
            </w:r>
          </w:p>
        </w:tc>
        <w:tc>
          <w:tcPr>
            <w:tcW w:w="4381" w:type="dxa"/>
            <w:gridSpan w:val="2"/>
            <w:vAlign w:val="center"/>
          </w:tcPr>
          <w:p w14:paraId="1FB5109C"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0.02 (0.02-0.03)</w:t>
            </w:r>
          </w:p>
        </w:tc>
        <w:tc>
          <w:tcPr>
            <w:tcW w:w="1299" w:type="dxa"/>
            <w:vMerge/>
            <w:vAlign w:val="center"/>
          </w:tcPr>
          <w:p w14:paraId="004B032C" w14:textId="77777777" w:rsidR="004E296F" w:rsidRPr="00BD6AF7" w:rsidRDefault="004E296F" w:rsidP="00BD6AF7">
            <w:pPr>
              <w:widowControl w:val="0"/>
              <w:pBdr>
                <w:top w:val="nil"/>
                <w:left w:val="nil"/>
                <w:bottom w:val="nil"/>
                <w:right w:val="nil"/>
                <w:between w:val="nil"/>
              </w:pBdr>
              <w:spacing w:line="360" w:lineRule="auto"/>
              <w:rPr>
                <w:rFonts w:ascii="Book Antiqua" w:eastAsia="Book Antiqua" w:hAnsi="Book Antiqua" w:cs="Book Antiqua"/>
              </w:rPr>
            </w:pPr>
          </w:p>
        </w:tc>
      </w:tr>
      <w:tr w:rsidR="004E296F" w:rsidRPr="00BD6AF7" w14:paraId="04EA43D6" w14:textId="77777777">
        <w:trPr>
          <w:trHeight w:val="264"/>
        </w:trPr>
        <w:tc>
          <w:tcPr>
            <w:tcW w:w="2920" w:type="dxa"/>
            <w:tcBorders>
              <w:top w:val="nil"/>
              <w:bottom w:val="nil"/>
            </w:tcBorders>
          </w:tcPr>
          <w:p w14:paraId="274AFB73"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Distant metastasis</w:t>
            </w:r>
          </w:p>
        </w:tc>
        <w:tc>
          <w:tcPr>
            <w:tcW w:w="648" w:type="dxa"/>
            <w:tcBorders>
              <w:top w:val="nil"/>
              <w:bottom w:val="nil"/>
            </w:tcBorders>
            <w:vAlign w:val="center"/>
          </w:tcPr>
          <w:p w14:paraId="029D22AE" w14:textId="77777777" w:rsidR="004E296F" w:rsidRPr="00BD6AF7" w:rsidRDefault="004E296F" w:rsidP="00BD6AF7">
            <w:pPr>
              <w:spacing w:line="360" w:lineRule="auto"/>
              <w:jc w:val="both"/>
              <w:rPr>
                <w:rFonts w:ascii="Book Antiqua" w:eastAsia="Book Antiqua" w:hAnsi="Book Antiqua" w:cs="Book Antiqua"/>
              </w:rPr>
            </w:pPr>
          </w:p>
        </w:tc>
        <w:tc>
          <w:tcPr>
            <w:tcW w:w="1530" w:type="dxa"/>
            <w:tcBorders>
              <w:top w:val="nil"/>
              <w:bottom w:val="nil"/>
            </w:tcBorders>
            <w:vAlign w:val="center"/>
          </w:tcPr>
          <w:p w14:paraId="61480DA7" w14:textId="77777777" w:rsidR="004E296F" w:rsidRPr="00BD6AF7" w:rsidRDefault="004E296F" w:rsidP="00BD6AF7">
            <w:pPr>
              <w:spacing w:line="360" w:lineRule="auto"/>
              <w:jc w:val="both"/>
              <w:rPr>
                <w:rFonts w:ascii="Book Antiqua" w:eastAsia="Book Antiqua" w:hAnsi="Book Antiqua" w:cs="Book Antiqua"/>
              </w:rPr>
            </w:pPr>
          </w:p>
        </w:tc>
        <w:tc>
          <w:tcPr>
            <w:tcW w:w="2851" w:type="dxa"/>
            <w:tcBorders>
              <w:top w:val="nil"/>
              <w:bottom w:val="nil"/>
            </w:tcBorders>
            <w:vAlign w:val="center"/>
          </w:tcPr>
          <w:p w14:paraId="2440B276" w14:textId="77777777" w:rsidR="004E296F" w:rsidRPr="00BD6AF7" w:rsidRDefault="004E296F" w:rsidP="00BD6AF7">
            <w:pPr>
              <w:spacing w:line="360" w:lineRule="auto"/>
              <w:jc w:val="both"/>
              <w:rPr>
                <w:rFonts w:ascii="Book Antiqua" w:eastAsia="Book Antiqua" w:hAnsi="Book Antiqua" w:cs="Book Antiqua"/>
              </w:rPr>
            </w:pPr>
          </w:p>
        </w:tc>
        <w:tc>
          <w:tcPr>
            <w:tcW w:w="1299" w:type="dxa"/>
            <w:tcBorders>
              <w:top w:val="nil"/>
              <w:bottom w:val="nil"/>
            </w:tcBorders>
            <w:vAlign w:val="center"/>
          </w:tcPr>
          <w:p w14:paraId="610B2DD6" w14:textId="77777777" w:rsidR="004E296F" w:rsidRPr="00BD6AF7" w:rsidRDefault="004E296F" w:rsidP="00BD6AF7">
            <w:pPr>
              <w:spacing w:line="360" w:lineRule="auto"/>
              <w:jc w:val="both"/>
              <w:rPr>
                <w:rFonts w:ascii="Book Antiqua" w:eastAsia="Book Antiqua" w:hAnsi="Book Antiqua" w:cs="Book Antiqua"/>
                <w:highlight w:val="yellow"/>
              </w:rPr>
            </w:pPr>
          </w:p>
        </w:tc>
      </w:tr>
      <w:tr w:rsidR="004E296F" w:rsidRPr="00BD6AF7" w14:paraId="12E801A0" w14:textId="77777777">
        <w:trPr>
          <w:trHeight w:val="264"/>
        </w:trPr>
        <w:tc>
          <w:tcPr>
            <w:tcW w:w="2920" w:type="dxa"/>
            <w:vAlign w:val="center"/>
          </w:tcPr>
          <w:p w14:paraId="2A391B18"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No</w:t>
            </w:r>
          </w:p>
        </w:tc>
        <w:tc>
          <w:tcPr>
            <w:tcW w:w="648" w:type="dxa"/>
            <w:vAlign w:val="center"/>
          </w:tcPr>
          <w:p w14:paraId="6BD143F4"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23</w:t>
            </w:r>
          </w:p>
        </w:tc>
        <w:tc>
          <w:tcPr>
            <w:tcW w:w="4381" w:type="dxa"/>
            <w:gridSpan w:val="2"/>
            <w:vAlign w:val="center"/>
          </w:tcPr>
          <w:p w14:paraId="5628D87B"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0.04 (0.03-0.26)</w:t>
            </w:r>
          </w:p>
        </w:tc>
        <w:tc>
          <w:tcPr>
            <w:tcW w:w="1299" w:type="dxa"/>
            <w:vMerge w:val="restart"/>
            <w:vAlign w:val="center"/>
          </w:tcPr>
          <w:p w14:paraId="7805D5CD" w14:textId="77777777" w:rsidR="004E296F" w:rsidRPr="00BD6AF7" w:rsidRDefault="00703776" w:rsidP="00BD6AF7">
            <w:pPr>
              <w:spacing w:line="360" w:lineRule="auto"/>
              <w:jc w:val="both"/>
              <w:rPr>
                <w:rFonts w:ascii="Book Antiqua" w:eastAsia="Book Antiqua" w:hAnsi="Book Antiqua" w:cs="Book Antiqua"/>
                <w:highlight w:val="yellow"/>
              </w:rPr>
            </w:pPr>
            <w:r w:rsidRPr="00BD6AF7">
              <w:rPr>
                <w:rFonts w:ascii="Book Antiqua" w:eastAsia="Book Antiqua" w:hAnsi="Book Antiqua" w:cs="Book Antiqua"/>
              </w:rPr>
              <w:t xml:space="preserve"> &lt; 0.001</w:t>
            </w:r>
          </w:p>
        </w:tc>
      </w:tr>
      <w:tr w:rsidR="004E296F" w:rsidRPr="00BD6AF7" w14:paraId="76B48FEF" w14:textId="77777777">
        <w:trPr>
          <w:trHeight w:val="264"/>
        </w:trPr>
        <w:tc>
          <w:tcPr>
            <w:tcW w:w="2920" w:type="dxa"/>
            <w:vAlign w:val="center"/>
          </w:tcPr>
          <w:p w14:paraId="69931D2E"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Yes</w:t>
            </w:r>
          </w:p>
        </w:tc>
        <w:tc>
          <w:tcPr>
            <w:tcW w:w="648" w:type="dxa"/>
            <w:vAlign w:val="center"/>
          </w:tcPr>
          <w:p w14:paraId="4BD3678B"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12</w:t>
            </w:r>
          </w:p>
        </w:tc>
        <w:tc>
          <w:tcPr>
            <w:tcW w:w="4381" w:type="dxa"/>
            <w:gridSpan w:val="2"/>
            <w:vAlign w:val="center"/>
          </w:tcPr>
          <w:p w14:paraId="083826AD"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0.02 (0.02-0.02)</w:t>
            </w:r>
          </w:p>
        </w:tc>
        <w:tc>
          <w:tcPr>
            <w:tcW w:w="1299" w:type="dxa"/>
            <w:vMerge/>
            <w:vAlign w:val="center"/>
          </w:tcPr>
          <w:p w14:paraId="6D3072E4" w14:textId="77777777" w:rsidR="004E296F" w:rsidRPr="00BD6AF7" w:rsidRDefault="004E296F" w:rsidP="00BD6AF7">
            <w:pPr>
              <w:widowControl w:val="0"/>
              <w:pBdr>
                <w:top w:val="nil"/>
                <w:left w:val="nil"/>
                <w:bottom w:val="nil"/>
                <w:right w:val="nil"/>
                <w:between w:val="nil"/>
              </w:pBdr>
              <w:spacing w:line="360" w:lineRule="auto"/>
              <w:rPr>
                <w:rFonts w:ascii="Book Antiqua" w:eastAsia="Book Antiqua" w:hAnsi="Book Antiqua" w:cs="Book Antiqua"/>
              </w:rPr>
            </w:pPr>
          </w:p>
        </w:tc>
      </w:tr>
      <w:tr w:rsidR="004E296F" w:rsidRPr="00BD6AF7" w14:paraId="673B05AB" w14:textId="77777777">
        <w:trPr>
          <w:trHeight w:val="279"/>
        </w:trPr>
        <w:tc>
          <w:tcPr>
            <w:tcW w:w="2920" w:type="dxa"/>
            <w:tcBorders>
              <w:top w:val="nil"/>
              <w:bottom w:val="nil"/>
            </w:tcBorders>
          </w:tcPr>
          <w:p w14:paraId="0802AE73" w14:textId="0715F0E3"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 xml:space="preserve">Child </w:t>
            </w:r>
            <w:r w:rsidR="00664EC2">
              <w:rPr>
                <w:rFonts w:ascii="Book Antiqua" w:eastAsia="Book Antiqua" w:hAnsi="Book Antiqua" w:cs="Book Antiqua"/>
              </w:rPr>
              <w:t>P</w:t>
            </w:r>
            <w:r w:rsidRPr="00BD6AF7">
              <w:rPr>
                <w:rFonts w:ascii="Book Antiqua" w:eastAsia="Book Antiqua" w:hAnsi="Book Antiqua" w:cs="Book Antiqua"/>
              </w:rPr>
              <w:t>ugh class</w:t>
            </w:r>
          </w:p>
        </w:tc>
        <w:tc>
          <w:tcPr>
            <w:tcW w:w="648" w:type="dxa"/>
            <w:tcBorders>
              <w:top w:val="nil"/>
              <w:bottom w:val="nil"/>
            </w:tcBorders>
            <w:vAlign w:val="center"/>
          </w:tcPr>
          <w:p w14:paraId="69EB3789" w14:textId="77777777" w:rsidR="004E296F" w:rsidRPr="00BD6AF7" w:rsidRDefault="004E296F" w:rsidP="00BD6AF7">
            <w:pPr>
              <w:spacing w:line="360" w:lineRule="auto"/>
              <w:jc w:val="both"/>
              <w:rPr>
                <w:rFonts w:ascii="Book Antiqua" w:eastAsia="Book Antiqua" w:hAnsi="Book Antiqua" w:cs="Book Antiqua"/>
              </w:rPr>
            </w:pPr>
          </w:p>
        </w:tc>
        <w:tc>
          <w:tcPr>
            <w:tcW w:w="1530" w:type="dxa"/>
            <w:tcBorders>
              <w:top w:val="nil"/>
              <w:bottom w:val="nil"/>
            </w:tcBorders>
            <w:vAlign w:val="center"/>
          </w:tcPr>
          <w:p w14:paraId="7FBE60BA" w14:textId="77777777" w:rsidR="004E296F" w:rsidRPr="00BD6AF7" w:rsidRDefault="004E296F" w:rsidP="00BD6AF7">
            <w:pPr>
              <w:spacing w:line="360" w:lineRule="auto"/>
              <w:jc w:val="both"/>
              <w:rPr>
                <w:rFonts w:ascii="Book Antiqua" w:eastAsia="Book Antiqua" w:hAnsi="Book Antiqua" w:cs="Book Antiqua"/>
              </w:rPr>
            </w:pPr>
          </w:p>
        </w:tc>
        <w:tc>
          <w:tcPr>
            <w:tcW w:w="2851" w:type="dxa"/>
            <w:tcBorders>
              <w:top w:val="nil"/>
              <w:bottom w:val="nil"/>
            </w:tcBorders>
            <w:vAlign w:val="center"/>
          </w:tcPr>
          <w:p w14:paraId="4591B73B" w14:textId="77777777" w:rsidR="004E296F" w:rsidRPr="00BD6AF7" w:rsidRDefault="004E296F" w:rsidP="00BD6AF7">
            <w:pPr>
              <w:spacing w:line="360" w:lineRule="auto"/>
              <w:jc w:val="both"/>
              <w:rPr>
                <w:rFonts w:ascii="Book Antiqua" w:eastAsia="Book Antiqua" w:hAnsi="Book Antiqua" w:cs="Book Antiqua"/>
              </w:rPr>
            </w:pPr>
          </w:p>
        </w:tc>
        <w:tc>
          <w:tcPr>
            <w:tcW w:w="1299" w:type="dxa"/>
            <w:tcBorders>
              <w:top w:val="nil"/>
              <w:bottom w:val="nil"/>
            </w:tcBorders>
            <w:vAlign w:val="center"/>
          </w:tcPr>
          <w:p w14:paraId="022F2F6C" w14:textId="77777777" w:rsidR="004E296F" w:rsidRPr="00BD6AF7" w:rsidRDefault="004E296F" w:rsidP="00BD6AF7">
            <w:pPr>
              <w:spacing w:line="360" w:lineRule="auto"/>
              <w:jc w:val="both"/>
              <w:rPr>
                <w:rFonts w:ascii="Book Antiqua" w:eastAsia="Book Antiqua" w:hAnsi="Book Antiqua" w:cs="Book Antiqua"/>
                <w:highlight w:val="yellow"/>
              </w:rPr>
            </w:pPr>
          </w:p>
        </w:tc>
      </w:tr>
      <w:tr w:rsidR="004E296F" w:rsidRPr="00BD6AF7" w14:paraId="24B0EFD2" w14:textId="77777777">
        <w:trPr>
          <w:trHeight w:val="264"/>
        </w:trPr>
        <w:tc>
          <w:tcPr>
            <w:tcW w:w="2920" w:type="dxa"/>
            <w:vAlign w:val="center"/>
          </w:tcPr>
          <w:p w14:paraId="5E555D3E"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A</w:t>
            </w:r>
          </w:p>
        </w:tc>
        <w:tc>
          <w:tcPr>
            <w:tcW w:w="648" w:type="dxa"/>
            <w:vAlign w:val="center"/>
          </w:tcPr>
          <w:p w14:paraId="0BE7087D"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22</w:t>
            </w:r>
          </w:p>
        </w:tc>
        <w:tc>
          <w:tcPr>
            <w:tcW w:w="4381" w:type="dxa"/>
            <w:gridSpan w:val="2"/>
            <w:vAlign w:val="center"/>
          </w:tcPr>
          <w:p w14:paraId="393D6BA4"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0.03 (0.02-0.04)</w:t>
            </w:r>
          </w:p>
        </w:tc>
        <w:tc>
          <w:tcPr>
            <w:tcW w:w="1299" w:type="dxa"/>
            <w:vMerge w:val="restart"/>
            <w:vAlign w:val="center"/>
          </w:tcPr>
          <w:p w14:paraId="04575051" w14:textId="77777777" w:rsidR="004E296F" w:rsidRPr="00BD6AF7" w:rsidRDefault="00703776" w:rsidP="00BD6AF7">
            <w:pPr>
              <w:spacing w:line="360" w:lineRule="auto"/>
              <w:jc w:val="both"/>
              <w:rPr>
                <w:rFonts w:ascii="Book Antiqua" w:eastAsia="Book Antiqua" w:hAnsi="Book Antiqua" w:cs="Book Antiqua"/>
                <w:highlight w:val="yellow"/>
              </w:rPr>
            </w:pPr>
            <w:r w:rsidRPr="00BD6AF7">
              <w:rPr>
                <w:rFonts w:ascii="Book Antiqua" w:eastAsia="Book Antiqua" w:hAnsi="Book Antiqua" w:cs="Book Antiqua"/>
              </w:rPr>
              <w:t xml:space="preserve"> 0.389</w:t>
            </w:r>
          </w:p>
        </w:tc>
      </w:tr>
      <w:tr w:rsidR="004E296F" w:rsidRPr="00BD6AF7" w14:paraId="7E3E76DF" w14:textId="77777777">
        <w:trPr>
          <w:trHeight w:val="264"/>
        </w:trPr>
        <w:tc>
          <w:tcPr>
            <w:tcW w:w="2920" w:type="dxa"/>
            <w:vAlign w:val="center"/>
          </w:tcPr>
          <w:p w14:paraId="32ED0E33"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B</w:t>
            </w:r>
          </w:p>
        </w:tc>
        <w:tc>
          <w:tcPr>
            <w:tcW w:w="648" w:type="dxa"/>
            <w:vAlign w:val="center"/>
          </w:tcPr>
          <w:p w14:paraId="4B469C3C"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13</w:t>
            </w:r>
          </w:p>
        </w:tc>
        <w:tc>
          <w:tcPr>
            <w:tcW w:w="4381" w:type="dxa"/>
            <w:gridSpan w:val="2"/>
            <w:vAlign w:val="center"/>
          </w:tcPr>
          <w:p w14:paraId="6EE47E3D"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0.04 (0.02-0.26)</w:t>
            </w:r>
          </w:p>
        </w:tc>
        <w:tc>
          <w:tcPr>
            <w:tcW w:w="1299" w:type="dxa"/>
            <w:vMerge/>
            <w:vAlign w:val="center"/>
          </w:tcPr>
          <w:p w14:paraId="4ECBDF33" w14:textId="77777777" w:rsidR="004E296F" w:rsidRPr="00BD6AF7" w:rsidRDefault="004E296F" w:rsidP="00BD6AF7">
            <w:pPr>
              <w:widowControl w:val="0"/>
              <w:pBdr>
                <w:top w:val="nil"/>
                <w:left w:val="nil"/>
                <w:bottom w:val="nil"/>
                <w:right w:val="nil"/>
                <w:between w:val="nil"/>
              </w:pBdr>
              <w:spacing w:line="360" w:lineRule="auto"/>
              <w:rPr>
                <w:rFonts w:ascii="Book Antiqua" w:eastAsia="Book Antiqua" w:hAnsi="Book Antiqua" w:cs="Book Antiqua"/>
              </w:rPr>
            </w:pPr>
          </w:p>
        </w:tc>
      </w:tr>
      <w:tr w:rsidR="004E296F" w:rsidRPr="00BD6AF7" w14:paraId="24C8A38B" w14:textId="77777777">
        <w:trPr>
          <w:trHeight w:val="264"/>
        </w:trPr>
        <w:tc>
          <w:tcPr>
            <w:tcW w:w="2920" w:type="dxa"/>
            <w:tcBorders>
              <w:top w:val="nil"/>
              <w:bottom w:val="nil"/>
            </w:tcBorders>
          </w:tcPr>
          <w:p w14:paraId="3D6356ED"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Tumor number</w:t>
            </w:r>
          </w:p>
        </w:tc>
        <w:tc>
          <w:tcPr>
            <w:tcW w:w="648" w:type="dxa"/>
            <w:tcBorders>
              <w:top w:val="nil"/>
              <w:bottom w:val="nil"/>
            </w:tcBorders>
            <w:vAlign w:val="center"/>
          </w:tcPr>
          <w:p w14:paraId="270A9D23" w14:textId="77777777" w:rsidR="004E296F" w:rsidRPr="00BD6AF7" w:rsidRDefault="004E296F" w:rsidP="00BD6AF7">
            <w:pPr>
              <w:spacing w:line="360" w:lineRule="auto"/>
              <w:jc w:val="both"/>
              <w:rPr>
                <w:rFonts w:ascii="Book Antiqua" w:eastAsia="Book Antiqua" w:hAnsi="Book Antiqua" w:cs="Book Antiqua"/>
              </w:rPr>
            </w:pPr>
          </w:p>
        </w:tc>
        <w:tc>
          <w:tcPr>
            <w:tcW w:w="1530" w:type="dxa"/>
            <w:tcBorders>
              <w:top w:val="nil"/>
              <w:bottom w:val="nil"/>
            </w:tcBorders>
            <w:vAlign w:val="center"/>
          </w:tcPr>
          <w:p w14:paraId="5D3B15CA" w14:textId="77777777" w:rsidR="004E296F" w:rsidRPr="00BD6AF7" w:rsidRDefault="004E296F" w:rsidP="00BD6AF7">
            <w:pPr>
              <w:spacing w:line="360" w:lineRule="auto"/>
              <w:jc w:val="both"/>
              <w:rPr>
                <w:rFonts w:ascii="Book Antiqua" w:eastAsia="Book Antiqua" w:hAnsi="Book Antiqua" w:cs="Book Antiqua"/>
              </w:rPr>
            </w:pPr>
          </w:p>
        </w:tc>
        <w:tc>
          <w:tcPr>
            <w:tcW w:w="2851" w:type="dxa"/>
            <w:tcBorders>
              <w:top w:val="nil"/>
              <w:bottom w:val="nil"/>
            </w:tcBorders>
            <w:vAlign w:val="center"/>
          </w:tcPr>
          <w:p w14:paraId="3EBFCA90" w14:textId="77777777" w:rsidR="004E296F" w:rsidRPr="00BD6AF7" w:rsidRDefault="004E296F" w:rsidP="00BD6AF7">
            <w:pPr>
              <w:spacing w:line="360" w:lineRule="auto"/>
              <w:jc w:val="both"/>
              <w:rPr>
                <w:rFonts w:ascii="Book Antiqua" w:eastAsia="Book Antiqua" w:hAnsi="Book Antiqua" w:cs="Book Antiqua"/>
              </w:rPr>
            </w:pPr>
          </w:p>
        </w:tc>
        <w:tc>
          <w:tcPr>
            <w:tcW w:w="1299" w:type="dxa"/>
            <w:tcBorders>
              <w:top w:val="nil"/>
              <w:bottom w:val="nil"/>
            </w:tcBorders>
            <w:vAlign w:val="center"/>
          </w:tcPr>
          <w:p w14:paraId="5ECACA88" w14:textId="77777777" w:rsidR="004E296F" w:rsidRPr="00BD6AF7" w:rsidRDefault="004E296F" w:rsidP="00BD6AF7">
            <w:pPr>
              <w:spacing w:line="360" w:lineRule="auto"/>
              <w:jc w:val="both"/>
              <w:rPr>
                <w:rFonts w:ascii="Book Antiqua" w:eastAsia="Book Antiqua" w:hAnsi="Book Antiqua" w:cs="Book Antiqua"/>
                <w:highlight w:val="yellow"/>
              </w:rPr>
            </w:pPr>
          </w:p>
        </w:tc>
      </w:tr>
      <w:tr w:rsidR="004E296F" w:rsidRPr="00BD6AF7" w14:paraId="5FEFC08B" w14:textId="77777777">
        <w:trPr>
          <w:trHeight w:val="264"/>
        </w:trPr>
        <w:tc>
          <w:tcPr>
            <w:tcW w:w="2920" w:type="dxa"/>
            <w:vAlign w:val="center"/>
          </w:tcPr>
          <w:p w14:paraId="4036C0B2"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Single</w:t>
            </w:r>
          </w:p>
        </w:tc>
        <w:tc>
          <w:tcPr>
            <w:tcW w:w="648" w:type="dxa"/>
            <w:vAlign w:val="center"/>
          </w:tcPr>
          <w:p w14:paraId="0F8B4528"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16</w:t>
            </w:r>
          </w:p>
        </w:tc>
        <w:tc>
          <w:tcPr>
            <w:tcW w:w="4381" w:type="dxa"/>
            <w:gridSpan w:val="2"/>
            <w:vAlign w:val="center"/>
          </w:tcPr>
          <w:p w14:paraId="6CE8D6DC"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0.03 (0.02-0.17)</w:t>
            </w:r>
          </w:p>
        </w:tc>
        <w:tc>
          <w:tcPr>
            <w:tcW w:w="1299" w:type="dxa"/>
            <w:vMerge w:val="restart"/>
            <w:vAlign w:val="center"/>
          </w:tcPr>
          <w:p w14:paraId="3B87B321" w14:textId="77777777" w:rsidR="004E296F" w:rsidRPr="00BD6AF7" w:rsidRDefault="00703776" w:rsidP="00BD6AF7">
            <w:pPr>
              <w:spacing w:line="360" w:lineRule="auto"/>
              <w:jc w:val="both"/>
              <w:rPr>
                <w:rFonts w:ascii="Book Antiqua" w:eastAsia="Book Antiqua" w:hAnsi="Book Antiqua" w:cs="Book Antiqua"/>
                <w:highlight w:val="yellow"/>
              </w:rPr>
            </w:pPr>
            <w:r w:rsidRPr="00BD6AF7">
              <w:rPr>
                <w:rFonts w:ascii="Book Antiqua" w:eastAsia="Book Antiqua" w:hAnsi="Book Antiqua" w:cs="Book Antiqua"/>
              </w:rPr>
              <w:t xml:space="preserve"> 0.935</w:t>
            </w:r>
          </w:p>
        </w:tc>
      </w:tr>
      <w:tr w:rsidR="004E296F" w:rsidRPr="00BD6AF7" w14:paraId="6BD60E19" w14:textId="77777777">
        <w:trPr>
          <w:trHeight w:val="264"/>
        </w:trPr>
        <w:tc>
          <w:tcPr>
            <w:tcW w:w="2920" w:type="dxa"/>
            <w:vAlign w:val="center"/>
          </w:tcPr>
          <w:p w14:paraId="0BBA803F"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Multiple</w:t>
            </w:r>
          </w:p>
        </w:tc>
        <w:tc>
          <w:tcPr>
            <w:tcW w:w="648" w:type="dxa"/>
            <w:vAlign w:val="center"/>
          </w:tcPr>
          <w:p w14:paraId="0CD6AC02"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19</w:t>
            </w:r>
          </w:p>
        </w:tc>
        <w:tc>
          <w:tcPr>
            <w:tcW w:w="4381" w:type="dxa"/>
            <w:gridSpan w:val="2"/>
            <w:vAlign w:val="center"/>
          </w:tcPr>
          <w:p w14:paraId="22918845"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0.03 (0.02-0.05)</w:t>
            </w:r>
          </w:p>
        </w:tc>
        <w:tc>
          <w:tcPr>
            <w:tcW w:w="1299" w:type="dxa"/>
            <w:vMerge/>
            <w:vAlign w:val="center"/>
          </w:tcPr>
          <w:p w14:paraId="442573BE" w14:textId="77777777" w:rsidR="004E296F" w:rsidRPr="00BD6AF7" w:rsidRDefault="004E296F" w:rsidP="00BD6AF7">
            <w:pPr>
              <w:widowControl w:val="0"/>
              <w:pBdr>
                <w:top w:val="nil"/>
                <w:left w:val="nil"/>
                <w:bottom w:val="nil"/>
                <w:right w:val="nil"/>
                <w:between w:val="nil"/>
              </w:pBdr>
              <w:spacing w:line="360" w:lineRule="auto"/>
              <w:rPr>
                <w:rFonts w:ascii="Book Antiqua" w:eastAsia="Book Antiqua" w:hAnsi="Book Antiqua" w:cs="Book Antiqua"/>
              </w:rPr>
            </w:pPr>
          </w:p>
        </w:tc>
      </w:tr>
      <w:tr w:rsidR="004E296F" w:rsidRPr="00BD6AF7" w14:paraId="3B5B7A7F" w14:textId="77777777">
        <w:trPr>
          <w:trHeight w:val="264"/>
        </w:trPr>
        <w:tc>
          <w:tcPr>
            <w:tcW w:w="2920" w:type="dxa"/>
            <w:tcBorders>
              <w:top w:val="nil"/>
              <w:bottom w:val="nil"/>
            </w:tcBorders>
          </w:tcPr>
          <w:p w14:paraId="0DE7B944" w14:textId="3CC859B5"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 xml:space="preserve">Tumor size </w:t>
            </w:r>
            <w:r w:rsidR="00FC58B7">
              <w:rPr>
                <w:rFonts w:ascii="Book Antiqua" w:eastAsia="Book Antiqua" w:hAnsi="Book Antiqua" w:cs="Book Antiqua"/>
              </w:rPr>
              <w:t xml:space="preserve">in </w:t>
            </w:r>
            <w:r w:rsidRPr="00BD6AF7">
              <w:rPr>
                <w:rFonts w:ascii="Book Antiqua" w:eastAsia="Book Antiqua" w:hAnsi="Book Antiqua" w:cs="Book Antiqua"/>
              </w:rPr>
              <w:t>cm</w:t>
            </w:r>
          </w:p>
        </w:tc>
        <w:tc>
          <w:tcPr>
            <w:tcW w:w="648" w:type="dxa"/>
            <w:tcBorders>
              <w:top w:val="nil"/>
              <w:bottom w:val="nil"/>
            </w:tcBorders>
            <w:vAlign w:val="center"/>
          </w:tcPr>
          <w:p w14:paraId="0DBB13A3" w14:textId="77777777" w:rsidR="004E296F" w:rsidRPr="00BD6AF7" w:rsidRDefault="004E296F" w:rsidP="00BD6AF7">
            <w:pPr>
              <w:spacing w:line="360" w:lineRule="auto"/>
              <w:jc w:val="both"/>
              <w:rPr>
                <w:rFonts w:ascii="Book Antiqua" w:eastAsia="Book Antiqua" w:hAnsi="Book Antiqua" w:cs="Book Antiqua"/>
              </w:rPr>
            </w:pPr>
          </w:p>
        </w:tc>
        <w:tc>
          <w:tcPr>
            <w:tcW w:w="4381" w:type="dxa"/>
            <w:gridSpan w:val="2"/>
            <w:tcBorders>
              <w:top w:val="nil"/>
            </w:tcBorders>
            <w:vAlign w:val="center"/>
          </w:tcPr>
          <w:p w14:paraId="5CED14F4" w14:textId="77777777" w:rsidR="004E296F" w:rsidRPr="00BD6AF7" w:rsidRDefault="004E296F" w:rsidP="00BD6AF7">
            <w:pPr>
              <w:spacing w:line="360" w:lineRule="auto"/>
              <w:jc w:val="both"/>
              <w:rPr>
                <w:rFonts w:ascii="Book Antiqua" w:eastAsia="Book Antiqua" w:hAnsi="Book Antiqua" w:cs="Book Antiqua"/>
              </w:rPr>
            </w:pPr>
          </w:p>
        </w:tc>
        <w:tc>
          <w:tcPr>
            <w:tcW w:w="1299" w:type="dxa"/>
            <w:tcBorders>
              <w:top w:val="nil"/>
              <w:bottom w:val="nil"/>
            </w:tcBorders>
            <w:vAlign w:val="center"/>
          </w:tcPr>
          <w:p w14:paraId="0E49AC16" w14:textId="77777777" w:rsidR="004E296F" w:rsidRPr="00BD6AF7" w:rsidRDefault="004E296F" w:rsidP="00BD6AF7">
            <w:pPr>
              <w:spacing w:line="360" w:lineRule="auto"/>
              <w:jc w:val="both"/>
              <w:rPr>
                <w:rFonts w:ascii="Book Antiqua" w:eastAsia="Book Antiqua" w:hAnsi="Book Antiqua" w:cs="Book Antiqua"/>
                <w:highlight w:val="yellow"/>
              </w:rPr>
            </w:pPr>
          </w:p>
        </w:tc>
      </w:tr>
      <w:tr w:rsidR="004E296F" w:rsidRPr="00BD6AF7" w14:paraId="3617FD51" w14:textId="77777777">
        <w:trPr>
          <w:trHeight w:val="79"/>
        </w:trPr>
        <w:tc>
          <w:tcPr>
            <w:tcW w:w="2920" w:type="dxa"/>
            <w:vAlign w:val="center"/>
          </w:tcPr>
          <w:p w14:paraId="3F771DF2"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Small &lt; 3</w:t>
            </w:r>
          </w:p>
        </w:tc>
        <w:tc>
          <w:tcPr>
            <w:tcW w:w="648" w:type="dxa"/>
            <w:vAlign w:val="center"/>
          </w:tcPr>
          <w:p w14:paraId="57C4B583"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7</w:t>
            </w:r>
          </w:p>
        </w:tc>
        <w:tc>
          <w:tcPr>
            <w:tcW w:w="4381" w:type="dxa"/>
            <w:gridSpan w:val="2"/>
            <w:vAlign w:val="center"/>
          </w:tcPr>
          <w:p w14:paraId="3074524F"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0.03 (0.02-0.15)</w:t>
            </w:r>
          </w:p>
        </w:tc>
        <w:tc>
          <w:tcPr>
            <w:tcW w:w="1299" w:type="dxa"/>
            <w:vMerge w:val="restart"/>
            <w:vAlign w:val="center"/>
          </w:tcPr>
          <w:p w14:paraId="798673DE" w14:textId="77777777" w:rsidR="004E296F" w:rsidRPr="00BD6AF7" w:rsidRDefault="00703776" w:rsidP="00BD6AF7">
            <w:pPr>
              <w:spacing w:line="360" w:lineRule="auto"/>
              <w:jc w:val="both"/>
              <w:rPr>
                <w:rFonts w:ascii="Book Antiqua" w:eastAsia="Book Antiqua" w:hAnsi="Book Antiqua" w:cs="Book Antiqua"/>
                <w:highlight w:val="yellow"/>
              </w:rPr>
            </w:pPr>
            <w:r w:rsidRPr="00BD6AF7">
              <w:rPr>
                <w:rFonts w:ascii="Book Antiqua" w:eastAsia="Book Antiqua" w:hAnsi="Book Antiqua" w:cs="Book Antiqua"/>
              </w:rPr>
              <w:t xml:space="preserve"> 0.852</w:t>
            </w:r>
          </w:p>
        </w:tc>
      </w:tr>
      <w:tr w:rsidR="004E296F" w:rsidRPr="00BD6AF7" w14:paraId="2BA12959" w14:textId="77777777">
        <w:trPr>
          <w:trHeight w:val="264"/>
        </w:trPr>
        <w:tc>
          <w:tcPr>
            <w:tcW w:w="2920" w:type="dxa"/>
            <w:vAlign w:val="center"/>
          </w:tcPr>
          <w:p w14:paraId="515DD508"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Medium 3-5</w:t>
            </w:r>
          </w:p>
        </w:tc>
        <w:tc>
          <w:tcPr>
            <w:tcW w:w="648" w:type="dxa"/>
            <w:vAlign w:val="center"/>
          </w:tcPr>
          <w:p w14:paraId="17C26E1F"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15</w:t>
            </w:r>
          </w:p>
        </w:tc>
        <w:tc>
          <w:tcPr>
            <w:tcW w:w="4381" w:type="dxa"/>
            <w:gridSpan w:val="2"/>
            <w:vAlign w:val="center"/>
          </w:tcPr>
          <w:p w14:paraId="1907696A"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0.03 (0.02-0.06)</w:t>
            </w:r>
          </w:p>
        </w:tc>
        <w:tc>
          <w:tcPr>
            <w:tcW w:w="1299" w:type="dxa"/>
            <w:vMerge/>
            <w:vAlign w:val="center"/>
          </w:tcPr>
          <w:p w14:paraId="4C63CC4B" w14:textId="77777777" w:rsidR="004E296F" w:rsidRPr="00BD6AF7" w:rsidRDefault="004E296F" w:rsidP="00BD6AF7">
            <w:pPr>
              <w:widowControl w:val="0"/>
              <w:pBdr>
                <w:top w:val="nil"/>
                <w:left w:val="nil"/>
                <w:bottom w:val="nil"/>
                <w:right w:val="nil"/>
                <w:between w:val="nil"/>
              </w:pBdr>
              <w:spacing w:line="360" w:lineRule="auto"/>
              <w:rPr>
                <w:rFonts w:ascii="Book Antiqua" w:eastAsia="Book Antiqua" w:hAnsi="Book Antiqua" w:cs="Book Antiqua"/>
              </w:rPr>
            </w:pPr>
          </w:p>
        </w:tc>
      </w:tr>
      <w:tr w:rsidR="004E296F" w:rsidRPr="00BD6AF7" w14:paraId="2E226E89" w14:textId="77777777">
        <w:trPr>
          <w:trHeight w:val="264"/>
        </w:trPr>
        <w:tc>
          <w:tcPr>
            <w:tcW w:w="2920" w:type="dxa"/>
            <w:vAlign w:val="center"/>
          </w:tcPr>
          <w:p w14:paraId="60BBF57A"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Large &gt; 5</w:t>
            </w:r>
          </w:p>
        </w:tc>
        <w:tc>
          <w:tcPr>
            <w:tcW w:w="648" w:type="dxa"/>
            <w:vAlign w:val="center"/>
          </w:tcPr>
          <w:p w14:paraId="25C5215D"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13</w:t>
            </w:r>
          </w:p>
        </w:tc>
        <w:tc>
          <w:tcPr>
            <w:tcW w:w="4381" w:type="dxa"/>
            <w:gridSpan w:val="2"/>
            <w:vAlign w:val="center"/>
          </w:tcPr>
          <w:p w14:paraId="169DB0AC"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0.04 (0.02-0.04)</w:t>
            </w:r>
          </w:p>
        </w:tc>
        <w:tc>
          <w:tcPr>
            <w:tcW w:w="1299" w:type="dxa"/>
            <w:vMerge/>
            <w:vAlign w:val="center"/>
          </w:tcPr>
          <w:p w14:paraId="3A8F7FB1" w14:textId="77777777" w:rsidR="004E296F" w:rsidRPr="00BD6AF7" w:rsidRDefault="004E296F" w:rsidP="00BD6AF7">
            <w:pPr>
              <w:widowControl w:val="0"/>
              <w:pBdr>
                <w:top w:val="nil"/>
                <w:left w:val="nil"/>
                <w:bottom w:val="nil"/>
                <w:right w:val="nil"/>
                <w:between w:val="nil"/>
              </w:pBdr>
              <w:spacing w:line="360" w:lineRule="auto"/>
              <w:rPr>
                <w:rFonts w:ascii="Book Antiqua" w:eastAsia="Book Antiqua" w:hAnsi="Book Antiqua" w:cs="Book Antiqua"/>
              </w:rPr>
            </w:pPr>
          </w:p>
        </w:tc>
      </w:tr>
      <w:tr w:rsidR="004E296F" w:rsidRPr="00BD6AF7" w14:paraId="58C70C6E" w14:textId="77777777">
        <w:trPr>
          <w:trHeight w:val="264"/>
        </w:trPr>
        <w:tc>
          <w:tcPr>
            <w:tcW w:w="2920" w:type="dxa"/>
            <w:tcBorders>
              <w:top w:val="nil"/>
              <w:bottom w:val="nil"/>
            </w:tcBorders>
          </w:tcPr>
          <w:p w14:paraId="79F75150"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Tumor site</w:t>
            </w:r>
          </w:p>
        </w:tc>
        <w:tc>
          <w:tcPr>
            <w:tcW w:w="648" w:type="dxa"/>
            <w:tcBorders>
              <w:top w:val="nil"/>
              <w:bottom w:val="nil"/>
            </w:tcBorders>
            <w:vAlign w:val="center"/>
          </w:tcPr>
          <w:p w14:paraId="1FF75836" w14:textId="77777777" w:rsidR="004E296F" w:rsidRPr="00BD6AF7" w:rsidRDefault="004E296F" w:rsidP="00BD6AF7">
            <w:pPr>
              <w:spacing w:line="360" w:lineRule="auto"/>
              <w:jc w:val="both"/>
              <w:rPr>
                <w:rFonts w:ascii="Book Antiqua" w:eastAsia="Book Antiqua" w:hAnsi="Book Antiqua" w:cs="Book Antiqua"/>
              </w:rPr>
            </w:pPr>
          </w:p>
        </w:tc>
        <w:tc>
          <w:tcPr>
            <w:tcW w:w="1530" w:type="dxa"/>
            <w:tcBorders>
              <w:top w:val="nil"/>
              <w:bottom w:val="nil"/>
            </w:tcBorders>
            <w:vAlign w:val="center"/>
          </w:tcPr>
          <w:p w14:paraId="6EFFC3B1" w14:textId="77777777" w:rsidR="004E296F" w:rsidRPr="00BD6AF7" w:rsidRDefault="004E296F" w:rsidP="00BD6AF7">
            <w:pPr>
              <w:spacing w:line="360" w:lineRule="auto"/>
              <w:jc w:val="both"/>
              <w:rPr>
                <w:rFonts w:ascii="Book Antiqua" w:eastAsia="Book Antiqua" w:hAnsi="Book Antiqua" w:cs="Book Antiqua"/>
              </w:rPr>
            </w:pPr>
          </w:p>
        </w:tc>
        <w:tc>
          <w:tcPr>
            <w:tcW w:w="2851" w:type="dxa"/>
            <w:tcBorders>
              <w:top w:val="nil"/>
              <w:bottom w:val="nil"/>
            </w:tcBorders>
            <w:vAlign w:val="center"/>
          </w:tcPr>
          <w:p w14:paraId="6503405B" w14:textId="77777777" w:rsidR="004E296F" w:rsidRPr="00BD6AF7" w:rsidRDefault="004E296F" w:rsidP="00BD6AF7">
            <w:pPr>
              <w:spacing w:line="360" w:lineRule="auto"/>
              <w:jc w:val="both"/>
              <w:rPr>
                <w:rFonts w:ascii="Book Antiqua" w:eastAsia="Book Antiqua" w:hAnsi="Book Antiqua" w:cs="Book Antiqua"/>
              </w:rPr>
            </w:pPr>
          </w:p>
        </w:tc>
        <w:tc>
          <w:tcPr>
            <w:tcW w:w="1299" w:type="dxa"/>
            <w:tcBorders>
              <w:top w:val="nil"/>
              <w:bottom w:val="nil"/>
            </w:tcBorders>
            <w:vAlign w:val="center"/>
          </w:tcPr>
          <w:p w14:paraId="48C8C1FE" w14:textId="77777777" w:rsidR="004E296F" w:rsidRPr="00BD6AF7" w:rsidRDefault="004E296F" w:rsidP="00BD6AF7">
            <w:pPr>
              <w:spacing w:line="360" w:lineRule="auto"/>
              <w:jc w:val="both"/>
              <w:rPr>
                <w:rFonts w:ascii="Book Antiqua" w:eastAsia="Book Antiqua" w:hAnsi="Book Antiqua" w:cs="Book Antiqua"/>
                <w:highlight w:val="yellow"/>
              </w:rPr>
            </w:pPr>
          </w:p>
        </w:tc>
      </w:tr>
      <w:tr w:rsidR="004E296F" w:rsidRPr="00BD6AF7" w14:paraId="7DEC4514" w14:textId="77777777">
        <w:trPr>
          <w:trHeight w:val="264"/>
        </w:trPr>
        <w:tc>
          <w:tcPr>
            <w:tcW w:w="2920" w:type="dxa"/>
            <w:vAlign w:val="center"/>
          </w:tcPr>
          <w:p w14:paraId="6734CC06"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Rt lobe</w:t>
            </w:r>
          </w:p>
        </w:tc>
        <w:tc>
          <w:tcPr>
            <w:tcW w:w="648" w:type="dxa"/>
            <w:vAlign w:val="center"/>
          </w:tcPr>
          <w:p w14:paraId="6F83E9E1"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19</w:t>
            </w:r>
          </w:p>
        </w:tc>
        <w:tc>
          <w:tcPr>
            <w:tcW w:w="4381" w:type="dxa"/>
            <w:gridSpan w:val="2"/>
            <w:vAlign w:val="center"/>
          </w:tcPr>
          <w:p w14:paraId="32B04590"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0.04 (0.02-0.06)</w:t>
            </w:r>
          </w:p>
        </w:tc>
        <w:tc>
          <w:tcPr>
            <w:tcW w:w="1299" w:type="dxa"/>
            <w:vMerge w:val="restart"/>
            <w:vAlign w:val="center"/>
          </w:tcPr>
          <w:p w14:paraId="2F6983A6" w14:textId="77777777" w:rsidR="004E296F" w:rsidRPr="00BD6AF7" w:rsidRDefault="00703776" w:rsidP="00BD6AF7">
            <w:pPr>
              <w:spacing w:line="360" w:lineRule="auto"/>
              <w:jc w:val="both"/>
              <w:rPr>
                <w:rFonts w:ascii="Book Antiqua" w:eastAsia="Book Antiqua" w:hAnsi="Book Antiqua" w:cs="Book Antiqua"/>
                <w:highlight w:val="yellow"/>
              </w:rPr>
            </w:pPr>
            <w:r w:rsidRPr="00BD6AF7">
              <w:rPr>
                <w:rFonts w:ascii="Book Antiqua" w:eastAsia="Book Antiqua" w:hAnsi="Book Antiqua" w:cs="Book Antiqua"/>
              </w:rPr>
              <w:t>0.432</w:t>
            </w:r>
            <w:r w:rsidRPr="00BD6AF7">
              <w:rPr>
                <w:rFonts w:ascii="Book Antiqua" w:eastAsia="Book Antiqua" w:hAnsi="Book Antiqua" w:cs="Book Antiqua"/>
                <w:highlight w:val="yellow"/>
              </w:rPr>
              <w:br/>
            </w:r>
          </w:p>
        </w:tc>
      </w:tr>
      <w:tr w:rsidR="004E296F" w:rsidRPr="00BD6AF7" w14:paraId="7222E66A" w14:textId="77777777">
        <w:trPr>
          <w:trHeight w:val="279"/>
        </w:trPr>
        <w:tc>
          <w:tcPr>
            <w:tcW w:w="2920" w:type="dxa"/>
            <w:vAlign w:val="center"/>
          </w:tcPr>
          <w:p w14:paraId="6C22FEEF"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Lt lobe</w:t>
            </w:r>
          </w:p>
        </w:tc>
        <w:tc>
          <w:tcPr>
            <w:tcW w:w="648" w:type="dxa"/>
            <w:vAlign w:val="center"/>
          </w:tcPr>
          <w:p w14:paraId="159AFB9B"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8</w:t>
            </w:r>
          </w:p>
        </w:tc>
        <w:tc>
          <w:tcPr>
            <w:tcW w:w="4381" w:type="dxa"/>
            <w:gridSpan w:val="2"/>
            <w:vAlign w:val="center"/>
          </w:tcPr>
          <w:p w14:paraId="75B3289F"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0.04 (0.03-0.15)</w:t>
            </w:r>
          </w:p>
        </w:tc>
        <w:tc>
          <w:tcPr>
            <w:tcW w:w="1299" w:type="dxa"/>
            <w:vMerge/>
            <w:vAlign w:val="center"/>
          </w:tcPr>
          <w:p w14:paraId="752A4841" w14:textId="77777777" w:rsidR="004E296F" w:rsidRPr="00BD6AF7" w:rsidRDefault="004E296F" w:rsidP="00BD6AF7">
            <w:pPr>
              <w:widowControl w:val="0"/>
              <w:pBdr>
                <w:top w:val="nil"/>
                <w:left w:val="nil"/>
                <w:bottom w:val="nil"/>
                <w:right w:val="nil"/>
                <w:between w:val="nil"/>
              </w:pBdr>
              <w:spacing w:line="360" w:lineRule="auto"/>
              <w:rPr>
                <w:rFonts w:ascii="Book Antiqua" w:eastAsia="Book Antiqua" w:hAnsi="Book Antiqua" w:cs="Book Antiqua"/>
              </w:rPr>
            </w:pPr>
          </w:p>
        </w:tc>
      </w:tr>
      <w:tr w:rsidR="004E296F" w:rsidRPr="00BD6AF7" w14:paraId="3A9D7251" w14:textId="77777777">
        <w:trPr>
          <w:trHeight w:val="264"/>
        </w:trPr>
        <w:tc>
          <w:tcPr>
            <w:tcW w:w="2920" w:type="dxa"/>
            <w:vAlign w:val="center"/>
          </w:tcPr>
          <w:p w14:paraId="3FEE53A3"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Both</w:t>
            </w:r>
          </w:p>
        </w:tc>
        <w:tc>
          <w:tcPr>
            <w:tcW w:w="648" w:type="dxa"/>
            <w:vAlign w:val="center"/>
          </w:tcPr>
          <w:p w14:paraId="350B7A0B"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7</w:t>
            </w:r>
          </w:p>
        </w:tc>
        <w:tc>
          <w:tcPr>
            <w:tcW w:w="4381" w:type="dxa"/>
            <w:gridSpan w:val="2"/>
            <w:vAlign w:val="center"/>
          </w:tcPr>
          <w:p w14:paraId="1455CC12"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0.02 (0.02-0.04)</w:t>
            </w:r>
          </w:p>
        </w:tc>
        <w:tc>
          <w:tcPr>
            <w:tcW w:w="1299" w:type="dxa"/>
            <w:vMerge/>
            <w:vAlign w:val="center"/>
          </w:tcPr>
          <w:p w14:paraId="3A827A5F" w14:textId="77777777" w:rsidR="004E296F" w:rsidRPr="00BD6AF7" w:rsidRDefault="004E296F" w:rsidP="00BD6AF7">
            <w:pPr>
              <w:widowControl w:val="0"/>
              <w:pBdr>
                <w:top w:val="nil"/>
                <w:left w:val="nil"/>
                <w:bottom w:val="nil"/>
                <w:right w:val="nil"/>
                <w:between w:val="nil"/>
              </w:pBdr>
              <w:spacing w:line="360" w:lineRule="auto"/>
              <w:rPr>
                <w:rFonts w:ascii="Book Antiqua" w:eastAsia="Book Antiqua" w:hAnsi="Book Antiqua" w:cs="Book Antiqua"/>
              </w:rPr>
            </w:pPr>
          </w:p>
        </w:tc>
      </w:tr>
      <w:tr w:rsidR="004E296F" w:rsidRPr="00BD6AF7" w14:paraId="18CB9779" w14:textId="77777777">
        <w:trPr>
          <w:trHeight w:val="264"/>
        </w:trPr>
        <w:tc>
          <w:tcPr>
            <w:tcW w:w="2920" w:type="dxa"/>
            <w:vAlign w:val="center"/>
          </w:tcPr>
          <w:p w14:paraId="4537652B"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Caudate lobe</w:t>
            </w:r>
          </w:p>
        </w:tc>
        <w:tc>
          <w:tcPr>
            <w:tcW w:w="648" w:type="dxa"/>
            <w:vAlign w:val="center"/>
          </w:tcPr>
          <w:p w14:paraId="7930F0FE"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1</w:t>
            </w:r>
          </w:p>
        </w:tc>
        <w:tc>
          <w:tcPr>
            <w:tcW w:w="1530" w:type="dxa"/>
            <w:vAlign w:val="center"/>
          </w:tcPr>
          <w:p w14:paraId="659A4053" w14:textId="77777777" w:rsidR="004E296F" w:rsidRPr="00BD6AF7" w:rsidRDefault="004E296F" w:rsidP="00BD6AF7">
            <w:pPr>
              <w:spacing w:line="360" w:lineRule="auto"/>
              <w:jc w:val="both"/>
              <w:rPr>
                <w:rFonts w:ascii="Book Antiqua" w:eastAsia="Book Antiqua" w:hAnsi="Book Antiqua" w:cs="Book Antiqua"/>
              </w:rPr>
            </w:pPr>
          </w:p>
        </w:tc>
        <w:tc>
          <w:tcPr>
            <w:tcW w:w="2851" w:type="dxa"/>
            <w:vAlign w:val="center"/>
          </w:tcPr>
          <w:p w14:paraId="69A29A53" w14:textId="77777777" w:rsidR="004E296F" w:rsidRPr="00BD6AF7" w:rsidRDefault="004E296F" w:rsidP="00BD6AF7">
            <w:pPr>
              <w:spacing w:line="360" w:lineRule="auto"/>
              <w:jc w:val="both"/>
              <w:rPr>
                <w:rFonts w:ascii="Book Antiqua" w:eastAsia="Book Antiqua" w:hAnsi="Book Antiqua" w:cs="Book Antiqua"/>
              </w:rPr>
            </w:pPr>
          </w:p>
        </w:tc>
        <w:tc>
          <w:tcPr>
            <w:tcW w:w="1299" w:type="dxa"/>
            <w:vMerge/>
            <w:vAlign w:val="center"/>
          </w:tcPr>
          <w:p w14:paraId="1E074AC1" w14:textId="77777777" w:rsidR="004E296F" w:rsidRPr="00BD6AF7" w:rsidRDefault="004E296F" w:rsidP="00BD6AF7">
            <w:pPr>
              <w:widowControl w:val="0"/>
              <w:pBdr>
                <w:top w:val="nil"/>
                <w:left w:val="nil"/>
                <w:bottom w:val="nil"/>
                <w:right w:val="nil"/>
                <w:between w:val="nil"/>
              </w:pBdr>
              <w:spacing w:line="360" w:lineRule="auto"/>
              <w:rPr>
                <w:rFonts w:ascii="Book Antiqua" w:eastAsia="Book Antiqua" w:hAnsi="Book Antiqua" w:cs="Book Antiqua"/>
              </w:rPr>
            </w:pPr>
          </w:p>
        </w:tc>
      </w:tr>
      <w:tr w:rsidR="004E296F" w:rsidRPr="00BD6AF7" w14:paraId="7C1E6D09" w14:textId="77777777">
        <w:trPr>
          <w:trHeight w:val="264"/>
        </w:trPr>
        <w:tc>
          <w:tcPr>
            <w:tcW w:w="2920" w:type="dxa"/>
            <w:tcBorders>
              <w:top w:val="nil"/>
              <w:bottom w:val="nil"/>
            </w:tcBorders>
          </w:tcPr>
          <w:p w14:paraId="557EA9C3"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BCLC stage</w:t>
            </w:r>
          </w:p>
        </w:tc>
        <w:tc>
          <w:tcPr>
            <w:tcW w:w="648" w:type="dxa"/>
            <w:tcBorders>
              <w:top w:val="nil"/>
              <w:bottom w:val="nil"/>
            </w:tcBorders>
            <w:vAlign w:val="center"/>
          </w:tcPr>
          <w:p w14:paraId="77438F81" w14:textId="77777777" w:rsidR="004E296F" w:rsidRPr="00BD6AF7" w:rsidRDefault="004E296F" w:rsidP="00BD6AF7">
            <w:pPr>
              <w:spacing w:line="360" w:lineRule="auto"/>
              <w:jc w:val="both"/>
              <w:rPr>
                <w:rFonts w:ascii="Book Antiqua" w:eastAsia="Book Antiqua" w:hAnsi="Book Antiqua" w:cs="Book Antiqua"/>
              </w:rPr>
            </w:pPr>
          </w:p>
        </w:tc>
        <w:tc>
          <w:tcPr>
            <w:tcW w:w="1530" w:type="dxa"/>
            <w:tcBorders>
              <w:top w:val="nil"/>
              <w:bottom w:val="nil"/>
            </w:tcBorders>
            <w:vAlign w:val="center"/>
          </w:tcPr>
          <w:p w14:paraId="75E536C1" w14:textId="77777777" w:rsidR="004E296F" w:rsidRPr="00BD6AF7" w:rsidRDefault="004E296F" w:rsidP="00BD6AF7">
            <w:pPr>
              <w:spacing w:line="360" w:lineRule="auto"/>
              <w:jc w:val="both"/>
              <w:rPr>
                <w:rFonts w:ascii="Book Antiqua" w:eastAsia="Book Antiqua" w:hAnsi="Book Antiqua" w:cs="Book Antiqua"/>
              </w:rPr>
            </w:pPr>
          </w:p>
        </w:tc>
        <w:tc>
          <w:tcPr>
            <w:tcW w:w="2851" w:type="dxa"/>
            <w:tcBorders>
              <w:top w:val="nil"/>
              <w:bottom w:val="nil"/>
            </w:tcBorders>
            <w:vAlign w:val="center"/>
          </w:tcPr>
          <w:p w14:paraId="757283B8" w14:textId="77777777" w:rsidR="004E296F" w:rsidRPr="00BD6AF7" w:rsidRDefault="004E296F" w:rsidP="00BD6AF7">
            <w:pPr>
              <w:spacing w:line="360" w:lineRule="auto"/>
              <w:jc w:val="both"/>
              <w:rPr>
                <w:rFonts w:ascii="Book Antiqua" w:eastAsia="Book Antiqua" w:hAnsi="Book Antiqua" w:cs="Book Antiqua"/>
              </w:rPr>
            </w:pPr>
          </w:p>
        </w:tc>
        <w:tc>
          <w:tcPr>
            <w:tcW w:w="1299" w:type="dxa"/>
            <w:tcBorders>
              <w:top w:val="nil"/>
              <w:bottom w:val="nil"/>
            </w:tcBorders>
            <w:vAlign w:val="center"/>
          </w:tcPr>
          <w:p w14:paraId="4534228E" w14:textId="77777777" w:rsidR="004E296F" w:rsidRPr="00BD6AF7" w:rsidRDefault="004E296F" w:rsidP="00BD6AF7">
            <w:pPr>
              <w:spacing w:line="360" w:lineRule="auto"/>
              <w:jc w:val="both"/>
              <w:rPr>
                <w:rFonts w:ascii="Book Antiqua" w:eastAsia="Book Antiqua" w:hAnsi="Book Antiqua" w:cs="Book Antiqua"/>
                <w:highlight w:val="yellow"/>
              </w:rPr>
            </w:pPr>
          </w:p>
        </w:tc>
      </w:tr>
      <w:tr w:rsidR="004E296F" w:rsidRPr="00BD6AF7" w14:paraId="7334B75B" w14:textId="77777777">
        <w:trPr>
          <w:trHeight w:val="264"/>
        </w:trPr>
        <w:tc>
          <w:tcPr>
            <w:tcW w:w="2920" w:type="dxa"/>
            <w:vAlign w:val="center"/>
          </w:tcPr>
          <w:p w14:paraId="3649EF1A"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lastRenderedPageBreak/>
              <w:t>A</w:t>
            </w:r>
          </w:p>
        </w:tc>
        <w:tc>
          <w:tcPr>
            <w:tcW w:w="648" w:type="dxa"/>
            <w:vAlign w:val="center"/>
          </w:tcPr>
          <w:p w14:paraId="4D668399"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4</w:t>
            </w:r>
          </w:p>
        </w:tc>
        <w:tc>
          <w:tcPr>
            <w:tcW w:w="4381" w:type="dxa"/>
            <w:gridSpan w:val="2"/>
            <w:vAlign w:val="center"/>
          </w:tcPr>
          <w:p w14:paraId="70D36589"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0.26 (0.17-0.26)</w:t>
            </w:r>
          </w:p>
        </w:tc>
        <w:tc>
          <w:tcPr>
            <w:tcW w:w="1299" w:type="dxa"/>
            <w:vMerge w:val="restart"/>
            <w:vAlign w:val="center"/>
          </w:tcPr>
          <w:p w14:paraId="78EB3A9E" w14:textId="77777777" w:rsidR="004E296F" w:rsidRPr="00BD6AF7" w:rsidRDefault="00703776" w:rsidP="00BD6AF7">
            <w:pPr>
              <w:spacing w:line="360" w:lineRule="auto"/>
              <w:jc w:val="both"/>
              <w:rPr>
                <w:rFonts w:ascii="Book Antiqua" w:eastAsia="Book Antiqua" w:hAnsi="Book Antiqua" w:cs="Book Antiqua"/>
                <w:highlight w:val="yellow"/>
              </w:rPr>
            </w:pPr>
            <w:r w:rsidRPr="00BD6AF7">
              <w:rPr>
                <w:rFonts w:ascii="Book Antiqua" w:eastAsia="Book Antiqua" w:hAnsi="Book Antiqua" w:cs="Book Antiqua"/>
              </w:rPr>
              <w:t>&lt; 0.001</w:t>
            </w:r>
            <w:r w:rsidRPr="00BD6AF7">
              <w:rPr>
                <w:rFonts w:ascii="Book Antiqua" w:eastAsia="Book Antiqua" w:hAnsi="Book Antiqua" w:cs="Book Antiqua"/>
                <w:highlight w:val="yellow"/>
              </w:rPr>
              <w:br/>
            </w:r>
          </w:p>
        </w:tc>
      </w:tr>
      <w:tr w:rsidR="004E296F" w:rsidRPr="00BD6AF7" w14:paraId="048ED684" w14:textId="77777777">
        <w:trPr>
          <w:trHeight w:val="264"/>
        </w:trPr>
        <w:tc>
          <w:tcPr>
            <w:tcW w:w="2920" w:type="dxa"/>
            <w:vAlign w:val="center"/>
          </w:tcPr>
          <w:p w14:paraId="486B16EB"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B</w:t>
            </w:r>
          </w:p>
        </w:tc>
        <w:tc>
          <w:tcPr>
            <w:tcW w:w="648" w:type="dxa"/>
            <w:vAlign w:val="center"/>
          </w:tcPr>
          <w:p w14:paraId="4F5B0EC3"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18</w:t>
            </w:r>
          </w:p>
        </w:tc>
        <w:tc>
          <w:tcPr>
            <w:tcW w:w="4381" w:type="dxa"/>
            <w:gridSpan w:val="2"/>
            <w:vAlign w:val="center"/>
          </w:tcPr>
          <w:p w14:paraId="73521D10"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0.04 (0.03-0.05)</w:t>
            </w:r>
          </w:p>
        </w:tc>
        <w:tc>
          <w:tcPr>
            <w:tcW w:w="1299" w:type="dxa"/>
            <w:vMerge/>
            <w:vAlign w:val="center"/>
          </w:tcPr>
          <w:p w14:paraId="3031E0EE" w14:textId="77777777" w:rsidR="004E296F" w:rsidRPr="00BD6AF7" w:rsidRDefault="004E296F" w:rsidP="00BD6AF7">
            <w:pPr>
              <w:widowControl w:val="0"/>
              <w:pBdr>
                <w:top w:val="nil"/>
                <w:left w:val="nil"/>
                <w:bottom w:val="nil"/>
                <w:right w:val="nil"/>
                <w:between w:val="nil"/>
              </w:pBdr>
              <w:spacing w:line="360" w:lineRule="auto"/>
              <w:rPr>
                <w:rFonts w:ascii="Book Antiqua" w:eastAsia="Book Antiqua" w:hAnsi="Book Antiqua" w:cs="Book Antiqua"/>
              </w:rPr>
            </w:pPr>
          </w:p>
        </w:tc>
      </w:tr>
      <w:tr w:rsidR="004E296F" w:rsidRPr="00BD6AF7" w14:paraId="236D0F58" w14:textId="77777777">
        <w:trPr>
          <w:trHeight w:val="264"/>
        </w:trPr>
        <w:tc>
          <w:tcPr>
            <w:tcW w:w="2920" w:type="dxa"/>
            <w:vAlign w:val="center"/>
          </w:tcPr>
          <w:p w14:paraId="76C84770"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C</w:t>
            </w:r>
          </w:p>
        </w:tc>
        <w:tc>
          <w:tcPr>
            <w:tcW w:w="648" w:type="dxa"/>
            <w:vAlign w:val="center"/>
          </w:tcPr>
          <w:p w14:paraId="7C698A72"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13</w:t>
            </w:r>
          </w:p>
        </w:tc>
        <w:tc>
          <w:tcPr>
            <w:tcW w:w="4381" w:type="dxa"/>
            <w:gridSpan w:val="2"/>
            <w:vAlign w:val="center"/>
          </w:tcPr>
          <w:p w14:paraId="77F133DE"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0.02 (0.02-0.02)</w:t>
            </w:r>
          </w:p>
        </w:tc>
        <w:tc>
          <w:tcPr>
            <w:tcW w:w="1299" w:type="dxa"/>
            <w:vMerge/>
            <w:vAlign w:val="center"/>
          </w:tcPr>
          <w:p w14:paraId="7B5FC09C" w14:textId="77777777" w:rsidR="004E296F" w:rsidRPr="00BD6AF7" w:rsidRDefault="004E296F" w:rsidP="00BD6AF7">
            <w:pPr>
              <w:widowControl w:val="0"/>
              <w:pBdr>
                <w:top w:val="nil"/>
                <w:left w:val="nil"/>
                <w:bottom w:val="nil"/>
                <w:right w:val="nil"/>
                <w:between w:val="nil"/>
              </w:pBdr>
              <w:spacing w:line="360" w:lineRule="auto"/>
              <w:rPr>
                <w:rFonts w:ascii="Book Antiqua" w:eastAsia="Book Antiqua" w:hAnsi="Book Antiqua" w:cs="Book Antiqua"/>
              </w:rPr>
            </w:pPr>
          </w:p>
        </w:tc>
      </w:tr>
    </w:tbl>
    <w:p w14:paraId="29F26163" w14:textId="7563F76C" w:rsidR="004E296F" w:rsidRPr="00BD6AF7" w:rsidRDefault="00703776" w:rsidP="00BD6AF7">
      <w:pPr>
        <w:spacing w:line="360" w:lineRule="auto"/>
        <w:jc w:val="both"/>
        <w:rPr>
          <w:rFonts w:ascii="Book Antiqua" w:eastAsia="Book Antiqua" w:hAnsi="Book Antiqua" w:cs="Book Antiqua"/>
          <w:b/>
        </w:rPr>
      </w:pPr>
      <w:r w:rsidRPr="00BD6AF7">
        <w:rPr>
          <w:rFonts w:ascii="Book Antiqua" w:eastAsia="Book Antiqua" w:hAnsi="Book Antiqua" w:cs="Book Antiqua"/>
        </w:rPr>
        <w:t>Rt.: Right; Lt.: Left; BCLC: Barcelona Clinic Liver Cancer</w:t>
      </w:r>
      <w:r w:rsidR="00664EC2">
        <w:rPr>
          <w:rFonts w:ascii="Book Antiqua" w:eastAsia="Book Antiqua" w:hAnsi="Book Antiqua" w:cs="Book Antiqua"/>
        </w:rPr>
        <w:t>; IQR: Interquartile range; LN: Lymph node</w:t>
      </w:r>
      <w:r w:rsidRPr="00BD6AF7">
        <w:rPr>
          <w:rFonts w:ascii="Book Antiqua" w:eastAsia="Book Antiqua" w:hAnsi="Book Antiqua" w:cs="Book Antiqua"/>
        </w:rPr>
        <w:t>.</w:t>
      </w:r>
    </w:p>
    <w:p w14:paraId="528ED234" w14:textId="77777777" w:rsidR="004E296F" w:rsidRPr="00BD6AF7" w:rsidRDefault="00703776" w:rsidP="00BD6AF7">
      <w:pPr>
        <w:spacing w:line="360" w:lineRule="auto"/>
        <w:jc w:val="both"/>
        <w:rPr>
          <w:rFonts w:ascii="Book Antiqua" w:eastAsia="Book Antiqua" w:hAnsi="Book Antiqua" w:cs="Book Antiqua"/>
          <w:b/>
        </w:rPr>
      </w:pPr>
      <w:r w:rsidRPr="00BD6AF7">
        <w:rPr>
          <w:rFonts w:ascii="Book Antiqua" w:hAnsi="Book Antiqua"/>
        </w:rPr>
        <w:br w:type="page"/>
      </w:r>
      <w:r w:rsidRPr="00BD6AF7">
        <w:rPr>
          <w:rFonts w:ascii="Book Antiqua" w:eastAsia="Book Antiqua" w:hAnsi="Book Antiqua" w:cs="Book Antiqua"/>
          <w:b/>
        </w:rPr>
        <w:lastRenderedPageBreak/>
        <w:t>Table 4 Univariate and multivariate regression analyses for the parameters affecting metastasis in hepatocellular carcinoma group</w:t>
      </w:r>
    </w:p>
    <w:tbl>
      <w:tblPr>
        <w:tblStyle w:val="a2"/>
        <w:tblW w:w="9838" w:type="dxa"/>
        <w:tblBorders>
          <w:top w:val="single" w:sz="12" w:space="0" w:color="000000"/>
          <w:left w:val="nil"/>
          <w:bottom w:val="single" w:sz="12" w:space="0" w:color="000000"/>
          <w:right w:val="nil"/>
          <w:insideH w:val="nil"/>
          <w:insideV w:val="nil"/>
        </w:tblBorders>
        <w:tblLayout w:type="fixed"/>
        <w:tblLook w:val="0400" w:firstRow="0" w:lastRow="0" w:firstColumn="0" w:lastColumn="0" w:noHBand="0" w:noVBand="1"/>
      </w:tblPr>
      <w:tblGrid>
        <w:gridCol w:w="2835"/>
        <w:gridCol w:w="1134"/>
        <w:gridCol w:w="2466"/>
        <w:gridCol w:w="1134"/>
        <w:gridCol w:w="2269"/>
      </w:tblGrid>
      <w:tr w:rsidR="004E296F" w:rsidRPr="00BD6AF7" w14:paraId="27FFDCF6" w14:textId="77777777" w:rsidTr="00593210">
        <w:tc>
          <w:tcPr>
            <w:tcW w:w="2835" w:type="dxa"/>
            <w:vMerge w:val="restart"/>
            <w:tcBorders>
              <w:top w:val="single" w:sz="12" w:space="0" w:color="000000"/>
              <w:bottom w:val="single" w:sz="6" w:space="0" w:color="auto"/>
            </w:tcBorders>
            <w:shd w:val="clear" w:color="auto" w:fill="auto"/>
            <w:vAlign w:val="center"/>
          </w:tcPr>
          <w:p w14:paraId="4C22FA6B" w14:textId="77777777" w:rsidR="004E296F" w:rsidRPr="00BD6AF7" w:rsidRDefault="004E296F" w:rsidP="00BD6AF7">
            <w:pPr>
              <w:spacing w:line="360" w:lineRule="auto"/>
              <w:jc w:val="both"/>
              <w:rPr>
                <w:rFonts w:ascii="Book Antiqua" w:eastAsia="Book Antiqua" w:hAnsi="Book Antiqua" w:cs="Book Antiqua"/>
              </w:rPr>
            </w:pPr>
          </w:p>
        </w:tc>
        <w:tc>
          <w:tcPr>
            <w:tcW w:w="3600" w:type="dxa"/>
            <w:gridSpan w:val="2"/>
            <w:shd w:val="clear" w:color="auto" w:fill="auto"/>
            <w:vAlign w:val="center"/>
          </w:tcPr>
          <w:p w14:paraId="74EDB96D" w14:textId="77777777" w:rsidR="004E296F" w:rsidRPr="00BD6AF7" w:rsidRDefault="00703776" w:rsidP="00BD6AF7">
            <w:pPr>
              <w:spacing w:line="360" w:lineRule="auto"/>
              <w:jc w:val="both"/>
              <w:rPr>
                <w:rFonts w:ascii="Book Antiqua" w:eastAsia="Book Antiqua" w:hAnsi="Book Antiqua" w:cs="Book Antiqua"/>
                <w:b/>
              </w:rPr>
            </w:pPr>
            <w:r w:rsidRPr="00BD6AF7">
              <w:rPr>
                <w:rFonts w:ascii="Book Antiqua" w:eastAsia="Book Antiqua" w:hAnsi="Book Antiqua" w:cs="Book Antiqua"/>
                <w:b/>
              </w:rPr>
              <w:t>Univariate</w:t>
            </w:r>
          </w:p>
        </w:tc>
        <w:tc>
          <w:tcPr>
            <w:tcW w:w="3403" w:type="dxa"/>
            <w:gridSpan w:val="2"/>
            <w:shd w:val="clear" w:color="auto" w:fill="auto"/>
            <w:vAlign w:val="center"/>
          </w:tcPr>
          <w:p w14:paraId="5EEF93A4" w14:textId="77777777" w:rsidR="004E296F" w:rsidRPr="00BD6AF7" w:rsidRDefault="00703776" w:rsidP="00BD6AF7">
            <w:pPr>
              <w:spacing w:line="360" w:lineRule="auto"/>
              <w:jc w:val="both"/>
              <w:rPr>
                <w:rFonts w:ascii="Book Antiqua" w:eastAsia="Book Antiqua" w:hAnsi="Book Antiqua" w:cs="Book Antiqua"/>
                <w:b/>
              </w:rPr>
            </w:pPr>
            <w:r w:rsidRPr="00BD6AF7">
              <w:rPr>
                <w:rFonts w:ascii="Book Antiqua" w:eastAsia="Book Antiqua" w:hAnsi="Book Antiqua" w:cs="Book Antiqua"/>
                <w:b/>
              </w:rPr>
              <w:t>Multivariate</w:t>
            </w:r>
          </w:p>
        </w:tc>
      </w:tr>
      <w:tr w:rsidR="004E296F" w:rsidRPr="00BD6AF7" w14:paraId="5F3A484D" w14:textId="77777777" w:rsidTr="00593210">
        <w:tc>
          <w:tcPr>
            <w:tcW w:w="2835" w:type="dxa"/>
            <w:vMerge/>
            <w:tcBorders>
              <w:bottom w:val="single" w:sz="6" w:space="0" w:color="auto"/>
            </w:tcBorders>
            <w:shd w:val="clear" w:color="auto" w:fill="auto"/>
            <w:vAlign w:val="center"/>
          </w:tcPr>
          <w:p w14:paraId="1DCC8FCD" w14:textId="77777777" w:rsidR="004E296F" w:rsidRPr="00BD6AF7" w:rsidRDefault="004E296F" w:rsidP="00BD6AF7">
            <w:pPr>
              <w:widowControl w:val="0"/>
              <w:pBdr>
                <w:top w:val="nil"/>
                <w:left w:val="nil"/>
                <w:bottom w:val="nil"/>
                <w:right w:val="nil"/>
                <w:between w:val="nil"/>
              </w:pBdr>
              <w:spacing w:line="360" w:lineRule="auto"/>
              <w:rPr>
                <w:rFonts w:ascii="Book Antiqua" w:eastAsia="Book Antiqua" w:hAnsi="Book Antiqua" w:cs="Book Antiqua"/>
                <w:b/>
              </w:rPr>
            </w:pPr>
          </w:p>
        </w:tc>
        <w:tc>
          <w:tcPr>
            <w:tcW w:w="1134" w:type="dxa"/>
            <w:tcBorders>
              <w:bottom w:val="single" w:sz="4" w:space="0" w:color="000000"/>
            </w:tcBorders>
            <w:shd w:val="clear" w:color="auto" w:fill="auto"/>
            <w:vAlign w:val="center"/>
          </w:tcPr>
          <w:p w14:paraId="4BB57B6C" w14:textId="77777777" w:rsidR="004E296F" w:rsidRPr="00BD6AF7" w:rsidRDefault="00703776" w:rsidP="00BD6AF7">
            <w:pPr>
              <w:spacing w:line="360" w:lineRule="auto"/>
              <w:jc w:val="both"/>
              <w:rPr>
                <w:rFonts w:ascii="Book Antiqua" w:eastAsia="Book Antiqua" w:hAnsi="Book Antiqua" w:cs="Book Antiqua"/>
                <w:b/>
              </w:rPr>
            </w:pPr>
            <w:r w:rsidRPr="00BD6AF7">
              <w:rPr>
                <w:rFonts w:ascii="Book Antiqua" w:eastAsia="Book Antiqua" w:hAnsi="Book Antiqua" w:cs="Book Antiqua"/>
                <w:b/>
                <w:i/>
              </w:rPr>
              <w:t>P</w:t>
            </w:r>
            <w:r w:rsidRPr="00BD6AF7">
              <w:rPr>
                <w:rFonts w:ascii="Book Antiqua" w:eastAsia="Book Antiqua" w:hAnsi="Book Antiqua" w:cs="Book Antiqua"/>
                <w:b/>
              </w:rPr>
              <w:t xml:space="preserve"> value</w:t>
            </w:r>
          </w:p>
        </w:tc>
        <w:tc>
          <w:tcPr>
            <w:tcW w:w="2466" w:type="dxa"/>
            <w:tcBorders>
              <w:bottom w:val="single" w:sz="4" w:space="0" w:color="000000"/>
            </w:tcBorders>
            <w:shd w:val="clear" w:color="auto" w:fill="auto"/>
            <w:vAlign w:val="center"/>
          </w:tcPr>
          <w:p w14:paraId="0C4CB0CF" w14:textId="77777777" w:rsidR="004E296F" w:rsidRPr="00BD6AF7" w:rsidRDefault="00703776" w:rsidP="00BD6AF7">
            <w:pPr>
              <w:spacing w:line="360" w:lineRule="auto"/>
              <w:jc w:val="both"/>
              <w:rPr>
                <w:rFonts w:ascii="Book Antiqua" w:eastAsia="Book Antiqua" w:hAnsi="Book Antiqua" w:cs="Book Antiqua"/>
                <w:b/>
              </w:rPr>
            </w:pPr>
            <w:r w:rsidRPr="00BD6AF7">
              <w:rPr>
                <w:rFonts w:ascii="Book Antiqua" w:eastAsia="Book Antiqua" w:hAnsi="Book Antiqua" w:cs="Book Antiqua"/>
                <w:b/>
              </w:rPr>
              <w:t>OR (95%CI)</w:t>
            </w:r>
          </w:p>
        </w:tc>
        <w:tc>
          <w:tcPr>
            <w:tcW w:w="1134" w:type="dxa"/>
            <w:tcBorders>
              <w:bottom w:val="single" w:sz="4" w:space="0" w:color="000000"/>
            </w:tcBorders>
            <w:shd w:val="clear" w:color="auto" w:fill="auto"/>
            <w:vAlign w:val="center"/>
          </w:tcPr>
          <w:p w14:paraId="7527AF1E" w14:textId="77777777" w:rsidR="004E296F" w:rsidRPr="00BD6AF7" w:rsidRDefault="00703776" w:rsidP="00BD6AF7">
            <w:pPr>
              <w:spacing w:line="360" w:lineRule="auto"/>
              <w:jc w:val="both"/>
              <w:rPr>
                <w:rFonts w:ascii="Book Antiqua" w:eastAsia="Book Antiqua" w:hAnsi="Book Antiqua" w:cs="Book Antiqua"/>
                <w:b/>
              </w:rPr>
            </w:pPr>
            <w:r w:rsidRPr="00BD6AF7">
              <w:rPr>
                <w:rFonts w:ascii="Book Antiqua" w:eastAsia="Book Antiqua" w:hAnsi="Book Antiqua" w:cs="Book Antiqua"/>
                <w:b/>
                <w:i/>
              </w:rPr>
              <w:t>P</w:t>
            </w:r>
            <w:r w:rsidRPr="00BD6AF7">
              <w:rPr>
                <w:rFonts w:ascii="Book Antiqua" w:eastAsia="Book Antiqua" w:hAnsi="Book Antiqua" w:cs="Book Antiqua"/>
                <w:b/>
              </w:rPr>
              <w:t xml:space="preserve"> value</w:t>
            </w:r>
          </w:p>
        </w:tc>
        <w:tc>
          <w:tcPr>
            <w:tcW w:w="2269" w:type="dxa"/>
            <w:tcBorders>
              <w:bottom w:val="single" w:sz="4" w:space="0" w:color="000000"/>
            </w:tcBorders>
            <w:shd w:val="clear" w:color="auto" w:fill="auto"/>
            <w:vAlign w:val="center"/>
          </w:tcPr>
          <w:p w14:paraId="0E75FB67" w14:textId="77777777" w:rsidR="004E296F" w:rsidRPr="00BD6AF7" w:rsidRDefault="00703776" w:rsidP="00BD6AF7">
            <w:pPr>
              <w:spacing w:line="360" w:lineRule="auto"/>
              <w:jc w:val="both"/>
              <w:rPr>
                <w:rFonts w:ascii="Book Antiqua" w:eastAsia="Book Antiqua" w:hAnsi="Book Antiqua" w:cs="Book Antiqua"/>
                <w:b/>
              </w:rPr>
            </w:pPr>
            <w:r w:rsidRPr="00BD6AF7">
              <w:rPr>
                <w:rFonts w:ascii="Book Antiqua" w:eastAsia="Book Antiqua" w:hAnsi="Book Antiqua" w:cs="Book Antiqua"/>
                <w:b/>
              </w:rPr>
              <w:t>OR (95%CI)</w:t>
            </w:r>
          </w:p>
        </w:tc>
      </w:tr>
      <w:tr w:rsidR="004E296F" w:rsidRPr="00BD6AF7" w14:paraId="58A803D6" w14:textId="77777777" w:rsidTr="00593210">
        <w:tc>
          <w:tcPr>
            <w:tcW w:w="2835" w:type="dxa"/>
            <w:tcBorders>
              <w:top w:val="single" w:sz="6" w:space="0" w:color="auto"/>
            </w:tcBorders>
            <w:shd w:val="clear" w:color="auto" w:fill="auto"/>
          </w:tcPr>
          <w:p w14:paraId="59F4A06A"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microRNA 9-3p</w:t>
            </w:r>
          </w:p>
        </w:tc>
        <w:tc>
          <w:tcPr>
            <w:tcW w:w="1134" w:type="dxa"/>
            <w:shd w:val="clear" w:color="auto" w:fill="auto"/>
            <w:vAlign w:val="center"/>
          </w:tcPr>
          <w:p w14:paraId="18BAF8AC"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0.008</w:t>
            </w:r>
          </w:p>
        </w:tc>
        <w:tc>
          <w:tcPr>
            <w:tcW w:w="2466" w:type="dxa"/>
            <w:shd w:val="clear" w:color="auto" w:fill="auto"/>
            <w:vAlign w:val="center"/>
          </w:tcPr>
          <w:p w14:paraId="57E2A31E" w14:textId="6D263DCE"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0.193 (0.057</w:t>
            </w:r>
            <w:r w:rsidR="00664EC2">
              <w:rPr>
                <w:rFonts w:ascii="Book Antiqua" w:eastAsia="Book Antiqua" w:hAnsi="Book Antiqua" w:cs="Book Antiqua"/>
              </w:rPr>
              <w:t>-</w:t>
            </w:r>
            <w:r w:rsidRPr="00BD6AF7">
              <w:rPr>
                <w:rFonts w:ascii="Book Antiqua" w:eastAsia="Book Antiqua" w:hAnsi="Book Antiqua" w:cs="Book Antiqua"/>
              </w:rPr>
              <w:t>0.653)</w:t>
            </w:r>
          </w:p>
        </w:tc>
        <w:tc>
          <w:tcPr>
            <w:tcW w:w="1134" w:type="dxa"/>
            <w:shd w:val="clear" w:color="auto" w:fill="auto"/>
            <w:vAlign w:val="center"/>
          </w:tcPr>
          <w:p w14:paraId="2C989E6D"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0.041</w:t>
            </w:r>
          </w:p>
        </w:tc>
        <w:tc>
          <w:tcPr>
            <w:tcW w:w="2269" w:type="dxa"/>
            <w:shd w:val="clear" w:color="auto" w:fill="auto"/>
            <w:vAlign w:val="center"/>
          </w:tcPr>
          <w:p w14:paraId="76027DFB" w14:textId="6F1E0BDB"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0.291 (0.089</w:t>
            </w:r>
            <w:r w:rsidR="00664EC2">
              <w:rPr>
                <w:rFonts w:ascii="Book Antiqua" w:eastAsia="Book Antiqua" w:hAnsi="Book Antiqua" w:cs="Book Antiqua"/>
              </w:rPr>
              <w:t>-</w:t>
            </w:r>
            <w:r w:rsidRPr="00BD6AF7">
              <w:rPr>
                <w:rFonts w:ascii="Book Antiqua" w:eastAsia="Book Antiqua" w:hAnsi="Book Antiqua" w:cs="Book Antiqua"/>
              </w:rPr>
              <w:t>0.951)</w:t>
            </w:r>
          </w:p>
        </w:tc>
      </w:tr>
      <w:tr w:rsidR="004E296F" w:rsidRPr="00BD6AF7" w14:paraId="7E7FD591" w14:textId="77777777">
        <w:tc>
          <w:tcPr>
            <w:tcW w:w="2835" w:type="dxa"/>
            <w:shd w:val="clear" w:color="auto" w:fill="auto"/>
          </w:tcPr>
          <w:p w14:paraId="40A81A1C"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Endocan</w:t>
            </w:r>
          </w:p>
        </w:tc>
        <w:tc>
          <w:tcPr>
            <w:tcW w:w="1134" w:type="dxa"/>
            <w:shd w:val="clear" w:color="auto" w:fill="auto"/>
            <w:vAlign w:val="center"/>
          </w:tcPr>
          <w:p w14:paraId="0BFE7732"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0.023</w:t>
            </w:r>
          </w:p>
        </w:tc>
        <w:tc>
          <w:tcPr>
            <w:tcW w:w="2466" w:type="dxa"/>
            <w:shd w:val="clear" w:color="auto" w:fill="auto"/>
            <w:vAlign w:val="center"/>
          </w:tcPr>
          <w:p w14:paraId="3C2F7688" w14:textId="6EB9D2DB"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1.002 (1.000</w:t>
            </w:r>
            <w:r w:rsidR="00664EC2">
              <w:rPr>
                <w:rFonts w:ascii="Book Antiqua" w:eastAsia="Book Antiqua" w:hAnsi="Book Antiqua" w:cs="Book Antiqua"/>
              </w:rPr>
              <w:t>-</w:t>
            </w:r>
            <w:r w:rsidRPr="00BD6AF7">
              <w:rPr>
                <w:rFonts w:ascii="Book Antiqua" w:eastAsia="Book Antiqua" w:hAnsi="Book Antiqua" w:cs="Book Antiqua"/>
              </w:rPr>
              <w:t>1.003)</w:t>
            </w:r>
          </w:p>
        </w:tc>
        <w:tc>
          <w:tcPr>
            <w:tcW w:w="1134" w:type="dxa"/>
            <w:shd w:val="clear" w:color="auto" w:fill="auto"/>
            <w:vAlign w:val="center"/>
          </w:tcPr>
          <w:p w14:paraId="03E3102F" w14:textId="7777777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0.358</w:t>
            </w:r>
          </w:p>
        </w:tc>
        <w:tc>
          <w:tcPr>
            <w:tcW w:w="2269" w:type="dxa"/>
            <w:shd w:val="clear" w:color="auto" w:fill="auto"/>
            <w:vAlign w:val="center"/>
          </w:tcPr>
          <w:p w14:paraId="38F08735" w14:textId="69DB16F7" w:rsidR="004E296F" w:rsidRPr="00BD6AF7" w:rsidRDefault="00703776" w:rsidP="00BD6AF7">
            <w:pPr>
              <w:spacing w:line="360" w:lineRule="auto"/>
              <w:jc w:val="both"/>
              <w:rPr>
                <w:rFonts w:ascii="Book Antiqua" w:eastAsia="Book Antiqua" w:hAnsi="Book Antiqua" w:cs="Book Antiqua"/>
              </w:rPr>
            </w:pPr>
            <w:r w:rsidRPr="00BD6AF7">
              <w:rPr>
                <w:rFonts w:ascii="Book Antiqua" w:eastAsia="Book Antiqua" w:hAnsi="Book Antiqua" w:cs="Book Antiqua"/>
              </w:rPr>
              <w:t>1.001 (0.999</w:t>
            </w:r>
            <w:r w:rsidR="00664EC2">
              <w:rPr>
                <w:rFonts w:ascii="Book Antiqua" w:eastAsia="Book Antiqua" w:hAnsi="Book Antiqua" w:cs="Book Antiqua"/>
              </w:rPr>
              <w:t>-</w:t>
            </w:r>
            <w:r w:rsidRPr="00BD6AF7">
              <w:rPr>
                <w:rFonts w:ascii="Book Antiqua" w:eastAsia="Book Antiqua" w:hAnsi="Book Antiqua" w:cs="Book Antiqua"/>
              </w:rPr>
              <w:t>1.002)</w:t>
            </w:r>
          </w:p>
        </w:tc>
      </w:tr>
    </w:tbl>
    <w:p w14:paraId="0931094D" w14:textId="150CE1DE" w:rsidR="004E296F" w:rsidRPr="00BD6AF7" w:rsidRDefault="00703776" w:rsidP="00BD6AF7">
      <w:pPr>
        <w:spacing w:line="360" w:lineRule="auto"/>
        <w:jc w:val="both"/>
        <w:rPr>
          <w:rFonts w:ascii="Book Antiqua" w:eastAsia="Book Antiqua" w:hAnsi="Book Antiqua" w:cs="Book Antiqua"/>
          <w:color w:val="231F20"/>
        </w:rPr>
      </w:pPr>
      <w:r w:rsidRPr="00BD6AF7">
        <w:rPr>
          <w:rFonts w:ascii="Book Antiqua" w:eastAsia="Book Antiqua" w:hAnsi="Book Antiqua" w:cs="Book Antiqua"/>
        </w:rPr>
        <w:t xml:space="preserve">Statistically significant at </w:t>
      </w:r>
      <w:r w:rsidRPr="00BD6AF7">
        <w:rPr>
          <w:rFonts w:ascii="Book Antiqua" w:eastAsia="Book Antiqua" w:hAnsi="Book Antiqua" w:cs="Book Antiqua"/>
          <w:i/>
        </w:rPr>
        <w:t>P</w:t>
      </w:r>
      <w:r w:rsidRPr="00BD6AF7">
        <w:rPr>
          <w:rFonts w:ascii="Book Antiqua" w:eastAsia="Book Antiqua" w:hAnsi="Book Antiqua" w:cs="Book Antiqua"/>
        </w:rPr>
        <w:t xml:space="preserve"> ≤ 0.05. OR: Odds ratio; CI: Confidence interval.</w:t>
      </w:r>
    </w:p>
    <w:p w14:paraId="393E788F" w14:textId="77777777" w:rsidR="004E296F" w:rsidRPr="00BD6AF7" w:rsidRDefault="004E296F" w:rsidP="00BD6AF7">
      <w:pPr>
        <w:spacing w:line="360" w:lineRule="auto"/>
        <w:jc w:val="both"/>
        <w:rPr>
          <w:rFonts w:ascii="Book Antiqua" w:eastAsia="Book Antiqua" w:hAnsi="Book Antiqua" w:cs="Book Antiqua"/>
        </w:rPr>
      </w:pPr>
    </w:p>
    <w:sectPr w:rsidR="004E296F" w:rsidRPr="00BD6AF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6FBCC" w14:textId="77777777" w:rsidR="00206843" w:rsidRDefault="00206843">
      <w:r>
        <w:separator/>
      </w:r>
    </w:p>
  </w:endnote>
  <w:endnote w:type="continuationSeparator" w:id="0">
    <w:p w14:paraId="31B7CF93" w14:textId="77777777" w:rsidR="00206843" w:rsidRDefault="0020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FA04" w14:textId="0DD3DCE5" w:rsidR="004E296F" w:rsidRPr="00BD6AF7" w:rsidRDefault="00703776">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sidRPr="00BD6AF7">
      <w:rPr>
        <w:rFonts w:ascii="Book Antiqua" w:eastAsia="Book Antiqua" w:hAnsi="Book Antiqua" w:cs="Book Antiqua"/>
        <w:color w:val="000000"/>
      </w:rPr>
      <w:fldChar w:fldCharType="begin"/>
    </w:r>
    <w:r w:rsidRPr="00BD6AF7">
      <w:rPr>
        <w:rFonts w:ascii="Book Antiqua" w:eastAsia="Book Antiqua" w:hAnsi="Book Antiqua" w:cs="Book Antiqua"/>
        <w:color w:val="000000"/>
      </w:rPr>
      <w:instrText>PAGE</w:instrText>
    </w:r>
    <w:r w:rsidRPr="00BD6AF7">
      <w:rPr>
        <w:rFonts w:ascii="Book Antiqua" w:eastAsia="Book Antiqua" w:hAnsi="Book Antiqua" w:cs="Book Antiqua"/>
        <w:color w:val="000000"/>
      </w:rPr>
      <w:fldChar w:fldCharType="separate"/>
    </w:r>
    <w:r w:rsidR="007F038C" w:rsidRPr="00BD6AF7">
      <w:rPr>
        <w:rFonts w:ascii="Book Antiqua" w:eastAsia="Book Antiqua" w:hAnsi="Book Antiqua" w:cs="Book Antiqua"/>
        <w:noProof/>
        <w:color w:val="000000"/>
      </w:rPr>
      <w:t>1</w:t>
    </w:r>
    <w:r w:rsidRPr="00BD6AF7">
      <w:rPr>
        <w:rFonts w:ascii="Book Antiqua" w:eastAsia="Book Antiqua" w:hAnsi="Book Antiqua" w:cs="Book Antiqua"/>
        <w:color w:val="000000"/>
      </w:rPr>
      <w:fldChar w:fldCharType="end"/>
    </w:r>
    <w:r w:rsidR="00BD6AF7">
      <w:rPr>
        <w:rFonts w:ascii="Book Antiqua" w:eastAsia="Book Antiqua" w:hAnsi="Book Antiqua" w:cs="Book Antiqua"/>
        <w:color w:val="000000"/>
      </w:rPr>
      <w:t xml:space="preserve"> </w:t>
    </w:r>
    <w:r w:rsidRPr="00BD6AF7">
      <w:rPr>
        <w:rFonts w:ascii="Book Antiqua" w:eastAsia="Book Antiqua" w:hAnsi="Book Antiqua" w:cs="Book Antiqua"/>
        <w:color w:val="000000"/>
      </w:rPr>
      <w:t>/</w:t>
    </w:r>
    <w:r w:rsidR="00BD6AF7">
      <w:rPr>
        <w:rFonts w:ascii="Book Antiqua" w:eastAsia="Book Antiqua" w:hAnsi="Book Antiqua" w:cs="Book Antiqua"/>
        <w:color w:val="000000"/>
      </w:rPr>
      <w:t xml:space="preserve"> </w:t>
    </w:r>
    <w:r w:rsidRPr="00BD6AF7">
      <w:rPr>
        <w:rFonts w:ascii="Book Antiqua" w:eastAsia="Book Antiqua" w:hAnsi="Book Antiqua" w:cs="Book Antiqua"/>
        <w:color w:val="000000"/>
      </w:rPr>
      <w:fldChar w:fldCharType="begin"/>
    </w:r>
    <w:r w:rsidRPr="00BD6AF7">
      <w:rPr>
        <w:rFonts w:ascii="Book Antiqua" w:eastAsia="Book Antiqua" w:hAnsi="Book Antiqua" w:cs="Book Antiqua"/>
        <w:color w:val="000000"/>
      </w:rPr>
      <w:instrText>NUMPAGES</w:instrText>
    </w:r>
    <w:r w:rsidRPr="00BD6AF7">
      <w:rPr>
        <w:rFonts w:ascii="Book Antiqua" w:eastAsia="Book Antiqua" w:hAnsi="Book Antiqua" w:cs="Book Antiqua"/>
        <w:color w:val="000000"/>
      </w:rPr>
      <w:fldChar w:fldCharType="separate"/>
    </w:r>
    <w:r w:rsidR="007F038C" w:rsidRPr="00BD6AF7">
      <w:rPr>
        <w:rFonts w:ascii="Book Antiqua" w:eastAsia="Book Antiqua" w:hAnsi="Book Antiqua" w:cs="Book Antiqua"/>
        <w:noProof/>
        <w:color w:val="000000"/>
      </w:rPr>
      <w:t>2</w:t>
    </w:r>
    <w:r w:rsidRPr="00BD6AF7">
      <w:rPr>
        <w:rFonts w:ascii="Book Antiqua" w:eastAsia="Book Antiqua" w:hAnsi="Book Antiqua" w:cs="Book Antiqu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0E65" w14:textId="77777777" w:rsidR="00206843" w:rsidRDefault="00206843">
      <w:r>
        <w:separator/>
      </w:r>
    </w:p>
  </w:footnote>
  <w:footnote w:type="continuationSeparator" w:id="0">
    <w:p w14:paraId="4E3AF80D" w14:textId="77777777" w:rsidR="00206843" w:rsidRDefault="00206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F"/>
    <w:rsid w:val="00076F5C"/>
    <w:rsid w:val="000B1C11"/>
    <w:rsid w:val="00203887"/>
    <w:rsid w:val="00206843"/>
    <w:rsid w:val="004919DF"/>
    <w:rsid w:val="004E296F"/>
    <w:rsid w:val="00526EEF"/>
    <w:rsid w:val="00593210"/>
    <w:rsid w:val="00664EC2"/>
    <w:rsid w:val="006A65AA"/>
    <w:rsid w:val="00703776"/>
    <w:rsid w:val="007F038C"/>
    <w:rsid w:val="00870DD9"/>
    <w:rsid w:val="00914A79"/>
    <w:rsid w:val="00A65E2A"/>
    <w:rsid w:val="00BD6AF7"/>
    <w:rsid w:val="00C4797D"/>
    <w:rsid w:val="00CC4508"/>
    <w:rsid w:val="00FC58B7"/>
    <w:rsid w:val="00FF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9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rPr>
    <w:tblPr>
      <w:tblStyleRowBandSize w:val="1"/>
      <w:tblStyleColBandSize w:val="1"/>
    </w:tblPr>
  </w:style>
  <w:style w:type="table" w:customStyle="1" w:styleId="a1">
    <w:basedOn w:val="TableNormal"/>
    <w:rPr>
      <w:rFonts w:ascii="Calibri" w:eastAsia="Calibri" w:hAnsi="Calibri" w:cs="Calibri"/>
    </w:rPr>
    <w:tblPr>
      <w:tblStyleRowBandSize w:val="1"/>
      <w:tblStyleColBandSize w:val="1"/>
      <w:tblCellMar>
        <w:left w:w="28" w:type="dxa"/>
        <w:right w:w="28" w:type="dxa"/>
      </w:tblCellMar>
    </w:tblPr>
  </w:style>
  <w:style w:type="table" w:customStyle="1" w:styleId="a2">
    <w:basedOn w:val="TableNormal"/>
    <w:rPr>
      <w:rFonts w:ascii="Calibri" w:eastAsia="Calibri" w:hAnsi="Calibri" w:cs="Calibri"/>
    </w:rPr>
    <w:tblPr>
      <w:tblStyleRowBandSize w:val="1"/>
      <w:tblStyleColBandSize w:val="1"/>
      <w:tblCellMar>
        <w:left w:w="51" w:type="dxa"/>
        <w:right w:w="51" w:type="dxa"/>
      </w:tblCellMar>
    </w:tblPr>
  </w:style>
  <w:style w:type="paragraph" w:styleId="Header">
    <w:name w:val="header"/>
    <w:basedOn w:val="Normal"/>
    <w:link w:val="HeaderChar"/>
    <w:uiPriority w:val="99"/>
    <w:unhideWhenUsed/>
    <w:rsid w:val="007F038C"/>
    <w:pPr>
      <w:tabs>
        <w:tab w:val="center" w:pos="4680"/>
        <w:tab w:val="right" w:pos="9360"/>
      </w:tabs>
    </w:pPr>
  </w:style>
  <w:style w:type="character" w:customStyle="1" w:styleId="HeaderChar">
    <w:name w:val="Header Char"/>
    <w:basedOn w:val="DefaultParagraphFont"/>
    <w:link w:val="Header"/>
    <w:uiPriority w:val="99"/>
    <w:rsid w:val="007F038C"/>
  </w:style>
  <w:style w:type="paragraph" w:styleId="Footer">
    <w:name w:val="footer"/>
    <w:basedOn w:val="Normal"/>
    <w:link w:val="FooterChar"/>
    <w:uiPriority w:val="99"/>
    <w:unhideWhenUsed/>
    <w:rsid w:val="007F038C"/>
    <w:pPr>
      <w:tabs>
        <w:tab w:val="center" w:pos="4680"/>
        <w:tab w:val="right" w:pos="9360"/>
      </w:tabs>
    </w:pPr>
  </w:style>
  <w:style w:type="character" w:customStyle="1" w:styleId="FooterChar">
    <w:name w:val="Footer Char"/>
    <w:basedOn w:val="DefaultParagraphFont"/>
    <w:link w:val="Footer"/>
    <w:uiPriority w:val="99"/>
    <w:rsid w:val="007F038C"/>
  </w:style>
  <w:style w:type="paragraph" w:styleId="Revision">
    <w:name w:val="Revision"/>
    <w:hidden/>
    <w:uiPriority w:val="99"/>
    <w:semiHidden/>
    <w:rsid w:val="00593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6300</Words>
  <Characters>35916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2021-09-09T00:51:00Z</dcterms:created>
  <dcterms:modified xsi:type="dcterms:W3CDTF">2021-09-09T00:51:00Z</dcterms:modified>
</cp:coreProperties>
</file>