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6E2B" w14:textId="2E83EBE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Surgery</w:t>
      </w:r>
    </w:p>
    <w:p w14:paraId="3D556BDF" w14:textId="006F0B20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67277</w:t>
      </w:r>
    </w:p>
    <w:p w14:paraId="1118146B" w14:textId="64674D8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FRONTIER</w:t>
      </w:r>
    </w:p>
    <w:p w14:paraId="63D40E82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3D6F8F" w14:textId="5977FE16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therapy: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next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strategy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carcinoma?</w:t>
      </w:r>
    </w:p>
    <w:p w14:paraId="24EDB517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48FBA9" w14:textId="2ADC84A7" w:rsidR="00A77B3E" w:rsidRPr="00512D13" w:rsidRDefault="00EB2E20" w:rsidP="009C6B0F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2D13">
        <w:rPr>
          <w:rFonts w:ascii="Book Antiqua" w:hAnsi="Book Antiqua" w:cs="Book Antiqua"/>
          <w:color w:val="000000" w:themeColor="text1"/>
          <w:lang w:eastAsia="zh-CN"/>
        </w:rPr>
        <w:t>Zhu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hAnsi="Book Antiqua" w:cs="Book Antiqua"/>
          <w:color w:val="000000" w:themeColor="text1"/>
          <w:lang w:eastAsia="zh-CN"/>
        </w:rPr>
        <w:t>F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AF0C91" w:rsidRPr="00512D13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512D13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12D13">
        <w:rPr>
          <w:rFonts w:ascii="Book Antiqua" w:hAnsi="Book Antiqua" w:cs="Book Antiqua"/>
          <w:color w:val="000000" w:themeColor="text1"/>
          <w:lang w:eastAsia="zh-CN"/>
        </w:rPr>
        <w:t>.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03332"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D3A58" w:rsidRPr="00512D13">
        <w:rPr>
          <w:rFonts w:ascii="Book Antiqua" w:hAnsi="Book Antiqua" w:cs="Book Antiqua"/>
          <w:color w:val="000000" w:themeColor="text1"/>
          <w:lang w:eastAsia="zh-CN"/>
        </w:rPr>
        <w:t>HCC</w:t>
      </w:r>
    </w:p>
    <w:p w14:paraId="60EB6719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DF08B7" w14:textId="258D7259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Feng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</w:t>
      </w:r>
      <w:r w:rsidR="004D013C" w:rsidRPr="00512D13">
        <w:rPr>
          <w:rFonts w:ascii="Book Antiqua" w:eastAsia="Book Antiqua" w:hAnsi="Book Antiqua" w:cs="Book Antiqua"/>
          <w:color w:val="000000" w:themeColor="text1"/>
        </w:rPr>
        <w:t>-</w:t>
      </w:r>
      <w:r w:rsidR="004D013C" w:rsidRPr="00512D13">
        <w:rPr>
          <w:rFonts w:ascii="Book Antiqua" w:hAnsi="Book Antiqua" w:cs="Book Antiqua"/>
          <w:color w:val="000000" w:themeColor="text1"/>
          <w:lang w:eastAsia="zh-CN"/>
        </w:rPr>
        <w:t>R</w:t>
      </w:r>
      <w:r w:rsidRPr="00512D13">
        <w:rPr>
          <w:rFonts w:ascii="Book Antiqua" w:eastAsia="Book Antiqua" w:hAnsi="Book Antiqua" w:cs="Book Antiqua"/>
          <w:color w:val="000000" w:themeColor="text1"/>
        </w:rPr>
        <w:t>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4D013C" w:rsidRPr="00512D13">
        <w:rPr>
          <w:rFonts w:ascii="Book Antiqua" w:hAnsi="Book Antiqua" w:cs="Book Antiqua"/>
          <w:color w:val="000000" w:themeColor="text1"/>
          <w:lang w:eastAsia="zh-CN"/>
        </w:rPr>
        <w:t>-F</w:t>
      </w:r>
      <w:r w:rsidRPr="00512D13">
        <w:rPr>
          <w:rFonts w:ascii="Book Antiqua" w:eastAsia="Book Antiqua" w:hAnsi="Book Antiqua" w:cs="Book Antiqua"/>
          <w:color w:val="000000" w:themeColor="text1"/>
        </w:rPr>
        <w:t>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</w:t>
      </w:r>
      <w:r w:rsidR="004D013C" w:rsidRPr="00512D13">
        <w:rPr>
          <w:rFonts w:ascii="Book Antiqua" w:hAnsi="Book Antiqua" w:cs="Book Antiqua"/>
          <w:color w:val="000000" w:themeColor="text1"/>
          <w:lang w:eastAsia="zh-CN"/>
        </w:rPr>
        <w:t>-Q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Chu</w:t>
      </w:r>
      <w:r w:rsidR="004D013C" w:rsidRPr="00512D13">
        <w:rPr>
          <w:rFonts w:ascii="Book Antiqua" w:hAnsi="Book Antiqua" w:cs="Book Antiqua"/>
          <w:color w:val="000000" w:themeColor="text1"/>
          <w:lang w:eastAsia="zh-CN"/>
        </w:rPr>
        <w:t>-X</w:t>
      </w:r>
      <w:r w:rsidRPr="00512D13">
        <w:rPr>
          <w:rFonts w:ascii="Book Antiqua" w:eastAsia="Book Antiqua" w:hAnsi="Book Antiqua" w:cs="Book Antiqua"/>
          <w:color w:val="000000" w:themeColor="text1"/>
        </w:rPr>
        <w:t>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Shang,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</w:p>
    <w:p w14:paraId="245E3E22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82562C" w14:textId="2B0CE53B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Feng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Si</w:t>
      </w:r>
      <w:r w:rsidR="004D013C" w:rsidRPr="00512D13">
        <w:rPr>
          <w:rFonts w:ascii="Book Antiqua" w:hAnsi="Book Antiqua" w:cs="Book Antiqua"/>
          <w:b/>
          <w:bCs/>
          <w:color w:val="000000" w:themeColor="text1"/>
          <w:lang w:eastAsia="zh-CN"/>
        </w:rPr>
        <w:t>-Q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Dan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Shang,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Vascular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7DC9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</w:p>
    <w:p w14:paraId="7930BC2F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B04DFC" w14:textId="31118C6C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Bi</w:t>
      </w:r>
      <w:r w:rsidR="004D013C" w:rsidRPr="00512D13">
        <w:rPr>
          <w:rFonts w:ascii="Book Antiqua" w:hAnsi="Book Antiqua" w:cs="Book Antiqua"/>
          <w:b/>
          <w:bCs/>
          <w:color w:val="000000" w:themeColor="text1"/>
          <w:lang w:eastAsia="zh-CN"/>
        </w:rPr>
        <w:t>-R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ong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Thyroid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Fourth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Hospital</w:t>
      </w:r>
      <w:r w:rsidR="00585676">
        <w:rPr>
          <w:rFonts w:ascii="Book Antiqua" w:hAnsi="Book Antiqua" w:cs="Book Antiqua" w:hint="eastAsia"/>
          <w:color w:val="000000" w:themeColor="text1"/>
          <w:lang w:eastAsia="zh-CN"/>
        </w:rPr>
        <w:t xml:space="preserve"> (</w:t>
      </w:r>
      <w:r w:rsidRPr="00512D13">
        <w:rPr>
          <w:rFonts w:ascii="Book Antiqua" w:eastAsia="Book Antiqua" w:hAnsi="Book Antiqua" w:cs="Book Antiqua"/>
          <w:color w:val="000000" w:themeColor="text1"/>
        </w:rPr>
        <w:t>Puai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Hospital</w:t>
      </w:r>
      <w:r w:rsidR="00585676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430030,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7DC9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</w:p>
    <w:p w14:paraId="4FACA093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99140D" w14:textId="2FE14475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72618B" w:rsidRPr="00512D13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="0072618B" w:rsidRPr="00512D13">
        <w:rPr>
          <w:rFonts w:ascii="Book Antiqua" w:hAnsi="Book Antiqua" w:cs="Book Antiqua"/>
          <w:b/>
          <w:bCs/>
          <w:color w:val="000000" w:themeColor="text1"/>
          <w:lang w:eastAsia="zh-CN"/>
        </w:rPr>
        <w:t>F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eng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Cardiology,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5676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</w:p>
    <w:p w14:paraId="07A2F8BD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2D1F1D" w14:textId="700C1BB3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Chu</w:t>
      </w:r>
      <w:r w:rsidR="0072618B" w:rsidRPr="00512D13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="0072618B" w:rsidRPr="00512D13">
        <w:rPr>
          <w:rFonts w:ascii="Book Antiqua" w:hAnsi="Book Antiqua" w:cs="Book Antiqua"/>
          <w:b/>
          <w:bCs/>
          <w:color w:val="000000" w:themeColor="text1"/>
          <w:lang w:eastAsia="zh-CN"/>
        </w:rPr>
        <w:t>X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ing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Chai,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Hepatobiliary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5676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</w:p>
    <w:p w14:paraId="680F54B4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316DEF" w14:textId="63860B8A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contributed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equally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drafted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manuscript;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revised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manuscript;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references;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authors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version.</w:t>
      </w:r>
    </w:p>
    <w:p w14:paraId="16533CEC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54EE12" w14:textId="42A139DB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the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Municipal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Health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Commission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No.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WX14B22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the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Natural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Foundation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No.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81874208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and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6028" w:rsidRPr="00512D13">
        <w:rPr>
          <w:rFonts w:ascii="Book Antiqua" w:hAnsi="Book Antiqua" w:cs="Book Antiqua"/>
          <w:color w:val="000000" w:themeColor="text1"/>
          <w:lang w:eastAsia="zh-CN"/>
        </w:rPr>
        <w:t>No.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81700425.</w:t>
      </w:r>
    </w:p>
    <w:p w14:paraId="5F3DF530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3C3B47" w14:textId="44868912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Surgeon,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Hepatobiliary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34619" w:rsidRPr="00512D13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512D13">
        <w:rPr>
          <w:rFonts w:ascii="Book Antiqua" w:eastAsia="Book Antiqua" w:hAnsi="Book Antiqua" w:cs="Book Antiqua"/>
          <w:color w:val="000000" w:themeColor="text1"/>
        </w:rPr>
        <w:t>1277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Jie</w:t>
      </w:r>
      <w:r w:rsidR="003964BA" w:rsidRPr="00512D13">
        <w:rPr>
          <w:rFonts w:ascii="Book Antiqua" w:hAnsi="Book Antiqua" w:cs="Book Antiqua" w:hint="eastAsia"/>
          <w:color w:val="000000" w:themeColor="text1"/>
          <w:lang w:eastAsia="zh-CN"/>
        </w:rPr>
        <w:t>f</w:t>
      </w:r>
      <w:r w:rsidRPr="00512D13">
        <w:rPr>
          <w:rFonts w:ascii="Book Antiqua" w:eastAsia="Book Antiqua" w:hAnsi="Book Antiqua" w:cs="Book Antiqua"/>
          <w:color w:val="000000" w:themeColor="text1"/>
        </w:rPr>
        <w:t>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Avenue,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CE9" w:rsidRPr="00512D13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12D13">
        <w:rPr>
          <w:rFonts w:ascii="Book Antiqua" w:eastAsia="Book Antiqua" w:hAnsi="Book Antiqua" w:cs="Book Antiqua"/>
          <w:color w:val="000000" w:themeColor="text1"/>
        </w:rPr>
        <w:t>China.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3D58" w:rsidRPr="00512D13">
        <w:rPr>
          <w:rFonts w:ascii="Book Antiqua" w:eastAsia="Book Antiqua" w:hAnsi="Book Antiqua" w:cs="Book Antiqua"/>
          <w:color w:val="000000" w:themeColor="text1"/>
        </w:rPr>
        <w:t>liminmed@hust.edu.cn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AF535F2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236546" w14:textId="183C6334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April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</w:t>
      </w:r>
    </w:p>
    <w:p w14:paraId="44F0F889" w14:textId="51C62E53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F0C91" w:rsidRPr="00512D13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25085A" w:rsidRPr="00512D13">
        <w:rPr>
          <w:rFonts w:ascii="Book Antiqua" w:hAnsi="Book Antiqua" w:cs="Book Antiqua" w:hint="eastAsia"/>
          <w:bCs/>
          <w:color w:val="000000" w:themeColor="text1"/>
          <w:lang w:eastAsia="zh-CN"/>
        </w:rPr>
        <w:t>June 20, 2021</w:t>
      </w:r>
    </w:p>
    <w:p w14:paraId="6B7B6BE5" w14:textId="2B89C87F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4DEA" w:rsidRPr="00ED60AD">
        <w:rPr>
          <w:rFonts w:ascii="Book Antiqua" w:eastAsia="Book Antiqua" w:hAnsi="Book Antiqua" w:cs="Book Antiqua"/>
          <w:color w:val="000000" w:themeColor="text1"/>
        </w:rPr>
        <w:t>September 8, 2021</w:t>
      </w:r>
    </w:p>
    <w:p w14:paraId="78E71F02" w14:textId="2E8BF86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559D8271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512D1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A2067D" w14:textId="7777777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0DFB04A" w14:textId="1071C7FF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common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world.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(HCC)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known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frequent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primary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malignancy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seriously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compromised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health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population.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techniques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attention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aggressive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undesirable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complications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decompensation,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hemorrhage,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injury,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extrahepatic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organ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injuries,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burn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years,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(PDT),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gentle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attention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superficial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luminal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inherent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extrinsic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contribution,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summarize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current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challenges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provide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deficiencies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translational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07B00A5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D473CA" w14:textId="2808192A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Photosensitizers;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</w:p>
    <w:p w14:paraId="366AC88D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9CA918" w14:textId="24C45071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</w:t>
      </w:r>
      <w:r w:rsidR="007A011E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</w:t>
      </w:r>
      <w:r w:rsidR="007A011E">
        <w:rPr>
          <w:rFonts w:ascii="Book Antiqua" w:hAnsi="Book Antiqua" w:cs="Book Antiqua" w:hint="eastAsia"/>
          <w:color w:val="000000" w:themeColor="text1"/>
          <w:lang w:eastAsia="zh-CN"/>
        </w:rPr>
        <w:t>F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</w:t>
      </w:r>
      <w:r w:rsidR="007A011E">
        <w:rPr>
          <w:rFonts w:ascii="Book Antiqua" w:hAnsi="Book Antiqua" w:cs="Book Antiqua" w:hint="eastAsia"/>
          <w:color w:val="000000" w:themeColor="text1"/>
          <w:lang w:eastAsia="zh-CN"/>
        </w:rPr>
        <w:t>Q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</w:t>
      </w:r>
      <w:r w:rsidR="007A011E">
        <w:rPr>
          <w:rFonts w:ascii="Book Antiqua" w:hAnsi="Book Antiqua" w:cs="Book Antiqua" w:hint="eastAsia"/>
          <w:color w:val="000000" w:themeColor="text1"/>
          <w:lang w:eastAsia="zh-CN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011E" w:rsidRPr="007A011E">
        <w:rPr>
          <w:rFonts w:ascii="Book Antiqua" w:eastAsia="Book Antiqua" w:hAnsi="Book Antiqua" w:cs="Book Antiqua"/>
          <w:color w:val="000000" w:themeColor="text1"/>
        </w:rPr>
        <w:t>Photodynamic therapy: A next alternative treatment strategy for hepatocellular carcinoma?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press</w:t>
      </w:r>
    </w:p>
    <w:p w14:paraId="4A0FD409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4640B3" w14:textId="58C680C0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A253E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="00FA253E" w:rsidRPr="00512D13">
        <w:rPr>
          <w:rFonts w:ascii="Book Antiqua" w:eastAsia="Book Antiqua" w:hAnsi="Book Antiqua" w:cs="Book Antiqua"/>
          <w:b/>
          <w:bCs/>
          <w:color w:val="000000" w:themeColor="text1"/>
        </w:rPr>
        <w:t>ip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application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(HCC)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</w:t>
      </w:r>
      <w:r w:rsidR="00FA253E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problems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resolved,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</w:p>
    <w:p w14:paraId="0E2CEE4B" w14:textId="1A4EC39D" w:rsidR="007A011E" w:rsidRDefault="007A011E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6CBE6FDC" w14:textId="7777777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60D64919" w14:textId="50480DEB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common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causes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cancer-related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death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worldwide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(HCC)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known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frequent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malignancy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risk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chronic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hepatitis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virus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hepatitis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virus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infection,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alcohol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consumption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cirrhosis,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nonalcoholic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fatty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disease,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nonalcoholic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steatohepatitis,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dietary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intake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aflatoxin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B1,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4,5]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incidence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mortality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rapidly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253E">
        <w:rPr>
          <w:rFonts w:ascii="Book Antiqua" w:eastAsia="Book Antiqua" w:hAnsi="Book Antiqua" w:cs="Book Antiqua"/>
          <w:color w:val="000000" w:themeColor="text1"/>
        </w:rPr>
        <w:t>USA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European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slightly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declining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traditionally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high-risk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Africa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Population-based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incidence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continues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approximate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death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indicating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develop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seriously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compromised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health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population.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management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years,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palliative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life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minimal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invasion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applications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frontier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article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summarize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current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challenges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propose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deficiencies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translational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7BF3FCB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FEFDF4" w14:textId="7777777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THERAPY</w:t>
      </w:r>
    </w:p>
    <w:p w14:paraId="37613DC0" w14:textId="1404FC58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emerged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management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include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resection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transplantation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FD37A1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sorafenib,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lenvatinib,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regorafenib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apatinib)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11,12]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FD37A1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atezolizumab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bevacizumab,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nivolumab,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pembrolizumab,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ramucirumab,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camrelizumab)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13-16]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beam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catheter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embolic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FD37A1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FD37A1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chemoembolization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radioembolization)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17-20]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include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techniques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necrosis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injection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chemicals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FD37A1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ethanol</w:t>
      </w:r>
      <w:r w:rsidR="00FA253E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acetic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acid),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temperature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modification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radiofrequency,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microwave,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cryoablation)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F3AD0" w:rsidRPr="00512D13">
        <w:rPr>
          <w:rFonts w:ascii="Book Antiqua" w:hAnsi="Book Antiqua" w:cs="Book Antiqua"/>
          <w:color w:val="000000" w:themeColor="text1"/>
          <w:vertAlign w:val="superscript"/>
          <w:lang w:eastAsia="zh-CN"/>
        </w:rPr>
        <w:t>21</w:t>
      </w:r>
      <w:r w:rsidR="00AF0C91" w:rsidRPr="00512D13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0F3AD0" w:rsidRPr="00512D13">
        <w:rPr>
          <w:rFonts w:ascii="Book Antiqua" w:hAnsi="Book Antiqua" w:cs="Book Antiqua"/>
          <w:color w:val="000000" w:themeColor="text1"/>
          <w:vertAlign w:val="superscript"/>
          <w:lang w:eastAsia="zh-CN"/>
        </w:rPr>
        <w:t>25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techniques,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EA6A66" w:rsidRPr="00512D13">
        <w:rPr>
          <w:rFonts w:ascii="Book Antiqua" w:eastAsia="SimSun" w:hAnsi="Book Antiqua" w:cs="SimSun"/>
          <w:color w:val="000000" w:themeColor="text1"/>
          <w:lang w:eastAsia="zh-CN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interest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26-28]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According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guidelines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Staging,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recommended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stages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obvious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benefits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minimally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invasive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nature,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complications,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efficiency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allows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increased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volume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necrosis,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better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vessel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coagulation,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times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aggressive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undesirable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complications,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decompensation,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hemorrhage,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injury,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extrahepatic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organ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injuries,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burn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development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technique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imperative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task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288ACCDD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E1F327" w14:textId="6A3F5D10" w:rsidR="00A77B3E" w:rsidRPr="00512D13" w:rsidRDefault="00FA25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PDT</w:t>
      </w:r>
    </w:p>
    <w:p w14:paraId="4A3A1A33" w14:textId="4CAF8A21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palliative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life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minimal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invasion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caused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extensive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concern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years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Paramecium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C42C9">
        <w:rPr>
          <w:rFonts w:ascii="Book Antiqua" w:eastAsia="Book Antiqua" w:hAnsi="Book Antiqua" w:cs="Book Antiqua"/>
          <w:color w:val="000000" w:themeColor="text1"/>
        </w:rPr>
        <w:t>spp.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killing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described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interaction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between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acridine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Oscar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Raab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1900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economic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cost,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253E" w:rsidRPr="00512D13">
        <w:rPr>
          <w:rFonts w:ascii="Book Antiqua" w:eastAsia="Book Antiqua" w:hAnsi="Book Antiqua" w:cs="Book Antiqua"/>
          <w:color w:val="000000" w:themeColor="text1"/>
        </w:rPr>
        <w:t>invasi</w:t>
      </w:r>
      <w:r w:rsidR="00FA253E">
        <w:rPr>
          <w:rFonts w:ascii="Book Antiqua" w:eastAsia="Book Antiqua" w:hAnsi="Book Antiqua" w:cs="Book Antiqua"/>
          <w:color w:val="000000" w:themeColor="text1"/>
        </w:rPr>
        <w:t>veness</w:t>
      </w:r>
      <w:r w:rsidR="00FA253E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time,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precise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repeated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site,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extended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variety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brain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33,34]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esophageal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gastrointestinal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extrahepatic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40-43]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bladder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20BFA42" w14:textId="59C7B488" w:rsidR="00A77B3E" w:rsidRPr="00512D13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(ROS)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light-activated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(PSs),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destruction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blood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vessels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stimulation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45-47]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Specifically,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malignant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electronically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excited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electron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electron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acceptors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yield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superoxide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radicals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Pr="00FD37A1">
        <w:rPr>
          <w:rFonts w:ascii="Book Antiqua" w:eastAsia="Book Antiqua" w:hAnsi="Book Antiqua" w:cs="Book Antiqua"/>
          <w:i/>
          <w:color w:val="000000" w:themeColor="text1"/>
        </w:rPr>
        <w:t>i.e.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reaction,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hypoxic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microenvironment)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electronic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ground-state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yield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singlet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Pr="00FD37A1">
        <w:rPr>
          <w:rFonts w:ascii="Book Antiqua" w:eastAsia="Book Antiqua" w:hAnsi="Book Antiqua" w:cs="Book Antiqua"/>
          <w:i/>
          <w:color w:val="000000" w:themeColor="text1"/>
        </w:rPr>
        <w:t>i.e.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reaction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hyperoxic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microenvironment)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leads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stimulates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innate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increases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priming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lymphocytes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recognize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destroy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distant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lead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development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memory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recurrence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point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time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</w:p>
    <w:p w14:paraId="108C86C1" w14:textId="180EFDBA" w:rsidR="00A77B3E" w:rsidRPr="00512D13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Among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essential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elements,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crucial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ensuring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successful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implementation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inherent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demand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microenvironment,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inefficient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organelle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outcomes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words,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extrinsic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impact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effectiveness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instance,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hardly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lesions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inefficient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phototoxicity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A1A463E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05B833" w14:textId="2574F5A6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PDT</w:t>
      </w:r>
      <w:r w:rsidR="00AF0C91"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AF0C91"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HCC</w:t>
      </w:r>
    </w:p>
    <w:p w14:paraId="3F786A26" w14:textId="168EE529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Although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solid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better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traditional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owing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noninvasiveness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presence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experimental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shrink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53-55]</w:t>
      </w:r>
      <w:r w:rsidR="009E7257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also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prolong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inoperable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life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56,57]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Specifically,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257" w:rsidRPr="00512D13">
        <w:rPr>
          <w:rFonts w:ascii="Book Antiqua" w:eastAsia="Book Antiqua" w:hAnsi="Book Antiqua" w:cs="Book Antiqua"/>
          <w:color w:val="000000" w:themeColor="text1"/>
        </w:rPr>
        <w:t>summarize</w:t>
      </w:r>
      <w:r w:rsidR="009E7257">
        <w:rPr>
          <w:rFonts w:ascii="Book Antiqua" w:eastAsia="Book Antiqua" w:hAnsi="Book Antiqua" w:cs="Book Antiqua"/>
          <w:color w:val="000000" w:themeColor="text1"/>
        </w:rPr>
        <w:t>s</w:t>
      </w:r>
      <w:r w:rsidR="009E7257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previous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literature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bCs/>
          <w:color w:val="000000" w:themeColor="text1"/>
        </w:rPr>
        <w:t>Table</w:t>
      </w:r>
      <w:r w:rsidR="00763BDA" w:rsidRPr="00FD37A1">
        <w:rPr>
          <w:rFonts w:ascii="Book Antiqua" w:hAnsi="Book Antiqua" w:cs="Book Antiqua" w:hint="eastAsia"/>
          <w:bCs/>
          <w:color w:val="000000" w:themeColor="text1"/>
          <w:lang w:eastAsia="zh-CN"/>
        </w:rPr>
        <w:t>s</w:t>
      </w:r>
      <w:r w:rsidR="00AF0C91" w:rsidRPr="00FD37A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bCs/>
          <w:color w:val="000000" w:themeColor="text1"/>
        </w:rPr>
        <w:t>1</w:t>
      </w:r>
      <w:r w:rsidR="00AF0C91" w:rsidRPr="00FD37A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FD37A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bCs/>
          <w:color w:val="000000" w:themeColor="text1"/>
        </w:rPr>
        <w:t>2</w:t>
      </w:r>
      <w:r w:rsidRPr="00FD37A1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provide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insight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future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research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098D03AF" w14:textId="4E837EA3" w:rsidR="00A77B3E" w:rsidRPr="00512D13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described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FD37A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bCs/>
          <w:color w:val="000000" w:themeColor="text1"/>
        </w:rPr>
        <w:t>Table</w:t>
      </w:r>
      <w:r w:rsidR="00AF0C91" w:rsidRPr="00FD37A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(ICG)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approved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Administration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70,71]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applied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72-74]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angiography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75]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72]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navigation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76]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vascular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grafts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77]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large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number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widely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rapidly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singlet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exposure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(NIR)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destroy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78,79]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considered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agent.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notably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efficiency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cannot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easily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excreted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owing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abnormal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structures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capillaries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80]</w:t>
      </w:r>
      <w:r w:rsidRPr="00512D13">
        <w:rPr>
          <w:rFonts w:ascii="Book Antiqua" w:eastAsia="Book Antiqua" w:hAnsi="Book Antiqua" w:cs="Book Antiqua"/>
          <w:color w:val="000000" w:themeColor="text1"/>
        </w:rPr>
        <w:t>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thus,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retained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257" w:rsidRPr="00F0712E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9E7257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tested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cytotoxicity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(Huh-7</w:t>
      </w:r>
      <w:r w:rsidR="009E7257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9E7257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Hep3B)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tumoricidal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ability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intravenous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injection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(5</w:t>
      </w:r>
      <w:r w:rsidR="009E7257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mg/kg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512D13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daily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exposure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(0.5</w:t>
      </w:r>
      <w:r w:rsidR="009E7257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1.75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W/cm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512D13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patient-derived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orthotopic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(PDoX)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demonstrated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complete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PDoX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achieved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NIR-irradiated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indicating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noninvasive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destruction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Meanwhile,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series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fluorogens,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chlorin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e6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81]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5-aminolaevulinic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acid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82]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01D2F5D1" w14:textId="6F573D23" w:rsidR="00A77B3E" w:rsidRPr="00512D13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traditional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selectivity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neoplastic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affinity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healthy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phototoxicity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83,84]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period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protection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required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Additionally,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easily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degraded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excreted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blood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circulation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tendency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aqueous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milieu,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bioavailability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activity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85]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mentioned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above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86-88]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absence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vasculature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supportive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intimates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formation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leaky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vessels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(100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μm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diameter).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Meanwhile,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lymphatic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offers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opportunity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phenomenon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known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permeability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retention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(EPR)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89,90]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69D">
        <w:rPr>
          <w:rFonts w:ascii="Book Antiqua" w:eastAsia="Book Antiqua" w:hAnsi="Book Antiqua" w:cs="Book Antiqua"/>
          <w:color w:val="000000" w:themeColor="text1"/>
        </w:rPr>
        <w:t>Nanoparticles (</w:t>
      </w:r>
      <w:r w:rsidRPr="00512D13">
        <w:rPr>
          <w:rFonts w:ascii="Book Antiqua" w:eastAsia="Book Antiqua" w:hAnsi="Book Antiqua" w:cs="Book Antiqua"/>
          <w:color w:val="000000" w:themeColor="text1"/>
        </w:rPr>
        <w:t>NPs</w:t>
      </w:r>
      <w:r w:rsidR="0018569D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essentially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lesions,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contribute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passive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abilities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effect)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91-93]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He’s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group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94]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reported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copper</w:t>
      </w:r>
      <w:r w:rsidR="0018569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cysteamine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(Cu</w:t>
      </w:r>
      <w:r w:rsidR="0018569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Cy),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</w:t>
      </w:r>
      <w:r w:rsidR="0018569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HepG2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ultraviolet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radiation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vitro,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also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inhibited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growth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colleagues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63]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nanoliposomes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co-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encapsulated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sorafenib.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expected,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drawbacks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solution,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instability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aqueous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solution,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rapid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clearance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blood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circulation</w:t>
      </w:r>
      <w:r w:rsidR="0018569D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leads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achieve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negative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sorafenib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also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expression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vascular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endothelial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growth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(VEGF)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upregulated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critical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signaling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recurrence.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inhibit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Hep3B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tumor-bearing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nude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</w:p>
    <w:p w14:paraId="152D10F8" w14:textId="07671E63" w:rsidR="00A77B3E" w:rsidRPr="00512D13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69D">
        <w:rPr>
          <w:rFonts w:ascii="Book Antiqua" w:eastAsia="Book Antiqua" w:hAnsi="Book Antiqua" w:cs="Book Antiqua"/>
          <w:color w:val="000000" w:themeColor="text1"/>
        </w:rPr>
        <w:t>used</w:t>
      </w:r>
      <w:r w:rsidR="0018569D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subjected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cell-targeting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abilities;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cannot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efficiency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95,96]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paradigm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markedly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shifting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conjugating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approach,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lead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improved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minimize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toxic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associated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97,98]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instance,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ligands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vitamins,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antibodies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peptides,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aptamers,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solution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achieve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properties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93]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ligands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matching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receptors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membrane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receptor-mediated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endocytosis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99]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synthesized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gadolinium</w:t>
      </w:r>
      <w:r w:rsidR="0018569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metal-organic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frameworks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skeleton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folic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(FA)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conjugation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(FA</w:t>
      </w:r>
      <w:r w:rsidR="00E25EA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NPMOFs)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</w:t>
      </w:r>
      <w:r w:rsidR="00E25EA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NPMOFs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exhibited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affinity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positive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folate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receptors</w:t>
      </w:r>
      <w:r w:rsidR="00FD37A1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manner.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possess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dual-function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tumor-bearing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zebrafish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exposure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wavelength,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singlet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exerts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prominent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contributing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between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</w:t>
      </w:r>
      <w:r w:rsidR="00E25EA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NPMOFs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cells.</w:t>
      </w:r>
    </w:p>
    <w:p w14:paraId="7CF0BCDB" w14:textId="106FA270" w:rsidR="00A77B3E" w:rsidRPr="00512D13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Another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common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problem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traditional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widely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derivatives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hydrophobia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rigid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planar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structures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6D0C" w:rsidRPr="00FD37A1">
        <w:rPr>
          <w:rFonts w:ascii="Book Antiqua" w:hAnsi="Book Antiqua" w:cs="Book Antiqua"/>
          <w:bCs/>
          <w:color w:val="000000" w:themeColor="text1"/>
          <w:lang w:eastAsia="zh-CN"/>
        </w:rPr>
        <w:t>Figure</w:t>
      </w:r>
      <w:r w:rsidR="00AF0C91" w:rsidRPr="00FD37A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FD37A1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FD37A1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FD37A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problem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collectively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aqueous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π</w:t>
      </w:r>
      <w:r w:rsidR="00E25EAD">
        <w:rPr>
          <w:rFonts w:ascii="Book Antiqua" w:eastAsia="Book Antiqua" w:hAnsi="Book Antiqua" w:cs="Book Antiqua"/>
          <w:color w:val="000000" w:themeColor="text1"/>
        </w:rPr>
        <w:t>–</w:t>
      </w:r>
      <w:r w:rsidRPr="00512D13">
        <w:rPr>
          <w:rFonts w:ascii="Book Antiqua" w:eastAsia="Book Antiqua" w:hAnsi="Book Antiqua" w:cs="Book Antiqua"/>
          <w:color w:val="000000" w:themeColor="text1"/>
        </w:rPr>
        <w:t>π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stacking,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aggregation-caused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quenching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performance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quenched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significant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decrease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diminishes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100,101]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Conversely,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(AIE)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twisted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configuration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suppresses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interactions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represent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class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102-104]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characteristics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(denoted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present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weak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exhibit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efficient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ability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105-107]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Thus,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formulating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40,105,106,108,109]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previous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our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group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fabricated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integrin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α</w:t>
      </w:r>
      <w:r w:rsidRPr="00512D13">
        <w:rPr>
          <w:rFonts w:ascii="Book Antiqua" w:eastAsia="Book Antiqua" w:hAnsi="Book Antiqua" w:cs="Book Antiqua"/>
          <w:color w:val="000000" w:themeColor="text1"/>
          <w:vertAlign w:val="subscript"/>
        </w:rPr>
        <w:t>ν</w:t>
      </w:r>
      <w:r w:rsidRPr="00512D13">
        <w:rPr>
          <w:rFonts w:ascii="Book Antiqua" w:eastAsia="Book Antiqua" w:hAnsi="Book Antiqua" w:cs="Book Antiqua"/>
          <w:color w:val="000000" w:themeColor="text1"/>
        </w:rPr>
        <w:t>β</w:t>
      </w:r>
      <w:r w:rsidRPr="00512D13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Pr="00512D13">
        <w:rPr>
          <w:rFonts w:ascii="Book Antiqua" w:eastAsia="Book Antiqua" w:hAnsi="Book Antiqua" w:cs="Book Antiqua"/>
          <w:color w:val="000000" w:themeColor="text1"/>
        </w:rPr>
        <w:t>-targeted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organic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tetraphenylene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derivative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characteristic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(TPETS)-encapsulated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prepared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nanoprecipitation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method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conjugated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thiolated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cRGD</w:t>
      </w:r>
      <w:r w:rsidR="00FD37A1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yield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TPETS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(T-TPETS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nanodots),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facilitate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binding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between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cRGD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integrin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α</w:t>
      </w:r>
      <w:r w:rsidRPr="00512D13">
        <w:rPr>
          <w:rFonts w:ascii="Book Antiqua" w:eastAsia="Book Antiqua" w:hAnsi="Book Antiqua" w:cs="Book Antiqua"/>
          <w:color w:val="000000" w:themeColor="text1"/>
          <w:vertAlign w:val="subscript"/>
        </w:rPr>
        <w:t>ν</w:t>
      </w:r>
      <w:r w:rsidRPr="00512D13">
        <w:rPr>
          <w:rFonts w:ascii="Book Antiqua" w:eastAsia="Book Antiqua" w:hAnsi="Book Antiqua" w:cs="Book Antiqua"/>
          <w:color w:val="000000" w:themeColor="text1"/>
        </w:rPr>
        <w:t>β</w:t>
      </w:r>
      <w:r w:rsidRPr="00512D13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obtained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showed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Pr="00512D13">
        <w:rPr>
          <w:rFonts w:ascii="Book Antiqua" w:eastAsia="Book Antiqua" w:hAnsi="Book Antiqua" w:cs="Book Antiqua"/>
          <w:color w:val="000000" w:themeColor="text1"/>
        </w:rPr>
        <w:t>O</w:t>
      </w:r>
      <w:r w:rsidRPr="00512D13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T-TPETS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expedite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internalization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receptor-mediated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endocytosis.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multiple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features,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experiments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demonstrated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exhibited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excellent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HCC-targeted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performance,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promoted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HepG2-bearing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nude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inhibited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growth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extended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analysis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time-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concentration-dependent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death.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Specifically,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intensity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direct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necrosis,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mitochondria-apoptosis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pathway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intensity.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suggest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3A8A0855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6E7893" w14:textId="7B9FC12F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LIMITATIONS</w:t>
      </w:r>
      <w:r w:rsidR="00AF0C91"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AF0C91"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PERSPECTIVE</w:t>
      </w:r>
    </w:p>
    <w:p w14:paraId="15147520" w14:textId="296B9C13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years,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numerous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trials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registered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types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scarcely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trials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critical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problems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conquered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before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>
        <w:rPr>
          <w:rFonts w:ascii="Book Antiqua" w:eastAsia="Book Antiqua" w:hAnsi="Book Antiqua" w:cs="Book Antiqua"/>
          <w:color w:val="000000" w:themeColor="text1"/>
        </w:rPr>
        <w:t>for</w:t>
      </w:r>
      <w:r w:rsidR="00E25EAD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realized</w:t>
      </w:r>
      <w:r w:rsidR="00E25EAD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2309D1">
        <w:rPr>
          <w:rFonts w:ascii="Book Antiqua" w:eastAsia="Book Antiqua" w:hAnsi="Book Antiqua" w:cs="Book Antiqua"/>
          <w:bCs/>
          <w:color w:val="000000" w:themeColor="text1"/>
        </w:rPr>
        <w:t>Figure</w:t>
      </w:r>
      <w:r w:rsidR="00AF0C91" w:rsidRPr="002309D1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8E6D0C" w:rsidRPr="002309D1">
        <w:rPr>
          <w:rFonts w:ascii="Book Antiqua" w:eastAsia="Book Antiqua" w:hAnsi="Book Antiqua" w:cs="Book Antiqua"/>
          <w:bCs/>
          <w:color w:val="000000" w:themeColor="text1"/>
        </w:rPr>
        <w:t>2</w:t>
      </w:r>
      <w:r w:rsidR="00E25EAD">
        <w:rPr>
          <w:rFonts w:ascii="Book Antiqua" w:eastAsia="Book Antiqua" w:hAnsi="Book Antiqua" w:cs="Book Antiqua"/>
          <w:bCs/>
          <w:color w:val="000000" w:themeColor="text1"/>
        </w:rPr>
        <w:t>)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First,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major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drawback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currently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available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caused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short-wavelength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absorption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application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source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provides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intriguing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solution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110]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including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chemiluminescence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111]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bioluminescence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112]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candidates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sources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self-illuminators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small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size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(ranging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atomic/molecular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nanometer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scale)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pathological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113]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exploits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scintillator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down-convert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X-ray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visible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latter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turn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X-rays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afford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superior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114,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115]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colleagues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116]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developed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taking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advantage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efficient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Pr="00512D13">
        <w:rPr>
          <w:rFonts w:ascii="Book Antiqua" w:eastAsia="Book Antiqua" w:hAnsi="Book Antiqua" w:cs="Book Antiqua"/>
          <w:color w:val="000000" w:themeColor="text1"/>
        </w:rPr>
        <w:t>O</w:t>
      </w:r>
      <w:r w:rsidRPr="00512D13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X-ray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>
        <w:rPr>
          <w:rFonts w:ascii="Book Antiqua" w:eastAsia="Book Antiqua" w:hAnsi="Book Antiqua" w:cs="Book Antiqua"/>
          <w:color w:val="000000" w:themeColor="text1"/>
        </w:rPr>
        <w:t>use</w:t>
      </w:r>
      <w:r w:rsidR="00E25EAD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ionizing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indicating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·OH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radiosensitization-mediated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X-rays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marked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killing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pioneering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exploration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drawback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penetration.</w:t>
      </w:r>
    </w:p>
    <w:p w14:paraId="4CDDF84F" w14:textId="2A3B4588" w:rsidR="00A77B3E" w:rsidRPr="00512D13" w:rsidRDefault="00403332" w:rsidP="002309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Second,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critical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indiscriminately.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performance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leads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important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117,118]</w:t>
      </w:r>
      <w:r w:rsidR="002309D1"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obstacles,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focused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development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concentrations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specifically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increasing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reducing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toxicity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99,118]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phototherapeutics,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minimize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toxicity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healthy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target-specific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precisely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controlling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phototherapy-initiating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sources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99,119,120]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</w:p>
    <w:p w14:paraId="7A8BC490" w14:textId="72AA6AC2" w:rsidR="00A77B3E" w:rsidRPr="00512D13" w:rsidRDefault="00403332" w:rsidP="002309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Finally,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hypoxic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microenvironment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secondarily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accelerate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upregulation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angiogenic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hypoxia-inducible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</w:t>
      </w:r>
      <w:r w:rsidR="00E25EAD">
        <w:rPr>
          <w:rFonts w:ascii="Book Antiqua" w:eastAsia="Book Antiqua" w:hAnsi="Book Antiqua" w:cs="Book Antiqua"/>
          <w:color w:val="000000" w:themeColor="text1"/>
        </w:rPr>
        <w:sym w:font="Symbol" w:char="F061"/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>
        <w:rPr>
          <w:rFonts w:ascii="Book Antiqua" w:eastAsia="Book Antiqua" w:hAnsi="Book Antiqua" w:cs="Book Antiqua"/>
          <w:color w:val="000000" w:themeColor="text1"/>
        </w:rPr>
        <w:t>VEGF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killed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completely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intensity,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revascularization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promoted,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signaling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pathways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recurrence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121,122]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multiple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regimens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including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immunotherapy,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PDT/photothermal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multikinase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inhibitors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anti-VEGF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agents,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focus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years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123]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hopefully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increase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objective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responses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overall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contributing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124]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multitude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available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complementary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additive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modalities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should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encourage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clinicians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implement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multidisciplinary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approach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outcome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12D13">
        <w:rPr>
          <w:rFonts w:ascii="Book Antiqua" w:eastAsia="Book Antiqua" w:hAnsi="Book Antiqua" w:cs="Book Antiqua"/>
          <w:color w:val="000000" w:themeColor="text1"/>
          <w:vertAlign w:val="superscript"/>
        </w:rPr>
        <w:t>125]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</w:p>
    <w:p w14:paraId="5F00CEA8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04F718" w14:textId="7777777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2883B6C" w14:textId="3F3B5B36" w:rsidR="00A77B3E" w:rsidRPr="00512D13" w:rsidRDefault="00D10E14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application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E25EAD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recurrence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limitations,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creating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NP-mediated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E25EAD">
        <w:rPr>
          <w:rFonts w:ascii="Book Antiqua" w:eastAsia="Book Antiqua" w:hAnsi="Book Antiqua" w:cs="Book Antiqua"/>
          <w:color w:val="000000" w:themeColor="text1"/>
        </w:rPr>
        <w:t>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512D13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problems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resolved,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HCC.</w:t>
      </w:r>
    </w:p>
    <w:p w14:paraId="3F5C60B2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F66AED" w14:textId="7777777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970E3E8" w14:textId="139C6B9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Sia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Villanueva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Friedman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Llovet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Origin,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Class,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Prognosis.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152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745-761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28043904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10.1053/j.gastro.2016.11.048]</w:t>
      </w:r>
    </w:p>
    <w:p w14:paraId="2AE42502" w14:textId="143BE22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MF.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Epidemiology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Asia-Pacific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Region.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Gut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332-339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27114433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10.5009/gnl15257]</w:t>
      </w:r>
    </w:p>
    <w:p w14:paraId="0D6C7C85" w14:textId="07E1AED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Choo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BKP,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Comparison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Eastern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Western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populations.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122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3430-3446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10.1002/cncr.30237]</w:t>
      </w:r>
    </w:p>
    <w:p w14:paraId="15F1B60A" w14:textId="395276A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Singal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Lampertico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Nahon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Epidemiology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surveillance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trends.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250-261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31954490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10.1016/j.jhep.2019.08.025]</w:t>
      </w:r>
    </w:p>
    <w:p w14:paraId="74E14830" w14:textId="2EA7EED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Kulik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El-Serag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Epidemiology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Management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156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477-491.e1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30367835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10.1053/j.gastro.2018.08.065]</w:t>
      </w:r>
    </w:p>
    <w:p w14:paraId="019B603D" w14:textId="31A8980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Maluccio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Covey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progress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understanding,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diagnosing,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394-399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23070690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10.3322/caac.21161]</w:t>
      </w:r>
    </w:p>
    <w:p w14:paraId="40C7AEF2" w14:textId="2A551D1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Dendy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Ludwig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Future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Directions.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326-340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31768343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10.1159/000494843]</w:t>
      </w:r>
    </w:p>
    <w:p w14:paraId="478F48E4" w14:textId="5A941DB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Pompon-like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RuNPs-Based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Photoacoustic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Characteristic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Accurate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Detection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Efficient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Guidance.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33645-33659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28895715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10.1021/acsami.7b10553]</w:t>
      </w:r>
    </w:p>
    <w:p w14:paraId="5EEC2300" w14:textId="59B854B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Cucchetti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Berhane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Toyoda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CCN,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PBS,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Ercolani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Mazzaferro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Cescon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Pinna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Kumada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Johnson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chances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711-717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31790765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10.1016/j.jhep.2019.11.016]</w:t>
      </w:r>
    </w:p>
    <w:p w14:paraId="24079E7A" w14:textId="33652D7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Bruix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transplantation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outcomes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approaches.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203-217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28053342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10.1038/nrgastro.2016.193]</w:t>
      </w:r>
    </w:p>
    <w:p w14:paraId="5357823D" w14:textId="4227E89F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Galle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PR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Tovoli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Foerster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Wörns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Cucchetti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Bolondi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intermediate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tumours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beyond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TACE: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173-183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28323121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10.1016/j.jhep.2017.03.007]</w:t>
      </w:r>
    </w:p>
    <w:p w14:paraId="5F2C48C8" w14:textId="5C54498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12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Apatinib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766-774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33200015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10.4254/wjh.v12.i10.766]</w:t>
      </w:r>
    </w:p>
    <w:p w14:paraId="40F10CB4" w14:textId="1BB87AB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Chino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Stephens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Godfrey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Czito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Willett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Palta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beam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3476-3489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29645076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10.1002/cncr.31334]</w:t>
      </w:r>
    </w:p>
    <w:p w14:paraId="7A812C61" w14:textId="02AA8E0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Iñarrairaegui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Melero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Sangro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Hopes.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1518-1524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29138342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10.1158/1078-0432.CCR-17-0289]</w:t>
      </w:r>
    </w:p>
    <w:p w14:paraId="48908105" w14:textId="6B20DAA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Qin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Camrelizumab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previously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multicentre,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open-label,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parallel-group,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randomised,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trial.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571-580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32112738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10.1016/S1470-2045(20)30011-5]</w:t>
      </w:r>
    </w:p>
    <w:p w14:paraId="6AB2795A" w14:textId="6FFF1F8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Finn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Ikeda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Galle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Ducreux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Breder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Merle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Kaseb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Verret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Hernandez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Mulla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IMbrave150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Investigators.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Atezolizumab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Bevacizumab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Unresectable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382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1894-1905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32402160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10.1056/NEJMoa1915745]</w:t>
      </w:r>
    </w:p>
    <w:p w14:paraId="5BE6580C" w14:textId="3EC873E9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Hartke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Johnson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Ghabril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Semin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Diagn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153-159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28108047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10.1053/j.semdp.2016.12.011]</w:t>
      </w:r>
    </w:p>
    <w:p w14:paraId="2ECCA2D8" w14:textId="391766A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Prieto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Melero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Sangro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Immunological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landscape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681-700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26484443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10.1038/nrgastro.2015.173]</w:t>
      </w:r>
    </w:p>
    <w:p w14:paraId="7B90142D" w14:textId="01ACB5C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Safety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Transcatheter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Arterial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Chemoembolization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Transcatheter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Arterial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Infusion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Systematic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Review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Meta-Analysis.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231-239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28911342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10.3727/096504017X15051752095738]</w:t>
      </w:r>
    </w:p>
    <w:p w14:paraId="61630F23" w14:textId="13BFB44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influencing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short-term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long-term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portal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thrombosis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underwent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chemoembolization.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1330-1340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33833486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10.3748/wjg.v27.i13.1330]</w:t>
      </w:r>
    </w:p>
    <w:p w14:paraId="3048973E" w14:textId="2357408A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Heterogeneity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personalized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379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191-197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26213370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10.1016/j.canlet.2015.07.018]</w:t>
      </w:r>
    </w:p>
    <w:p w14:paraId="6BDF0415" w14:textId="5E605E48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Verslype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Rosmorduc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Rougier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ESMO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Guidelines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Group.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ESMO-ESDO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Guidelines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follow-up.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Cs/>
          <w:color w:val="000000" w:themeColor="text1"/>
        </w:rPr>
        <w:t>Suppl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Cs/>
          <w:color w:val="000000" w:themeColor="text1"/>
        </w:rPr>
        <w:t>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vii41-vii48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22997453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10.1093/annonc/mds225]</w:t>
      </w:r>
    </w:p>
    <w:p w14:paraId="65AC7C4F" w14:textId="3C6BDE5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Forner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Llovet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Bruix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379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1245-1255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22353262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10.1016/S0140-6736(11)61347-0]</w:t>
      </w:r>
    </w:p>
    <w:p w14:paraId="2529C515" w14:textId="1C00597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Duffy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Ulahannan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Makorova-Rusher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Rahma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Wedemeyer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Pratt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Davis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Hughes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Heller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ElGindi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Uppala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Korangy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Kleiner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Figg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Venzon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Steinberg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Venkatesan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Krishnasamy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Abi-Jaoudeh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Levy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Wood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Greten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TF.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Tremelimumab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545-551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27816492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10.1016/j.jhep.2016.10.029]</w:t>
      </w:r>
    </w:p>
    <w:p w14:paraId="4E7A7D10" w14:textId="5E2873C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Raoul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Forner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Bolondi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Cheung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Kloeckner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Baere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Updated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evidence.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Treat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28-36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30447470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10.1016/j.ctrv.2018.11.002]</w:t>
      </w:r>
    </w:p>
    <w:p w14:paraId="4C1C9EC3" w14:textId="5EE33D8A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Nault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Sutter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Nahon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Ganne-Carrié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Séror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Percutaneous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innovations.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783-797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29031662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10.1016/j.jhep.2017.10.004]</w:t>
      </w:r>
    </w:p>
    <w:p w14:paraId="0103716A" w14:textId="46269F1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Ryu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Takami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Sasaki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Saitsu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Actual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10-Year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Single-Center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Experience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Japan.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4126-4133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31359277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10.1245/s10434-019-07646-8]</w:t>
      </w:r>
    </w:p>
    <w:p w14:paraId="7C22A96D" w14:textId="321AEA9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Yao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Short-term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outcomes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cone-beam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computed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tomography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planning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guidance.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1580-1591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33728301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10.12998/wjcc.v9.i7.1580]</w:t>
      </w:r>
    </w:p>
    <w:p w14:paraId="58CAA419" w14:textId="2AF71FC1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29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National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Health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Commision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People's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Republic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China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Standardization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primary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(2019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edition)</w:t>
      </w:r>
      <w:r w:rsidR="00642BC9" w:rsidRPr="00512D13">
        <w:rPr>
          <w:rFonts w:ascii="Book Antiqua" w:hAnsi="Book Antiqua" w:cs="Book Antiqua"/>
          <w:color w:val="000000" w:themeColor="text1"/>
          <w:lang w:eastAsia="zh-CN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2BC9" w:rsidRPr="00512D13">
        <w:rPr>
          <w:rFonts w:ascii="Book Antiqua" w:hAnsi="Book Antiqua" w:cs="Book Antiqua"/>
          <w:i/>
          <w:color w:val="000000" w:themeColor="text1"/>
          <w:lang w:eastAsia="zh-CN"/>
        </w:rPr>
        <w:t>Zhonghua</w:t>
      </w:r>
      <w:r w:rsidR="00AF0C91" w:rsidRPr="00512D13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642BC9" w:rsidRPr="00512D13">
        <w:rPr>
          <w:rFonts w:ascii="Book Antiqua" w:hAnsi="Book Antiqua" w:cs="Book Antiqua"/>
          <w:i/>
          <w:color w:val="000000" w:themeColor="text1"/>
          <w:lang w:eastAsia="zh-CN"/>
        </w:rPr>
        <w:t>Shiyong</w:t>
      </w:r>
      <w:r w:rsidR="00AF0C91" w:rsidRPr="00512D13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642BC9" w:rsidRPr="00512D13">
        <w:rPr>
          <w:rFonts w:ascii="Book Antiqua" w:hAnsi="Book Antiqua" w:cs="Book Antiqua"/>
          <w:i/>
          <w:color w:val="000000" w:themeColor="text1"/>
          <w:lang w:eastAsia="zh-CN"/>
        </w:rPr>
        <w:t>Waike</w:t>
      </w:r>
      <w:r w:rsidR="00AF0C91" w:rsidRPr="00512D13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="00642BC9" w:rsidRPr="00512D13">
        <w:rPr>
          <w:rFonts w:ascii="Book Antiqua" w:hAnsi="Book Antiqua" w:cs="Book Antiqua"/>
          <w:i/>
          <w:color w:val="000000" w:themeColor="text1"/>
          <w:lang w:eastAsia="zh-CN"/>
        </w:rPr>
        <w:t>Zazhi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40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121-138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10.21147/j.issn.1000-9604.2019.01.01]</w:t>
      </w:r>
    </w:p>
    <w:p w14:paraId="71062EDE" w14:textId="5C89D44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Maeda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Saeki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Sakaida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Aikata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Ogawa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Kariyama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Nouso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Kitamoto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Kobashi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Shibata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Joko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Takaki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Takabatake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Tsutsui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Takaguchi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Tomonari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Nakamura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Nagahara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Hiraoka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Matono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Mandai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Mannami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Mitsuda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Moriya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Yabushita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Yagi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Yamasaki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Complications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Multicenter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Involving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9,411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Japanese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50-62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32071909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10.1159/000502744]</w:t>
      </w:r>
    </w:p>
    <w:p w14:paraId="1540E80C" w14:textId="2E9AB328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Oniszczuk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Wojtunik-Kulesza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Oniszczuk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Kasprzak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(PDT)-Experimental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Pharmacother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912-929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27522005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10.1016/j.biopha.2016.07.058]</w:t>
      </w:r>
    </w:p>
    <w:p w14:paraId="7612CF53" w14:textId="275DBF87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Tsai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YC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Vijayaraghavan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Omoto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Kamimura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Soga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Functionalized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Upconversion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Externally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Brain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Glioblastoma.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1435-1448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29507632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10.7150/thno.22482]</w:t>
      </w:r>
    </w:p>
    <w:p w14:paraId="4AA8A17B" w14:textId="439F87D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Driel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PBAA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Boonstra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Slooter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Heukers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Stammes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Snoeks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TJA,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Bruijn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Diest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Vahrmeijer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Bergen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Henegouwen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PMP,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Velde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CJH,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Löwik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CWGM,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Robinson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Oliveira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EGFR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nanobody-photosensitizer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conjugates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pre-clinical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head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Release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229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93-105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26988602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10.1016/j.jconrel.2016.03.014]</w:t>
      </w:r>
    </w:p>
    <w:p w14:paraId="4247CF1D" w14:textId="561B191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34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Schwake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Dondrop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Schroeteler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Schipmann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Senner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Stummer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Ewelt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In-Vitro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5-ALA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Pediatric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Brain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Neurosurgery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1328-1337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29538709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10.1093/neuros/nyy054]</w:t>
      </w:r>
    </w:p>
    <w:p w14:paraId="57E166CC" w14:textId="3B56FA8F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Braathen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LR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Morton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Basset-Seguin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Bissonnette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Gerritsen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Gilaberte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Calzavara-Pinton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Sidoroff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Wulf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Szeimies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field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cancerization: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consensus.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Society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Dermatology.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Dermatol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Venereol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1063-1066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22220503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10.1111/j.1468-3083.2011.04432.x]</w:t>
      </w:r>
    </w:p>
    <w:p w14:paraId="7D318316" w14:textId="4E16F74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Analysis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vivo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vitro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sensitizer,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sinoporphyrin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sodium.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772-786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25897341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10.7150/thno.10853]</w:t>
      </w:r>
    </w:p>
    <w:p w14:paraId="6F7EE12B" w14:textId="03F1699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Kuzyniak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Schmidt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Glac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Berkholz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Steinemann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Hoffmann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Ermilov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Gürek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Ahsen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Nitzsche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Höpfner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zinc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phthalocyanine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esophageal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953-963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28098886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10.3892/ijo.2017.3854]</w:t>
      </w:r>
    </w:p>
    <w:p w14:paraId="71912A53" w14:textId="52D2942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Rupinski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Zagorowicz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Regula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Fijuth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Kraszewska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Polkowski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Wronska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Butruk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Randomized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comparison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palliative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regimens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including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brachytherapy,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malignant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dysphagia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(CONSORT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1a)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(Revised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II).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1612-1620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21670770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10.1038/ajg.2011.178]</w:t>
      </w:r>
    </w:p>
    <w:p w14:paraId="6911AE28" w14:textId="546F5859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39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Kimura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Miyajima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Kojika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Airway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Stenosis.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25466-25475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26512656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10.3390/ijms161025466]</w:t>
      </w:r>
    </w:p>
    <w:p w14:paraId="6653260C" w14:textId="5C465F2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One-Step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3922-3932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28383899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10.1021/acsnano.7b00312]</w:t>
      </w:r>
    </w:p>
    <w:p w14:paraId="1EE77B52" w14:textId="71F15FF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Eum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Randomised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oral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fluoropyrimidine,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S-1,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alone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unresectable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Eur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2014;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50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1259-1268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10.1016/j.ejca.2014.01.008]</w:t>
      </w:r>
    </w:p>
    <w:p w14:paraId="3172ADEA" w14:textId="195FFE4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Moole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Tathireddy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Dharmapuri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Moole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Boddireddy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Yedama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Dharmapuri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Uppu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Bondalapati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Duvvuri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Success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palliating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nonresectable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systematic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review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meta-analysis.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1278-1288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28275308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10.3748/wjg.v23.i7.1278]</w:t>
      </w:r>
    </w:p>
    <w:p w14:paraId="1786BB88" w14:textId="658A85F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Mitochondria-anchoring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AIE-active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self-monitored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Front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3201-3208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10.1039/d0qm00503g]</w:t>
      </w:r>
    </w:p>
    <w:p w14:paraId="26D51BDC" w14:textId="4DC914B8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Chan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Gleadle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Vasilev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MacGregor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Shedding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Bladder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Urine.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Diagnostics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32521780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10.3390/diagnostics10060383]</w:t>
      </w:r>
    </w:p>
    <w:p w14:paraId="589A9D63" w14:textId="001780E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Oxygen-generating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Hybrid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Polymeric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Encapsulated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Doxorubicin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Chlorin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Trimodal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Chemo-Photodynamic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1558-1574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29556341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10.7150/thno.22989]</w:t>
      </w:r>
    </w:p>
    <w:p w14:paraId="3E94D055" w14:textId="22A7852A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Han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micelles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upconversion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dual-modality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6511-6523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29569668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10.1039/C7NR09717D]</w:t>
      </w:r>
    </w:p>
    <w:p w14:paraId="6E091FE6" w14:textId="5EF8129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Kenry,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Characteristic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1264-1279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30867829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10.7150/thno.29101]</w:t>
      </w:r>
    </w:p>
    <w:p w14:paraId="6F199E48" w14:textId="509F5887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Dąbrowski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Arnaut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LG.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Photochem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Photobiol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1765-1780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26219737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10.1039/c5pp00132c]</w:t>
      </w:r>
    </w:p>
    <w:p w14:paraId="44DA275E" w14:textId="39F748D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49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Shirata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Kaneko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Inagaki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Kiritani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Akamatsu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Arita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Sakamoto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Hasegawa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apoptosis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oxidative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stress.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13958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29066756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10.1038/s41598-017-14401-0]</w:t>
      </w:r>
    </w:p>
    <w:p w14:paraId="00251AB1" w14:textId="553F7019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Mroz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Hashmi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Lange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Hamblin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Stimulation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Expert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75-91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21162652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10.1586/eci.10.81]</w:t>
      </w:r>
    </w:p>
    <w:p w14:paraId="2A7DAE1A" w14:textId="603DB04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XN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Sorafenib-Conjugated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Zinc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Phthalocyanine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Nanocapsule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Trimodal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Orthotopic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17193-17206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32207914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10.1021/acsami.0c00375]</w:t>
      </w:r>
    </w:p>
    <w:p w14:paraId="328CDEF5" w14:textId="3890E13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Kaneko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Inagaki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Hasegawa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Innovative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(HCC).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30505965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10.21037/tgh.2018.10.04]</w:t>
      </w:r>
    </w:p>
    <w:p w14:paraId="6152381D" w14:textId="6EB4ADD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Egger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NG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Schoenecker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Gourley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Motamedi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Anderson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Weinman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experimental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protoporphyrin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synthesized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administered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delta-aminolevulinic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cultured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implanted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1997;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913-920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9126807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10.1016/s0168-8278(97)80260-7]</w:t>
      </w:r>
    </w:p>
    <w:p w14:paraId="2A3FABF2" w14:textId="02F70829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Shao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Inhibition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human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HepG2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phthalocyanine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photosensitiser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PHOTOCYANINE: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production,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apoptosis,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cycle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arrest.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48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2086-2096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22265427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10.1016/j.ejca.2011.10.013]</w:t>
      </w:r>
    </w:p>
    <w:p w14:paraId="67B41C9B" w14:textId="24C0CD0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Mirzaei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Djavid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Hadizadeh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Jahanshiri-Moghadam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Hajian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Radachlorin-mediated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human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Photochem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Photobiol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142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86-91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25528192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10.1016/j.jphotobiol.2014.11.007]</w:t>
      </w:r>
    </w:p>
    <w:p w14:paraId="03BA6145" w14:textId="1E09DB3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Duijnhoven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Rovers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Engelmann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Krajina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Purkiss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Zoetmulder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Vogl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Terpstra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5,10,15,20-tetrakis(m-hydroxyphenyl)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bacteriochlorin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colorectal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metastases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safe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feasible: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study.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2005;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808-816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16132377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10.1245/ASO.2005.09.005]</w:t>
      </w:r>
    </w:p>
    <w:p w14:paraId="20324A51" w14:textId="615944A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57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Gillams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AR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2004;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713-723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15447955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10.1259/bjr/86761907]</w:t>
      </w:r>
    </w:p>
    <w:p w14:paraId="4459CC62" w14:textId="21C3DAD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Hong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patient-derived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orthotopic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Photochem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Photobiol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209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111938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32590285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10.1016/j.jphotobiol.2020.111938]</w:t>
      </w:r>
    </w:p>
    <w:p w14:paraId="4402A5F7" w14:textId="4701060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59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ZW.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opportunity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mTHPC-mediated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Lasers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2013;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1541-1548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23377406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10.1007/s10103-012-1248-3]</w:t>
      </w:r>
    </w:p>
    <w:p w14:paraId="34A5D0D1" w14:textId="7922DA1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Otake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Nishiwaki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Kobayashi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Baba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Kohno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Kawasaki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Fujise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Nakamura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ALA-induced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PpIX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chemically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2003;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730-736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12915887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10.1038/sj.bjc.6601135]</w:t>
      </w:r>
    </w:p>
    <w:p w14:paraId="5848C4D4" w14:textId="050A0E19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Kita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Itoshima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Ogawa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Ukida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Kitadai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Hattori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Mizutani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Tanaka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Andoh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protection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Jpn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1987;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465-473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2959586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10.1007/BF02773815]</w:t>
      </w:r>
    </w:p>
    <w:p w14:paraId="7AB3F039" w14:textId="1EDB1E5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Kwon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Yoon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Youm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Pu-18-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Pr="00512D13">
        <w:rPr>
          <w:rFonts w:ascii="Book Antiqua" w:eastAsia="Book Antiqua" w:hAnsi="Book Antiqua" w:cs="Book Antiqua"/>
          <w:color w:val="000000" w:themeColor="text1"/>
        </w:rPr>
        <w:t>-butylimide-NMGA-GNP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conjugate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against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Integr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2013;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106-111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28664061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10.1016/j.imr.2013.05.001]</w:t>
      </w:r>
    </w:p>
    <w:p w14:paraId="6413BA88" w14:textId="285BCBC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Sorafenib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co-loaded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sensitive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liposomes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5823-5834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32254989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10.1039/c8tb01641k]</w:t>
      </w:r>
    </w:p>
    <w:p w14:paraId="63E7EF1C" w14:textId="4F21493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Folic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acid-nanoscale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gadolinium-porphyrin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metal-organic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frameworks: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magnetic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dual-modality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57-74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30587985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10.2147/IJN.S177880]</w:t>
      </w:r>
    </w:p>
    <w:p w14:paraId="53CD011A" w14:textId="1A66DA7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65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membrane-coated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magnetic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MR/NIR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dual-modal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1834-1845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29786715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10.1039/c8bm00343b]</w:t>
      </w:r>
    </w:p>
    <w:p w14:paraId="7AB02CEA" w14:textId="0A3D39F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Seeberger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Fabrication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Glyco-Metal-Organic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Frameworks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Interventional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Photodynamic/Chemotherapy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Percutaneous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Transperitoneal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Puncture.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Funct</w:t>
      </w:r>
      <w:r w:rsidR="00AF0C91" w:rsidRPr="00512D1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30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10.1002/adfm.201910084]</w:t>
      </w:r>
    </w:p>
    <w:p w14:paraId="53B8117B" w14:textId="45524A1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Microenvironment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Activable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Self-Assembled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DNA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Hybrids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Redox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Dual-Responsive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Chemotherapy/PDT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(Weinh)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1600460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28435778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10.1002/advs.201600460]</w:t>
      </w:r>
    </w:p>
    <w:p w14:paraId="57837AEB" w14:textId="0995966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Smart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Cu(II)-aptamer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complexes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nanoplatform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micro-environment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triggered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programmable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intracellular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release,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164-179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28042325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10.7150/thno.17099]</w:t>
      </w:r>
    </w:p>
    <w:p w14:paraId="6A0F5E0A" w14:textId="06ABE33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69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Pullulan-coated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phospholipid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Pluronic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F68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complex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carrying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IR780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paclitaxel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therapy/photodynamic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8649-8670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29255359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10.2147/IJN.S147591]</w:t>
      </w:r>
    </w:p>
    <w:p w14:paraId="6A978936" w14:textId="430BE95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infrared-modulated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thermosensitive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hydrogel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stabilization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combinatorial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1705-1715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30758351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10.1039/c8bm01541d]</w:t>
      </w:r>
    </w:p>
    <w:p w14:paraId="5277C5D1" w14:textId="66AF6A81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Loading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Polydopamine-Coated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Laponite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Nanodisks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Nanomaterials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29783745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10.3390/nano8050347]</w:t>
      </w:r>
    </w:p>
    <w:p w14:paraId="57ECBDAA" w14:textId="494FC01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72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Thorling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Touraud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Chouane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Roberts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green-incorporating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1227-1242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29507616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10.7150/thno.22872]</w:t>
      </w:r>
    </w:p>
    <w:p w14:paraId="3034FB53" w14:textId="3C6D202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Achterberg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FB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Sibinga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Mulder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Meijer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RPJ,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Bonsing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Hartgrink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Mieog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JSD,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Zlitni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Farina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Sarasqueta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Vahrmeijer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Swijnenburg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Real-time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margin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assessment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ICG-fluorescence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laparoscopic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robot-assisted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resections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colorectal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metastases.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1448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33313193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10.21037/atm-20-1999]</w:t>
      </w:r>
    </w:p>
    <w:p w14:paraId="7B9A6D73" w14:textId="531FAB9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Inagaki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Kamiya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Kaneko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Kokudo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Urano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Hasegawa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liver-specific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3044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30816163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10.1038/s41598-019-39269-0]</w:t>
      </w:r>
    </w:p>
    <w:p w14:paraId="6E65CDDC" w14:textId="01C9E79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Nardi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Elmore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Maggi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Maggiore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Cassinotti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Fumagalli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Gardani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Parise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Vignali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Rosati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Intraoperative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angiography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assess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anastomosis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perfusion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undergoing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laparoscopic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colorectal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resection: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multicenter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randomized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controlled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trial.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53-60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30903276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10.1007/s00464-019-06730-0]</w:t>
      </w:r>
    </w:p>
    <w:p w14:paraId="52975F24" w14:textId="1402919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Qian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safe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navigation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technique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laparoscopic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gastrectomy: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Commun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(Lond)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270-272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32525596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10.1002/cac2.12033]</w:t>
      </w:r>
    </w:p>
    <w:p w14:paraId="1429C96A" w14:textId="41752E0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Yamamoto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Ninomiya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Miyashita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Tashiro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Orihashi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Inoue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Hanazaki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Influence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residual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coronary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bypass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graft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graft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assessment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angiography.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Today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76-83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31346810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10.1007/s00595-019-01850-5]</w:t>
      </w:r>
    </w:p>
    <w:p w14:paraId="2220991D" w14:textId="6CED5427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dual-responsive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green-loaded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nanohybrids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tumour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resistance.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134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185-193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31026507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10.1016/j.ejps.2019.04.021]</w:t>
      </w:r>
    </w:p>
    <w:p w14:paraId="579EAA73" w14:textId="7086E20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79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dual-mode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ICG-loaded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multifunctional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MWCNTs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versatile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platform.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6122-6132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32254822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10.1039/c8tb01870g]</w:t>
      </w:r>
    </w:p>
    <w:p w14:paraId="7CFDF177" w14:textId="7779DAB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Potentiating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ICG-loaded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depleting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GSH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PEITC.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6384-6393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30888375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10.1039/c9nr01306g]</w:t>
      </w:r>
    </w:p>
    <w:p w14:paraId="35254D74" w14:textId="54520F85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Black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Phosphorus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Nanosheets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Immobilizing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12431-12440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29564897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10.1021/acsami.8b00276]</w:t>
      </w:r>
    </w:p>
    <w:p w14:paraId="73193248" w14:textId="4A18BDD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Casas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12D13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5-aminolaevulinic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photodetection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review.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490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165-173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32534172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10.1016/j.canlet.2020.06.008]</w:t>
      </w:r>
    </w:p>
    <w:p w14:paraId="28AAD783" w14:textId="5A4E3B6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Kwiatkowski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Knap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Przystupski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Saczko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Kędzierska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Knap-Czop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Kotlińska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Michel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Kotowski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Kulbacka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-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mechanisms,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Pharmacother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1098-1107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30119176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10.1016/j.biopha.2018.07.049]</w:t>
      </w:r>
    </w:p>
    <w:p w14:paraId="3D1A9109" w14:textId="18723C47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Hou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Pathological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Mechanism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6827-6838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32982235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10.2147/IJN.S269321]</w:t>
      </w:r>
    </w:p>
    <w:p w14:paraId="3F3AD4F2" w14:textId="7343C02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Mokoena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George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Abrahamse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Cannabidiol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31561450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10.3390/ijms20194771]</w:t>
      </w:r>
    </w:p>
    <w:p w14:paraId="4F08171D" w14:textId="7F142AF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Duse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Pinnapireddy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Strehlow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Jedelská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Bakowsky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curcumin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loaded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tetraether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liposomes.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Biopharm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233-241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29017954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10.1016/j.ejpb.2017.10.005]</w:t>
      </w:r>
    </w:p>
    <w:p w14:paraId="046B8D27" w14:textId="150EB16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Hou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143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3050-3060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29981170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10.1002/ijc.31717]</w:t>
      </w:r>
    </w:p>
    <w:p w14:paraId="2D12CDF0" w14:textId="54A77577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88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Dependence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Upconversion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Subcellular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Positioning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Productivity.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Small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28060457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10.1002/smll.201602053]</w:t>
      </w:r>
    </w:p>
    <w:p w14:paraId="45732F94" w14:textId="5A65B03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89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Bort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Dufort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Crémillieux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Verry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Tillement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EPR-mediated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ultrasmall-hybrid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animal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human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AGuIX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1319-1331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31938067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10.7150/thno.37543]</w:t>
      </w:r>
    </w:p>
    <w:p w14:paraId="6EF50DDD" w14:textId="3D7C6AF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disassembling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clearance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dilemma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multifunctional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Biomaterials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197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284-293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30677557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10.1016/j.biomaterials.2019.01.025]</w:t>
      </w:r>
    </w:p>
    <w:p w14:paraId="4A21D3F7" w14:textId="10AF52D7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Rho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Stiles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Baek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Kashiwagi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Size-Dependent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Polymeric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Healthc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e1901223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31794153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10.1002/adhm.201901223]</w:t>
      </w:r>
    </w:p>
    <w:p w14:paraId="0ECD8E2A" w14:textId="75784CB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Uthaman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Pillarisetti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Bioactivatable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species-sensitive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nanoparticulate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chemo-photodynamic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273-284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32205212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10.1016/j.actbio.2020.03.027]</w:t>
      </w:r>
    </w:p>
    <w:p w14:paraId="7ED39627" w14:textId="34C30C5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Gries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Thomas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Daouk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Rocchi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Choulier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Jubréaux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Pierson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Reinhard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Jouan-Hureaux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Chateau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Acherar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Frochot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Tillement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Barberi-Heyob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Selectivity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vivo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Biodistribution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NRP-1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-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AGuIX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Glioblastoma.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8739-8758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33223826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10.2147/IJN.S261352]</w:t>
      </w:r>
    </w:p>
    <w:p w14:paraId="16345F84" w14:textId="000E7AC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Investigation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copper-cysteamine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anti-hepatocellular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812-825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30727796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10.1080/15384047.2018.1564568]</w:t>
      </w:r>
    </w:p>
    <w:p w14:paraId="7240FC7A" w14:textId="3240864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García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Calavia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Chambrier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Cook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Haines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Field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Russell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lactose-phthalocyanine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functionalized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gold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Colloid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Interface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512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249-259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29073466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10.1016/j.jcis.2017.10.030]</w:t>
      </w:r>
    </w:p>
    <w:p w14:paraId="4222D6FF" w14:textId="38C54396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Xia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Matrix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metallopeptidase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nanostars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decorated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IR-780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iodide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dual-modal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289-299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30851455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10.1016/j.actbio.2019.03.008]</w:t>
      </w:r>
    </w:p>
    <w:p w14:paraId="4D9EC615" w14:textId="2246AF8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Kalyane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Maheshwari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Tambe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Kalia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Tekade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RK.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Employment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permeability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retention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(EPR):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precision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tools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diagnostic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1252-1276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30813007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10.1016/j.msec.2019.01.066]</w:t>
      </w:r>
    </w:p>
    <w:p w14:paraId="5F21FE7A" w14:textId="3110B9C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Mitochondrial-targeted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multifunctional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mesoporous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Au@Pt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dual-mode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15813-15824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29018855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10.1039/c7nr04881e]</w:t>
      </w:r>
    </w:p>
    <w:p w14:paraId="362C68E9" w14:textId="55F65E8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99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Ligand-based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5645-5669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27920520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10.2147/IJN.S115727]</w:t>
      </w:r>
    </w:p>
    <w:p w14:paraId="60C17D45" w14:textId="1F883E9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Hybrid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Nanospheres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Hypoxia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Intrinsic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Oxidative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Resistance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2183-2190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32023035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10.1021/acsnano.9b09032]</w:t>
      </w:r>
    </w:p>
    <w:p w14:paraId="79EFBCF8" w14:textId="3F8F0B1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PEG-coated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ROS-sensitive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nanoassemblies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core-shell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chemo-photodynamic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92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219-228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31078764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10.1016/j.actbio.2019.05.008]</w:t>
      </w:r>
    </w:p>
    <w:p w14:paraId="7D316E6D" w14:textId="18CE238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Dai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Design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1996-2012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32039596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10.1021/acs.jmedchem.9b02014]</w:t>
      </w:r>
    </w:p>
    <w:p w14:paraId="6C664102" w14:textId="55EADB44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stimuli</w:t>
      </w:r>
      <w:r w:rsidRPr="00512D13">
        <w:rPr>
          <w:rFonts w:ascii="SimSun" w:eastAsia="SimSun" w:hAnsi="SimSun" w:cs="SimSun" w:hint="eastAsia"/>
          <w:color w:val="000000" w:themeColor="text1"/>
        </w:rPr>
        <w:t>‐</w:t>
      </w:r>
      <w:r w:rsidRPr="00512D13">
        <w:rPr>
          <w:rFonts w:ascii="Book Antiqua" w:eastAsia="Book Antiqua" w:hAnsi="Book Antiqua" w:cs="Book Antiqua"/>
          <w:color w:val="000000" w:themeColor="text1"/>
        </w:rPr>
        <w:t>responsive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</w:t>
      </w:r>
      <w:r w:rsidRPr="00512D13">
        <w:rPr>
          <w:rFonts w:ascii="SimSun" w:eastAsia="SimSun" w:hAnsi="SimSun" w:cs="SimSun" w:hint="eastAsia"/>
          <w:color w:val="000000" w:themeColor="text1"/>
        </w:rPr>
        <w:t>‐</w:t>
      </w:r>
      <w:r w:rsidRPr="00512D13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characteristics.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Aggregate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48-65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10.1002/agt2.10]</w:t>
      </w:r>
    </w:p>
    <w:p w14:paraId="29D8DBD8" w14:textId="36425F7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104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Qi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DJA.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Gathering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brings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strength: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organic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boost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disease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phototheranostics.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Aggregate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95-113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10.1002/agt2.25]</w:t>
      </w:r>
    </w:p>
    <w:p w14:paraId="7F76B984" w14:textId="56072C18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scaffolded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mini-ferritin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protein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2340-2344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31934693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10.1039/c9nr09788k]</w:t>
      </w:r>
    </w:p>
    <w:p w14:paraId="08B80B2C" w14:textId="1B532D11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Liposomes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Encapsulating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1821-1826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30768274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10.1021/acs.nanolett.8b04875]</w:t>
      </w:r>
    </w:p>
    <w:p w14:paraId="1791412C" w14:textId="18C20269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BZ.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</w:t>
      </w:r>
      <w:r w:rsidRPr="00512D13">
        <w:rPr>
          <w:rFonts w:ascii="SimSun" w:eastAsia="SimSun" w:hAnsi="SimSun" w:cs="SimSun" w:hint="eastAsia"/>
          <w:color w:val="000000" w:themeColor="text1"/>
        </w:rPr>
        <w:t>‐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theranostics: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sparkles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field.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color w:val="000000" w:themeColor="text1"/>
        </w:rPr>
        <w:t>Aggregate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80-106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10.1002/agt2.7]</w:t>
      </w:r>
    </w:p>
    <w:p w14:paraId="3A7DF293" w14:textId="2AB6E3E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Kuang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Design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High-Performance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Quinoxalinone-Based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42551-42557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32862640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10.1021/acsami.0c12670]</w:t>
      </w:r>
    </w:p>
    <w:p w14:paraId="0CCFD715" w14:textId="6E0FDAB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109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Bryce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Multinuclear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Ir(III)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Complexes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Biocompatible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Organic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Highly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Performance.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(Weinh)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1802050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30886811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10.1002/advs.201802050]</w:t>
      </w:r>
    </w:p>
    <w:p w14:paraId="1C7B06C4" w14:textId="25C4EEF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Sources: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Chemiluminescence,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Bioluminescence,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Cerenkov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Radiation.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770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33088801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10.3389/fchem.2020.00770]</w:t>
      </w:r>
    </w:p>
    <w:p w14:paraId="36BF4147" w14:textId="36F9537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Jeon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Shin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Kwon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Chemiluminescence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transfer-based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quantum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yield-enhanced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phototheranostics.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eaaz8400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32637587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10.1126/sciadv.aaz8400]</w:t>
      </w:r>
    </w:p>
    <w:p w14:paraId="623823D9" w14:textId="1DBC6F6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Biodegradable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Polymer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Bioluminescence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Transfer.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Biomacromolecules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201-208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29211453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10.1021/acs.biomac.7b01469]</w:t>
      </w:r>
    </w:p>
    <w:p w14:paraId="1EC41A9E" w14:textId="2785E670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113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Optimization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Chemiluminescence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Step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Photosensitizer.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Bioconjug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595-604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31830411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10.1021/acs.bioconjchem.9b00740]</w:t>
      </w:r>
    </w:p>
    <w:p w14:paraId="643DF09E" w14:textId="06E4FDC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Pratx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Nanoscintillator-Mediated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X-Ray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Concept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Biomedical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Applications.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1296-1318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31938066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10.7150/thno.41578]</w:t>
      </w:r>
    </w:p>
    <w:p w14:paraId="3744D9B5" w14:textId="75F8F41F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Cline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Delahunty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Xie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mediate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X-ray-induced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Cherenkov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Wiley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Interdiscip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Nanobiotechnol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e1541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30063116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10.1002/wnan.1541]</w:t>
      </w:r>
    </w:p>
    <w:p w14:paraId="6760B557" w14:textId="51467C13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116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Bioorthogonal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Coordination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Polymer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Deep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Tumor-Penetrating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Radio-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Radiodynamic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e2007888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33491820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10.1002/adma.202007888]</w:t>
      </w:r>
    </w:p>
    <w:p w14:paraId="0419BA7A" w14:textId="2F32591F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117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Fernandes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SRG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Fernandes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Sarmento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Pereira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PMR,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Tomé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JPC.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Photoimmunoconjugates: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synthetic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Org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Biomol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2579-2593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30648722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10.1039/c8ob02902d]</w:t>
      </w:r>
    </w:p>
    <w:p w14:paraId="6A139510" w14:textId="6B0501DD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Fathi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Abdolahinia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Barar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Omidi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Smart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stimuli-responsive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biopolymeric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nanomedicines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solid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(Lond)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2171-2200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32912045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10.2217/nnm-2020-0146]</w:t>
      </w:r>
    </w:p>
    <w:p w14:paraId="0C4A703D" w14:textId="22D6096C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119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Aptamer-based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Deliv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134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65-78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30125604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10.1016/j.addr.2018.08.005]</w:t>
      </w:r>
    </w:p>
    <w:p w14:paraId="1EC09D71" w14:textId="1B6732A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HLH,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Current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future.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853-869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26772424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10.1016/j.nano.2015.12.381]</w:t>
      </w:r>
    </w:p>
    <w:p w14:paraId="5E64C440" w14:textId="189BC8E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121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Weijer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Broekgaarden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Golen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Bulle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Nieuwenhuis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Jongejan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Moerland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PD,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Kampen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Gulik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Heger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Low-power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induces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signaling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perihilar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1014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26705830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10.1186/s12885-015-1994-2]</w:t>
      </w:r>
    </w:p>
    <w:p w14:paraId="5AC9C109" w14:textId="6D79FC12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lastRenderedPageBreak/>
        <w:t>122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Jiang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QH,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SB,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ZF,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QC.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P-21-activated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kinase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contributes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angiogenesis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via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HIF-1α/VEGF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pathway.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Biochem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Biophys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Commun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526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98-104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32197838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10.1016/j.bbrc.2020.03.054]</w:t>
      </w:r>
    </w:p>
    <w:p w14:paraId="08FF64CB" w14:textId="34F0E4B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123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Bangaru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Marrero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JA,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Singal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AG.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Review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article: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interventions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Aliment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78-89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31747082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10.1111/apt.15573]</w:t>
      </w:r>
    </w:p>
    <w:p w14:paraId="48CA7026" w14:textId="41793FAE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124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Sangiovanni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Colombo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beyond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international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guidelines.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Cs/>
          <w:color w:val="000000" w:themeColor="text1"/>
        </w:rPr>
        <w:t>Suppl</w:t>
      </w:r>
      <w:r w:rsidR="00AF0C91" w:rsidRPr="00512D13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512D13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124-129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26725909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10.1111/liv.13028]</w:t>
      </w:r>
    </w:p>
    <w:p w14:paraId="193D48AF" w14:textId="7E85D09B" w:rsidR="00031435" w:rsidRPr="00512D13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125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Lurje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512D13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Czigany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Bednarsch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Roderburg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Isfort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Neumann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Lurje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eastAsia="Book Antiqua"/>
          <w:color w:val="000000" w:themeColor="text1"/>
        </w:rPr>
        <w:t>⁻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Multidisciplinary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Approach.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F0C91" w:rsidRPr="00512D1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30909504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10.3390/ijms20061465]</w:t>
      </w:r>
    </w:p>
    <w:p w14:paraId="5F1A241C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E82B67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512D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5D11B" w14:textId="7777777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EC3C59D" w14:textId="5F7FD29E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Authors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declare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conflict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interests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article.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80D27A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17863D" w14:textId="79AC13D0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F0C91" w:rsidRPr="00512D1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article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open-access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article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selected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in-house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editor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fully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peer-reviewed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reviewers.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distributed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accordance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Creative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Commons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Attribution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NonCommercial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(CC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BY-NC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4.0)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license,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permits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others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distribute,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remix,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adapt,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build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upon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license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derivative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different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terms,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provided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original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properly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non-commercial.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See: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15858590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61B004" w14:textId="3A04B99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Invited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D013C" w:rsidRPr="00512D13">
        <w:rPr>
          <w:rFonts w:ascii="Book Antiqua" w:hAnsi="Book Antiqua" w:cs="Book Antiqua"/>
          <w:color w:val="000000" w:themeColor="text1"/>
          <w:lang w:eastAsia="zh-CN"/>
        </w:rPr>
        <w:t>m</w:t>
      </w:r>
      <w:r w:rsidRPr="00512D13">
        <w:rPr>
          <w:rFonts w:ascii="Book Antiqua" w:eastAsia="Book Antiqua" w:hAnsi="Book Antiqua" w:cs="Book Antiqua"/>
          <w:color w:val="000000" w:themeColor="text1"/>
        </w:rPr>
        <w:t>anuscript</w:t>
      </w:r>
    </w:p>
    <w:p w14:paraId="44AA66F7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3CDF94" w14:textId="71A6729C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April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25,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</w:t>
      </w:r>
    </w:p>
    <w:p w14:paraId="325A2667" w14:textId="0F33C852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June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13,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2021</w:t>
      </w:r>
    </w:p>
    <w:p w14:paraId="47801E00" w14:textId="73ED454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90BC503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91C3DA" w14:textId="4BFC7F4E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10931" w:rsidRPr="00512D13">
        <w:rPr>
          <w:rFonts w:ascii="Book Antiqua" w:eastAsia="Book Antiqua" w:hAnsi="Book Antiqua" w:cs="Book Antiqua"/>
          <w:color w:val="000000" w:themeColor="text1"/>
        </w:rPr>
        <w:t>Gastroenterology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0931" w:rsidRPr="00512D13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0931" w:rsidRPr="00512D13">
        <w:rPr>
          <w:rFonts w:ascii="Book Antiqua" w:eastAsia="Book Antiqua" w:hAnsi="Book Antiqua" w:cs="Book Antiqua"/>
          <w:color w:val="000000" w:themeColor="text1"/>
        </w:rPr>
        <w:t>hepatology</w:t>
      </w:r>
    </w:p>
    <w:p w14:paraId="3A137224" w14:textId="44F54E8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China</w:t>
      </w:r>
    </w:p>
    <w:p w14:paraId="170E90F1" w14:textId="165227A7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4DB3A6E" w14:textId="5B744353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(Excellent):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0</w:t>
      </w:r>
    </w:p>
    <w:p w14:paraId="095D4F61" w14:textId="2B211BA2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(Very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good):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B</w:t>
      </w:r>
    </w:p>
    <w:p w14:paraId="5BBADF4E" w14:textId="6330A529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(Good):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C</w:t>
      </w:r>
    </w:p>
    <w:p w14:paraId="2B158D7A" w14:textId="4E60DBB8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D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(Fair):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0</w:t>
      </w:r>
    </w:p>
    <w:p w14:paraId="74E14880" w14:textId="547258CF" w:rsidR="00A77B3E" w:rsidRPr="00512D13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E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(Poor):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0</w:t>
      </w:r>
    </w:p>
    <w:p w14:paraId="01A745C6" w14:textId="77777777" w:rsidR="00A77B3E" w:rsidRPr="00512D13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2C665E" w14:textId="06FB02A1" w:rsidR="00A77B3E" w:rsidRPr="00512D13" w:rsidRDefault="00403332" w:rsidP="009C6B0F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2D13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Kumar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SKY,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Tajiri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color w:val="000000" w:themeColor="text1"/>
        </w:rPr>
        <w:t>K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856EC" w:rsidRPr="00512D13">
        <w:rPr>
          <w:rFonts w:ascii="Book Antiqua" w:hAnsi="Book Antiqua" w:cs="Book Antiqua"/>
          <w:color w:val="000000" w:themeColor="text1"/>
          <w:lang w:eastAsia="zh-CN"/>
        </w:rPr>
        <w:t>Wang</w:t>
      </w:r>
      <w:r w:rsidR="00AF0C91" w:rsidRPr="00512D13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856EC" w:rsidRPr="00512D13">
        <w:rPr>
          <w:rFonts w:ascii="Book Antiqua" w:hAnsi="Book Antiqua" w:cs="Book Antiqua"/>
          <w:color w:val="000000" w:themeColor="text1"/>
          <w:lang w:eastAsia="zh-CN"/>
        </w:rPr>
        <w:t>LL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 </w:t>
      </w:r>
      <w:r w:rsidR="00473FD8">
        <w:rPr>
          <w:rFonts w:ascii="Book Antiqua" w:eastAsia="Book Antiqua" w:hAnsi="Book Antiqua" w:cs="Book Antiqua"/>
          <w:bCs/>
          <w:color w:val="000000" w:themeColor="text1"/>
        </w:rPr>
        <w:t xml:space="preserve">Kerr  C </w:t>
      </w:r>
      <w:r w:rsidRPr="00512D13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F0C91" w:rsidRPr="00512D1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A311FE5" w14:textId="77777777" w:rsidR="008E6D0C" w:rsidRPr="00512D13" w:rsidRDefault="003E7B39" w:rsidP="008E6D0C">
      <w:pPr>
        <w:widowControl w:val="0"/>
        <w:spacing w:line="360" w:lineRule="auto"/>
        <w:jc w:val="both"/>
        <w:rPr>
          <w:rFonts w:ascii="Book Antiqua" w:eastAsia="SimSun" w:hAnsi="Book Antiqua"/>
          <w:color w:val="000000" w:themeColor="text1"/>
          <w:kern w:val="2"/>
          <w:lang w:eastAsia="zh-CN"/>
        </w:rPr>
      </w:pPr>
      <w:r w:rsidRPr="00512D13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8E6D0C" w:rsidRPr="00512D13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 Legends</w:t>
      </w:r>
    </w:p>
    <w:p w14:paraId="69A1474A" w14:textId="77777777" w:rsidR="008E6D0C" w:rsidRPr="00512D13" w:rsidRDefault="008E6D0C" w:rsidP="008E6D0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12D13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114300" distR="114300" wp14:anchorId="4F8A73BA" wp14:editId="0D868103">
            <wp:extent cx="5600065" cy="3750310"/>
            <wp:effectExtent l="0" t="0" r="8255" b="13970"/>
            <wp:docPr id="1" name="图片 1" descr="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DD70" w14:textId="06E6A289" w:rsidR="008E6D0C" w:rsidRPr="002309D1" w:rsidRDefault="008E6D0C" w:rsidP="008E6D0C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2309D1">
        <w:rPr>
          <w:rFonts w:ascii="Book Antiqua" w:hAnsi="Book Antiqua" w:hint="eastAsia"/>
          <w:b/>
          <w:bCs/>
          <w:color w:val="000000" w:themeColor="text1"/>
          <w:lang w:eastAsia="zh-CN"/>
        </w:rPr>
        <w:t>Figure</w:t>
      </w:r>
      <w:r w:rsidRPr="002309D1">
        <w:rPr>
          <w:rFonts w:ascii="Book Antiqua" w:hAnsi="Book Antiqua"/>
          <w:b/>
          <w:bCs/>
          <w:color w:val="000000" w:themeColor="text1"/>
        </w:rPr>
        <w:t xml:space="preserve"> 1</w:t>
      </w:r>
      <w:r w:rsidR="002309D1" w:rsidRPr="002309D1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r w:rsidRPr="002309D1">
        <w:rPr>
          <w:rFonts w:ascii="Book Antiqua" w:hAnsi="Book Antiqua"/>
          <w:b/>
          <w:color w:val="000000" w:themeColor="text1"/>
        </w:rPr>
        <w:t xml:space="preserve">Chemical structures of common traditional </w:t>
      </w:r>
      <w:r w:rsidR="002309D1" w:rsidRPr="002309D1">
        <w:rPr>
          <w:rFonts w:ascii="Book Antiqua" w:hAnsi="Book Antiqua"/>
          <w:b/>
          <w:color w:val="000000" w:themeColor="text1"/>
        </w:rPr>
        <w:t>photosensitizers</w:t>
      </w:r>
      <w:r w:rsidRPr="002309D1">
        <w:rPr>
          <w:rFonts w:ascii="Book Antiqua" w:hAnsi="Book Antiqua"/>
          <w:b/>
          <w:color w:val="000000" w:themeColor="text1"/>
        </w:rPr>
        <w:t xml:space="preserve"> for </w:t>
      </w:r>
      <w:r w:rsidR="002309D1" w:rsidRPr="002309D1">
        <w:rPr>
          <w:rFonts w:ascii="Book Antiqua" w:hAnsi="Book Antiqua"/>
          <w:b/>
          <w:color w:val="000000" w:themeColor="text1"/>
        </w:rPr>
        <w:t>hepatocellular carcinoma</w:t>
      </w:r>
      <w:r w:rsidRPr="002309D1">
        <w:rPr>
          <w:rFonts w:ascii="Book Antiqua" w:hAnsi="Book Antiqua"/>
          <w:b/>
          <w:color w:val="000000" w:themeColor="text1"/>
        </w:rPr>
        <w:t xml:space="preserve"> in previous literature.</w:t>
      </w:r>
    </w:p>
    <w:p w14:paraId="7F93FFAE" w14:textId="7C100CC7" w:rsidR="008E6D0C" w:rsidRPr="00512D13" w:rsidRDefault="008E6D0C">
      <w:pPr>
        <w:rPr>
          <w:rFonts w:ascii="Book Antiqua" w:hAnsi="Book Antiqua"/>
          <w:color w:val="000000" w:themeColor="text1"/>
          <w:lang w:eastAsia="zh-CN"/>
        </w:rPr>
      </w:pPr>
      <w:r w:rsidRPr="00512D13">
        <w:rPr>
          <w:rFonts w:ascii="Book Antiqua" w:hAnsi="Book Antiqua"/>
          <w:color w:val="000000" w:themeColor="text1"/>
          <w:lang w:eastAsia="zh-CN"/>
        </w:rPr>
        <w:br w:type="page"/>
      </w:r>
    </w:p>
    <w:p w14:paraId="218C365B" w14:textId="0CEC26F3" w:rsidR="00C82AFA" w:rsidRDefault="00477733" w:rsidP="008E6D0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noProof/>
        </w:rPr>
        <w:lastRenderedPageBreak/>
        <w:drawing>
          <wp:inline distT="0" distB="0" distL="0" distR="0" wp14:anchorId="739EFA71" wp14:editId="4FDB8DE6">
            <wp:extent cx="5943600" cy="368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A8EC" w14:textId="77777777" w:rsidR="008E6D0C" w:rsidRPr="00512D13" w:rsidRDefault="008E6D0C" w:rsidP="008E6D0C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12D13">
        <w:rPr>
          <w:rFonts w:ascii="Book Antiqua" w:hAnsi="Book Antiqua" w:cs="Book Antiqua"/>
          <w:b/>
          <w:color w:val="000000" w:themeColor="text1"/>
          <w:lang w:eastAsia="zh-CN"/>
        </w:rPr>
        <w:t xml:space="preserve">Figure </w:t>
      </w:r>
      <w:r w:rsidRPr="00512D13">
        <w:rPr>
          <w:rFonts w:ascii="Book Antiqua" w:hAnsi="Book Antiqua" w:cs="Book Antiqua" w:hint="eastAsia"/>
          <w:b/>
          <w:color w:val="000000" w:themeColor="text1"/>
          <w:lang w:eastAsia="zh-CN"/>
        </w:rPr>
        <w:t>2</w:t>
      </w:r>
      <w:r w:rsidRPr="00512D13">
        <w:rPr>
          <w:rFonts w:ascii="Book Antiqua" w:hAnsi="Book Antiqua" w:cs="Book Antiqua"/>
          <w:b/>
          <w:color w:val="000000" w:themeColor="text1"/>
          <w:lang w:eastAsia="zh-CN"/>
        </w:rPr>
        <w:t xml:space="preserve"> The limitations of photodynamic therapy in clinical practice for hepatocellular carcinoma and potential strategies to overcome the obstacles in further research.</w:t>
      </w:r>
    </w:p>
    <w:p w14:paraId="72916988" w14:textId="77777777" w:rsidR="008E6D0C" w:rsidRPr="00512D13" w:rsidRDefault="008E6D0C" w:rsidP="008E6D0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FA72488" w14:textId="77777777" w:rsidR="008E6D0C" w:rsidRPr="00512D13" w:rsidRDefault="008E6D0C">
      <w:pPr>
        <w:rPr>
          <w:rFonts w:ascii="Book Antiqua" w:hAnsi="Book Antiqua" w:cs="Book Antiqua"/>
          <w:b/>
          <w:color w:val="000000" w:themeColor="text1"/>
          <w:lang w:eastAsia="zh-CN"/>
        </w:rPr>
      </w:pPr>
      <w:r w:rsidRPr="00512D13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</w:p>
    <w:p w14:paraId="075FE8CA" w14:textId="1B8A2EFA" w:rsidR="000856EC" w:rsidRPr="00512D13" w:rsidRDefault="000856EC" w:rsidP="009C6B0F">
      <w:pPr>
        <w:spacing w:line="360" w:lineRule="auto"/>
        <w:jc w:val="both"/>
        <w:rPr>
          <w:rFonts w:ascii="Book Antiqua" w:eastAsia="SimSun" w:hAnsi="Book Antiqua"/>
          <w:b/>
          <w:color w:val="000000" w:themeColor="text1"/>
          <w:kern w:val="2"/>
          <w:lang w:eastAsia="zh-CN"/>
        </w:rPr>
      </w:pPr>
      <w:r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lastRenderedPageBreak/>
        <w:t>Table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1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Summary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of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2309D1" w:rsidRPr="002309D1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photosensitizers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molecules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in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photodynamic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therapy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for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E25EAD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HCC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in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recent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years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5085"/>
        <w:gridCol w:w="1290"/>
      </w:tblGrid>
      <w:tr w:rsidR="00562CBA" w:rsidRPr="00512D13" w14:paraId="217776F3" w14:textId="77777777" w:rsidTr="00562CBA">
        <w:tc>
          <w:tcPr>
            <w:tcW w:w="17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57234B0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PSs</w:t>
            </w:r>
          </w:p>
        </w:tc>
        <w:tc>
          <w:tcPr>
            <w:tcW w:w="50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5BEE9D" w14:textId="48E32349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Animal</w:t>
            </w:r>
            <w:r w:rsidR="00AF0C91"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model</w:t>
            </w:r>
          </w:p>
        </w:tc>
        <w:tc>
          <w:tcPr>
            <w:tcW w:w="129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6DDAE61" w14:textId="1F38FA86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Ref</w:t>
            </w:r>
            <w:r w:rsidR="00E25EAD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s</w:t>
            </w:r>
          </w:p>
        </w:tc>
      </w:tr>
      <w:tr w:rsidR="00562CBA" w:rsidRPr="00512D13" w14:paraId="32468595" w14:textId="77777777" w:rsidTr="00562CBA">
        <w:tc>
          <w:tcPr>
            <w:tcW w:w="176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F1B10D8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ICG</w:t>
            </w:r>
          </w:p>
        </w:tc>
        <w:tc>
          <w:tcPr>
            <w:tcW w:w="508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A4E24AA" w14:textId="3730A63F" w:rsidR="000856EC" w:rsidRPr="00512D13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Patient-derived</w:t>
            </w:r>
            <w:r w:rsidR="002309D1">
              <w:rPr>
                <w:rFonts w:ascii="Book Antiqua" w:eastAsia="SimSun" w:hAnsi="Book Antiqua" w:hint="eastAsi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orthotopic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xenograft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129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2E18F62" w14:textId="206F9435" w:rsidR="000856EC" w:rsidRPr="00512D13" w:rsidRDefault="00562CB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Hong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[58]</w:t>
            </w:r>
          </w:p>
        </w:tc>
      </w:tr>
      <w:tr w:rsidR="00562CBA" w:rsidRPr="00512D13" w14:paraId="728FC7F1" w14:textId="77777777" w:rsidTr="00562CBA">
        <w:trPr>
          <w:trHeight w:val="821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567F7CF2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ICG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52472A8B" w14:textId="57F8AC08" w:rsidR="000856EC" w:rsidRPr="00512D13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Huh-7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2309D1">
              <w:rPr>
                <w:rFonts w:ascii="Book Antiqua" w:eastAsia="SimSun" w:hAnsi="Book Antiqua" w:hint="eastAsi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0F38011F" w14:textId="7CCC7D30" w:rsidR="000856EC" w:rsidRPr="00512D13" w:rsidRDefault="00A559E6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Shirata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[49]</w:t>
            </w:r>
          </w:p>
        </w:tc>
      </w:tr>
      <w:tr w:rsidR="00562CBA" w:rsidRPr="00512D13" w14:paraId="35B1D372" w14:textId="77777777" w:rsidTr="00562CBA"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57B04AC6" w14:textId="019D40B1" w:rsidR="000856EC" w:rsidRPr="00512D13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i/>
                <w:iCs/>
                <w:color w:val="000000" w:themeColor="text1"/>
                <w:kern w:val="2"/>
              </w:rPr>
              <w:t>m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-THPC</w:t>
            </w:r>
            <w:r w:rsidR="002309D1">
              <w:rPr>
                <w:rFonts w:ascii="Book Antiqua" w:eastAsia="SimSun" w:hAnsi="Book Antiqua" w:hint="eastAsi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(Foscan</w:t>
            </w:r>
            <w:r w:rsidRPr="00512D13">
              <w:rPr>
                <w:rFonts w:ascii="Book Antiqua" w:eastAsia="SimSun" w:hAnsi="Book Antiqua" w:cs="Arial"/>
                <w:color w:val="000000" w:themeColor="text1"/>
                <w:kern w:val="2"/>
                <w:vertAlign w:val="superscript"/>
              </w:rPr>
              <w:t>®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)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21317170" w14:textId="70C03E39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Rat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model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with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Walker-256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hepatoma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cells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00D9918F" w14:textId="499DE1CA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Wang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[59]</w:t>
            </w:r>
          </w:p>
        </w:tc>
      </w:tr>
      <w:tr w:rsidR="00562CBA" w:rsidRPr="00512D13" w14:paraId="60D96EAE" w14:textId="77777777" w:rsidTr="00562CBA">
        <w:trPr>
          <w:trHeight w:val="703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0209949C" w14:textId="28A5C57B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Endogenous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PpIX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from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5-ALA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4496DB98" w14:textId="5AC8693C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Diethylnitrosamine-induced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HCC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in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Fisher-344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rats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6A733587" w14:textId="390D1B1E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Otake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[60]</w:t>
            </w:r>
          </w:p>
        </w:tc>
      </w:tr>
      <w:tr w:rsidR="00562CBA" w:rsidRPr="00512D13" w14:paraId="7F76F142" w14:textId="77777777" w:rsidTr="00562CBA">
        <w:trPr>
          <w:trHeight w:val="555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107805F8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HpD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2A762C22" w14:textId="697A833D" w:rsidR="000856EC" w:rsidRPr="00512D13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2-Acetylaminofluorene-induced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HCC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in</w:t>
            </w:r>
            <w:r w:rsidR="002309D1">
              <w:rPr>
                <w:rFonts w:ascii="Book Antiqua" w:eastAsia="SimSun" w:hAnsi="Book Antiqua" w:hint="eastAsi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Fisher-344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rats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1287D159" w14:textId="0FDE66DC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Ki</w:t>
            </w:r>
            <w:r w:rsidR="00A559E6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ta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[61]</w:t>
            </w:r>
          </w:p>
        </w:tc>
      </w:tr>
    </w:tbl>
    <w:p w14:paraId="70DF96A3" w14:textId="3F67DDF1" w:rsidR="000856EC" w:rsidRPr="00716F2E" w:rsidRDefault="002309D1" w:rsidP="009C6B0F">
      <w:pPr>
        <w:widowControl w:val="0"/>
        <w:spacing w:line="360" w:lineRule="auto"/>
        <w:jc w:val="both"/>
        <w:rPr>
          <w:rFonts w:ascii="Book Antiqua" w:eastAsia="SimSun" w:hAnsi="Book Antiqua"/>
          <w:b/>
          <w:color w:val="000000" w:themeColor="text1"/>
          <w:kern w:val="2"/>
          <w:lang w:eastAsia="zh-CN"/>
        </w:rPr>
      </w:pP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PSs: P</w:t>
      </w:r>
      <w:r w:rsidRPr="002309D1">
        <w:rPr>
          <w:rFonts w:ascii="Book Antiqua" w:eastAsia="SimSun" w:hAnsi="Book Antiqua"/>
          <w:color w:val="000000" w:themeColor="text1"/>
          <w:kern w:val="2"/>
          <w:lang w:eastAsia="zh-CN"/>
        </w:rPr>
        <w:t>hotosensitizers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;</w:t>
      </w:r>
      <w:r w:rsidRPr="002309D1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ICG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I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ndocyanine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green;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i/>
          <w:iCs/>
          <w:color w:val="000000" w:themeColor="text1"/>
          <w:kern w:val="2"/>
          <w:lang w:eastAsia="zh-CN"/>
        </w:rPr>
        <w:t>m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-THPC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M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eta-tetra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(hydroxyphenyl)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chlorin/temoporfin;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PpIX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P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rotoporphyrin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IX;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5-ALA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5-aminolaevulinic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acid;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HpD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H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ematoporphyrin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derivatives</w:t>
      </w:r>
      <w:r w:rsidR="003E7B39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HCC: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hAnsi="Book Antiqua" w:cs="Book Antiqua"/>
          <w:color w:val="000000" w:themeColor="text1"/>
          <w:lang w:eastAsia="zh-CN"/>
        </w:rPr>
        <w:t>H</w:t>
      </w:r>
      <w:r w:rsidR="003E7B39" w:rsidRPr="00512D13">
        <w:rPr>
          <w:rFonts w:ascii="Book Antiqua" w:eastAsia="Book Antiqua" w:hAnsi="Book Antiqua" w:cs="Book Antiqua"/>
          <w:color w:val="000000" w:themeColor="text1"/>
        </w:rPr>
        <w:t>epatocellular</w:t>
      </w:r>
      <w:r w:rsidR="00AF0C91" w:rsidRPr="00512D1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7B39" w:rsidRPr="00512D13">
        <w:rPr>
          <w:rFonts w:ascii="Book Antiqua" w:eastAsia="Book Antiqua" w:hAnsi="Book Antiqua" w:cs="Book Antiqua"/>
          <w:color w:val="000000" w:themeColor="text1"/>
        </w:rPr>
        <w:t>carcinoma</w:t>
      </w:r>
      <w:r w:rsidR="003E7B39" w:rsidRPr="00512D13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4CA2D563" w14:textId="31987592" w:rsidR="000856EC" w:rsidRPr="00512D13" w:rsidRDefault="00562CBA" w:rsidP="009C6B0F">
      <w:pPr>
        <w:widowControl w:val="0"/>
        <w:spacing w:line="360" w:lineRule="auto"/>
        <w:jc w:val="both"/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</w:pPr>
      <w:r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br w:type="page"/>
      </w:r>
      <w:r w:rsidR="000856EC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lastRenderedPageBreak/>
        <w:t>Table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>2</w:t>
      </w:r>
      <w:r w:rsidR="00AF0C91" w:rsidRPr="00512D13">
        <w:rPr>
          <w:rFonts w:ascii="Book Antiqua" w:eastAsia="SimSun" w:hAnsi="Book Antiqua"/>
          <w:b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Summary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of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b/>
          <w:bCs/>
          <w:color w:val="000000" w:themeColor="text1"/>
          <w:kern w:val="2"/>
          <w:lang w:eastAsia="zh-CN"/>
        </w:rPr>
        <w:t>p</w:t>
      </w:r>
      <w:r w:rsidR="001D7EB5" w:rsidRPr="001D7EB5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hotosensitizers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-loaded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1D7EB5" w:rsidRPr="001D7EB5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nanoparticles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-mediated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drug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delivery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systems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in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photodynamic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therapy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for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hepatocellular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carcinoma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evaluated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in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recent</w:t>
      </w:r>
      <w:r w:rsidR="00AF0C91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8E6D0C" w:rsidRPr="00512D13">
        <w:rPr>
          <w:rFonts w:ascii="Book Antiqua" w:eastAsia="SimSun" w:hAnsi="Book Antiqua"/>
          <w:b/>
          <w:bCs/>
          <w:color w:val="000000" w:themeColor="text1"/>
          <w:kern w:val="2"/>
          <w:lang w:eastAsia="zh-CN"/>
        </w:rPr>
        <w:t>years</w:t>
      </w:r>
    </w:p>
    <w:tbl>
      <w:tblPr>
        <w:tblStyle w:val="TableGrid"/>
        <w:tblW w:w="9962" w:type="dxa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860"/>
        <w:gridCol w:w="1455"/>
        <w:gridCol w:w="1125"/>
        <w:gridCol w:w="813"/>
        <w:gridCol w:w="2142"/>
        <w:gridCol w:w="604"/>
      </w:tblGrid>
      <w:tr w:rsidR="00562CBA" w:rsidRPr="00512D13" w14:paraId="34B5DF14" w14:textId="77777777" w:rsidTr="002309D1">
        <w:tc>
          <w:tcPr>
            <w:tcW w:w="1963" w:type="dxa"/>
            <w:tcBorders>
              <w:bottom w:val="single" w:sz="4" w:space="0" w:color="auto"/>
              <w:tl2br w:val="nil"/>
              <w:tr2bl w:val="nil"/>
            </w:tcBorders>
          </w:tcPr>
          <w:p w14:paraId="1DE11FA4" w14:textId="513C523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PS</w:t>
            </w:r>
            <w:r w:rsidR="001D7EB5">
              <w:rPr>
                <w:rFonts w:ascii="Book Antiqua" w:eastAsia="SimSun" w:hAnsi="Book Antiqua" w:hint="eastAsia"/>
                <w:b/>
                <w:color w:val="000000" w:themeColor="text1"/>
                <w:kern w:val="2"/>
              </w:rPr>
              <w:t>s</w:t>
            </w:r>
          </w:p>
        </w:tc>
        <w:tc>
          <w:tcPr>
            <w:tcW w:w="1860" w:type="dxa"/>
            <w:tcBorders>
              <w:bottom w:val="single" w:sz="4" w:space="0" w:color="auto"/>
              <w:tl2br w:val="nil"/>
              <w:tr2bl w:val="nil"/>
            </w:tcBorders>
          </w:tcPr>
          <w:p w14:paraId="6087A6E6" w14:textId="79BD88D1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Delivery</w:t>
            </w:r>
            <w:r w:rsidR="00AF0C91"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vehicle</w:t>
            </w:r>
          </w:p>
        </w:tc>
        <w:tc>
          <w:tcPr>
            <w:tcW w:w="1455" w:type="dxa"/>
            <w:tcBorders>
              <w:bottom w:val="single" w:sz="4" w:space="0" w:color="auto"/>
              <w:tl2br w:val="nil"/>
              <w:tr2bl w:val="nil"/>
            </w:tcBorders>
          </w:tcPr>
          <w:p w14:paraId="4F1ABAF7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Ligand</w:t>
            </w:r>
          </w:p>
        </w:tc>
        <w:tc>
          <w:tcPr>
            <w:tcW w:w="1125" w:type="dxa"/>
            <w:tcBorders>
              <w:bottom w:val="single" w:sz="4" w:space="0" w:color="auto"/>
              <w:tl2br w:val="nil"/>
              <w:tr2bl w:val="nil"/>
            </w:tcBorders>
          </w:tcPr>
          <w:p w14:paraId="4F8387C5" w14:textId="097B3692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Matching</w:t>
            </w:r>
            <w:r w:rsidR="00AF0C91"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receptor</w:t>
            </w:r>
          </w:p>
        </w:tc>
        <w:tc>
          <w:tcPr>
            <w:tcW w:w="813" w:type="dxa"/>
            <w:tcBorders>
              <w:bottom w:val="single" w:sz="4" w:space="0" w:color="auto"/>
              <w:tl2br w:val="nil"/>
              <w:tr2bl w:val="nil"/>
            </w:tcBorders>
          </w:tcPr>
          <w:p w14:paraId="03FC7BF1" w14:textId="49C854B2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Drug</w:t>
            </w:r>
            <w:r w:rsidR="00AF0C91"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agent</w:t>
            </w:r>
          </w:p>
        </w:tc>
        <w:tc>
          <w:tcPr>
            <w:tcW w:w="2142" w:type="dxa"/>
            <w:tcBorders>
              <w:bottom w:val="single" w:sz="4" w:space="0" w:color="auto"/>
              <w:tl2br w:val="nil"/>
              <w:tr2bl w:val="nil"/>
            </w:tcBorders>
          </w:tcPr>
          <w:p w14:paraId="082B8B32" w14:textId="57A4FD69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Animal</w:t>
            </w:r>
            <w:r w:rsidR="00AF0C91"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model</w:t>
            </w:r>
          </w:p>
        </w:tc>
        <w:tc>
          <w:tcPr>
            <w:tcW w:w="604" w:type="dxa"/>
            <w:tcBorders>
              <w:bottom w:val="single" w:sz="4" w:space="0" w:color="auto"/>
              <w:tl2br w:val="nil"/>
              <w:tr2bl w:val="nil"/>
            </w:tcBorders>
          </w:tcPr>
          <w:p w14:paraId="0987AAF3" w14:textId="2E80A980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b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Ref</w:t>
            </w:r>
            <w:r w:rsidR="00E25EAD">
              <w:rPr>
                <w:rFonts w:ascii="Book Antiqua" w:eastAsia="SimSun" w:hAnsi="Book Antiqua"/>
                <w:b/>
                <w:color w:val="000000" w:themeColor="text1"/>
                <w:kern w:val="2"/>
              </w:rPr>
              <w:t>s</w:t>
            </w:r>
          </w:p>
        </w:tc>
      </w:tr>
      <w:tr w:rsidR="00562CBA" w:rsidRPr="00512D13" w14:paraId="570C409F" w14:textId="77777777" w:rsidTr="002309D1">
        <w:trPr>
          <w:trHeight w:val="654"/>
        </w:trPr>
        <w:tc>
          <w:tcPr>
            <w:tcW w:w="1963" w:type="dxa"/>
            <w:tcBorders>
              <w:top w:val="single" w:sz="4" w:space="0" w:color="auto"/>
              <w:tl2br w:val="nil"/>
              <w:tr2bl w:val="nil"/>
            </w:tcBorders>
          </w:tcPr>
          <w:p w14:paraId="403BE1F3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Pu-18-</w:t>
            </w:r>
            <w:r w:rsidRPr="00512D13">
              <w:rPr>
                <w:rFonts w:ascii="Book Antiqua" w:eastAsia="SimSun" w:hAnsi="Book Antiqua"/>
                <w:i/>
                <w:iCs/>
                <w:color w:val="000000" w:themeColor="text1"/>
                <w:kern w:val="2"/>
              </w:rPr>
              <w:t>N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-butylimide-NMGA</w:t>
            </w:r>
          </w:p>
        </w:tc>
        <w:tc>
          <w:tcPr>
            <w:tcW w:w="1860" w:type="dxa"/>
            <w:tcBorders>
              <w:top w:val="single" w:sz="4" w:space="0" w:color="auto"/>
              <w:tl2br w:val="nil"/>
              <w:tr2bl w:val="nil"/>
            </w:tcBorders>
          </w:tcPr>
          <w:p w14:paraId="5457FF64" w14:textId="1956298F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Gold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op w:val="single" w:sz="4" w:space="0" w:color="auto"/>
              <w:tl2br w:val="nil"/>
              <w:tr2bl w:val="nil"/>
            </w:tcBorders>
          </w:tcPr>
          <w:p w14:paraId="4EED908B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1125" w:type="dxa"/>
            <w:tcBorders>
              <w:top w:val="single" w:sz="4" w:space="0" w:color="auto"/>
              <w:tl2br w:val="nil"/>
              <w:tr2bl w:val="nil"/>
            </w:tcBorders>
          </w:tcPr>
          <w:p w14:paraId="0ACF0FF2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op w:val="single" w:sz="4" w:space="0" w:color="auto"/>
              <w:tl2br w:val="nil"/>
              <w:tr2bl w:val="nil"/>
            </w:tcBorders>
          </w:tcPr>
          <w:p w14:paraId="44A37C86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op w:val="single" w:sz="4" w:space="0" w:color="auto"/>
              <w:tl2br w:val="nil"/>
              <w:tr2bl w:val="nil"/>
            </w:tcBorders>
          </w:tcPr>
          <w:p w14:paraId="4EECF0B4" w14:textId="204FBE8D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Huh-7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op w:val="single" w:sz="4" w:space="0" w:color="auto"/>
              <w:tl2br w:val="nil"/>
              <w:tr2bl w:val="nil"/>
            </w:tcBorders>
          </w:tcPr>
          <w:p w14:paraId="72DB02ED" w14:textId="0F1699C9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Kwon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[62]</w:t>
            </w:r>
          </w:p>
        </w:tc>
      </w:tr>
      <w:tr w:rsidR="00562CBA" w:rsidRPr="00512D13" w14:paraId="0673186F" w14:textId="77777777" w:rsidTr="002309D1">
        <w:trPr>
          <w:trHeight w:val="729"/>
        </w:trPr>
        <w:tc>
          <w:tcPr>
            <w:tcW w:w="1963" w:type="dxa"/>
            <w:tcBorders>
              <w:tl2br w:val="nil"/>
              <w:tr2bl w:val="nil"/>
            </w:tcBorders>
          </w:tcPr>
          <w:p w14:paraId="0C17FDCA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ZnPc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0F6FE2B0" w14:textId="0608883B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BSA-assembled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258252C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1A96DB68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286BF721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Sorafenib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50F4785E" w14:textId="362566BD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SMMC-7721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4DBA7DA6" w14:textId="7A5E854B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Yu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[51]</w:t>
            </w:r>
          </w:p>
        </w:tc>
      </w:tr>
      <w:tr w:rsidR="00562CBA" w:rsidRPr="00512D13" w14:paraId="275A237F" w14:textId="77777777" w:rsidTr="002309D1">
        <w:trPr>
          <w:trHeight w:val="626"/>
        </w:trPr>
        <w:tc>
          <w:tcPr>
            <w:tcW w:w="1963" w:type="dxa"/>
            <w:tcBorders>
              <w:tl2br w:val="nil"/>
              <w:tr2bl w:val="nil"/>
            </w:tcBorders>
          </w:tcPr>
          <w:p w14:paraId="087D069C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ICG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3F734F8F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Nanoliposomes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45C00654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72BF9523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3AC94AA3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Sorafenib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574130D8" w14:textId="59F3FA8C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Hep3B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AFBC24E" w14:textId="0B6B7569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[63]</w:t>
            </w:r>
          </w:p>
        </w:tc>
      </w:tr>
      <w:tr w:rsidR="00562CBA" w:rsidRPr="00512D13" w14:paraId="1A914138" w14:textId="77777777" w:rsidTr="002309D1">
        <w:trPr>
          <w:trHeight w:val="778"/>
        </w:trPr>
        <w:tc>
          <w:tcPr>
            <w:tcW w:w="1963" w:type="dxa"/>
            <w:tcBorders>
              <w:tl2br w:val="nil"/>
              <w:tr2bl w:val="nil"/>
            </w:tcBorders>
          </w:tcPr>
          <w:p w14:paraId="48108E09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Porphyrin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3E25D360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MOF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4C2AD720" w14:textId="43F51DF8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Folic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acid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28BCAE2" w14:textId="5E1D7952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Folate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receptor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67F2F4ED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EAB041B" w14:textId="59CD0064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Doxycycline-induced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HCC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in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i/>
                <w:iCs/>
                <w:color w:val="000000" w:themeColor="text1"/>
                <w:kern w:val="2"/>
              </w:rPr>
              <w:t>kras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G12V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zebrafish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31C9821C" w14:textId="4F713802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Chen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[64]</w:t>
            </w:r>
          </w:p>
        </w:tc>
      </w:tr>
      <w:tr w:rsidR="00562CBA" w:rsidRPr="00512D13" w14:paraId="534BE140" w14:textId="77777777" w:rsidTr="002309D1">
        <w:trPr>
          <w:trHeight w:val="717"/>
        </w:trPr>
        <w:tc>
          <w:tcPr>
            <w:tcW w:w="1963" w:type="dxa"/>
            <w:tcBorders>
              <w:tl2br w:val="nil"/>
              <w:tr2bl w:val="nil"/>
            </w:tcBorders>
          </w:tcPr>
          <w:p w14:paraId="517FBB0A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Ce6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2C37433A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SPIONs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F1AE4AE" w14:textId="2FDB752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Cancer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cell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membrane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5C3D489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64BD3FC5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4B4444A7" w14:textId="63EE91EB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SMMC-7721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150A9D94" w14:textId="755CD41C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Li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[65]</w:t>
            </w:r>
          </w:p>
        </w:tc>
      </w:tr>
      <w:tr w:rsidR="00562CBA" w:rsidRPr="00512D13" w14:paraId="646FADAD" w14:textId="77777777" w:rsidTr="002309D1">
        <w:trPr>
          <w:trHeight w:val="558"/>
        </w:trPr>
        <w:tc>
          <w:tcPr>
            <w:tcW w:w="1963" w:type="dxa"/>
            <w:tcBorders>
              <w:tl2br w:val="nil"/>
              <w:tr2bl w:val="nil"/>
            </w:tcBorders>
          </w:tcPr>
          <w:p w14:paraId="210D2DB7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Porphyrin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119F9AAD" w14:textId="553BB481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PEGylated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Zr-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lastRenderedPageBreak/>
              <w:t>MOF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32FDA67B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lastRenderedPageBreak/>
              <w:t>Galactose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47E88909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ASGPR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3EDDFBA1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DOX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50B35C3" w14:textId="737C59C8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Huh-7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lastRenderedPageBreak/>
              <w:t>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A1A77B7" w14:textId="6D3685EB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lastRenderedPageBreak/>
              <w:t>Hu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lastRenderedPageBreak/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[66]</w:t>
            </w:r>
          </w:p>
        </w:tc>
      </w:tr>
      <w:tr w:rsidR="00562CBA" w:rsidRPr="00512D13" w14:paraId="32AD5E3C" w14:textId="77777777" w:rsidTr="002309D1">
        <w:trPr>
          <w:trHeight w:val="284"/>
        </w:trPr>
        <w:tc>
          <w:tcPr>
            <w:tcW w:w="1963" w:type="dxa"/>
            <w:tcBorders>
              <w:tl2br w:val="nil"/>
              <w:tr2bl w:val="nil"/>
            </w:tcBorders>
          </w:tcPr>
          <w:p w14:paraId="2B66ABFA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lastRenderedPageBreak/>
              <w:t>Mitoxantrone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1CE05F67" w14:textId="702AFE73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PEGylated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UCNP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micelles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66B8B421" w14:textId="4290936E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Anti-EpCAM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antibody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56E33B4A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EpCAM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666675E6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03C5E79A" w14:textId="314EDE9D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BEL-7404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5A52B9C3" w14:textId="10164A83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Han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[46]</w:t>
            </w:r>
          </w:p>
        </w:tc>
      </w:tr>
      <w:tr w:rsidR="00562CBA" w:rsidRPr="00512D13" w14:paraId="2437DA01" w14:textId="77777777" w:rsidTr="002309D1">
        <w:trPr>
          <w:trHeight w:val="544"/>
        </w:trPr>
        <w:tc>
          <w:tcPr>
            <w:tcW w:w="1963" w:type="dxa"/>
            <w:tcBorders>
              <w:tl2br w:val="nil"/>
              <w:tr2bl w:val="nil"/>
            </w:tcBorders>
          </w:tcPr>
          <w:p w14:paraId="4004E8F5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Ce6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1769CB95" w14:textId="12348ED2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DNA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hybrids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0B3DF08" w14:textId="132168D6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TLS11a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aptamer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1F800FD3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0EEBC3EF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DOX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05C856BC" w14:textId="1451E67D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HepG2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1B41288" w14:textId="4478440D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Zhang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[67]</w:t>
            </w:r>
          </w:p>
        </w:tc>
      </w:tr>
      <w:tr w:rsidR="00562CBA" w:rsidRPr="00512D13" w14:paraId="423D08EF" w14:textId="77777777" w:rsidTr="002309D1">
        <w:trPr>
          <w:trHeight w:val="565"/>
        </w:trPr>
        <w:tc>
          <w:tcPr>
            <w:tcW w:w="1963" w:type="dxa"/>
            <w:tcBorders>
              <w:tl2br w:val="nil"/>
              <w:tr2bl w:val="nil"/>
            </w:tcBorders>
          </w:tcPr>
          <w:p w14:paraId="0DB30FBD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Ce6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296F820E" w14:textId="6C9F4CA2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Gold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35DD15FF" w14:textId="17F0A63C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TLS11a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aptamer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7DA1B957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4050396A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AQ4N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0B76641" w14:textId="013AE854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HepG2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6DAC824" w14:textId="0355A6CF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Zhang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[68]</w:t>
            </w:r>
          </w:p>
        </w:tc>
      </w:tr>
      <w:tr w:rsidR="00562CBA" w:rsidRPr="00512D13" w14:paraId="35B07B5B" w14:textId="77777777" w:rsidTr="002309D1">
        <w:tc>
          <w:tcPr>
            <w:tcW w:w="1963" w:type="dxa"/>
            <w:tcBorders>
              <w:tl2br w:val="nil"/>
              <w:tr2bl w:val="nil"/>
            </w:tcBorders>
          </w:tcPr>
          <w:p w14:paraId="3A8C9C68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IR780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3F59049E" w14:textId="759DAF2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Phospholipid/Pluronic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F68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512FC23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Pullulan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545FA347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ASGPR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7407CF74" w14:textId="77777777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Paclitaxel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AAE8E39" w14:textId="2E78B851" w:rsidR="000856EC" w:rsidRPr="00512D13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MHCC-97H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tumor-bearing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nude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45930EED" w14:textId="4FFC8E00" w:rsidR="000856EC" w:rsidRPr="00512D13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</w:pPr>
            <w:r w:rsidRPr="00512D13">
              <w:rPr>
                <w:rFonts w:ascii="Book Antiqua" w:eastAsia="SimSun" w:hAnsi="Book Antiqua"/>
                <w:color w:val="000000" w:themeColor="text1"/>
                <w:kern w:val="2"/>
              </w:rPr>
              <w:t>Wang</w:t>
            </w:r>
            <w:r w:rsidR="00AF0C91" w:rsidRPr="00512D13">
              <w:rPr>
                <w:rFonts w:ascii="Book Antiqua" w:eastAsia="SimSun" w:hAnsi="Book Antiqua"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et</w:t>
            </w:r>
            <w:r w:rsidR="00AF0C91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 xml:space="preserve"> </w:t>
            </w:r>
            <w:r w:rsidR="00A559E6" w:rsidRPr="00512D13">
              <w:rPr>
                <w:rFonts w:ascii="Book Antiqua" w:eastAsia="SimSun" w:hAnsi="Book Antiqua"/>
                <w:i/>
                <w:color w:val="000000" w:themeColor="text1"/>
                <w:kern w:val="2"/>
              </w:rPr>
              <w:t>al</w:t>
            </w:r>
            <w:r w:rsidR="000856EC" w:rsidRPr="00512D13">
              <w:rPr>
                <w:rFonts w:ascii="Book Antiqua" w:eastAsia="SimSun" w:hAnsi="Book Antiqua"/>
                <w:color w:val="000000" w:themeColor="text1"/>
                <w:kern w:val="2"/>
                <w:vertAlign w:val="superscript"/>
              </w:rPr>
              <w:t>[69]</w:t>
            </w:r>
          </w:p>
        </w:tc>
      </w:tr>
    </w:tbl>
    <w:p w14:paraId="1842B77D" w14:textId="1E505A1D" w:rsidR="000856EC" w:rsidRPr="00512D13" w:rsidRDefault="002309D1" w:rsidP="009C6B0F">
      <w:pPr>
        <w:widowControl w:val="0"/>
        <w:spacing w:line="360" w:lineRule="auto"/>
        <w:jc w:val="both"/>
        <w:rPr>
          <w:rFonts w:ascii="Book Antiqua" w:eastAsia="SimSun" w:hAnsi="Book Antiqua"/>
          <w:color w:val="000000" w:themeColor="text1"/>
          <w:kern w:val="2"/>
          <w:lang w:eastAsia="zh-CN"/>
        </w:rPr>
      </w:pPr>
      <w:r w:rsidRPr="002309D1">
        <w:rPr>
          <w:rFonts w:ascii="Book Antiqua" w:eastAsia="SimSun" w:hAnsi="Book Antiqua"/>
          <w:color w:val="000000" w:themeColor="text1"/>
          <w:kern w:val="2"/>
          <w:lang w:eastAsia="zh-CN"/>
        </w:rPr>
        <w:t>PSs: Photosensitizers;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Pu-18-</w:t>
      </w:r>
      <w:r w:rsidR="000856EC" w:rsidRPr="00512D13">
        <w:rPr>
          <w:rFonts w:ascii="Book Antiqua" w:eastAsia="SimSun" w:hAnsi="Book Antiqua"/>
          <w:i/>
          <w:iCs/>
          <w:color w:val="000000" w:themeColor="text1"/>
          <w:kern w:val="2"/>
          <w:lang w:eastAsia="zh-CN"/>
        </w:rPr>
        <w:t>N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-butylimide-NMGA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P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urpurin-18-</w:t>
      </w:r>
      <w:r w:rsidR="000856EC" w:rsidRPr="00512D13">
        <w:rPr>
          <w:rFonts w:ascii="Book Antiqua" w:eastAsia="SimSun" w:hAnsi="Book Antiqua"/>
          <w:i/>
          <w:iCs/>
          <w:color w:val="000000" w:themeColor="text1"/>
          <w:kern w:val="2"/>
          <w:lang w:eastAsia="zh-CN"/>
        </w:rPr>
        <w:t>N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-butylimide-</w:t>
      </w:r>
      <w:r w:rsidR="000856EC" w:rsidRPr="00512D13">
        <w:rPr>
          <w:rFonts w:ascii="Book Antiqua" w:eastAsia="SimSun" w:hAnsi="Book Antiqua"/>
          <w:i/>
          <w:iCs/>
          <w:color w:val="000000" w:themeColor="text1"/>
          <w:kern w:val="2"/>
          <w:lang w:eastAsia="zh-CN"/>
        </w:rPr>
        <w:t>N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-methyl-</w:t>
      </w:r>
      <w:r w:rsidR="000856EC" w:rsidRPr="00512D13">
        <w:rPr>
          <w:rFonts w:ascii="Book Antiqua" w:eastAsia="SimSun" w:hAnsi="Book Antiqua"/>
          <w:i/>
          <w:iCs/>
          <w:color w:val="000000" w:themeColor="text1"/>
          <w:kern w:val="2"/>
          <w:lang w:eastAsia="zh-CN"/>
        </w:rPr>
        <w:t>D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-glucamine;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NPs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N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anoparticles;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ZnPc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Z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inc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phthalocyanine;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BSA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B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ovine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serum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albumin;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ICG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I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ndocyanine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green;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MOF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M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etal-organic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frameworks;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Ce6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C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hlorin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e6;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SPIONs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S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uperparamagnetic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iron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oxide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nanoparticles;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ASGPR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A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sialoglycoprotein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receptor;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DOX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D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oxorubicin;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AQ4N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: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  <w:r w:rsidR="001D7EB5">
        <w:rPr>
          <w:rFonts w:ascii="Book Antiqua" w:eastAsia="SimSun" w:hAnsi="Book Antiqua" w:hint="eastAsia"/>
          <w:color w:val="000000" w:themeColor="text1"/>
          <w:kern w:val="2"/>
          <w:lang w:eastAsia="zh-CN"/>
        </w:rPr>
        <w:t>B</w:t>
      </w:r>
      <w:r w:rsidR="000856EC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>anoxantrone.</w:t>
      </w:r>
      <w:r w:rsidR="00AF0C91" w:rsidRPr="00512D13">
        <w:rPr>
          <w:rFonts w:ascii="Book Antiqua" w:eastAsia="SimSun" w:hAnsi="Book Antiqua"/>
          <w:color w:val="000000" w:themeColor="text1"/>
          <w:kern w:val="2"/>
          <w:lang w:eastAsia="zh-CN"/>
        </w:rPr>
        <w:t xml:space="preserve"> </w:t>
      </w:r>
    </w:p>
    <w:p w14:paraId="5286035C" w14:textId="77777777" w:rsidR="009C693C" w:rsidRPr="00512D13" w:rsidRDefault="009C693C" w:rsidP="009C6B0F">
      <w:pPr>
        <w:widowControl w:val="0"/>
        <w:spacing w:line="360" w:lineRule="auto"/>
        <w:jc w:val="both"/>
        <w:rPr>
          <w:rFonts w:ascii="Book Antiqua" w:eastAsia="SimSun" w:hAnsi="Book Antiqua"/>
          <w:color w:val="000000" w:themeColor="text1"/>
          <w:kern w:val="2"/>
          <w:lang w:eastAsia="zh-CN"/>
        </w:rPr>
      </w:pPr>
    </w:p>
    <w:sectPr w:rsidR="009C693C" w:rsidRPr="0051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B76E" w14:textId="77777777" w:rsidR="00C6136A" w:rsidRDefault="00C6136A" w:rsidP="00725D51">
      <w:r>
        <w:separator/>
      </w:r>
    </w:p>
  </w:endnote>
  <w:endnote w:type="continuationSeparator" w:id="0">
    <w:p w14:paraId="2D874DFD" w14:textId="77777777" w:rsidR="00C6136A" w:rsidRDefault="00C6136A" w:rsidP="007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B692" w14:textId="77777777" w:rsidR="00FD37A1" w:rsidRPr="00725D51" w:rsidRDefault="00FD37A1" w:rsidP="00725D51">
    <w:pPr>
      <w:pStyle w:val="Footer"/>
      <w:jc w:val="right"/>
      <w:rPr>
        <w:rFonts w:ascii="Book Antiqua" w:hAnsi="Book Antiqua"/>
        <w:sz w:val="24"/>
        <w:szCs w:val="24"/>
      </w:rPr>
    </w:pPr>
    <w:r w:rsidRPr="00725D51">
      <w:rPr>
        <w:rFonts w:ascii="Book Antiqua" w:hAnsi="Book Antiqua"/>
        <w:sz w:val="24"/>
        <w:szCs w:val="24"/>
      </w:rPr>
      <w:fldChar w:fldCharType="begin"/>
    </w:r>
    <w:r w:rsidRPr="00725D51">
      <w:rPr>
        <w:rFonts w:ascii="Book Antiqua" w:hAnsi="Book Antiqua"/>
        <w:sz w:val="24"/>
        <w:szCs w:val="24"/>
      </w:rPr>
      <w:instrText xml:space="preserve"> PAGE  \* Arabic  \* MERGEFORMAT </w:instrText>
    </w:r>
    <w:r w:rsidRPr="00725D51">
      <w:rPr>
        <w:rFonts w:ascii="Book Antiqua" w:hAnsi="Book Antiqua"/>
        <w:sz w:val="24"/>
        <w:szCs w:val="24"/>
      </w:rPr>
      <w:fldChar w:fldCharType="separate"/>
    </w:r>
    <w:r w:rsidR="001D7EB5">
      <w:rPr>
        <w:rFonts w:ascii="Book Antiqua" w:hAnsi="Book Antiqua"/>
        <w:noProof/>
        <w:sz w:val="24"/>
        <w:szCs w:val="24"/>
      </w:rPr>
      <w:t>34</w:t>
    </w:r>
    <w:r w:rsidRPr="00725D51">
      <w:rPr>
        <w:rFonts w:ascii="Book Antiqua" w:hAnsi="Book Antiqua"/>
        <w:sz w:val="24"/>
        <w:szCs w:val="24"/>
      </w:rPr>
      <w:fldChar w:fldCharType="end"/>
    </w:r>
    <w:r w:rsidRPr="00725D51">
      <w:rPr>
        <w:rFonts w:ascii="Book Antiqua" w:hAnsi="Book Antiqua"/>
        <w:sz w:val="24"/>
        <w:szCs w:val="24"/>
      </w:rPr>
      <w:t>/</w:t>
    </w:r>
    <w:r w:rsidRPr="00725D51">
      <w:rPr>
        <w:rFonts w:ascii="Book Antiqua" w:hAnsi="Book Antiqua"/>
        <w:sz w:val="24"/>
        <w:szCs w:val="24"/>
      </w:rPr>
      <w:fldChar w:fldCharType="begin"/>
    </w:r>
    <w:r w:rsidRPr="00725D51">
      <w:rPr>
        <w:rFonts w:ascii="Book Antiqua" w:hAnsi="Book Antiqua"/>
        <w:sz w:val="24"/>
        <w:szCs w:val="24"/>
      </w:rPr>
      <w:instrText xml:space="preserve"> NUMPAGES   \* MERGEFORMAT </w:instrText>
    </w:r>
    <w:r w:rsidRPr="00725D51">
      <w:rPr>
        <w:rFonts w:ascii="Book Antiqua" w:hAnsi="Book Antiqua"/>
        <w:sz w:val="24"/>
        <w:szCs w:val="24"/>
      </w:rPr>
      <w:fldChar w:fldCharType="separate"/>
    </w:r>
    <w:r w:rsidR="001D7EB5">
      <w:rPr>
        <w:rFonts w:ascii="Book Antiqua" w:hAnsi="Book Antiqua"/>
        <w:noProof/>
        <w:sz w:val="24"/>
        <w:szCs w:val="24"/>
      </w:rPr>
      <w:t>34</w:t>
    </w:r>
    <w:r w:rsidRPr="00725D5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0723" w14:textId="77777777" w:rsidR="00C6136A" w:rsidRDefault="00C6136A" w:rsidP="00725D51">
      <w:r>
        <w:separator/>
      </w:r>
    </w:p>
  </w:footnote>
  <w:footnote w:type="continuationSeparator" w:id="0">
    <w:p w14:paraId="1E289D1F" w14:textId="77777777" w:rsidR="00C6136A" w:rsidRDefault="00C6136A" w:rsidP="0072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931"/>
    <w:rsid w:val="00020957"/>
    <w:rsid w:val="00031435"/>
    <w:rsid w:val="000856EC"/>
    <w:rsid w:val="00096DAA"/>
    <w:rsid w:val="000A24EA"/>
    <w:rsid w:val="000B382C"/>
    <w:rsid w:val="000D0C2D"/>
    <w:rsid w:val="000F3AD0"/>
    <w:rsid w:val="001537C1"/>
    <w:rsid w:val="00162698"/>
    <w:rsid w:val="0018569D"/>
    <w:rsid w:val="001A7DC9"/>
    <w:rsid w:val="001D7EB5"/>
    <w:rsid w:val="002309D1"/>
    <w:rsid w:val="00245CE6"/>
    <w:rsid w:val="0025085A"/>
    <w:rsid w:val="00270543"/>
    <w:rsid w:val="002752EE"/>
    <w:rsid w:val="00282C36"/>
    <w:rsid w:val="0028511E"/>
    <w:rsid w:val="002E01BE"/>
    <w:rsid w:val="0032586A"/>
    <w:rsid w:val="00357CE9"/>
    <w:rsid w:val="003964BA"/>
    <w:rsid w:val="0039798E"/>
    <w:rsid w:val="003A1215"/>
    <w:rsid w:val="003B2129"/>
    <w:rsid w:val="003C56AC"/>
    <w:rsid w:val="003D3A58"/>
    <w:rsid w:val="003E7B39"/>
    <w:rsid w:val="00403332"/>
    <w:rsid w:val="00414A7C"/>
    <w:rsid w:val="00473FD8"/>
    <w:rsid w:val="00477733"/>
    <w:rsid w:val="00492711"/>
    <w:rsid w:val="004932D0"/>
    <w:rsid w:val="004D013C"/>
    <w:rsid w:val="004E7A56"/>
    <w:rsid w:val="00512D13"/>
    <w:rsid w:val="005139E3"/>
    <w:rsid w:val="005150F5"/>
    <w:rsid w:val="00524A33"/>
    <w:rsid w:val="00562CBA"/>
    <w:rsid w:val="00585676"/>
    <w:rsid w:val="005A1A9B"/>
    <w:rsid w:val="005C7CA4"/>
    <w:rsid w:val="00614574"/>
    <w:rsid w:val="00626B29"/>
    <w:rsid w:val="00642BC9"/>
    <w:rsid w:val="00654685"/>
    <w:rsid w:val="00660D1F"/>
    <w:rsid w:val="006635D7"/>
    <w:rsid w:val="00676028"/>
    <w:rsid w:val="00680D36"/>
    <w:rsid w:val="006D6491"/>
    <w:rsid w:val="007105CA"/>
    <w:rsid w:val="00716F2E"/>
    <w:rsid w:val="00725D51"/>
    <w:rsid w:val="0072618B"/>
    <w:rsid w:val="0074174E"/>
    <w:rsid w:val="00746C81"/>
    <w:rsid w:val="00763BDA"/>
    <w:rsid w:val="00764DC6"/>
    <w:rsid w:val="0076603C"/>
    <w:rsid w:val="007A011E"/>
    <w:rsid w:val="007C42C9"/>
    <w:rsid w:val="007E3488"/>
    <w:rsid w:val="00801E52"/>
    <w:rsid w:val="0081088E"/>
    <w:rsid w:val="00834619"/>
    <w:rsid w:val="00844D34"/>
    <w:rsid w:val="0085716A"/>
    <w:rsid w:val="008669A5"/>
    <w:rsid w:val="00867D9E"/>
    <w:rsid w:val="008D3BEC"/>
    <w:rsid w:val="008E6D0C"/>
    <w:rsid w:val="008F4007"/>
    <w:rsid w:val="009146CC"/>
    <w:rsid w:val="009466CE"/>
    <w:rsid w:val="00993C22"/>
    <w:rsid w:val="009A62BA"/>
    <w:rsid w:val="009C086A"/>
    <w:rsid w:val="009C2A4C"/>
    <w:rsid w:val="009C3F53"/>
    <w:rsid w:val="009C693C"/>
    <w:rsid w:val="009C6B0F"/>
    <w:rsid w:val="009E7257"/>
    <w:rsid w:val="00A559E6"/>
    <w:rsid w:val="00A64B53"/>
    <w:rsid w:val="00A7007D"/>
    <w:rsid w:val="00A75DA0"/>
    <w:rsid w:val="00A77B3E"/>
    <w:rsid w:val="00A90ACC"/>
    <w:rsid w:val="00AA63C3"/>
    <w:rsid w:val="00AF0C91"/>
    <w:rsid w:val="00AF4853"/>
    <w:rsid w:val="00B405E5"/>
    <w:rsid w:val="00B91C54"/>
    <w:rsid w:val="00BA4DEA"/>
    <w:rsid w:val="00BA593B"/>
    <w:rsid w:val="00C3766D"/>
    <w:rsid w:val="00C6136A"/>
    <w:rsid w:val="00C63B37"/>
    <w:rsid w:val="00C82AFA"/>
    <w:rsid w:val="00C87FA1"/>
    <w:rsid w:val="00CA2A55"/>
    <w:rsid w:val="00D019CF"/>
    <w:rsid w:val="00D10E14"/>
    <w:rsid w:val="00D81FF2"/>
    <w:rsid w:val="00D87C28"/>
    <w:rsid w:val="00DA299E"/>
    <w:rsid w:val="00DB2B16"/>
    <w:rsid w:val="00E25EAD"/>
    <w:rsid w:val="00E32FA2"/>
    <w:rsid w:val="00E67D7B"/>
    <w:rsid w:val="00EA6A66"/>
    <w:rsid w:val="00EB2E20"/>
    <w:rsid w:val="00ED46CB"/>
    <w:rsid w:val="00ED60AD"/>
    <w:rsid w:val="00F0712E"/>
    <w:rsid w:val="00F52687"/>
    <w:rsid w:val="00FA253E"/>
    <w:rsid w:val="00FC3D58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8917EC"/>
  <w15:docId w15:val="{130E4E6F-A6CF-4E71-B8FF-CD8F093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856EC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25D51"/>
    <w:rPr>
      <w:sz w:val="18"/>
      <w:szCs w:val="18"/>
    </w:rPr>
  </w:style>
  <w:style w:type="paragraph" w:styleId="Footer">
    <w:name w:val="footer"/>
    <w:basedOn w:val="Normal"/>
    <w:link w:val="FooterChar"/>
    <w:rsid w:val="00725D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25D51"/>
    <w:rPr>
      <w:sz w:val="18"/>
      <w:szCs w:val="18"/>
    </w:rPr>
  </w:style>
  <w:style w:type="paragraph" w:styleId="BalloonText">
    <w:name w:val="Balloon Text"/>
    <w:basedOn w:val="Normal"/>
    <w:link w:val="BalloonTextChar"/>
    <w:rsid w:val="00562C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2CBA"/>
    <w:rPr>
      <w:sz w:val="18"/>
      <w:szCs w:val="18"/>
    </w:rPr>
  </w:style>
  <w:style w:type="character" w:styleId="CommentReference">
    <w:name w:val="annotation reference"/>
    <w:basedOn w:val="DefaultParagraphFont"/>
    <w:rsid w:val="00562CBA"/>
    <w:rPr>
      <w:sz w:val="21"/>
      <w:szCs w:val="21"/>
    </w:rPr>
  </w:style>
  <w:style w:type="paragraph" w:styleId="CommentText">
    <w:name w:val="annotation text"/>
    <w:basedOn w:val="Normal"/>
    <w:link w:val="CommentTextChar"/>
    <w:rsid w:val="00562CBA"/>
  </w:style>
  <w:style w:type="character" w:customStyle="1" w:styleId="CommentTextChar">
    <w:name w:val="Comment Text Char"/>
    <w:basedOn w:val="DefaultParagraphFont"/>
    <w:link w:val="CommentText"/>
    <w:rsid w:val="00562C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6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CBA"/>
    <w:rPr>
      <w:b/>
      <w:bCs/>
      <w:sz w:val="24"/>
      <w:szCs w:val="24"/>
    </w:rPr>
  </w:style>
  <w:style w:type="character" w:customStyle="1" w:styleId="viiyi">
    <w:name w:val="viiyi"/>
    <w:basedOn w:val="DefaultParagraphFont"/>
    <w:rsid w:val="00562CBA"/>
  </w:style>
  <w:style w:type="character" w:customStyle="1" w:styleId="jlqj4b">
    <w:name w:val="jlqj4b"/>
    <w:basedOn w:val="DefaultParagraphFont"/>
    <w:rsid w:val="00562CBA"/>
  </w:style>
  <w:style w:type="paragraph" w:styleId="NormalWeb">
    <w:name w:val="Normal (Web)"/>
    <w:basedOn w:val="Normal"/>
    <w:uiPriority w:val="99"/>
    <w:unhideWhenUsed/>
    <w:rsid w:val="00A90ACC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Hyperlink">
    <w:name w:val="Hyperlink"/>
    <w:basedOn w:val="DefaultParagraphFont"/>
    <w:unhideWhenUsed/>
    <w:rsid w:val="00FC3D58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FC3D5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574"/>
    <w:rPr>
      <w:rFonts w:ascii="SimSun" w:eastAsia="SimSun" w:hAnsi="SimSun" w:cs="SimSun"/>
      <w:sz w:val="24"/>
      <w:szCs w:val="24"/>
      <w:lang w:eastAsia="zh-CN"/>
    </w:rPr>
  </w:style>
  <w:style w:type="character" w:customStyle="1" w:styleId="y2iqfc">
    <w:name w:val="y2iqfc"/>
    <w:basedOn w:val="DefaultParagraphFont"/>
    <w:rsid w:val="00614574"/>
  </w:style>
  <w:style w:type="paragraph" w:styleId="Revision">
    <w:name w:val="Revision"/>
    <w:hidden/>
    <w:uiPriority w:val="99"/>
    <w:semiHidden/>
    <w:rsid w:val="00492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9205</Words>
  <Characters>49987</Characters>
  <Application>Microsoft Office Word</Application>
  <DocSecurity>0</DocSecurity>
  <Lines>781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</dc:creator>
  <cp:lastModifiedBy>Cathel Kerr</cp:lastModifiedBy>
  <cp:revision>2</cp:revision>
  <dcterms:created xsi:type="dcterms:W3CDTF">2021-11-30T17:27:00Z</dcterms:created>
  <dcterms:modified xsi:type="dcterms:W3CDTF">2021-11-30T17:27:00Z</dcterms:modified>
</cp:coreProperties>
</file>