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E0A7" w14:textId="77777777" w:rsidR="00A77B3E" w:rsidRDefault="00596CC1">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A23558" w14:textId="77777777" w:rsidR="00A77B3E" w:rsidRDefault="00596C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67488</w:t>
      </w:r>
    </w:p>
    <w:p w14:paraId="6FE5402A" w14:textId="77777777" w:rsidR="00A77B3E" w:rsidRDefault="00596C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DB8B3C" w14:textId="77777777" w:rsidR="00A77B3E" w:rsidRDefault="00A77B3E">
      <w:pPr>
        <w:spacing w:line="360" w:lineRule="auto"/>
        <w:jc w:val="both"/>
        <w:rPr>
          <w:lang w:eastAsia="zh-CN"/>
        </w:rPr>
      </w:pPr>
    </w:p>
    <w:p w14:paraId="10D14EE9" w14:textId="7C561D0E" w:rsidR="009F2A23" w:rsidRPr="009F2A23" w:rsidRDefault="009F2A23" w:rsidP="009F2A23">
      <w:pPr>
        <w:adjustRightInd w:val="0"/>
        <w:snapToGrid w:val="0"/>
        <w:spacing w:line="360" w:lineRule="auto"/>
        <w:jc w:val="both"/>
        <w:rPr>
          <w:rFonts w:ascii="Book Antiqua" w:hAnsi="Book Antiqua"/>
          <w:lang w:eastAsia="zh-CN"/>
        </w:rPr>
      </w:pPr>
      <w:r w:rsidRPr="001C1787">
        <w:rPr>
          <w:rFonts w:ascii="Book Antiqua" w:eastAsia="Book Antiqua" w:hAnsi="Book Antiqua" w:cs="Book Antiqua"/>
          <w:b/>
          <w:i/>
          <w:color w:val="000000"/>
        </w:rPr>
        <w:t>Observational Study</w:t>
      </w:r>
    </w:p>
    <w:p w14:paraId="3061ECDA" w14:textId="2124579B" w:rsidR="00A77B3E" w:rsidRDefault="0094193C">
      <w:pPr>
        <w:spacing w:line="360" w:lineRule="auto"/>
        <w:jc w:val="both"/>
      </w:pPr>
      <w:r>
        <w:rPr>
          <w:rFonts w:ascii="Book Antiqua" w:eastAsia="Book Antiqua" w:hAnsi="Book Antiqua" w:cs="Book Antiqua"/>
          <w:b/>
          <w:color w:val="000000"/>
        </w:rPr>
        <w:t>R</w:t>
      </w:r>
      <w:r w:rsidR="00596CC1">
        <w:rPr>
          <w:rFonts w:ascii="Book Antiqua" w:eastAsia="Book Antiqua" w:hAnsi="Book Antiqua" w:cs="Book Antiqua"/>
          <w:b/>
          <w:color w:val="000000"/>
        </w:rPr>
        <w:t xml:space="preserve">ole of international </w:t>
      </w:r>
      <w:r>
        <w:rPr>
          <w:rFonts w:ascii="Book Antiqua" w:eastAsia="Book Antiqua" w:hAnsi="Book Antiqua" w:cs="Book Antiqua"/>
          <w:b/>
          <w:color w:val="000000"/>
        </w:rPr>
        <w:t xml:space="preserve">normalized </w:t>
      </w:r>
      <w:r w:rsidR="00596CC1">
        <w:rPr>
          <w:rFonts w:ascii="Book Antiqua" w:eastAsia="Book Antiqua" w:hAnsi="Book Antiqua" w:cs="Book Antiqua"/>
          <w:b/>
          <w:color w:val="000000"/>
        </w:rPr>
        <w:t>ratio</w:t>
      </w:r>
      <w:r w:rsidR="004E6CF2">
        <w:rPr>
          <w:rFonts w:ascii="Book Antiqua" w:eastAsia="Book Antiqua" w:hAnsi="Book Antiqua" w:cs="Book Antiqua"/>
          <w:b/>
          <w:color w:val="000000"/>
        </w:rPr>
        <w:t xml:space="preserve"> </w:t>
      </w:r>
      <w:r w:rsidR="00596CC1">
        <w:rPr>
          <w:rFonts w:ascii="Book Antiqua" w:eastAsia="Book Antiqua" w:hAnsi="Book Antiqua" w:cs="Book Antiqua"/>
          <w:b/>
          <w:color w:val="000000"/>
        </w:rPr>
        <w:t xml:space="preserve">in </w:t>
      </w:r>
      <w:bookmarkStart w:id="1" w:name="OLE_LINK1"/>
      <w:proofErr w:type="spellStart"/>
      <w:r w:rsidR="00596CC1">
        <w:rPr>
          <w:rFonts w:ascii="Book Antiqua" w:eastAsia="Book Antiqua" w:hAnsi="Book Antiqua" w:cs="Book Antiqua"/>
          <w:b/>
          <w:color w:val="000000"/>
        </w:rPr>
        <w:t>nonpulmonary</w:t>
      </w:r>
      <w:bookmarkEnd w:id="1"/>
      <w:proofErr w:type="spellEnd"/>
      <w:r w:rsidR="00596CC1">
        <w:rPr>
          <w:rFonts w:ascii="Book Antiqua" w:eastAsia="Book Antiqua" w:hAnsi="Book Antiqua" w:cs="Book Antiqua"/>
          <w:b/>
          <w:color w:val="000000"/>
        </w:rPr>
        <w:t xml:space="preserve"> sepsis screening: </w:t>
      </w:r>
      <w:r w:rsidR="002F045A">
        <w:rPr>
          <w:rFonts w:ascii="Book Antiqua" w:eastAsia="Book Antiqua" w:hAnsi="Book Antiqua" w:cs="Book Antiqua"/>
          <w:b/>
          <w:color w:val="000000"/>
        </w:rPr>
        <w:t>A</w:t>
      </w:r>
      <w:r>
        <w:rPr>
          <w:rFonts w:ascii="Book Antiqua" w:eastAsia="Book Antiqua" w:hAnsi="Book Antiqua" w:cs="Book Antiqua"/>
          <w:b/>
          <w:color w:val="000000"/>
        </w:rPr>
        <w:t>n</w:t>
      </w:r>
      <w:r w:rsidR="00596CC1">
        <w:rPr>
          <w:rFonts w:ascii="Book Antiqua" w:eastAsia="Book Antiqua" w:hAnsi="Book Antiqua" w:cs="Book Antiqua"/>
          <w:b/>
          <w:color w:val="000000"/>
        </w:rPr>
        <w:t xml:space="preserve"> observational study</w:t>
      </w:r>
    </w:p>
    <w:p w14:paraId="37C8344C" w14:textId="77777777" w:rsidR="00A77B3E" w:rsidRDefault="00A77B3E">
      <w:pPr>
        <w:spacing w:line="360" w:lineRule="auto"/>
        <w:jc w:val="both"/>
      </w:pPr>
    </w:p>
    <w:p w14:paraId="168B1DEE" w14:textId="22079659" w:rsidR="00A77B3E" w:rsidRDefault="00BC52F0">
      <w:pPr>
        <w:spacing w:line="360" w:lineRule="auto"/>
        <w:jc w:val="both"/>
      </w:pPr>
      <w:r>
        <w:rPr>
          <w:rFonts w:ascii="Book Antiqua" w:eastAsia="Book Antiqua" w:hAnsi="Book Antiqua" w:cs="Book Antiqua"/>
          <w:color w:val="000000"/>
        </w:rPr>
        <w:t xml:space="preserve">Zhang J </w:t>
      </w:r>
      <w:r w:rsidRPr="00BC52F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6CC1">
        <w:rPr>
          <w:rFonts w:ascii="Book Antiqua" w:eastAsia="Book Antiqua" w:hAnsi="Book Antiqua" w:cs="Book Antiqua"/>
          <w:color w:val="000000"/>
        </w:rPr>
        <w:t xml:space="preserve">INR in </w:t>
      </w:r>
      <w:proofErr w:type="spellStart"/>
      <w:r w:rsidR="00596CC1">
        <w:rPr>
          <w:rFonts w:ascii="Book Antiqua" w:eastAsia="Book Antiqua" w:hAnsi="Book Antiqua" w:cs="Book Antiqua"/>
          <w:color w:val="000000"/>
        </w:rPr>
        <w:t>nonpulmonary</w:t>
      </w:r>
      <w:proofErr w:type="spellEnd"/>
      <w:r w:rsidR="00596CC1">
        <w:rPr>
          <w:rFonts w:ascii="Book Antiqua" w:eastAsia="Book Antiqua" w:hAnsi="Book Antiqua" w:cs="Book Antiqua"/>
          <w:color w:val="000000"/>
        </w:rPr>
        <w:t xml:space="preserve"> sepsis screening</w:t>
      </w:r>
    </w:p>
    <w:p w14:paraId="7207F086" w14:textId="77777777" w:rsidR="00A77B3E" w:rsidRDefault="00A77B3E">
      <w:pPr>
        <w:spacing w:line="360" w:lineRule="auto"/>
        <w:jc w:val="both"/>
      </w:pPr>
    </w:p>
    <w:p w14:paraId="35A3464E" w14:textId="5CD50A54" w:rsidR="00A77B3E" w:rsidRDefault="00596CC1">
      <w:pPr>
        <w:spacing w:line="360" w:lineRule="auto"/>
        <w:jc w:val="both"/>
      </w:pPr>
      <w:r>
        <w:rPr>
          <w:rFonts w:ascii="Book Antiqua" w:eastAsia="Book Antiqua" w:hAnsi="Book Antiqua" w:cs="Book Antiqua"/>
          <w:color w:val="000000"/>
        </w:rPr>
        <w:t xml:space="preserve">Jing Zhang, Hui-Min Du, Ming-Xiang Cheng, Fa-Ming He, Bai-Lin </w:t>
      </w:r>
      <w:proofErr w:type="spellStart"/>
      <w:r>
        <w:rPr>
          <w:rFonts w:ascii="Book Antiqua" w:eastAsia="Book Antiqua" w:hAnsi="Book Antiqua" w:cs="Book Antiqua"/>
          <w:color w:val="000000"/>
        </w:rPr>
        <w:t>Niu</w:t>
      </w:r>
      <w:proofErr w:type="spellEnd"/>
    </w:p>
    <w:p w14:paraId="53CD0177" w14:textId="77777777" w:rsidR="00A77B3E" w:rsidRDefault="00A77B3E">
      <w:pPr>
        <w:spacing w:line="360" w:lineRule="auto"/>
        <w:jc w:val="both"/>
      </w:pPr>
    </w:p>
    <w:p w14:paraId="7ABE17FB" w14:textId="708B967D" w:rsidR="00A77B3E" w:rsidRDefault="00596CC1">
      <w:pPr>
        <w:spacing w:line="360" w:lineRule="auto"/>
        <w:jc w:val="both"/>
      </w:pPr>
      <w:r>
        <w:rPr>
          <w:rFonts w:ascii="Book Antiqua" w:eastAsia="Book Antiqua" w:hAnsi="Book Antiqua" w:cs="Book Antiqua"/>
          <w:b/>
          <w:bCs/>
          <w:color w:val="000000"/>
        </w:rPr>
        <w:t xml:space="preserve">Jing Zhang, </w:t>
      </w:r>
      <w:r w:rsidR="00AE2CAB" w:rsidRPr="00AE2CAB">
        <w:rPr>
          <w:rFonts w:ascii="Book Antiqua" w:eastAsia="Book Antiqua" w:hAnsi="Book Antiqua" w:cs="Book Antiqua"/>
          <w:b/>
          <w:bCs/>
          <w:color w:val="000000"/>
        </w:rPr>
        <w:t>Fa-Ming</w:t>
      </w:r>
      <w:r>
        <w:rPr>
          <w:rFonts w:ascii="Book Antiqua" w:eastAsia="Book Antiqua" w:hAnsi="Book Antiqua" w:cs="Book Antiqua"/>
          <w:b/>
          <w:bCs/>
          <w:color w:val="000000"/>
        </w:rPr>
        <w:t xml:space="preserve"> He, </w:t>
      </w:r>
      <w:r>
        <w:rPr>
          <w:rFonts w:ascii="Book Antiqua" w:eastAsia="Book Antiqua" w:hAnsi="Book Antiqua" w:cs="Book Antiqua"/>
          <w:color w:val="000000"/>
        </w:rPr>
        <w:t>Department of Emergency and Intensive Care Medicine, The First Affiliated Hospital of Chongqing Medical University, Chongqing 400016, China</w:t>
      </w:r>
    </w:p>
    <w:p w14:paraId="69AAEBA5" w14:textId="77777777" w:rsidR="00A77B3E" w:rsidRDefault="00A77B3E">
      <w:pPr>
        <w:spacing w:line="360" w:lineRule="auto"/>
        <w:jc w:val="both"/>
      </w:pPr>
    </w:p>
    <w:p w14:paraId="5D1F15B2" w14:textId="30DAF122" w:rsidR="00A77B3E" w:rsidRDefault="00AE2CAB">
      <w:pPr>
        <w:spacing w:line="360" w:lineRule="auto"/>
        <w:jc w:val="both"/>
      </w:pPr>
      <w:r w:rsidRPr="00AE2CAB">
        <w:rPr>
          <w:rFonts w:ascii="Book Antiqua" w:eastAsia="Book Antiqua" w:hAnsi="Book Antiqua" w:cs="Book Antiqua"/>
          <w:b/>
          <w:bCs/>
          <w:color w:val="000000"/>
        </w:rPr>
        <w:t>Hui-Min</w:t>
      </w:r>
      <w:r w:rsidR="00596CC1">
        <w:rPr>
          <w:rFonts w:ascii="Book Antiqua" w:eastAsia="Book Antiqua" w:hAnsi="Book Antiqua" w:cs="Book Antiqua"/>
          <w:b/>
          <w:bCs/>
          <w:color w:val="000000"/>
        </w:rPr>
        <w:t xml:space="preserve"> Du, </w:t>
      </w:r>
      <w:r w:rsidR="00596CC1">
        <w:rPr>
          <w:rFonts w:ascii="Book Antiqua" w:eastAsia="Book Antiqua" w:hAnsi="Book Antiqua" w:cs="Book Antiqua"/>
          <w:color w:val="000000"/>
        </w:rPr>
        <w:t>Department of Oncology, The First Affiliated Hospital of Chongqing Medical University, Chongqing 400016, China</w:t>
      </w:r>
    </w:p>
    <w:p w14:paraId="0C903811" w14:textId="77777777" w:rsidR="00A77B3E" w:rsidRDefault="00A77B3E">
      <w:pPr>
        <w:spacing w:line="360" w:lineRule="auto"/>
        <w:jc w:val="both"/>
      </w:pPr>
    </w:p>
    <w:p w14:paraId="13C394F5" w14:textId="3213A11A" w:rsidR="00A77B3E" w:rsidRDefault="00256749">
      <w:pPr>
        <w:spacing w:line="360" w:lineRule="auto"/>
        <w:jc w:val="both"/>
      </w:pPr>
      <w:r w:rsidRPr="00256749">
        <w:rPr>
          <w:rFonts w:ascii="Book Antiqua" w:eastAsia="Book Antiqua" w:hAnsi="Book Antiqua" w:cs="Book Antiqua"/>
          <w:b/>
          <w:bCs/>
          <w:color w:val="000000"/>
        </w:rPr>
        <w:t>Ming-Xiang</w:t>
      </w:r>
      <w:r w:rsidR="00596CC1">
        <w:rPr>
          <w:rFonts w:ascii="Book Antiqua" w:eastAsia="Book Antiqua" w:hAnsi="Book Antiqua" w:cs="Book Antiqua"/>
          <w:b/>
          <w:bCs/>
          <w:color w:val="000000"/>
        </w:rPr>
        <w:t xml:space="preserve"> Cheng, </w:t>
      </w:r>
      <w:r w:rsidR="00596CC1">
        <w:rPr>
          <w:rFonts w:ascii="Book Antiqua" w:eastAsia="Book Antiqua" w:hAnsi="Book Antiqua" w:cs="Book Antiqua"/>
          <w:color w:val="000000"/>
        </w:rPr>
        <w:t>Department of Hepatobiliary Surgery, The Second Affiliated Hospital of Chongqing Medical University, Chongqing 400016, China</w:t>
      </w:r>
    </w:p>
    <w:p w14:paraId="513637FF" w14:textId="77777777" w:rsidR="00A77B3E" w:rsidRDefault="00A77B3E">
      <w:pPr>
        <w:spacing w:line="360" w:lineRule="auto"/>
        <w:jc w:val="both"/>
      </w:pPr>
    </w:p>
    <w:p w14:paraId="280F05EF" w14:textId="7DE906B8" w:rsidR="00A77B3E" w:rsidRDefault="00256749">
      <w:pPr>
        <w:spacing w:line="360" w:lineRule="auto"/>
        <w:jc w:val="both"/>
        <w:rPr>
          <w:rFonts w:ascii="Book Antiqua" w:eastAsia="Book Antiqua" w:hAnsi="Book Antiqua" w:cs="Book Antiqua"/>
          <w:color w:val="000000"/>
        </w:rPr>
      </w:pPr>
      <w:r w:rsidRPr="00256749">
        <w:rPr>
          <w:rFonts w:ascii="Book Antiqua" w:eastAsia="Book Antiqua" w:hAnsi="Book Antiqua" w:cs="Book Antiqua"/>
          <w:b/>
          <w:bCs/>
          <w:color w:val="000000"/>
        </w:rPr>
        <w:t>Bai-Lin</w:t>
      </w:r>
      <w:r w:rsidR="00596CC1">
        <w:rPr>
          <w:rFonts w:ascii="Book Antiqua" w:eastAsia="Book Antiqua" w:hAnsi="Book Antiqua" w:cs="Book Antiqua"/>
          <w:b/>
          <w:bCs/>
          <w:color w:val="000000"/>
        </w:rPr>
        <w:t xml:space="preserve"> </w:t>
      </w:r>
      <w:proofErr w:type="spellStart"/>
      <w:r w:rsidR="00596CC1">
        <w:rPr>
          <w:rFonts w:ascii="Book Antiqua" w:eastAsia="Book Antiqua" w:hAnsi="Book Antiqua" w:cs="Book Antiqua"/>
          <w:b/>
          <w:bCs/>
          <w:color w:val="000000"/>
        </w:rPr>
        <w:t>Niu</w:t>
      </w:r>
      <w:proofErr w:type="spellEnd"/>
      <w:r w:rsidR="00596CC1">
        <w:rPr>
          <w:rFonts w:ascii="Book Antiqua" w:eastAsia="Book Antiqua" w:hAnsi="Book Antiqua" w:cs="Book Antiqua"/>
          <w:b/>
          <w:bCs/>
          <w:color w:val="000000"/>
        </w:rPr>
        <w:t xml:space="preserve">, </w:t>
      </w:r>
      <w:r w:rsidR="00596CC1">
        <w:rPr>
          <w:rFonts w:ascii="Book Antiqua" w:eastAsia="Book Antiqua" w:hAnsi="Book Antiqua" w:cs="Book Antiqua"/>
          <w:color w:val="000000"/>
        </w:rPr>
        <w:t>Department of Emergency and Critical Care Medicine, The First Affiliated Hospital of Chongqing Medical University, Chongqing 400016, China</w:t>
      </w:r>
    </w:p>
    <w:p w14:paraId="6363628F" w14:textId="77777777" w:rsidR="00A77B3E" w:rsidRDefault="00A77B3E">
      <w:pPr>
        <w:spacing w:line="360" w:lineRule="auto"/>
        <w:jc w:val="both"/>
      </w:pPr>
    </w:p>
    <w:p w14:paraId="76C905C0" w14:textId="03D4AFBA" w:rsidR="00A77B3E" w:rsidRDefault="00596CC1">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Author contributions: </w:t>
      </w:r>
      <w:proofErr w:type="spellStart"/>
      <w:r w:rsidR="003E45E2">
        <w:rPr>
          <w:rFonts w:ascii="Book Antiqua" w:eastAsia="Book Antiqua" w:hAnsi="Book Antiqua" w:cs="Book Antiqua"/>
          <w:color w:val="000000"/>
        </w:rPr>
        <w:t>Niu</w:t>
      </w:r>
      <w:proofErr w:type="spellEnd"/>
      <w:r w:rsidR="003E45E2">
        <w:rPr>
          <w:rFonts w:ascii="Book Antiqua" w:eastAsia="Book Antiqua" w:hAnsi="Book Antiqua" w:cs="Book Antiqua"/>
          <w:color w:val="000000"/>
        </w:rPr>
        <w:t xml:space="preserve"> BL</w:t>
      </w:r>
      <w:r>
        <w:rPr>
          <w:rFonts w:ascii="Book Antiqua" w:eastAsia="Book Antiqua" w:hAnsi="Book Antiqua" w:cs="Book Antiqua"/>
          <w:color w:val="000000"/>
          <w:szCs w:val="21"/>
        </w:rPr>
        <w:t xml:space="preserve"> contributed to the study conception and design</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Zhang J, Du HM</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Cheng MX</w:t>
      </w:r>
      <w:r>
        <w:rPr>
          <w:rFonts w:ascii="Book Antiqua" w:eastAsia="Book Antiqua" w:hAnsi="Book Antiqua" w:cs="Book Antiqua"/>
          <w:color w:val="000000"/>
          <w:szCs w:val="21"/>
        </w:rPr>
        <w:t xml:space="preserve"> and </w:t>
      </w:r>
      <w:r w:rsidR="003E45E2">
        <w:rPr>
          <w:rFonts w:ascii="Book Antiqua" w:eastAsia="Book Antiqua" w:hAnsi="Book Antiqua" w:cs="Book Antiqua"/>
          <w:color w:val="000000"/>
        </w:rPr>
        <w:t>He FM</w:t>
      </w:r>
      <w:r>
        <w:rPr>
          <w:rFonts w:ascii="Book Antiqua" w:eastAsia="Book Antiqua" w:hAnsi="Book Antiqua" w:cs="Book Antiqua"/>
          <w:color w:val="000000"/>
          <w:szCs w:val="21"/>
        </w:rPr>
        <w:t xml:space="preserve"> contributed to data collection and analysis</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Zhang J</w:t>
      </w:r>
      <w:r>
        <w:rPr>
          <w:rFonts w:ascii="Book Antiqua" w:eastAsia="Book Antiqua" w:hAnsi="Book Antiqua" w:cs="Book Antiqua"/>
          <w:color w:val="000000"/>
          <w:szCs w:val="21"/>
        </w:rPr>
        <w:t xml:space="preserve"> and </w:t>
      </w:r>
      <w:r w:rsidR="003E45E2">
        <w:rPr>
          <w:rFonts w:ascii="Book Antiqua" w:eastAsia="Book Antiqua" w:hAnsi="Book Antiqua" w:cs="Book Antiqua"/>
          <w:color w:val="000000"/>
        </w:rPr>
        <w:t>Du HM</w:t>
      </w:r>
      <w:r>
        <w:rPr>
          <w:rFonts w:ascii="Book Antiqua" w:eastAsia="Book Antiqua" w:hAnsi="Book Antiqua" w:cs="Book Antiqua"/>
          <w:color w:val="000000"/>
          <w:szCs w:val="21"/>
        </w:rPr>
        <w:t xml:space="preserve"> wrote the first draft of the manuscript</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roofErr w:type="spellStart"/>
      <w:r w:rsidR="003E45E2">
        <w:rPr>
          <w:rFonts w:ascii="Book Antiqua" w:eastAsia="Book Antiqua" w:hAnsi="Book Antiqua" w:cs="Book Antiqua"/>
          <w:color w:val="000000"/>
        </w:rPr>
        <w:t>Niu</w:t>
      </w:r>
      <w:proofErr w:type="spellEnd"/>
      <w:r w:rsidR="003E45E2">
        <w:rPr>
          <w:rFonts w:ascii="Book Antiqua" w:eastAsia="Book Antiqua" w:hAnsi="Book Antiqua" w:cs="Book Antiqua"/>
          <w:color w:val="000000"/>
        </w:rPr>
        <w:t xml:space="preserve"> BL</w:t>
      </w:r>
      <w:r>
        <w:rPr>
          <w:rFonts w:ascii="Book Antiqua" w:eastAsia="Book Antiqua" w:hAnsi="Book Antiqua" w:cs="Book Antiqua"/>
          <w:color w:val="000000"/>
          <w:szCs w:val="21"/>
        </w:rPr>
        <w:t xml:space="preserve"> further polished the manuscript</w:t>
      </w:r>
      <w:r w:rsidR="00AB57F5">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authorized the publication of the manuscript</w:t>
      </w:r>
      <w:r w:rsidR="00B227B9">
        <w:rPr>
          <w:rFonts w:ascii="Book Antiqua" w:eastAsia="Book Antiqua" w:hAnsi="Book Antiqua" w:cs="Book Antiqua"/>
          <w:color w:val="000000"/>
          <w:szCs w:val="21"/>
        </w:rPr>
        <w:t>;</w:t>
      </w:r>
      <w:r w:rsidR="00B227B9" w:rsidRPr="00B227B9">
        <w:t xml:space="preserve"> </w:t>
      </w:r>
      <w:r w:rsidR="00B227B9" w:rsidRPr="00B227B9">
        <w:rPr>
          <w:rFonts w:ascii="Book Antiqua" w:eastAsia="Book Antiqua" w:hAnsi="Book Antiqua" w:cs="Book Antiqua"/>
          <w:color w:val="000000"/>
          <w:szCs w:val="21"/>
        </w:rPr>
        <w:t>Zhang</w:t>
      </w:r>
      <w:r w:rsidR="00307663" w:rsidRPr="00307663">
        <w:rPr>
          <w:rFonts w:ascii="Book Antiqua" w:eastAsia="Book Antiqua" w:hAnsi="Book Antiqua" w:cs="Book Antiqua"/>
          <w:color w:val="000000"/>
          <w:szCs w:val="21"/>
        </w:rPr>
        <w:t xml:space="preserve"> </w:t>
      </w:r>
      <w:r w:rsidR="00307663" w:rsidRPr="00B227B9">
        <w:rPr>
          <w:rFonts w:ascii="Book Antiqua" w:eastAsia="Book Antiqua" w:hAnsi="Book Antiqua" w:cs="Book Antiqua"/>
          <w:color w:val="000000"/>
          <w:szCs w:val="21"/>
        </w:rPr>
        <w:t>J</w:t>
      </w:r>
      <w:r w:rsidR="00B227B9" w:rsidRPr="00B227B9">
        <w:rPr>
          <w:rFonts w:ascii="Book Antiqua" w:eastAsia="Book Antiqua" w:hAnsi="Book Antiqua" w:cs="Book Antiqua"/>
          <w:color w:val="000000"/>
          <w:szCs w:val="21"/>
        </w:rPr>
        <w:t xml:space="preserve">, Du </w:t>
      </w:r>
      <w:r w:rsidR="00307663" w:rsidRPr="00B227B9">
        <w:rPr>
          <w:rFonts w:ascii="Book Antiqua" w:eastAsia="Book Antiqua" w:hAnsi="Book Antiqua" w:cs="Book Antiqua"/>
          <w:color w:val="000000"/>
          <w:szCs w:val="21"/>
        </w:rPr>
        <w:t>H</w:t>
      </w:r>
      <w:r w:rsidR="00307663">
        <w:rPr>
          <w:rFonts w:ascii="Book Antiqua" w:eastAsia="Book Antiqua" w:hAnsi="Book Antiqua" w:cs="Book Antiqua"/>
          <w:color w:val="000000"/>
          <w:szCs w:val="21"/>
        </w:rPr>
        <w:t>M</w:t>
      </w:r>
      <w:r w:rsidR="00307663" w:rsidRPr="00B227B9">
        <w:rPr>
          <w:rFonts w:ascii="Book Antiqua" w:eastAsia="Book Antiqua" w:hAnsi="Book Antiqua" w:cs="Book Antiqua"/>
          <w:color w:val="000000"/>
          <w:szCs w:val="21"/>
        </w:rPr>
        <w:t xml:space="preserve"> </w:t>
      </w:r>
      <w:r w:rsidR="00B227B9" w:rsidRPr="00B227B9">
        <w:rPr>
          <w:rFonts w:ascii="Book Antiqua" w:eastAsia="Book Antiqua" w:hAnsi="Book Antiqua" w:cs="Book Antiqua"/>
          <w:color w:val="000000"/>
          <w:szCs w:val="21"/>
        </w:rPr>
        <w:t xml:space="preserve">and Cheng </w:t>
      </w:r>
      <w:r w:rsidR="00307663">
        <w:rPr>
          <w:rFonts w:ascii="Book Antiqua" w:eastAsia="Book Antiqua" w:hAnsi="Book Antiqua" w:cs="Book Antiqua"/>
          <w:color w:val="000000"/>
          <w:szCs w:val="21"/>
        </w:rPr>
        <w:t xml:space="preserve">MX </w:t>
      </w:r>
      <w:r w:rsidR="00B227B9" w:rsidRPr="00B227B9">
        <w:rPr>
          <w:rFonts w:ascii="Book Antiqua" w:eastAsia="Book Antiqua" w:hAnsi="Book Antiqua" w:cs="Book Antiqua"/>
          <w:color w:val="000000"/>
          <w:szCs w:val="21"/>
        </w:rPr>
        <w:t>contributed equally to this work.</w:t>
      </w:r>
    </w:p>
    <w:p w14:paraId="7A0BA152" w14:textId="2B38B11D" w:rsidR="0094193C" w:rsidRDefault="0094193C">
      <w:pPr>
        <w:spacing w:line="360" w:lineRule="auto"/>
        <w:jc w:val="both"/>
        <w:rPr>
          <w:rFonts w:ascii="Book Antiqua" w:eastAsia="Book Antiqua" w:hAnsi="Book Antiqua" w:cs="Book Antiqua"/>
          <w:color w:val="000000"/>
          <w:szCs w:val="21"/>
        </w:rPr>
      </w:pPr>
    </w:p>
    <w:p w14:paraId="38EF75C9" w14:textId="69D0504C" w:rsidR="0094193C" w:rsidRPr="00202BF8" w:rsidRDefault="0094193C">
      <w:pPr>
        <w:spacing w:line="360" w:lineRule="auto"/>
        <w:jc w:val="both"/>
        <w:rPr>
          <w:lang w:eastAsia="zh-CN"/>
        </w:rPr>
      </w:pPr>
      <w:r w:rsidRPr="00202BF8">
        <w:rPr>
          <w:rFonts w:ascii="Book Antiqua" w:hAnsi="Book Antiqua" w:cs="Book Antiqua"/>
          <w:b/>
          <w:bCs/>
          <w:color w:val="000000"/>
          <w:szCs w:val="21"/>
          <w:lang w:eastAsia="zh-CN"/>
        </w:rPr>
        <w:lastRenderedPageBreak/>
        <w:t>Supported by</w:t>
      </w:r>
      <w:r>
        <w:rPr>
          <w:rFonts w:ascii="Book Antiqua" w:hAnsi="Book Antiqua" w:cs="Book Antiqua"/>
          <w:color w:val="000000"/>
          <w:szCs w:val="21"/>
          <w:lang w:eastAsia="zh-CN"/>
        </w:rPr>
        <w:t xml:space="preserve"> </w:t>
      </w:r>
      <w:r w:rsidRPr="0094193C">
        <w:rPr>
          <w:rFonts w:ascii="Book Antiqua" w:hAnsi="Book Antiqua" w:cs="Book Antiqua"/>
          <w:color w:val="000000"/>
          <w:szCs w:val="21"/>
          <w:lang w:eastAsia="zh-CN"/>
        </w:rPr>
        <w:t>the Joint Scientific Research Project of Chongqing Science and Technology Commission and Health Commission</w:t>
      </w:r>
      <w:r>
        <w:rPr>
          <w:rFonts w:ascii="Book Antiqua" w:hAnsi="Book Antiqua" w:cs="Book Antiqua"/>
          <w:color w:val="000000"/>
          <w:szCs w:val="21"/>
          <w:lang w:eastAsia="zh-CN"/>
        </w:rPr>
        <w:t xml:space="preserve">, No. </w:t>
      </w:r>
      <w:r w:rsidRPr="0094193C">
        <w:rPr>
          <w:rFonts w:ascii="Book Antiqua" w:hAnsi="Book Antiqua" w:cs="Book Antiqua"/>
          <w:color w:val="000000"/>
          <w:szCs w:val="21"/>
          <w:lang w:eastAsia="zh-CN"/>
        </w:rPr>
        <w:t>2019MSXM019</w:t>
      </w:r>
      <w:r w:rsidR="00DD0BB2" w:rsidRPr="00DD0BB2">
        <w:t xml:space="preserve"> </w:t>
      </w:r>
      <w:r w:rsidR="00DD0BB2" w:rsidRPr="00DD0BB2">
        <w:rPr>
          <w:rFonts w:ascii="Book Antiqua" w:hAnsi="Book Antiqua" w:cs="Book Antiqua"/>
          <w:color w:val="000000"/>
          <w:szCs w:val="21"/>
          <w:lang w:eastAsia="zh-CN"/>
        </w:rPr>
        <w:t>and No. 2021MSXM033; Natural Science Project of Science and Technology Department of Tibet Autonomous Region, No. XZ2019ZR-ZY55(Z); Chongqing Natural Science Foundation Project, No. cstc2020jcyj-msxmX0124; and COVID-19 Emergency Projects of Chongqing Medical University, No. X1-2611.</w:t>
      </w:r>
    </w:p>
    <w:p w14:paraId="18EE95FB" w14:textId="77777777" w:rsidR="00A77B3E" w:rsidRDefault="00A77B3E">
      <w:pPr>
        <w:spacing w:line="360" w:lineRule="auto"/>
        <w:jc w:val="both"/>
      </w:pPr>
    </w:p>
    <w:p w14:paraId="13FC8226" w14:textId="0A41917B" w:rsidR="00A77B3E" w:rsidRDefault="00596CC1">
      <w:pPr>
        <w:spacing w:line="360" w:lineRule="auto"/>
        <w:jc w:val="both"/>
      </w:pPr>
      <w:r>
        <w:rPr>
          <w:rFonts w:ascii="Book Antiqua" w:eastAsia="Book Antiqua" w:hAnsi="Book Antiqua" w:cs="Book Antiqua"/>
          <w:b/>
          <w:bCs/>
          <w:color w:val="000000"/>
        </w:rPr>
        <w:t>Corresponding author: Bai</w:t>
      </w:r>
      <w:r w:rsidR="002F7267">
        <w:rPr>
          <w:rFonts w:ascii="Book Antiqua" w:eastAsia="Book Antiqua" w:hAnsi="Book Antiqua" w:cs="Book Antiqua"/>
          <w:b/>
          <w:bCs/>
          <w:color w:val="000000"/>
        </w:rPr>
        <w:t>-L</w:t>
      </w:r>
      <w:r>
        <w:rPr>
          <w:rFonts w:ascii="Book Antiqua" w:eastAsia="Book Antiqua" w:hAnsi="Book Antiqua" w:cs="Book Antiqua"/>
          <w:b/>
          <w:bCs/>
          <w:color w:val="000000"/>
        </w:rPr>
        <w:t xml:space="preserve">in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Emergency and Critical Care Medicine, The First Affiliated Hospital of Chongqing Medical University, </w:t>
      </w:r>
      <w:r w:rsidR="0094193C">
        <w:rPr>
          <w:rFonts w:ascii="Book Antiqua" w:eastAsia="Book Antiqua" w:hAnsi="Book Antiqua" w:cs="Book Antiqua"/>
          <w:color w:val="000000"/>
        </w:rPr>
        <w:t>No</w:t>
      </w:r>
      <w:r>
        <w:rPr>
          <w:rFonts w:ascii="Book Antiqua" w:eastAsia="Book Antiqua" w:hAnsi="Book Antiqua" w:cs="Book Antiqua"/>
          <w:color w:val="000000"/>
        </w:rPr>
        <w:t>.</w:t>
      </w:r>
      <w:r w:rsidR="0094193C">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nberlin@126.com</w:t>
      </w:r>
    </w:p>
    <w:p w14:paraId="5919959D" w14:textId="77777777" w:rsidR="00A77B3E" w:rsidRDefault="00A77B3E">
      <w:pPr>
        <w:spacing w:line="360" w:lineRule="auto"/>
        <w:jc w:val="both"/>
      </w:pPr>
    </w:p>
    <w:p w14:paraId="458D8F83" w14:textId="77777777" w:rsidR="00A77B3E" w:rsidRDefault="00596C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2021</w:t>
      </w:r>
    </w:p>
    <w:p w14:paraId="62C76882" w14:textId="77777777" w:rsidR="00A77B3E" w:rsidRDefault="00596CC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6, 2021</w:t>
      </w:r>
    </w:p>
    <w:p w14:paraId="17012DDA" w14:textId="46466867" w:rsidR="00A77B3E" w:rsidRDefault="00596CC1">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FC2770">
        <w:rPr>
          <w:rFonts w:ascii="Book Antiqua" w:eastAsia="宋体" w:hAnsi="Book Antiqua"/>
          <w:color w:val="000000" w:themeColor="text1"/>
        </w:rPr>
        <w:t>J</w:t>
      </w:r>
      <w:r w:rsidR="00FC2770">
        <w:rPr>
          <w:rFonts w:ascii="Book Antiqua" w:eastAsia="宋体" w:hAnsi="Book Antiqua" w:hint="eastAsia"/>
          <w:color w:val="000000" w:themeColor="text1"/>
        </w:rPr>
        <w:t>u</w:t>
      </w:r>
      <w:r w:rsidR="00FC2770">
        <w:rPr>
          <w:rFonts w:ascii="Book Antiqua" w:eastAsia="宋体" w:hAnsi="Book Antiqua"/>
          <w:color w:val="000000" w:themeColor="text1"/>
        </w:rPr>
        <w:t>ly</w:t>
      </w:r>
      <w:r w:rsidR="00FC2770" w:rsidRPr="00F06907">
        <w:rPr>
          <w:rFonts w:ascii="Book Antiqua" w:eastAsia="宋体" w:hAnsi="Book Antiqua"/>
          <w:color w:val="000000" w:themeColor="text1"/>
        </w:rPr>
        <w:t xml:space="preserve"> </w:t>
      </w:r>
      <w:r w:rsidR="00FC2770">
        <w:rPr>
          <w:rFonts w:ascii="Book Antiqua" w:eastAsia="宋体" w:hAnsi="Book Antiqua"/>
          <w:color w:val="000000" w:themeColor="text1"/>
        </w:rPr>
        <w:t>19</w:t>
      </w:r>
      <w:r w:rsidR="00FC2770" w:rsidRPr="00F06907">
        <w:rPr>
          <w:rFonts w:ascii="Book Antiqua" w:eastAsia="宋体" w:hAnsi="Book Antiqua"/>
          <w:color w:val="000000" w:themeColor="text1"/>
        </w:rPr>
        <w:t>, 2021</w:t>
      </w:r>
      <w:bookmarkEnd w:id="2"/>
      <w:bookmarkEnd w:id="3"/>
      <w:bookmarkEnd w:id="4"/>
    </w:p>
    <w:p w14:paraId="2348C9E1" w14:textId="1F272136" w:rsidR="00A77B3E" w:rsidRDefault="00596CC1">
      <w:pPr>
        <w:spacing w:line="360" w:lineRule="auto"/>
        <w:jc w:val="both"/>
      </w:pPr>
      <w:r>
        <w:rPr>
          <w:rFonts w:ascii="Book Antiqua" w:eastAsia="Book Antiqua" w:hAnsi="Book Antiqua" w:cs="Book Antiqua"/>
          <w:b/>
          <w:bCs/>
          <w:color w:val="000000"/>
        </w:rPr>
        <w:t xml:space="preserve">Published online: </w:t>
      </w:r>
      <w:r w:rsidR="009D5851" w:rsidRPr="004C6CE2">
        <w:rPr>
          <w:rFonts w:ascii="Book Antiqua" w:eastAsia="宋体" w:hAnsi="Book Antiqua" w:hint="eastAsia"/>
          <w:color w:val="000000" w:themeColor="text1"/>
        </w:rPr>
        <w:t>September</w:t>
      </w:r>
      <w:r w:rsidR="009D5851" w:rsidRPr="004C6CE2">
        <w:rPr>
          <w:rFonts w:ascii="Book Antiqua" w:eastAsia="宋体" w:hAnsi="Book Antiqua"/>
          <w:color w:val="000000" w:themeColor="text1"/>
        </w:rPr>
        <w:t xml:space="preserve"> </w:t>
      </w:r>
      <w:r w:rsidR="009D5851">
        <w:rPr>
          <w:rFonts w:ascii="Book Antiqua" w:eastAsia="Book Antiqua" w:hAnsi="Book Antiqua" w:cs="Book Antiqua"/>
          <w:color w:val="000000"/>
        </w:rPr>
        <w:t>6, 2021</w:t>
      </w:r>
    </w:p>
    <w:p w14:paraId="3A7593BB"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BB1425A" w14:textId="77777777" w:rsidR="00A77B3E" w:rsidRDefault="00596CC1">
      <w:pPr>
        <w:spacing w:line="360" w:lineRule="auto"/>
        <w:jc w:val="both"/>
      </w:pPr>
      <w:r>
        <w:rPr>
          <w:rFonts w:ascii="Book Antiqua" w:eastAsia="Book Antiqua" w:hAnsi="Book Antiqua" w:cs="Book Antiqua"/>
          <w:b/>
          <w:color w:val="000000"/>
        </w:rPr>
        <w:lastRenderedPageBreak/>
        <w:t>Abstract</w:t>
      </w:r>
    </w:p>
    <w:p w14:paraId="6A4B533B" w14:textId="77777777" w:rsidR="00A77B3E" w:rsidRDefault="00596CC1">
      <w:pPr>
        <w:spacing w:line="360" w:lineRule="auto"/>
        <w:jc w:val="both"/>
      </w:pPr>
      <w:r>
        <w:rPr>
          <w:rFonts w:ascii="Book Antiqua" w:eastAsia="Book Antiqua" w:hAnsi="Book Antiqua" w:cs="Book Antiqua"/>
          <w:color w:val="000000"/>
        </w:rPr>
        <w:t>BACKGROUND</w:t>
      </w:r>
    </w:p>
    <w:p w14:paraId="66C4E4C9" w14:textId="77777777" w:rsidR="00A77B3E" w:rsidRDefault="00596CC1">
      <w:pPr>
        <w:spacing w:line="360" w:lineRule="auto"/>
        <w:jc w:val="both"/>
      </w:pPr>
      <w:r>
        <w:rPr>
          <w:rFonts w:ascii="Book Antiqua" w:eastAsia="Book Antiqua" w:hAnsi="Book Antiqua" w:cs="Book Antiqua"/>
          <w:color w:val="000000"/>
        </w:rPr>
        <w:t xml:space="preserve">Currently, there is a lack of sepsis screening tools that can be widely used worldwide. Pulmonary sepsis can be of sufficient concern to physicians due to their noticeable symptoms, which usually rely less on screening tools. </w:t>
      </w:r>
    </w:p>
    <w:p w14:paraId="2A89D181" w14:textId="77777777" w:rsidR="00A77B3E" w:rsidRDefault="00A77B3E">
      <w:pPr>
        <w:spacing w:line="360" w:lineRule="auto"/>
        <w:jc w:val="both"/>
      </w:pPr>
    </w:p>
    <w:p w14:paraId="04371D94" w14:textId="77777777" w:rsidR="00A77B3E" w:rsidRDefault="00596CC1">
      <w:pPr>
        <w:spacing w:line="360" w:lineRule="auto"/>
        <w:jc w:val="both"/>
      </w:pPr>
      <w:r>
        <w:rPr>
          <w:rFonts w:ascii="Book Antiqua" w:eastAsia="Book Antiqua" w:hAnsi="Book Antiqua" w:cs="Book Antiqua"/>
          <w:color w:val="000000"/>
        </w:rPr>
        <w:t>AIM</w:t>
      </w:r>
    </w:p>
    <w:p w14:paraId="517676D4" w14:textId="38245302" w:rsidR="00A77B3E" w:rsidRDefault="00596CC1">
      <w:pPr>
        <w:spacing w:line="360" w:lineRule="auto"/>
        <w:jc w:val="both"/>
      </w:pPr>
      <w:r>
        <w:rPr>
          <w:rFonts w:ascii="Book Antiqua" w:eastAsia="Book Antiqua" w:hAnsi="Book Antiqua" w:cs="Book Antiqua"/>
          <w:color w:val="000000"/>
        </w:rPr>
        <w:t xml:space="preserve">To investigate the efficiency of the </w:t>
      </w:r>
      <w:bookmarkStart w:id="5" w:name="_Hlk76559703"/>
      <w:r>
        <w:rPr>
          <w:rFonts w:ascii="Book Antiqua" w:eastAsia="Book Antiqua" w:hAnsi="Book Antiqua" w:cs="Book Antiqua"/>
          <w:color w:val="000000"/>
        </w:rPr>
        <w:t xml:space="preserve">international </w:t>
      </w:r>
      <w:r w:rsidR="0094193C">
        <w:rPr>
          <w:rFonts w:ascii="Book Antiqua" w:eastAsia="Book Antiqua" w:hAnsi="Book Antiqua" w:cs="Book Antiqua"/>
          <w:color w:val="000000"/>
        </w:rPr>
        <w:t xml:space="preserve">normalized </w:t>
      </w:r>
      <w:r>
        <w:rPr>
          <w:rFonts w:ascii="Book Antiqua" w:eastAsia="Book Antiqua" w:hAnsi="Book Antiqua" w:cs="Book Antiqua"/>
          <w:color w:val="000000"/>
        </w:rPr>
        <w:t>ratio</w:t>
      </w:r>
      <w:bookmarkEnd w:id="5"/>
      <w:r>
        <w:rPr>
          <w:rFonts w:ascii="Book Antiqua" w:eastAsia="Book Antiqua" w:hAnsi="Book Antiqua" w:cs="Book Antiqua"/>
          <w:color w:val="000000"/>
        </w:rPr>
        <w:t xml:space="preserve"> (INR) for the early rapid recognition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w:t>
      </w:r>
    </w:p>
    <w:p w14:paraId="48B98878" w14:textId="77777777" w:rsidR="00A77B3E" w:rsidRDefault="00A77B3E">
      <w:pPr>
        <w:spacing w:line="360" w:lineRule="auto"/>
        <w:jc w:val="both"/>
      </w:pPr>
    </w:p>
    <w:p w14:paraId="10B53B30" w14:textId="77777777" w:rsidR="00A77B3E" w:rsidRDefault="00596CC1">
      <w:pPr>
        <w:spacing w:line="360" w:lineRule="auto"/>
        <w:jc w:val="both"/>
      </w:pPr>
      <w:r>
        <w:rPr>
          <w:rFonts w:ascii="Book Antiqua" w:eastAsia="Book Antiqua" w:hAnsi="Book Antiqua" w:cs="Book Antiqua"/>
          <w:color w:val="000000"/>
        </w:rPr>
        <w:t>METHODS</w:t>
      </w:r>
    </w:p>
    <w:p w14:paraId="13AC60E1" w14:textId="7E9900FE" w:rsidR="00A77B3E" w:rsidRDefault="00596CC1">
      <w:pPr>
        <w:spacing w:line="360" w:lineRule="auto"/>
        <w:jc w:val="both"/>
      </w:pPr>
      <w:r>
        <w:rPr>
          <w:rFonts w:ascii="Book Antiqua" w:eastAsia="Book Antiqua" w:hAnsi="Book Antiqua" w:cs="Book Antiqua"/>
          <w:color w:val="000000"/>
        </w:rPr>
        <w:t xml:space="preserve">This is a prospective observational study. A total of 108 sepsis patients and 106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patients were enrolled according to relevant inclusion and exclusion criteria. Commonly used clinical indicators, such as </w:t>
      </w:r>
      <w:r w:rsidR="004C56B1" w:rsidRPr="004C56B1">
        <w:rPr>
          <w:rFonts w:ascii="Book Antiqua" w:eastAsia="Book Antiqua" w:hAnsi="Book Antiqua" w:cs="Book Antiqua"/>
          <w:color w:val="000000"/>
        </w:rPr>
        <w:t>white blood cell</w:t>
      </w:r>
      <w:r>
        <w:rPr>
          <w:rFonts w:ascii="Book Antiqua" w:eastAsia="Book Antiqua" w:hAnsi="Book Antiqua" w:cs="Book Antiqua"/>
          <w:color w:val="000000"/>
        </w:rPr>
        <w:t>, neutrophil count, lymphocyte count, neutrophil-lymphocyte count ratio (NLCR), platelets (PLT), prothrombin time, INR, activated partial thromboplastin time</w:t>
      </w:r>
      <w:r w:rsidR="00DF7ED8">
        <w:rPr>
          <w:rFonts w:ascii="Book Antiqua" w:eastAsia="Book Antiqua" w:hAnsi="Book Antiqua" w:cs="Book Antiqua"/>
          <w:color w:val="000000"/>
        </w:rPr>
        <w:t>,</w:t>
      </w:r>
      <w:r>
        <w:rPr>
          <w:rFonts w:ascii="Book Antiqua" w:eastAsia="Book Antiqua" w:hAnsi="Book Antiqua" w:cs="Book Antiqua"/>
          <w:color w:val="000000"/>
        </w:rPr>
        <w:t xml:space="preserve"> and quick Sequential </w:t>
      </w:r>
      <w:r w:rsidR="0094193C">
        <w:rPr>
          <w:rFonts w:ascii="Book Antiqua" w:eastAsia="Book Antiqua" w:hAnsi="Book Antiqua" w:cs="Book Antiqua"/>
          <w:color w:val="000000"/>
        </w:rPr>
        <w:t>“</w:t>
      </w:r>
      <w:r>
        <w:rPr>
          <w:rFonts w:ascii="Book Antiqua" w:eastAsia="Book Antiqua" w:hAnsi="Book Antiqua" w:cs="Book Antiqua"/>
          <w:color w:val="000000"/>
        </w:rPr>
        <w:t>Sepsis-related</w:t>
      </w:r>
      <w:r w:rsidR="0094193C">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scores were recorded within 24 h after admission. The diagnostic performances of </w:t>
      </w:r>
      <w:r w:rsidR="003369CF">
        <w:rPr>
          <w:rFonts w:ascii="Book Antiqua" w:eastAsia="Book Antiqua" w:hAnsi="Book Antiqua" w:cs="Book Antiqua"/>
          <w:color w:val="000000"/>
        </w:rPr>
        <w:t xml:space="preserve">these clinical indicators </w:t>
      </w:r>
      <w:r>
        <w:rPr>
          <w:rFonts w:ascii="Book Antiqua" w:eastAsia="Book Antiqua" w:hAnsi="Book Antiqua" w:cs="Book Antiqua"/>
          <w:color w:val="000000"/>
        </w:rPr>
        <w:t>were analyzed and compared through multivariate logistic regression analysis, Spearman correlation</w:t>
      </w:r>
      <w:r w:rsidR="003369CF">
        <w:rPr>
          <w:rFonts w:ascii="Book Antiqua" w:eastAsia="Book Antiqua" w:hAnsi="Book Antiqua" w:cs="Book Antiqua"/>
          <w:color w:val="000000"/>
        </w:rPr>
        <w:t>,</w:t>
      </w:r>
      <w:r>
        <w:rPr>
          <w:rFonts w:ascii="Book Antiqua" w:eastAsia="Book Antiqua" w:hAnsi="Book Antiqua" w:cs="Book Antiqua"/>
          <w:color w:val="000000"/>
        </w:rPr>
        <w:t xml:space="preserve"> and receiver operating characteristic curve analysis. </w:t>
      </w:r>
    </w:p>
    <w:p w14:paraId="570D534E" w14:textId="77777777" w:rsidR="00A77B3E" w:rsidRDefault="00A77B3E">
      <w:pPr>
        <w:spacing w:line="360" w:lineRule="auto"/>
        <w:jc w:val="both"/>
      </w:pPr>
    </w:p>
    <w:p w14:paraId="3541C0B0" w14:textId="77777777" w:rsidR="00A77B3E" w:rsidRDefault="00596CC1">
      <w:pPr>
        <w:spacing w:line="360" w:lineRule="auto"/>
        <w:jc w:val="both"/>
      </w:pPr>
      <w:r>
        <w:rPr>
          <w:rFonts w:ascii="Book Antiqua" w:eastAsia="Book Antiqua" w:hAnsi="Book Antiqua" w:cs="Book Antiqua"/>
          <w:color w:val="000000"/>
        </w:rPr>
        <w:t>RESULTS</w:t>
      </w:r>
    </w:p>
    <w:p w14:paraId="3689E240" w14:textId="7FF88C12" w:rsidR="00A77B3E" w:rsidRDefault="00596CC1">
      <w:pPr>
        <w:spacing w:line="360" w:lineRule="auto"/>
        <w:jc w:val="both"/>
      </w:pPr>
      <w:r>
        <w:rPr>
          <w:rFonts w:ascii="Book Antiqua" w:eastAsia="Book Antiqua" w:hAnsi="Book Antiqua" w:cs="Book Antiqua"/>
          <w:color w:val="000000"/>
        </w:rPr>
        <w:t xml:space="preserve">The INR value of the sepsis group was significantly higher than that of the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group. INR has superior diagnostic efficacy for sepsis, with an area under the curve value of 0.918, when those preexisting diseases which significantly affect coagulation function were excluded. The diagnostic efficacy of the INR was more significant than that of NLCR, PLT</w:t>
      </w:r>
      <w:r w:rsidR="003369C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BF0A39">
        <w:rPr>
          <w:rFonts w:ascii="Book Antiqua" w:eastAsia="Book Antiqua" w:hAnsi="Book Antiqua" w:cs="Book Antiqua"/>
          <w:color w:val="000000"/>
        </w:rPr>
        <w:t xml:space="preserve"> </w:t>
      </w:r>
      <w:r>
        <w:rPr>
          <w:rFonts w:ascii="Book Antiqua" w:eastAsia="Book Antiqua" w:hAnsi="Book Antiqua" w:cs="Book Antiqua"/>
          <w:color w:val="000000"/>
        </w:rPr>
        <w:t xml:space="preserve">0.05). Moreover, INR levels of 1.17, 1.20, and 1.22 could be used </w:t>
      </w:r>
      <w:r w:rsidR="003369CF">
        <w:rPr>
          <w:rFonts w:ascii="Book Antiqua" w:eastAsia="Book Antiqua" w:hAnsi="Book Antiqua" w:cs="Book Antiqua"/>
          <w:color w:val="000000"/>
        </w:rPr>
        <w:t xml:space="preserve">to categorize the relative risk of </w:t>
      </w:r>
      <w:proofErr w:type="spellStart"/>
      <w:r w:rsidR="003369CF">
        <w:rPr>
          <w:rFonts w:ascii="Book Antiqua" w:eastAsia="Book Antiqua" w:hAnsi="Book Antiqua" w:cs="Book Antiqua"/>
          <w:color w:val="000000"/>
        </w:rPr>
        <w:t>nonpulmonary</w:t>
      </w:r>
      <w:proofErr w:type="spellEnd"/>
      <w:r w:rsidR="003369CF">
        <w:rPr>
          <w:rFonts w:ascii="Book Antiqua" w:eastAsia="Book Antiqua" w:hAnsi="Book Antiqua" w:cs="Book Antiqua"/>
          <w:color w:val="000000"/>
        </w:rPr>
        <w:t xml:space="preserve"> infections sepsis into three categories: low, medium and high risk</w:t>
      </w:r>
      <w:r>
        <w:rPr>
          <w:rFonts w:ascii="Book Antiqua" w:eastAsia="Book Antiqua" w:hAnsi="Book Antiqua" w:cs="Book Antiqua"/>
          <w:color w:val="000000"/>
        </w:rPr>
        <w:t xml:space="preserve">, respectively. </w:t>
      </w:r>
    </w:p>
    <w:p w14:paraId="62B98192" w14:textId="77777777" w:rsidR="00A77B3E" w:rsidRDefault="00A77B3E">
      <w:pPr>
        <w:spacing w:line="360" w:lineRule="auto"/>
        <w:jc w:val="both"/>
      </w:pPr>
    </w:p>
    <w:p w14:paraId="01ACB375" w14:textId="77777777" w:rsidR="00A77B3E" w:rsidRDefault="00596CC1">
      <w:pPr>
        <w:spacing w:line="360" w:lineRule="auto"/>
        <w:jc w:val="both"/>
      </w:pPr>
      <w:r>
        <w:rPr>
          <w:rFonts w:ascii="Book Antiqua" w:eastAsia="Book Antiqua" w:hAnsi="Book Antiqua" w:cs="Book Antiqua"/>
          <w:color w:val="000000"/>
        </w:rPr>
        <w:t>CONCLUSION</w:t>
      </w:r>
    </w:p>
    <w:p w14:paraId="596D34D1" w14:textId="7D2284FF" w:rsidR="00A77B3E" w:rsidRDefault="00596CC1">
      <w:pPr>
        <w:spacing w:line="360" w:lineRule="auto"/>
        <w:jc w:val="both"/>
      </w:pPr>
      <w:r>
        <w:rPr>
          <w:rFonts w:ascii="Book Antiqua" w:eastAsia="Book Antiqua" w:hAnsi="Book Antiqua" w:cs="Book Antiqua"/>
          <w:color w:val="000000"/>
        </w:rPr>
        <w:t xml:space="preserve">The INR is a promising and easily available biomarker for diagnosis, and it can be used as one of the indicators for early screening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 When its value is higher than the optimal cutoff value</w:t>
      </w:r>
      <w:r w:rsidR="003369CF">
        <w:rPr>
          <w:rFonts w:ascii="Book Antiqua" w:eastAsia="Book Antiqua" w:hAnsi="Book Antiqua" w:cs="Book Antiqua"/>
          <w:color w:val="000000"/>
        </w:rPr>
        <w:t xml:space="preserve"> (1.22)</w:t>
      </w:r>
      <w:r>
        <w:rPr>
          <w:rFonts w:ascii="Book Antiqua" w:eastAsia="Book Antiqua" w:hAnsi="Book Antiqua" w:cs="Book Antiqua"/>
          <w:color w:val="000000"/>
        </w:rPr>
        <w:t xml:space="preserve">, high vigilance is required for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w:t>
      </w:r>
    </w:p>
    <w:p w14:paraId="4D90214D" w14:textId="77777777" w:rsidR="00A77B3E" w:rsidRDefault="00A77B3E">
      <w:pPr>
        <w:spacing w:line="360" w:lineRule="auto"/>
        <w:jc w:val="both"/>
      </w:pPr>
    </w:p>
    <w:p w14:paraId="2D5A5C9E" w14:textId="60088CE5" w:rsidR="00A77B3E" w:rsidRDefault="00596CC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Coagulopathy; International </w:t>
      </w:r>
      <w:r w:rsidR="00D17A17">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Screening </w:t>
      </w:r>
      <w:r w:rsidR="003D7D9E">
        <w:rPr>
          <w:rFonts w:ascii="Book Antiqua" w:eastAsia="Book Antiqua" w:hAnsi="Book Antiqua" w:cs="Book Antiqua"/>
          <w:color w:val="000000"/>
        </w:rPr>
        <w:t>t</w:t>
      </w:r>
      <w:r>
        <w:rPr>
          <w:rFonts w:ascii="Book Antiqua" w:eastAsia="Book Antiqua" w:hAnsi="Book Antiqua" w:cs="Book Antiqua"/>
          <w:color w:val="000000"/>
        </w:rPr>
        <w:t xml:space="preserve">ool; </w:t>
      </w:r>
      <w:r w:rsidR="0094193C">
        <w:rPr>
          <w:rFonts w:ascii="Book Antiqua" w:eastAsia="Book Antiqua" w:hAnsi="Book Antiqua" w:cs="Book Antiqua"/>
          <w:color w:val="000000"/>
        </w:rPr>
        <w:t xml:space="preserve">Quick </w:t>
      </w:r>
      <w:r w:rsidR="003D7D9E">
        <w:rPr>
          <w:rFonts w:ascii="Book Antiqua" w:eastAsia="Book Antiqua" w:hAnsi="Book Antiqua" w:cs="Book Antiqua"/>
          <w:color w:val="000000"/>
        </w:rPr>
        <w:t xml:space="preserve">Sequential </w:t>
      </w:r>
      <w:r w:rsidR="0094193C">
        <w:rPr>
          <w:rFonts w:ascii="Book Antiqua" w:eastAsia="Book Antiqua" w:hAnsi="Book Antiqua" w:cs="Book Antiqua"/>
          <w:color w:val="000000"/>
        </w:rPr>
        <w:t>“</w:t>
      </w:r>
      <w:r w:rsidR="003D7D9E">
        <w:rPr>
          <w:rFonts w:ascii="Book Antiqua" w:eastAsia="Book Antiqua" w:hAnsi="Book Antiqua" w:cs="Book Antiqua"/>
          <w:color w:val="000000"/>
        </w:rPr>
        <w:t>Sepsis-related</w:t>
      </w:r>
      <w:r w:rsidR="0094193C">
        <w:rPr>
          <w:rFonts w:ascii="Book Antiqua" w:eastAsia="Book Antiqua" w:hAnsi="Book Antiqua" w:cs="Book Antiqua"/>
          <w:color w:val="000000"/>
        </w:rPr>
        <w:t>”</w:t>
      </w:r>
      <w:r w:rsidR="003D7D9E">
        <w:rPr>
          <w:rFonts w:ascii="Book Antiqua" w:eastAsia="Book Antiqua" w:hAnsi="Book Antiqua" w:cs="Book Antiqua"/>
          <w:color w:val="000000"/>
        </w:rPr>
        <w:t xml:space="preserve"> Organ Failure Assessment</w:t>
      </w:r>
    </w:p>
    <w:p w14:paraId="2D926E68" w14:textId="77777777" w:rsidR="00FC45BD" w:rsidRDefault="00FC45BD" w:rsidP="00FC45BD">
      <w:pPr>
        <w:spacing w:line="360" w:lineRule="auto"/>
        <w:rPr>
          <w:rFonts w:ascii="Book Antiqua" w:hAnsi="Book Antiqua" w:cs="Book Antiqua"/>
          <w:b/>
          <w:color w:val="000000"/>
        </w:rPr>
      </w:pPr>
    </w:p>
    <w:p w14:paraId="65A250F0" w14:textId="77777777" w:rsidR="00FC45BD" w:rsidRPr="00026CB8" w:rsidRDefault="00FC45BD" w:rsidP="00FC45B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9FE479" w14:textId="77777777" w:rsidR="00A77B3E" w:rsidRDefault="00A77B3E">
      <w:pPr>
        <w:spacing w:line="360" w:lineRule="auto"/>
        <w:jc w:val="both"/>
      </w:pPr>
    </w:p>
    <w:p w14:paraId="7F2C152B" w14:textId="335D3FB7" w:rsidR="00FC45BD" w:rsidRDefault="00FC45BD">
      <w:pPr>
        <w:spacing w:line="360" w:lineRule="auto"/>
        <w:jc w:val="both"/>
        <w:rPr>
          <w:rFonts w:ascii="Book Antiqua" w:hAnsi="Book Antiqua" w:cs="Book Antiqua" w:hint="eastAsia"/>
          <w:color w:val="000000"/>
          <w:lang w:eastAsia="zh-CN"/>
        </w:rPr>
      </w:pPr>
      <w:r w:rsidRPr="00FC45BD">
        <w:rPr>
          <w:rFonts w:ascii="Book Antiqua" w:eastAsia="Book Antiqua" w:hAnsi="Book Antiqua" w:cs="Book Antiqua"/>
          <w:b/>
          <w:color w:val="000000"/>
        </w:rPr>
        <w:t>Citation:</w:t>
      </w:r>
      <w:r w:rsidRPr="00FC45BD">
        <w:rPr>
          <w:rFonts w:ascii="Book Antiqua" w:eastAsia="Book Antiqua" w:hAnsi="Book Antiqua" w:cs="Book Antiqua"/>
          <w:color w:val="000000"/>
        </w:rPr>
        <w:t xml:space="preserve"> </w:t>
      </w:r>
      <w:r w:rsidR="00E561B7">
        <w:rPr>
          <w:rFonts w:ascii="Book Antiqua" w:eastAsia="Book Antiqua" w:hAnsi="Book Antiqua" w:cs="Book Antiqua"/>
          <w:color w:val="000000"/>
        </w:rPr>
        <w:t xml:space="preserve">Zhang J, Du HM, Cheng MX, He FM, </w:t>
      </w:r>
      <w:proofErr w:type="spellStart"/>
      <w:r w:rsidR="00E561B7">
        <w:rPr>
          <w:rFonts w:ascii="Book Antiqua" w:eastAsia="Book Antiqua" w:hAnsi="Book Antiqua" w:cs="Book Antiqua"/>
          <w:color w:val="000000"/>
        </w:rPr>
        <w:t>Niu</w:t>
      </w:r>
      <w:proofErr w:type="spellEnd"/>
      <w:r w:rsidR="00E561B7">
        <w:rPr>
          <w:rFonts w:ascii="Book Antiqua" w:eastAsia="Book Antiqua" w:hAnsi="Book Antiqua" w:cs="Book Antiqua"/>
          <w:color w:val="000000"/>
        </w:rPr>
        <w:t xml:space="preserve"> BL</w:t>
      </w:r>
      <w:r w:rsidR="00E561B7">
        <w:rPr>
          <w:rFonts w:hint="eastAsia"/>
          <w:lang w:eastAsia="zh-CN"/>
        </w:rPr>
        <w:t>.</w:t>
      </w:r>
      <w:r w:rsidR="00596CC1">
        <w:rPr>
          <w:rFonts w:ascii="Book Antiqua" w:eastAsia="Book Antiqua" w:hAnsi="Book Antiqua" w:cs="Book Antiqua"/>
          <w:color w:val="000000"/>
        </w:rPr>
        <w:t xml:space="preserve"> </w:t>
      </w:r>
      <w:r w:rsidR="00FC2770">
        <w:rPr>
          <w:rFonts w:ascii="Book Antiqua" w:eastAsia="Book Antiqua" w:hAnsi="Book Antiqua" w:cs="Book Antiqua"/>
          <w:color w:val="000000"/>
        </w:rPr>
        <w:t>R</w:t>
      </w:r>
      <w:r w:rsidR="008F1C9F" w:rsidRPr="008F1C9F">
        <w:rPr>
          <w:rFonts w:ascii="Book Antiqua" w:eastAsia="Book Antiqua" w:hAnsi="Book Antiqua" w:cs="Book Antiqua"/>
          <w:color w:val="000000"/>
        </w:rPr>
        <w:t xml:space="preserve">ole of international </w:t>
      </w:r>
      <w:r w:rsidR="0094193C" w:rsidRPr="008F1C9F">
        <w:rPr>
          <w:rFonts w:ascii="Book Antiqua" w:eastAsia="Book Antiqua" w:hAnsi="Book Antiqua" w:cs="Book Antiqua"/>
          <w:color w:val="000000"/>
        </w:rPr>
        <w:t>normali</w:t>
      </w:r>
      <w:r w:rsidR="0094193C">
        <w:rPr>
          <w:rFonts w:ascii="Book Antiqua" w:eastAsia="Book Antiqua" w:hAnsi="Book Antiqua" w:cs="Book Antiqua"/>
          <w:color w:val="000000"/>
        </w:rPr>
        <w:t>z</w:t>
      </w:r>
      <w:r w:rsidR="0094193C" w:rsidRPr="008F1C9F">
        <w:rPr>
          <w:rFonts w:ascii="Book Antiqua" w:eastAsia="Book Antiqua" w:hAnsi="Book Antiqua" w:cs="Book Antiqua"/>
          <w:color w:val="000000"/>
        </w:rPr>
        <w:t xml:space="preserve">ed </w:t>
      </w:r>
      <w:r w:rsidR="008F1C9F" w:rsidRPr="008F1C9F">
        <w:rPr>
          <w:rFonts w:ascii="Book Antiqua" w:eastAsia="Book Antiqua" w:hAnsi="Book Antiqua" w:cs="Book Antiqua"/>
          <w:color w:val="000000"/>
        </w:rPr>
        <w:t xml:space="preserve">ratio in </w:t>
      </w:r>
      <w:proofErr w:type="spellStart"/>
      <w:r w:rsidR="008F1C9F" w:rsidRPr="008F1C9F">
        <w:rPr>
          <w:rFonts w:ascii="Book Antiqua" w:eastAsia="Book Antiqua" w:hAnsi="Book Antiqua" w:cs="Book Antiqua"/>
          <w:color w:val="000000"/>
        </w:rPr>
        <w:t>nonpulmonary</w:t>
      </w:r>
      <w:proofErr w:type="spellEnd"/>
      <w:r w:rsidR="008F1C9F" w:rsidRPr="008F1C9F">
        <w:rPr>
          <w:rFonts w:ascii="Book Antiqua" w:eastAsia="Book Antiqua" w:hAnsi="Book Antiqua" w:cs="Book Antiqua"/>
          <w:color w:val="000000"/>
        </w:rPr>
        <w:t xml:space="preserve"> sepsis screening: A</w:t>
      </w:r>
      <w:r w:rsidR="0094193C">
        <w:rPr>
          <w:rFonts w:ascii="Book Antiqua" w:eastAsia="Book Antiqua" w:hAnsi="Book Antiqua" w:cs="Book Antiqua"/>
          <w:color w:val="000000"/>
        </w:rPr>
        <w:t>n</w:t>
      </w:r>
      <w:r w:rsidR="008F1C9F" w:rsidRPr="008F1C9F">
        <w:rPr>
          <w:rFonts w:ascii="Book Antiqua" w:eastAsia="Book Antiqua" w:hAnsi="Book Antiqua" w:cs="Book Antiqua"/>
          <w:color w:val="000000"/>
        </w:rPr>
        <w:t xml:space="preserve"> observational study</w:t>
      </w:r>
      <w:r w:rsidR="00596CC1">
        <w:rPr>
          <w:rFonts w:ascii="Book Antiqua" w:eastAsia="Book Antiqua" w:hAnsi="Book Antiqua" w:cs="Book Antiqua"/>
          <w:color w:val="000000"/>
        </w:rPr>
        <w:t xml:space="preserve"> </w:t>
      </w:r>
      <w:r w:rsidR="00596CC1">
        <w:rPr>
          <w:rFonts w:ascii="Book Antiqua" w:eastAsia="Book Antiqua" w:hAnsi="Book Antiqua" w:cs="Book Antiqua"/>
          <w:i/>
          <w:iCs/>
          <w:color w:val="000000"/>
        </w:rPr>
        <w:t>World J Clin Cases</w:t>
      </w:r>
      <w:r w:rsidR="00596CC1">
        <w:rPr>
          <w:rFonts w:ascii="Book Antiqua" w:eastAsia="Book Antiqua" w:hAnsi="Book Antiqua" w:cs="Book Antiqua"/>
          <w:color w:val="000000"/>
        </w:rPr>
        <w:t xml:space="preserve"> 2021; </w:t>
      </w:r>
      <w:r w:rsidR="009D5851" w:rsidRPr="004C6CE2">
        <w:rPr>
          <w:rFonts w:ascii="Book Antiqua" w:eastAsia="Book Antiqua" w:hAnsi="Book Antiqua" w:cs="Book Antiqua"/>
          <w:color w:val="000000"/>
        </w:rPr>
        <w:t>9(2</w:t>
      </w:r>
      <w:r w:rsidR="009D5851">
        <w:rPr>
          <w:rFonts w:ascii="Book Antiqua" w:eastAsia="Book Antiqua" w:hAnsi="Book Antiqua" w:cs="Book Antiqua"/>
          <w:color w:val="000000"/>
        </w:rPr>
        <w:t>5</w:t>
      </w:r>
      <w:r w:rsidR="009D5851" w:rsidRPr="004C6CE2">
        <w:rPr>
          <w:rFonts w:ascii="Book Antiqua" w:eastAsia="Book Antiqua" w:hAnsi="Book Antiqua" w:cs="Book Antiqua"/>
          <w:color w:val="000000"/>
        </w:rPr>
        <w:t xml:space="preserve">): </w:t>
      </w:r>
      <w:r>
        <w:rPr>
          <w:rFonts w:ascii="Book Antiqua" w:hAnsi="Book Antiqua" w:cs="Book Antiqua" w:hint="eastAsia"/>
          <w:color w:val="000000"/>
          <w:lang w:eastAsia="zh-CN"/>
        </w:rPr>
        <w:t>7405-7416</w:t>
      </w:r>
      <w:r w:rsidR="009D5851">
        <w:rPr>
          <w:rFonts w:ascii="Book Antiqua" w:hAnsi="Book Antiqua" w:cs="Book Antiqua" w:hint="eastAsia"/>
          <w:color w:val="000000"/>
          <w:lang w:eastAsia="zh-CN"/>
        </w:rPr>
        <w:t xml:space="preserve"> </w:t>
      </w:r>
    </w:p>
    <w:p w14:paraId="62A48B78" w14:textId="079C4BF8" w:rsidR="00FC45BD" w:rsidRDefault="009D5851">
      <w:pPr>
        <w:spacing w:line="360" w:lineRule="auto"/>
        <w:jc w:val="both"/>
        <w:rPr>
          <w:rFonts w:ascii="Book Antiqua" w:hAnsi="Book Antiqua" w:cs="Book Antiqua" w:hint="eastAsia"/>
          <w:color w:val="000000"/>
          <w:lang w:eastAsia="zh-CN"/>
        </w:rPr>
      </w:pPr>
      <w:r w:rsidRPr="004C6CE2">
        <w:rPr>
          <w:rFonts w:ascii="Book Antiqua" w:eastAsia="Book Antiqua" w:hAnsi="Book Antiqua" w:cs="Book Antiqua"/>
          <w:color w:val="000000"/>
        </w:rPr>
        <w:t>URL: https://www.wjgnet.com/2307-8960/full/v9/i2</w:t>
      </w:r>
      <w:r>
        <w:rPr>
          <w:rFonts w:ascii="Book Antiqua" w:eastAsia="Book Antiqua" w:hAnsi="Book Antiqua" w:cs="Book Antiqua"/>
          <w:color w:val="000000"/>
        </w:rPr>
        <w:t>5</w:t>
      </w:r>
      <w:r w:rsidRPr="004C6CE2">
        <w:rPr>
          <w:rFonts w:ascii="Book Antiqua" w:eastAsia="Book Antiqua" w:hAnsi="Book Antiqua" w:cs="Book Antiqua"/>
          <w:color w:val="000000"/>
        </w:rPr>
        <w:t>/</w:t>
      </w:r>
      <w:r w:rsidR="00FC45BD">
        <w:rPr>
          <w:rFonts w:ascii="Book Antiqua" w:hAnsi="Book Antiqua" w:cs="Book Antiqua" w:hint="eastAsia"/>
          <w:color w:val="000000"/>
          <w:lang w:eastAsia="zh-CN"/>
        </w:rPr>
        <w:t>7405</w:t>
      </w:r>
      <w:r w:rsidRPr="004C6CE2">
        <w:rPr>
          <w:rFonts w:ascii="Book Antiqua" w:eastAsia="Book Antiqua" w:hAnsi="Book Antiqua" w:cs="Book Antiqua"/>
          <w:color w:val="000000"/>
        </w:rPr>
        <w:t xml:space="preserve">.htm  </w:t>
      </w:r>
    </w:p>
    <w:p w14:paraId="570CF64F" w14:textId="55948886" w:rsidR="00A77B3E" w:rsidRPr="00FC45BD" w:rsidRDefault="009D5851">
      <w:pPr>
        <w:spacing w:line="360" w:lineRule="auto"/>
        <w:jc w:val="both"/>
        <w:rPr>
          <w:rFonts w:hint="eastAsia"/>
          <w:lang w:eastAsia="zh-CN"/>
        </w:rPr>
      </w:pPr>
      <w:r w:rsidRPr="004C6CE2">
        <w:rPr>
          <w:rFonts w:ascii="Book Antiqua" w:eastAsia="Book Antiqua" w:hAnsi="Book Antiqua" w:cs="Book Antiqua"/>
          <w:color w:val="000000"/>
        </w:rPr>
        <w:t>DOI: https://dx.doi.org/10.12998/wjcc.v9.i2</w:t>
      </w:r>
      <w:r>
        <w:rPr>
          <w:rFonts w:ascii="Book Antiqua" w:eastAsia="Book Antiqua" w:hAnsi="Book Antiqua" w:cs="Book Antiqua"/>
          <w:color w:val="000000"/>
        </w:rPr>
        <w:t>5</w:t>
      </w:r>
      <w:r w:rsidRPr="004C6CE2">
        <w:rPr>
          <w:rFonts w:ascii="Book Antiqua" w:eastAsia="Book Antiqua" w:hAnsi="Book Antiqua" w:cs="Book Antiqua"/>
          <w:color w:val="000000"/>
        </w:rPr>
        <w:t>.</w:t>
      </w:r>
      <w:r w:rsidR="00FC45BD">
        <w:rPr>
          <w:rFonts w:ascii="Book Antiqua" w:hAnsi="Book Antiqua" w:cs="Book Antiqua" w:hint="eastAsia"/>
          <w:color w:val="000000"/>
          <w:lang w:eastAsia="zh-CN"/>
        </w:rPr>
        <w:t>7405</w:t>
      </w:r>
    </w:p>
    <w:p w14:paraId="27521462" w14:textId="77777777" w:rsidR="00A77B3E" w:rsidRDefault="00A77B3E">
      <w:pPr>
        <w:spacing w:line="360" w:lineRule="auto"/>
        <w:jc w:val="both"/>
      </w:pPr>
    </w:p>
    <w:p w14:paraId="12E4CBB8" w14:textId="1398B201" w:rsidR="00A77B3E" w:rsidRDefault="00596CC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international </w:t>
      </w:r>
      <w:r w:rsidR="0094193C">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(INR) has high specificity and sensitivity in the early identification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source of sepsis. Sepsis is highly suspected when the INR value exceeds 1.22 in patients with non-pulmonary infection, especially for those patients without preexisting underlying disease or medication history that affects coagulation function. Due to its low cost, fast detection and easy interpretation, INR is suitable for the primary screening of sepsis for emergency patients, outpatient patients, particularly in low and middle-income countries.</w:t>
      </w:r>
    </w:p>
    <w:p w14:paraId="25B503C6" w14:textId="77777777" w:rsidR="00B70B04" w:rsidRDefault="00B70B04">
      <w:pPr>
        <w:spacing w:line="360" w:lineRule="auto"/>
        <w:jc w:val="both"/>
        <w:sectPr w:rsidR="00B70B04">
          <w:pgSz w:w="12240" w:h="15840"/>
          <w:pgMar w:top="1440" w:right="1440" w:bottom="1440" w:left="1440" w:header="720" w:footer="720" w:gutter="0"/>
          <w:cols w:space="720"/>
          <w:docGrid w:linePitch="360"/>
        </w:sectPr>
      </w:pPr>
    </w:p>
    <w:p w14:paraId="2B21C41D" w14:textId="77777777" w:rsidR="00A77B3E" w:rsidRDefault="00596CC1">
      <w:pPr>
        <w:spacing w:line="360" w:lineRule="auto"/>
        <w:jc w:val="both"/>
      </w:pPr>
      <w:r>
        <w:rPr>
          <w:rFonts w:ascii="Book Antiqua" w:eastAsia="Book Antiqua" w:hAnsi="Book Antiqua" w:cs="Book Antiqua"/>
          <w:b/>
          <w:caps/>
          <w:color w:val="000000"/>
          <w:u w:val="single"/>
        </w:rPr>
        <w:lastRenderedPageBreak/>
        <w:t>INTRODUCTION</w:t>
      </w:r>
    </w:p>
    <w:p w14:paraId="496D524B" w14:textId="30553195" w:rsidR="00A77B3E" w:rsidRDefault="00596CC1">
      <w:pPr>
        <w:spacing w:line="360" w:lineRule="auto"/>
        <w:jc w:val="both"/>
      </w:pPr>
      <w:r>
        <w:rPr>
          <w:rFonts w:ascii="Book Antiqua" w:eastAsia="Book Antiqua" w:hAnsi="Book Antiqua" w:cs="Book Antiqua"/>
          <w:color w:val="000000"/>
        </w:rPr>
        <w:t xml:space="preserve">The incidence of sepsis has been increasing year by year, and it has become one of the leading causes of death in </w:t>
      </w:r>
      <w:r w:rsidR="00B70B04" w:rsidRPr="00B70B04">
        <w:rPr>
          <w:rFonts w:ascii="Book Antiqua" w:eastAsia="Book Antiqua" w:hAnsi="Book Antiqua" w:cs="Book Antiqua"/>
          <w:color w:val="000000"/>
        </w:rPr>
        <w:t>intensive care unit (ICU)</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Studies have confirmed that sepsis results in a "bimodal" distribution of death times, which are early death within a few days and late death within a few weeks or months</w:t>
      </w:r>
      <w:r>
        <w:rPr>
          <w:rFonts w:ascii="Book Antiqua" w:eastAsia="Book Antiqua" w:hAnsi="Book Antiqua" w:cs="Book Antiqua"/>
          <w:color w:val="000000"/>
          <w:vertAlign w:val="superscript"/>
        </w:rPr>
        <w:t>[2</w:t>
      </w:r>
      <w:r w:rsidR="00F00EC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Early death is mainly caused by an aggressive inflammatory response, while persistent immunosuppression leads to late death. Owing to the mechanism of late immunosuppression not being clear, immunomodulatory treatment is not yet very effective, and more than 40 </w:t>
      </w:r>
      <w:r w:rsidR="003369CF">
        <w:rPr>
          <w:rFonts w:ascii="Book Antiqua" w:eastAsia="Book Antiqua" w:hAnsi="Book Antiqua" w:cs="Book Antiqua"/>
          <w:color w:val="000000"/>
        </w:rPr>
        <w:t>l</w:t>
      </w:r>
      <w:r>
        <w:rPr>
          <w:rFonts w:ascii="Book Antiqua" w:eastAsia="Book Antiqua" w:hAnsi="Book Antiqua" w:cs="Book Antiqua"/>
          <w:color w:val="000000"/>
        </w:rPr>
        <w:t xml:space="preserve">arge clinical studies of early anti-inflammatory therapy have also failed; early recognition might be an important way to improve the treatment of sepsis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At present, Sepsis-3 is newly defined as sequential impairment of organ function due to suspected infection along with the Sequential </w:t>
      </w:r>
      <w:r w:rsidR="0094193C">
        <w:rPr>
          <w:rFonts w:ascii="Book Antiqua" w:eastAsia="Book Antiqua" w:hAnsi="Book Antiqua" w:cs="Book Antiqua"/>
          <w:color w:val="000000"/>
        </w:rPr>
        <w:t>“</w:t>
      </w:r>
      <w:r>
        <w:rPr>
          <w:rFonts w:ascii="Book Antiqua" w:eastAsia="Book Antiqua" w:hAnsi="Book Antiqua" w:cs="Book Antiqua"/>
          <w:color w:val="000000"/>
        </w:rPr>
        <w:t>Sepsis-related</w:t>
      </w:r>
      <w:r w:rsidR="0094193C">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(SOFA) score increased 2 points or more</w:t>
      </w:r>
      <w:r>
        <w:rPr>
          <w:rFonts w:ascii="Book Antiqua" w:eastAsia="Book Antiqua" w:hAnsi="Book Antiqua" w:cs="Book Antiqua"/>
          <w:color w:val="000000"/>
          <w:vertAlign w:val="superscript"/>
        </w:rPr>
        <w:t>[5]</w:t>
      </w:r>
      <w:r>
        <w:rPr>
          <w:rFonts w:ascii="Book Antiqua" w:eastAsia="Book Antiqua" w:hAnsi="Book Antiqua" w:cs="Book Antiqua"/>
          <w:color w:val="000000"/>
        </w:rPr>
        <w:t>, which emphasizes organ dysfunction caused by infection. Although Sepsis-3 increased the specificity of in-hospital diagnosis</w:t>
      </w:r>
      <w:r>
        <w:rPr>
          <w:rFonts w:ascii="Book Antiqua" w:eastAsia="Book Antiqua" w:hAnsi="Book Antiqua" w:cs="Book Antiqua"/>
          <w:color w:val="000000"/>
          <w:vertAlign w:val="superscript"/>
        </w:rPr>
        <w:t>[6]</w:t>
      </w:r>
      <w:r>
        <w:rPr>
          <w:rFonts w:ascii="Book Antiqua" w:eastAsia="Book Antiqua" w:hAnsi="Book Antiqua" w:cs="Book Antiqua"/>
          <w:color w:val="000000"/>
        </w:rPr>
        <w:t>, it was not widely used in clinical practice because of its multiple complex indicators; it is difficult to carry out rapidly and widely in low and middle-income areas, especially in emergency and outpatient departments</w:t>
      </w:r>
      <w:r w:rsidR="009B139A">
        <w:rPr>
          <w:rFonts w:ascii="Book Antiqua" w:eastAsia="Book Antiqua" w:hAnsi="Book Antiqua" w:cs="Book Antiqua"/>
          <w:color w:val="000000"/>
        </w:rPr>
        <w:t>,</w:t>
      </w:r>
      <w:r>
        <w:rPr>
          <w:rFonts w:ascii="Book Antiqua" w:eastAsia="Book Antiqua" w:hAnsi="Book Antiqua" w:cs="Book Antiqua"/>
          <w:color w:val="000000"/>
        </w:rPr>
        <w:t xml:space="preserve"> and in </w:t>
      </w:r>
      <w:proofErr w:type="spellStart"/>
      <w:r>
        <w:rPr>
          <w:rFonts w:ascii="Book Antiqua" w:eastAsia="Book Antiqua" w:hAnsi="Book Antiqua" w:cs="Book Antiqua"/>
          <w:color w:val="000000"/>
        </w:rPr>
        <w:t>nonintensive</w:t>
      </w:r>
      <w:proofErr w:type="spellEnd"/>
      <w:r>
        <w:rPr>
          <w:rFonts w:ascii="Book Antiqua" w:eastAsia="Book Antiqua" w:hAnsi="Book Antiqua" w:cs="Book Antiqua"/>
          <w:color w:val="000000"/>
        </w:rPr>
        <w:t xml:space="preserve"> care units. The quick SOFA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score, as a fast, simple</w:t>
      </w:r>
      <w:r w:rsidR="009B139A">
        <w:rPr>
          <w:rFonts w:ascii="Book Antiqua" w:eastAsia="Book Antiqua" w:hAnsi="Book Antiqua" w:cs="Book Antiqua"/>
          <w:color w:val="000000"/>
        </w:rPr>
        <w:t>,</w:t>
      </w:r>
      <w:r>
        <w:rPr>
          <w:rFonts w:ascii="Book Antiqua" w:eastAsia="Book Antiqua" w:hAnsi="Book Antiqua" w:cs="Book Antiqua"/>
          <w:color w:val="000000"/>
        </w:rPr>
        <w:t xml:space="preserve"> and noninvasive screening tool, is widely used in clinical practice. However, </w:t>
      </w:r>
      <w:proofErr w:type="spellStart"/>
      <w:r>
        <w:rPr>
          <w:rFonts w:ascii="Book Antiqua" w:eastAsia="Book Antiqua" w:hAnsi="Book Antiqua" w:cs="Book Antiqua"/>
          <w:color w:val="000000"/>
        </w:rPr>
        <w:t>Askim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80C10">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w:t>
      </w:r>
      <w:r w:rsidR="009B139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had a low sensitivity to screen sepsis, and Williams </w:t>
      </w:r>
      <w:r>
        <w:rPr>
          <w:rFonts w:ascii="Book Antiqua" w:eastAsia="Book Antiqua" w:hAnsi="Book Antiqua" w:cs="Book Antiqua"/>
          <w:i/>
          <w:iCs/>
          <w:color w:val="000000"/>
        </w:rPr>
        <w:t>et al</w:t>
      </w:r>
      <w:r w:rsidR="001064F8">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the sensitivity was only 29.7% when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was ≥</w:t>
      </w:r>
      <w:r w:rsidR="00803897">
        <w:rPr>
          <w:rFonts w:ascii="Book Antiqua" w:eastAsia="Book Antiqua" w:hAnsi="Book Antiqua" w:cs="Book Antiqua"/>
          <w:color w:val="000000"/>
        </w:rPr>
        <w:t xml:space="preserve"> </w:t>
      </w:r>
      <w:r>
        <w:rPr>
          <w:rFonts w:ascii="Book Antiqua" w:eastAsia="Book Antiqua" w:hAnsi="Book Antiqua" w:cs="Book Antiqua"/>
          <w:color w:val="000000"/>
        </w:rPr>
        <w:t xml:space="preserve">2 points for screening sepsis. Thus, </w:t>
      </w:r>
      <w:r w:rsidR="009B139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as a rapid screening tool for sepsis remains controversial. </w:t>
      </w:r>
    </w:p>
    <w:p w14:paraId="01FAE536" w14:textId="4F5C0036" w:rsidR="00A77B3E" w:rsidRDefault="00596CC1" w:rsidP="00E30EC3">
      <w:pPr>
        <w:spacing w:line="360" w:lineRule="auto"/>
        <w:ind w:firstLineChars="100" w:firstLine="240"/>
        <w:jc w:val="both"/>
      </w:pPr>
      <w:r>
        <w:rPr>
          <w:rFonts w:ascii="Book Antiqua" w:eastAsia="Book Antiqua" w:hAnsi="Book Antiqua" w:cs="Book Antiqua"/>
          <w:color w:val="000000"/>
        </w:rPr>
        <w:t xml:space="preserve">In clinical practice, the clinical symptoms of patients with pulmonary infections are often conspicuous, which are likely to arouse the vigilance and attention of clinicians. Therefore, for outpatients with pulmonary infection, sepsis screening tools usually are less necessary. </w:t>
      </w:r>
      <w:r w:rsidR="009B139A">
        <w:rPr>
          <w:rFonts w:ascii="Book Antiqua" w:eastAsia="Book Antiqua" w:hAnsi="Book Antiqua" w:cs="Book Antiqua"/>
          <w:color w:val="000000"/>
        </w:rPr>
        <w:t>However,</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infections, such as abdominal and urinary tract infections, are more likely to deteriorate into sepsis or septic shock, with the incidence of both as high as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Therefore, these patients are more likely to </w:t>
      </w:r>
      <w:r>
        <w:rPr>
          <w:rFonts w:ascii="Book Antiqua" w:eastAsia="Book Antiqua" w:hAnsi="Book Antiqua" w:cs="Book Antiqua"/>
          <w:color w:val="000000"/>
        </w:rPr>
        <w:lastRenderedPageBreak/>
        <w:t>need tools for rapid sepsis screening. Usually, a good screening tool should not only have sufficient sensitivity and specificity</w:t>
      </w:r>
      <w:r w:rsidR="009B139A">
        <w:rPr>
          <w:rFonts w:ascii="Book Antiqua" w:eastAsia="Book Antiqua" w:hAnsi="Book Antiqua" w:cs="Book Antiqua"/>
          <w:color w:val="000000"/>
        </w:rPr>
        <w:t>,</w:t>
      </w:r>
      <w:r>
        <w:rPr>
          <w:rFonts w:ascii="Book Antiqua" w:eastAsia="Book Antiqua" w:hAnsi="Book Antiqua" w:cs="Book Antiqua"/>
          <w:color w:val="000000"/>
        </w:rPr>
        <w:t xml:space="preserve"> but also be able to reflect the physiological characteristics of the disease.</w:t>
      </w:r>
    </w:p>
    <w:p w14:paraId="1137F38E" w14:textId="4B9EA5F0" w:rsidR="00A77B3E" w:rsidRDefault="00596CC1" w:rsidP="007E2D65">
      <w:pPr>
        <w:spacing w:line="360" w:lineRule="auto"/>
        <w:ind w:firstLineChars="100" w:firstLine="240"/>
        <w:jc w:val="both"/>
      </w:pPr>
      <w:r>
        <w:rPr>
          <w:rFonts w:ascii="Book Antiqua" w:eastAsia="Book Antiqua" w:hAnsi="Book Antiqua" w:cs="Book Antiqua"/>
          <w:color w:val="000000"/>
        </w:rPr>
        <w:t>Sepsis is a severe systemic inflammatory response that manifests with widespread inflammation, as well as endothelial and coagulation dysfunction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A mass of studies has shown that sepsis patients are associated with different degrees of coagulopathy, which exists over the whole process in sepsis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Stimulated by inflammatory factors, coagulopathy appears from the early pro-coagulant state of sub-clinical symptoms to the </w:t>
      </w:r>
      <w:r w:rsidR="00860480" w:rsidRPr="00CA66A8">
        <w:rPr>
          <w:rFonts w:ascii="Book Antiqua" w:eastAsia="Book Antiqua" w:hAnsi="Book Antiqua" w:cs="Book Antiqua"/>
          <w:color w:val="000000"/>
        </w:rPr>
        <w:t>disseminated intravascular coagulation</w:t>
      </w:r>
      <w:r w:rsidR="00860480">
        <w:rPr>
          <w:rFonts w:ascii="Book Antiqua" w:eastAsia="Book Antiqua" w:hAnsi="Book Antiqua" w:cs="Book Antiqua"/>
          <w:color w:val="000000"/>
        </w:rPr>
        <w:t xml:space="preserve"> (</w:t>
      </w:r>
      <w:r>
        <w:rPr>
          <w:rFonts w:ascii="Book Antiqua" w:eastAsia="Book Antiqua" w:hAnsi="Book Antiqua" w:cs="Book Antiqua"/>
          <w:color w:val="000000"/>
        </w:rPr>
        <w:t>DIC</w:t>
      </w:r>
      <w:r w:rsidR="00860480">
        <w:rPr>
          <w:rFonts w:ascii="Book Antiqua" w:eastAsia="Book Antiqua" w:hAnsi="Book Antiqua" w:cs="Book Antiqua"/>
          <w:color w:val="000000"/>
        </w:rPr>
        <w:t>)</w:t>
      </w:r>
      <w:r>
        <w:rPr>
          <w:rFonts w:ascii="Book Antiqua" w:eastAsia="Book Antiqua" w:hAnsi="Book Antiqua" w:cs="Book Antiqua"/>
          <w:color w:val="000000"/>
        </w:rPr>
        <w:t xml:space="preserve"> at the terminal stage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platelet count, an indicator of coagulopathy status, also appear in the diagnostic criteria of </w:t>
      </w:r>
      <w:r w:rsidR="009B139A">
        <w:rPr>
          <w:rFonts w:ascii="Book Antiqua" w:eastAsia="Book Antiqua" w:hAnsi="Book Antiqua" w:cs="Book Antiqua"/>
          <w:color w:val="000000"/>
        </w:rPr>
        <w:t>Sepsis</w:t>
      </w:r>
      <w:r>
        <w:rPr>
          <w:rFonts w:ascii="Book Antiqua" w:eastAsia="Book Antiqua" w:hAnsi="Book Antiqua" w:cs="Book Antiqua"/>
          <w:color w:val="000000"/>
        </w:rPr>
        <w:t>-3</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Thus, further exploration of the indicators of coagulation function status is expected to develop new screening tools for sepsis. Currently, </w:t>
      </w:r>
      <w:r w:rsidR="0056443A">
        <w:rPr>
          <w:rFonts w:ascii="Book Antiqua" w:eastAsia="Book Antiqua" w:hAnsi="Book Antiqua" w:cs="Book Antiqua"/>
          <w:color w:val="000000"/>
        </w:rPr>
        <w:t>t</w:t>
      </w:r>
      <w:r>
        <w:rPr>
          <w:rFonts w:ascii="Book Antiqua" w:eastAsia="Book Antiqua" w:hAnsi="Book Antiqua" w:cs="Book Antiqua"/>
          <w:color w:val="000000"/>
        </w:rPr>
        <w:t>here are many tools for coagulation function tests</w:t>
      </w:r>
      <w:r w:rsidR="0056443A">
        <w:rPr>
          <w:rFonts w:ascii="Book Antiqua" w:hAnsi="Book Antiqua" w:cs="Book Antiqua" w:hint="eastAsia"/>
          <w:color w:val="000000"/>
          <w:lang w:eastAsia="zh-CN"/>
        </w:rPr>
        <w:t>,</w:t>
      </w:r>
      <w:r w:rsidR="0056443A">
        <w:rPr>
          <w:rFonts w:ascii="Book Antiqua" w:hAnsi="Book Antiqua" w:cs="Book Antiqua"/>
          <w:color w:val="000000"/>
          <w:lang w:eastAsia="zh-CN"/>
        </w:rPr>
        <w:t xml:space="preserve"> </w:t>
      </w:r>
      <w:r>
        <w:rPr>
          <w:rFonts w:ascii="Book Antiqua" w:eastAsia="Book Antiqua" w:hAnsi="Book Antiqua" w:cs="Book Antiqua"/>
          <w:color w:val="000000"/>
        </w:rPr>
        <w:t xml:space="preserve">such as conventional coagulation examinations </w:t>
      </w:r>
      <w:r w:rsidR="0056443A">
        <w:rPr>
          <w:rFonts w:ascii="Book Antiqua" w:eastAsia="Book Antiqua" w:hAnsi="Book Antiqua" w:cs="Book Antiqua"/>
          <w:color w:val="000000"/>
        </w:rPr>
        <w:t>[</w:t>
      </w:r>
      <w:r>
        <w:rPr>
          <w:rFonts w:ascii="Book Antiqua" w:eastAsia="Book Antiqua" w:hAnsi="Book Antiqua" w:cs="Book Antiqua"/>
          <w:color w:val="000000"/>
        </w:rPr>
        <w:t xml:space="preserve">including parameters: </w:t>
      </w:r>
      <w:r w:rsidR="0094193C">
        <w:rPr>
          <w:rFonts w:ascii="Book Antiqua" w:eastAsia="Book Antiqua" w:hAnsi="Book Antiqua" w:cs="Book Antiqua"/>
          <w:color w:val="000000"/>
        </w:rPr>
        <w:t xml:space="preserve">Prothrombin </w:t>
      </w:r>
      <w:r>
        <w:rPr>
          <w:rFonts w:ascii="Book Antiqua" w:eastAsia="Book Antiqua" w:hAnsi="Book Antiqua" w:cs="Book Antiqua"/>
          <w:color w:val="000000"/>
        </w:rPr>
        <w:t>time (PT), activated partial thromboplastin time (APTT), international normali</w:t>
      </w:r>
      <w:r w:rsidR="00202BF8">
        <w:rPr>
          <w:rFonts w:ascii="Book Antiqua" w:eastAsia="Book Antiqua" w:hAnsi="Book Antiqua" w:cs="Book Antiqua"/>
          <w:color w:val="000000"/>
        </w:rPr>
        <w:t>z</w:t>
      </w:r>
      <w:r>
        <w:rPr>
          <w:rFonts w:ascii="Book Antiqua" w:eastAsia="Book Antiqua" w:hAnsi="Book Antiqua" w:cs="Book Antiqua"/>
          <w:color w:val="000000"/>
        </w:rPr>
        <w:t>ed ratio (INR),</w:t>
      </w:r>
      <w:r w:rsidRPr="0056443A">
        <w:rPr>
          <w:rFonts w:ascii="Book Antiqua" w:eastAsia="Book Antiqua" w:hAnsi="Book Antiqua" w:cs="Book Antiqua"/>
          <w:i/>
          <w:iCs/>
          <w:color w:val="000000"/>
        </w:rPr>
        <w:t xml:space="preserve"> etc</w:t>
      </w:r>
      <w:r w:rsidR="0094193C">
        <w:rPr>
          <w:rFonts w:ascii="Book Antiqua" w:eastAsia="Book Antiqua" w:hAnsi="Book Antiqua" w:cs="Book Antiqua"/>
          <w:i/>
          <w:iCs/>
          <w:color w:val="000000"/>
        </w:rPr>
        <w:t>.</w:t>
      </w:r>
      <w:r w:rsidR="0056443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(TEG)</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rotational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(ROTEM)</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sidRPr="00202BF8">
        <w:rPr>
          <w:rFonts w:ascii="Book Antiqua" w:eastAsia="Book Antiqua" w:hAnsi="Book Antiqua" w:cs="Book Antiqua"/>
          <w:i/>
          <w:iCs/>
          <w:color w:val="000000"/>
        </w:rPr>
        <w:t xml:space="preserve">etc. </w:t>
      </w:r>
      <w:r>
        <w:rPr>
          <w:rFonts w:ascii="Book Antiqua" w:eastAsia="Book Antiqua" w:hAnsi="Book Antiqua" w:cs="Book Antiqua"/>
          <w:color w:val="000000"/>
        </w:rPr>
        <w:t>However, TEG and ROTEM are more commonly used in cardiovascular surgery to evaluate platelet function, coagulation and fibrinolytic systems, and blood transfusion in the early resuscitation stage of trauma patients</w:t>
      </w:r>
      <w:r>
        <w:rPr>
          <w:rFonts w:ascii="Book Antiqua" w:eastAsia="Book Antiqua" w:hAnsi="Book Antiqua" w:cs="Book Antiqua"/>
          <w:color w:val="000000"/>
          <w:vertAlign w:val="superscript"/>
        </w:rPr>
        <w:t>[15</w:t>
      </w:r>
      <w:r w:rsidR="00A72FE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addition, TEG and ROTEM cannot be routinely performed in medical institutions at all levels. In contrast, the conventional coagulation examinations can be used as screening tools for the early and rapid identification of sepsis. In particular, the development of Point-of-Care INR Test further shorten its detection time</w:t>
      </w:r>
      <w:r w:rsidR="00F00EC0" w:rsidRPr="00F00EC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Currently, blood cell analysis, as a routine test, has been widely performed in clinical practice. Thus, the purpose of this study was to explore the efficiency of routine indicators of blood cells and coagulation function in the early rapid recognition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w:t>
      </w:r>
    </w:p>
    <w:p w14:paraId="2A874523" w14:textId="77777777" w:rsidR="00A77B3E" w:rsidRDefault="00A77B3E">
      <w:pPr>
        <w:spacing w:line="360" w:lineRule="auto"/>
        <w:jc w:val="both"/>
      </w:pPr>
    </w:p>
    <w:p w14:paraId="22742330" w14:textId="77777777" w:rsidR="00A77B3E" w:rsidRDefault="00596CC1">
      <w:pPr>
        <w:spacing w:line="360" w:lineRule="auto"/>
        <w:jc w:val="both"/>
      </w:pPr>
      <w:r>
        <w:rPr>
          <w:rFonts w:ascii="Book Antiqua" w:eastAsia="Book Antiqua" w:hAnsi="Book Antiqua" w:cs="Book Antiqua"/>
          <w:b/>
          <w:caps/>
          <w:color w:val="000000"/>
          <w:u w:val="single"/>
        </w:rPr>
        <w:t>MATERIALS AND METHODS</w:t>
      </w:r>
    </w:p>
    <w:p w14:paraId="5C76A940" w14:textId="77777777" w:rsidR="00A77B3E" w:rsidRDefault="00596CC1">
      <w:pPr>
        <w:spacing w:line="360" w:lineRule="auto"/>
        <w:jc w:val="both"/>
      </w:pPr>
      <w:r>
        <w:rPr>
          <w:rFonts w:ascii="Book Antiqua" w:eastAsia="Book Antiqua" w:hAnsi="Book Antiqua" w:cs="Book Antiqua"/>
          <w:b/>
          <w:bCs/>
          <w:i/>
          <w:iCs/>
          <w:color w:val="000000"/>
        </w:rPr>
        <w:t>Study population</w:t>
      </w:r>
    </w:p>
    <w:p w14:paraId="4F47DAA9" w14:textId="5DA5D3EB" w:rsidR="00A77B3E" w:rsidRDefault="00596CC1">
      <w:pPr>
        <w:spacing w:line="360" w:lineRule="auto"/>
        <w:jc w:val="both"/>
      </w:pPr>
      <w:r>
        <w:rPr>
          <w:rFonts w:ascii="Book Antiqua" w:eastAsia="Book Antiqua" w:hAnsi="Book Antiqua" w:cs="Book Antiqua"/>
          <w:color w:val="000000"/>
        </w:rPr>
        <w:lastRenderedPageBreak/>
        <w:t xml:space="preserve">This was a prospective observational study with a small sample size conducted in the Department of the Emergency and Intensive Care Unit of </w:t>
      </w:r>
      <w:r w:rsidR="00383678">
        <w:rPr>
          <w:rFonts w:ascii="Book Antiqua" w:eastAsia="Book Antiqua" w:hAnsi="Book Antiqua" w:cs="Book Antiqua"/>
          <w:color w:val="000000"/>
        </w:rPr>
        <w:t>T</w:t>
      </w:r>
      <w:r>
        <w:rPr>
          <w:rFonts w:ascii="Book Antiqua" w:eastAsia="Book Antiqua" w:hAnsi="Book Antiqua" w:cs="Book Antiqua"/>
          <w:color w:val="000000"/>
        </w:rPr>
        <w:t>he First Affiliated Hospital of Chongqing Medical University, which is a 3200-bed tertiary care teaching hospital with an annual load of approximately 154000 patients. Patients with suspected infection were enrolled in this study from August 2019 to July 2020. The study was approved by the Ethics Committee of the First Affiliated Hospital of Chongqing Medical University in compliance with the Declaration of Helsinki.</w:t>
      </w:r>
    </w:p>
    <w:p w14:paraId="129C5A24" w14:textId="5B5C3991" w:rsidR="00A77B3E" w:rsidRDefault="00596CC1">
      <w:pPr>
        <w:spacing w:line="360" w:lineRule="auto"/>
        <w:ind w:firstLine="240"/>
        <w:jc w:val="both"/>
      </w:pPr>
      <w:r>
        <w:rPr>
          <w:rFonts w:ascii="Book Antiqua" w:eastAsia="Book Antiqua" w:hAnsi="Book Antiqua" w:cs="Book Antiqua"/>
          <w:color w:val="000000"/>
        </w:rPr>
        <w:t xml:space="preserve">According to the Sepsis-3 criteria, the study subjects were divided into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and sepsis groups. There were not consecutive patients enrolled. The inclusion criteria were the following: </w:t>
      </w:r>
      <w:r w:rsidR="00A72FE7">
        <w:rPr>
          <w:rFonts w:ascii="Book Antiqua" w:eastAsia="Book Antiqua" w:hAnsi="Book Antiqua" w:cs="Book Antiqua"/>
          <w:color w:val="000000"/>
        </w:rPr>
        <w:t>A</w:t>
      </w:r>
      <w:r>
        <w:rPr>
          <w:rFonts w:ascii="Book Antiqua" w:eastAsia="Book Antiqua" w:hAnsi="Book Antiqua" w:cs="Book Antiqua"/>
          <w:color w:val="000000"/>
        </w:rPr>
        <w:t>ge &gt;</w:t>
      </w:r>
      <w:r w:rsidR="0094193C">
        <w:rPr>
          <w:rFonts w:ascii="Book Antiqua" w:eastAsia="Book Antiqua" w:hAnsi="Book Antiqua" w:cs="Book Antiqua"/>
          <w:color w:val="000000"/>
        </w:rPr>
        <w:t xml:space="preserve"> </w:t>
      </w:r>
      <w:r>
        <w:rPr>
          <w:rFonts w:ascii="Book Antiqua" w:eastAsia="Book Antiqua" w:hAnsi="Book Antiqua" w:cs="Book Antiqua"/>
          <w:color w:val="000000"/>
        </w:rPr>
        <w:t>18</w:t>
      </w:r>
      <w:r w:rsidR="00EE608A">
        <w:rPr>
          <w:rFonts w:ascii="Book Antiqua" w:eastAsia="Book Antiqua" w:hAnsi="Book Antiqua" w:cs="Book Antiqua"/>
          <w:color w:val="000000"/>
        </w:rPr>
        <w:t>-</w:t>
      </w:r>
      <w:r>
        <w:rPr>
          <w:rFonts w:ascii="Book Antiqua" w:eastAsia="Book Antiqua" w:hAnsi="Book Antiqua" w:cs="Book Antiqua"/>
          <w:color w:val="000000"/>
        </w:rPr>
        <w:t>years</w:t>
      </w:r>
      <w:r w:rsidR="00EE608A">
        <w:rPr>
          <w:rFonts w:ascii="Book Antiqua" w:eastAsia="Book Antiqua" w:hAnsi="Book Antiqua" w:cs="Book Antiqua"/>
          <w:color w:val="000000"/>
        </w:rPr>
        <w:t>-</w:t>
      </w:r>
      <w:r>
        <w:rPr>
          <w:rFonts w:ascii="Book Antiqua" w:eastAsia="Book Antiqua" w:hAnsi="Book Antiqua" w:cs="Book Antiqua"/>
          <w:color w:val="000000"/>
        </w:rPr>
        <w:t xml:space="preserve">old and not limited by sex; and patients with confirmed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infections. The exclusion criteria were the following: </w:t>
      </w:r>
      <w:r w:rsidR="00A72FE7">
        <w:rPr>
          <w:rFonts w:ascii="Book Antiqua" w:eastAsia="Book Antiqua" w:hAnsi="Book Antiqua" w:cs="Book Antiqua"/>
          <w:color w:val="000000"/>
        </w:rPr>
        <w:t>A</w:t>
      </w:r>
      <w:r>
        <w:rPr>
          <w:rFonts w:ascii="Book Antiqua" w:eastAsia="Book Antiqua" w:hAnsi="Book Antiqua" w:cs="Book Antiqua"/>
          <w:color w:val="000000"/>
        </w:rPr>
        <w:t>ge</w:t>
      </w:r>
      <w:r w:rsidR="00D94329">
        <w:rPr>
          <w:rFonts w:ascii="Book Antiqua" w:eastAsia="Book Antiqua" w:hAnsi="Book Antiqua" w:cs="Book Antiqua"/>
          <w:color w:val="000000"/>
        </w:rPr>
        <w:t xml:space="preserve"> </w:t>
      </w:r>
      <w:r>
        <w:rPr>
          <w:rFonts w:ascii="Book Antiqua" w:eastAsia="Book Antiqua" w:hAnsi="Book Antiqua" w:cs="Book Antiqua"/>
          <w:color w:val="000000"/>
        </w:rPr>
        <w:t>&lt;</w:t>
      </w:r>
      <w:r w:rsidR="00D94329">
        <w:rPr>
          <w:rFonts w:ascii="Book Antiqua" w:eastAsia="Book Antiqua" w:hAnsi="Book Antiqua" w:cs="Book Antiqua"/>
          <w:color w:val="000000"/>
        </w:rPr>
        <w:t xml:space="preserve"> </w:t>
      </w:r>
      <w:r>
        <w:rPr>
          <w:rFonts w:ascii="Book Antiqua" w:eastAsia="Book Antiqua" w:hAnsi="Book Antiqua" w:cs="Book Antiqua"/>
          <w:color w:val="000000"/>
        </w:rPr>
        <w:t>18</w:t>
      </w:r>
      <w:r w:rsidR="00EE608A">
        <w:rPr>
          <w:rFonts w:ascii="Book Antiqua" w:eastAsia="Book Antiqua" w:hAnsi="Book Antiqua" w:cs="Book Antiqua"/>
          <w:color w:val="000000"/>
        </w:rPr>
        <w:t>-</w:t>
      </w:r>
      <w:r>
        <w:rPr>
          <w:rFonts w:ascii="Book Antiqua" w:eastAsia="Book Antiqua" w:hAnsi="Book Antiqua" w:cs="Book Antiqua"/>
          <w:color w:val="000000"/>
        </w:rPr>
        <w:t>years</w:t>
      </w:r>
      <w:r w:rsidR="00EE608A">
        <w:rPr>
          <w:rFonts w:ascii="Book Antiqua" w:eastAsia="Book Antiqua" w:hAnsi="Book Antiqua" w:cs="Book Antiqua"/>
          <w:color w:val="000000"/>
        </w:rPr>
        <w:t>-</w:t>
      </w:r>
      <w:r>
        <w:rPr>
          <w:rFonts w:ascii="Book Antiqua" w:eastAsia="Book Antiqua" w:hAnsi="Book Antiqua" w:cs="Book Antiqua"/>
          <w:color w:val="000000"/>
        </w:rPr>
        <w:t xml:space="preserve">old; patients with some preexisting diseases </w:t>
      </w:r>
      <w:r w:rsidR="009B139A">
        <w:rPr>
          <w:rFonts w:ascii="Book Antiqua" w:eastAsia="Book Antiqua" w:hAnsi="Book Antiqua" w:cs="Book Antiqua"/>
          <w:color w:val="000000"/>
        </w:rPr>
        <w:t xml:space="preserve">that may have notably affected </w:t>
      </w:r>
      <w:r>
        <w:rPr>
          <w:rFonts w:ascii="Book Antiqua" w:eastAsia="Book Antiqua" w:hAnsi="Book Antiqua" w:cs="Book Antiqua"/>
          <w:color w:val="000000"/>
        </w:rPr>
        <w:t>their coagulation function</w:t>
      </w:r>
      <w:r w:rsidR="009B139A">
        <w:rPr>
          <w:rFonts w:ascii="Book Antiqua" w:eastAsia="Book Antiqua" w:hAnsi="Book Antiqua" w:cs="Book Antiqua"/>
          <w:color w:val="000000"/>
        </w:rPr>
        <w:t>,</w:t>
      </w:r>
      <w:r>
        <w:rPr>
          <w:rFonts w:ascii="Book Antiqua" w:eastAsia="Book Antiqua" w:hAnsi="Book Antiqua" w:cs="Book Antiqua"/>
          <w:color w:val="000000"/>
        </w:rPr>
        <w:t xml:space="preserve"> such as chronic liver diseases, hematologic system diseases, or patients who had previously undergone long-term treatment with immunosuppressants or anticoagulants</w:t>
      </w:r>
      <w:r w:rsidR="009B139A">
        <w:rPr>
          <w:rFonts w:ascii="Book Antiqua" w:eastAsia="Book Antiqua" w:hAnsi="Book Antiqua" w:cs="Book Antiqua"/>
          <w:color w:val="000000"/>
        </w:rPr>
        <w:t xml:space="preserve">; </w:t>
      </w:r>
      <w:r>
        <w:rPr>
          <w:rFonts w:ascii="Book Antiqua" w:eastAsia="Book Antiqua" w:hAnsi="Book Antiqua" w:cs="Book Antiqua"/>
          <w:color w:val="000000"/>
        </w:rPr>
        <w:t xml:space="preserve">and those patients with incomplete data. The sex, age, and other basic data of all of the included patients were recorded. Acute Physiology and Chronic Health Evaluation </w:t>
      </w:r>
      <w:r w:rsidR="00D94329">
        <w:rPr>
          <w:rFonts w:ascii="Book Antiqua" w:eastAsia="Book Antiqua" w:hAnsi="Book Antiqua" w:cs="Book Antiqua"/>
          <w:color w:val="000000"/>
        </w:rPr>
        <w:t>II</w:t>
      </w:r>
      <w:r>
        <w:rPr>
          <w:rFonts w:ascii="Book Antiqua" w:eastAsia="Book Antiqua" w:hAnsi="Book Antiqua" w:cs="Book Antiqua"/>
          <w:color w:val="000000"/>
        </w:rPr>
        <w:t xml:space="preserve"> (APACHE </w:t>
      </w:r>
      <w:r w:rsidR="00D94329">
        <w:rPr>
          <w:rFonts w:ascii="Book Antiqua" w:eastAsia="Book Antiqua" w:hAnsi="Book Antiqua" w:cs="Book Antiqua"/>
          <w:color w:val="000000"/>
        </w:rPr>
        <w:t>II</w:t>
      </w:r>
      <w:r>
        <w:rPr>
          <w:rFonts w:ascii="Book Antiqua" w:eastAsia="Book Antiqua" w:hAnsi="Book Antiqua" w:cs="Book Antiqua"/>
          <w:color w:val="000000"/>
        </w:rPr>
        <w:t xml:space="preserve">), SOFA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scores were assessed on the day of admission within 24 h. These indicators, </w:t>
      </w:r>
      <w:r w:rsidR="00F96B85">
        <w:rPr>
          <w:rFonts w:ascii="Book Antiqua" w:eastAsia="Book Antiqua" w:hAnsi="Book Antiqua" w:cs="Book Antiqua"/>
          <w:color w:val="000000"/>
        </w:rPr>
        <w:t xml:space="preserve">as well as </w:t>
      </w:r>
      <w:r w:rsidR="004C56B1" w:rsidRPr="004C56B1">
        <w:rPr>
          <w:rFonts w:ascii="Book Antiqua" w:eastAsia="Book Antiqua" w:hAnsi="Book Antiqua" w:cs="Book Antiqua"/>
          <w:color w:val="000000"/>
        </w:rPr>
        <w:t>white blood cell (WBC)</w:t>
      </w:r>
      <w:r>
        <w:rPr>
          <w:rFonts w:ascii="Book Antiqua" w:eastAsia="Book Antiqua" w:hAnsi="Book Antiqua" w:cs="Book Antiqua"/>
          <w:color w:val="000000"/>
        </w:rPr>
        <w:t xml:space="preserve">, neutrophil count (N#), lymphocyte count (L#), neutrophil–lymphocyte count ratio (NLCR), platelets (PLT), PT, INR and APTT, were recorded. Patients </w:t>
      </w:r>
      <w:r w:rsidR="00F96B85">
        <w:rPr>
          <w:rFonts w:ascii="Book Antiqua" w:eastAsia="Book Antiqua" w:hAnsi="Book Antiqua" w:cs="Book Antiqua"/>
          <w:color w:val="000000"/>
        </w:rPr>
        <w:t>were</w:t>
      </w:r>
      <w:r>
        <w:rPr>
          <w:rFonts w:ascii="Book Antiqua" w:eastAsia="Book Antiqua" w:hAnsi="Book Antiqua" w:cs="Book Antiqua"/>
          <w:color w:val="000000"/>
        </w:rPr>
        <w:t xml:space="preserve"> assigned to the sepsis group when their SOFA score increase</w:t>
      </w:r>
      <w:r w:rsidR="00F96B85">
        <w:rPr>
          <w:rFonts w:ascii="Book Antiqua" w:eastAsia="Book Antiqua" w:hAnsi="Book Antiqua" w:cs="Book Antiqua"/>
          <w:color w:val="000000"/>
        </w:rPr>
        <w:t>d</w:t>
      </w:r>
      <w:r>
        <w:rPr>
          <w:rFonts w:ascii="Book Antiqua" w:eastAsia="Book Antiqua" w:hAnsi="Book Antiqua" w:cs="Book Antiqua"/>
          <w:color w:val="000000"/>
        </w:rPr>
        <w:t xml:space="preserve"> by 2 or more points, that is, when they met the diagnostic criteria for </w:t>
      </w:r>
      <w:r w:rsidR="009B139A">
        <w:rPr>
          <w:rFonts w:ascii="Book Antiqua" w:eastAsia="Book Antiqua" w:hAnsi="Book Antiqua" w:cs="Book Antiqua"/>
          <w:color w:val="000000"/>
        </w:rPr>
        <w:t>S</w:t>
      </w:r>
      <w:r>
        <w:rPr>
          <w:rFonts w:ascii="Book Antiqua" w:eastAsia="Book Antiqua" w:hAnsi="Book Antiqua" w:cs="Book Antiqua"/>
          <w:color w:val="000000"/>
        </w:rPr>
        <w:t xml:space="preserve">epsis-3. </w:t>
      </w:r>
    </w:p>
    <w:p w14:paraId="133ADB44" w14:textId="77777777" w:rsidR="00A77B3E" w:rsidRDefault="00A77B3E">
      <w:pPr>
        <w:spacing w:line="360" w:lineRule="auto"/>
        <w:ind w:firstLine="240"/>
        <w:jc w:val="both"/>
      </w:pPr>
    </w:p>
    <w:p w14:paraId="53FA7E6B" w14:textId="77777777" w:rsidR="00A77B3E" w:rsidRDefault="00596CC1">
      <w:pPr>
        <w:spacing w:line="360" w:lineRule="auto"/>
        <w:jc w:val="both"/>
      </w:pPr>
      <w:r>
        <w:rPr>
          <w:rFonts w:ascii="Book Antiqua" w:eastAsia="Book Antiqua" w:hAnsi="Book Antiqua" w:cs="Book Antiqua"/>
          <w:b/>
          <w:bCs/>
          <w:i/>
          <w:iCs/>
          <w:color w:val="000000"/>
        </w:rPr>
        <w:t>Defining suspected infection and low-medium-high risk of sepsis</w:t>
      </w:r>
    </w:p>
    <w:p w14:paraId="4BD0A9FC" w14:textId="2E741D14" w:rsidR="00A77B3E" w:rsidRDefault="00596CC1">
      <w:pPr>
        <w:spacing w:line="360" w:lineRule="auto"/>
        <w:jc w:val="both"/>
      </w:pPr>
      <w:r>
        <w:rPr>
          <w:rFonts w:ascii="Book Antiqua" w:eastAsia="Book Antiqua" w:hAnsi="Book Antiqua" w:cs="Book Antiqua"/>
          <w:color w:val="000000"/>
        </w:rPr>
        <w:t xml:space="preserve">The first suspected infections were defined as a combination of antibiotics (either orally or intravenously) and body fluid cultures (pleural effusion, blood, abdominal effusion, urine, </w:t>
      </w:r>
      <w:r w:rsidRPr="004824A3">
        <w:rPr>
          <w:rFonts w:ascii="Book Antiqua" w:eastAsia="Book Antiqua" w:hAnsi="Book Antiqua" w:cs="Book Antiqua"/>
          <w:i/>
          <w:iCs/>
          <w:color w:val="000000"/>
        </w:rPr>
        <w:t>etc</w:t>
      </w:r>
      <w:r w:rsidR="0094193C">
        <w:rPr>
          <w:rFonts w:ascii="Book Antiqua" w:eastAsia="Book Antiqua" w:hAnsi="Book Antiqua" w:cs="Book Antiqua"/>
          <w:i/>
          <w:iCs/>
          <w:color w:val="000000"/>
        </w:rPr>
        <w:t>.</w:t>
      </w:r>
      <w:r>
        <w:rPr>
          <w:rFonts w:ascii="Book Antiqua" w:eastAsia="Book Antiqua" w:hAnsi="Book Antiqua" w:cs="Book Antiqua"/>
          <w:color w:val="000000"/>
        </w:rPr>
        <w:t>). We need make sure that the combination of culture and antibiotics occurred within a specific time frame. If antibiotics were given first, culture samples need be obtain</w:t>
      </w:r>
      <w:r w:rsidRPr="002A73D8">
        <w:rPr>
          <w:rFonts w:ascii="Book Antiqua" w:eastAsia="Book Antiqua" w:hAnsi="Book Antiqua" w:cs="Book Antiqua"/>
          <w:color w:val="000000"/>
        </w:rPr>
        <w:t xml:space="preserve">ed within 24 h. If culture samples were performed firstly, antibiotics must be </w:t>
      </w:r>
      <w:r w:rsidRPr="002A73D8">
        <w:rPr>
          <w:rFonts w:ascii="Book Antiqua" w:eastAsia="Book Antiqua" w:hAnsi="Book Antiqua" w:cs="Book Antiqua"/>
          <w:color w:val="000000"/>
        </w:rPr>
        <w:lastRenderedPageBreak/>
        <w:t>given within 24 h. The time at which either of the above two events occurred was defined as the "onset" of infection. The sites of infection in deep tissue were determined by CT scan, while superficial lesions could be identified by physical examination. In order to obtain the predictive efficacy of different INR values on the low, medium and high risk of sepsis, we defined the positive</w:t>
      </w:r>
      <w:r>
        <w:rPr>
          <w:rFonts w:ascii="Book Antiqua" w:eastAsia="Book Antiqua" w:hAnsi="Book Antiqua" w:cs="Book Antiqua"/>
          <w:color w:val="000000"/>
        </w:rPr>
        <w:t xml:space="preserve"> predictive rate below 10%, around 50%</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above 85% as low, medium and high risk of sepsis, respectively. </w:t>
      </w:r>
    </w:p>
    <w:p w14:paraId="1F15FD98" w14:textId="77777777" w:rsidR="00A77B3E" w:rsidRDefault="00A77B3E">
      <w:pPr>
        <w:spacing w:line="360" w:lineRule="auto"/>
        <w:jc w:val="both"/>
      </w:pPr>
    </w:p>
    <w:p w14:paraId="29AE69EA" w14:textId="77777777" w:rsidR="00A77B3E" w:rsidRDefault="00596CC1">
      <w:pPr>
        <w:spacing w:line="360" w:lineRule="auto"/>
        <w:jc w:val="both"/>
      </w:pPr>
      <w:r>
        <w:rPr>
          <w:rFonts w:ascii="Book Antiqua" w:eastAsia="Book Antiqua" w:hAnsi="Book Antiqua" w:cs="Book Antiqua"/>
          <w:b/>
          <w:bCs/>
          <w:i/>
          <w:iCs/>
          <w:color w:val="000000"/>
        </w:rPr>
        <w:t>Relevant biomarkers and determination</w:t>
      </w:r>
    </w:p>
    <w:p w14:paraId="23220A9B" w14:textId="06E4E9D3" w:rsidR="00A77B3E" w:rsidRDefault="00596CC1">
      <w:pPr>
        <w:spacing w:line="360" w:lineRule="auto"/>
        <w:jc w:val="both"/>
      </w:pPr>
      <w:r>
        <w:rPr>
          <w:rFonts w:ascii="Book Antiqua" w:eastAsia="Book Antiqua" w:hAnsi="Book Antiqua" w:cs="Book Antiqua"/>
          <w:color w:val="000000"/>
        </w:rPr>
        <w:t>Peripheral venous blood samples were collected immediately after admission. Peripheral blood cell (including WBC, L#, N#, NLCR, PLT) were analyzed by the Sysmex XN-9000 (Kobe, Japan) through flow cytometry, and coagulation tests (including INR, PT, APTT) were measured with the Sysmex CS-5100 (Shanghai, China). All the tests were carried out in the Medical Laboratory of our hospital according to the standard procedures, the quality of which have been certified by the American Society of Pathologists.</w:t>
      </w:r>
    </w:p>
    <w:p w14:paraId="6BFD928E" w14:textId="77777777" w:rsidR="00A77B3E" w:rsidRDefault="00A77B3E">
      <w:pPr>
        <w:spacing w:line="360" w:lineRule="auto"/>
        <w:jc w:val="both"/>
      </w:pPr>
    </w:p>
    <w:p w14:paraId="79EC3EE7" w14:textId="77777777" w:rsidR="00A77B3E" w:rsidRDefault="00596CC1">
      <w:pPr>
        <w:spacing w:line="360" w:lineRule="auto"/>
        <w:jc w:val="both"/>
      </w:pPr>
      <w:r>
        <w:rPr>
          <w:rFonts w:ascii="Book Antiqua" w:eastAsia="Book Antiqua" w:hAnsi="Book Antiqua" w:cs="Book Antiqua"/>
          <w:b/>
          <w:bCs/>
          <w:i/>
          <w:iCs/>
          <w:color w:val="000000"/>
        </w:rPr>
        <w:t>Statistical analysis</w:t>
      </w:r>
    </w:p>
    <w:p w14:paraId="773624B7" w14:textId="754DAEC5" w:rsidR="00A77B3E" w:rsidRDefault="00596CC1">
      <w:pPr>
        <w:spacing w:line="360" w:lineRule="auto"/>
        <w:jc w:val="both"/>
      </w:pPr>
      <w:r>
        <w:rPr>
          <w:rFonts w:ascii="Book Antiqua" w:eastAsia="Book Antiqua" w:hAnsi="Book Antiqua" w:cs="Book Antiqua"/>
          <w:color w:val="000000"/>
        </w:rPr>
        <w:t>The SPSS software, version 24.0 (IBM Corp. Armonk, NY, U</w:t>
      </w:r>
      <w:r w:rsidR="007749C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7749CC">
        <w:rPr>
          <w:rFonts w:ascii="Book Antiqua" w:eastAsia="Book Antiqua" w:hAnsi="Book Antiqua" w:cs="Book Antiqua"/>
          <w:color w:val="000000"/>
        </w:rPr>
        <w:t>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version 19.0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Belgium) were used for statistical analysis. All of the measured data in this study were subject to normal distributions, which were analyzed by the Kolmogorov-Smirnov test. Data were expressed as mean ± </w:t>
      </w:r>
      <w:r w:rsidR="0094193C">
        <w:rPr>
          <w:rFonts w:ascii="Book Antiqua" w:eastAsia="Book Antiqua" w:hAnsi="Book Antiqua" w:cs="Book Antiqua"/>
          <w:color w:val="000000"/>
        </w:rPr>
        <w:t>SD</w:t>
      </w:r>
      <w:r>
        <w:rPr>
          <w:rFonts w:ascii="Book Antiqua" w:eastAsia="Book Antiqua" w:hAnsi="Book Antiqua" w:cs="Book Antiqua"/>
          <w:color w:val="000000"/>
        </w:rPr>
        <w:t xml:space="preserve">. For comparisons of two independent group of samples,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employed. The chi-square test was used to compare the composition ratio between the two groups. Logistic regression analysis was performed to analyze the significance of INR in the early identifying of sepsis, through the univariate and multivariate analysis (forward, LR). The receiver operating characteristic (ROC) curves were plotted by the software. INR, PT, PLT, WBC, NLCR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were compared for their efficacy in the early identification of sepsis, according to the area under their ROC curves (AUC). The cut-off points, sensitivities, specificities, positive predictive values, and negative predictive </w:t>
      </w:r>
      <w:r>
        <w:rPr>
          <w:rFonts w:ascii="Book Antiqua" w:eastAsia="Book Antiqua" w:hAnsi="Book Antiqua" w:cs="Book Antiqua"/>
          <w:color w:val="000000"/>
        </w:rPr>
        <w:lastRenderedPageBreak/>
        <w:t xml:space="preserve">values of these indicators were, respectively, calculated to evaluate their diagnostic efficiency. Relationship of INR value with SOFA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and APACHE II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were analyzed through Spearman’s rank correlation. </w:t>
      </w:r>
    </w:p>
    <w:p w14:paraId="732B89F9" w14:textId="77777777" w:rsidR="00A77B3E" w:rsidRDefault="00A77B3E">
      <w:pPr>
        <w:spacing w:line="360" w:lineRule="auto"/>
        <w:jc w:val="both"/>
      </w:pPr>
    </w:p>
    <w:p w14:paraId="6858FB48" w14:textId="77777777" w:rsidR="00A77B3E" w:rsidRDefault="00596CC1">
      <w:pPr>
        <w:spacing w:line="360" w:lineRule="auto"/>
        <w:jc w:val="both"/>
      </w:pPr>
      <w:r>
        <w:rPr>
          <w:rFonts w:ascii="Book Antiqua" w:eastAsia="Book Antiqua" w:hAnsi="Book Antiqua" w:cs="Book Antiqua"/>
          <w:b/>
          <w:caps/>
          <w:color w:val="000000"/>
          <w:u w:val="single"/>
        </w:rPr>
        <w:t>RESULTS</w:t>
      </w:r>
    </w:p>
    <w:p w14:paraId="38ACF3AA" w14:textId="01FF7D47" w:rsidR="00A77B3E" w:rsidRDefault="00596CC1">
      <w:pPr>
        <w:spacing w:line="360" w:lineRule="auto"/>
        <w:jc w:val="both"/>
      </w:pPr>
      <w:r>
        <w:rPr>
          <w:rFonts w:ascii="Book Antiqua" w:eastAsia="Book Antiqua" w:hAnsi="Book Antiqua" w:cs="Book Antiqua"/>
          <w:b/>
          <w:bCs/>
          <w:i/>
          <w:iCs/>
          <w:color w:val="000000"/>
        </w:rPr>
        <w:t>Patient enro</w:t>
      </w:r>
      <w:r w:rsidR="00F96B85">
        <w:rPr>
          <w:rFonts w:ascii="Book Antiqua" w:eastAsia="Book Antiqua" w:hAnsi="Book Antiqua" w:cs="Book Antiqua"/>
          <w:b/>
          <w:bCs/>
          <w:i/>
          <w:iCs/>
          <w:color w:val="000000"/>
        </w:rPr>
        <w:t>l</w:t>
      </w:r>
      <w:r>
        <w:rPr>
          <w:rFonts w:ascii="Book Antiqua" w:eastAsia="Book Antiqua" w:hAnsi="Book Antiqua" w:cs="Book Antiqua"/>
          <w:b/>
          <w:bCs/>
          <w:i/>
          <w:iCs/>
          <w:color w:val="000000"/>
        </w:rPr>
        <w:t>lment and comparison of baseline characteristics</w:t>
      </w:r>
    </w:p>
    <w:p w14:paraId="5E0C99EC" w14:textId="036ACC8A" w:rsidR="00A77B3E" w:rsidRDefault="00596CC1">
      <w:pPr>
        <w:spacing w:line="360" w:lineRule="auto"/>
        <w:jc w:val="both"/>
      </w:pPr>
      <w:r>
        <w:rPr>
          <w:rFonts w:ascii="Book Antiqua" w:eastAsia="Book Antiqua" w:hAnsi="Book Antiqua" w:cs="Book Antiqua"/>
          <w:color w:val="000000"/>
        </w:rPr>
        <w:t xml:space="preserve">301 patients were initially enrolled in this study, of whom 201 met all the inclusion criteria and were identified as study subjects (Figure 1). The baseline characteristics of the patients are shown in Table 1. There were no differences between the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and sepsis groups in sex, age, or infection site (all </w:t>
      </w:r>
      <w:r>
        <w:rPr>
          <w:rFonts w:ascii="Book Antiqua" w:eastAsia="Book Antiqua" w:hAnsi="Book Antiqua" w:cs="Book Antiqua"/>
          <w:i/>
          <w:iCs/>
          <w:color w:val="000000"/>
        </w:rPr>
        <w:t xml:space="preserve">P </w:t>
      </w:r>
      <w:r>
        <w:rPr>
          <w:rFonts w:ascii="Book Antiqua" w:eastAsia="Book Antiqua" w:hAnsi="Book Antiqua" w:cs="Book Antiqua"/>
          <w:color w:val="000000"/>
        </w:rPr>
        <w:t>&gt;</w:t>
      </w:r>
      <w:r w:rsidR="00CF26B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indicating that the baseline data were comparable. </w:t>
      </w:r>
    </w:p>
    <w:p w14:paraId="2479D26B" w14:textId="399E18B4" w:rsidR="00A77B3E" w:rsidRDefault="00596CC1" w:rsidP="00BA0039">
      <w:pPr>
        <w:spacing w:line="360" w:lineRule="auto"/>
        <w:ind w:firstLineChars="100" w:firstLine="240"/>
        <w:jc w:val="both"/>
      </w:pPr>
      <w:r>
        <w:rPr>
          <w:rFonts w:ascii="Book Antiqua" w:eastAsia="Book Antiqua" w:hAnsi="Book Antiqua" w:cs="Book Antiqua"/>
          <w:color w:val="000000"/>
        </w:rPr>
        <w:t>The comparison of WBC, NLCR, INR, PLT, PT, APTT and other indices and levels b</w:t>
      </w:r>
      <w:bookmarkStart w:id="6" w:name="_Hlk76464918"/>
      <w:r>
        <w:rPr>
          <w:rFonts w:ascii="Book Antiqua" w:eastAsia="Book Antiqua" w:hAnsi="Book Antiqua" w:cs="Book Antiqua"/>
          <w:color w:val="000000"/>
        </w:rPr>
        <w:t xml:space="preserve">etween the sepsis and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groups is shown in Table 2, and it was found that all of them were significantly higher in the sepsis group than in the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8640C1">
        <w:rPr>
          <w:rFonts w:ascii="Book Antiqua" w:eastAsia="Book Antiqua" w:hAnsi="Book Antiqua" w:cs="Book Antiqua"/>
          <w:color w:val="000000"/>
        </w:rPr>
        <w:t xml:space="preserve"> </w:t>
      </w:r>
      <w:r>
        <w:rPr>
          <w:rFonts w:ascii="Book Antiqua" w:eastAsia="Book Antiqua" w:hAnsi="Book Antiqua" w:cs="Book Antiqua"/>
          <w:color w:val="000000"/>
        </w:rPr>
        <w:t>0.05).</w:t>
      </w:r>
      <w:bookmarkEnd w:id="6"/>
    </w:p>
    <w:p w14:paraId="708A2AFC" w14:textId="77777777" w:rsidR="00A77B3E" w:rsidRDefault="00A77B3E">
      <w:pPr>
        <w:spacing w:line="360" w:lineRule="auto"/>
        <w:jc w:val="both"/>
      </w:pPr>
    </w:p>
    <w:p w14:paraId="1FF58A17" w14:textId="77777777" w:rsidR="00246766" w:rsidRPr="00246766" w:rsidRDefault="00596CC1">
      <w:pPr>
        <w:spacing w:line="360" w:lineRule="auto"/>
        <w:jc w:val="both"/>
        <w:rPr>
          <w:rFonts w:ascii="Book Antiqua" w:eastAsia="Book Antiqua" w:hAnsi="Book Antiqua" w:cs="Book Antiqua"/>
          <w:b/>
          <w:bCs/>
          <w:i/>
          <w:iCs/>
          <w:color w:val="000000"/>
        </w:rPr>
      </w:pPr>
      <w:r w:rsidRPr="00246766">
        <w:rPr>
          <w:rFonts w:ascii="Book Antiqua" w:eastAsia="Book Antiqua" w:hAnsi="Book Antiqua" w:cs="Book Antiqua"/>
          <w:b/>
          <w:bCs/>
          <w:i/>
          <w:iCs/>
          <w:color w:val="000000"/>
        </w:rPr>
        <w:t>Analysis of factors influencing the identification of sepsis</w:t>
      </w:r>
    </w:p>
    <w:p w14:paraId="70B5F98E" w14:textId="09AA45E2" w:rsidR="00A77B3E" w:rsidRPr="00246766" w:rsidRDefault="00596CC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Univariate and multivariate analyses</w:t>
      </w:r>
      <w:r>
        <w:rPr>
          <w:rFonts w:ascii="Book Antiqua" w:eastAsia="Book Antiqua" w:hAnsi="Book Antiqua" w:cs="Book Antiqua"/>
          <w:i/>
          <w:iCs/>
          <w:color w:val="000000"/>
        </w:rPr>
        <w:t xml:space="preserve"> </w:t>
      </w:r>
      <w:r>
        <w:rPr>
          <w:rFonts w:ascii="Book Antiqua" w:eastAsia="Book Antiqua" w:hAnsi="Book Antiqua" w:cs="Book Antiqua"/>
          <w:color w:val="000000"/>
        </w:rPr>
        <w:t>for the diagnosis of sepsis showed that WBC, NLCR, the INR, PLT, PT, APTT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were of significance in the diagnosis of sepsis (</w:t>
      </w:r>
      <w:r>
        <w:rPr>
          <w:rFonts w:ascii="Book Antiqua" w:eastAsia="Book Antiqua" w:hAnsi="Book Antiqua" w:cs="Book Antiqua"/>
          <w:i/>
          <w:iCs/>
          <w:color w:val="000000"/>
        </w:rPr>
        <w:t>P</w:t>
      </w:r>
      <w:r w:rsidR="00FA7BE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A7BE2">
        <w:rPr>
          <w:rFonts w:ascii="Book Antiqua" w:eastAsia="Book Antiqua" w:hAnsi="Book Antiqua" w:cs="Book Antiqua"/>
          <w:color w:val="000000"/>
        </w:rPr>
        <w:t xml:space="preserve"> </w:t>
      </w:r>
      <w:r>
        <w:rPr>
          <w:rFonts w:ascii="Book Antiqua" w:eastAsia="Book Antiqua" w:hAnsi="Book Antiqua" w:cs="Book Antiqua"/>
          <w:color w:val="000000"/>
        </w:rPr>
        <w:t>0.05) (Table 3). Logistic regression multivariate analysis was performed on WBC, NLCR, the INR, PLT, PT , APTT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among which WBC, NLCR, the INR,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PT were statistically significant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0.875, 95%C</w:t>
      </w:r>
      <w:r w:rsidR="005F2FE6">
        <w:rPr>
          <w:rFonts w:ascii="Book Antiqua" w:eastAsia="Book Antiqua" w:hAnsi="Book Antiqua" w:cs="Book Antiqua"/>
          <w:color w:val="000000"/>
        </w:rPr>
        <w:t>I:</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0.772-0.992, </w:t>
      </w:r>
      <w:r>
        <w:rPr>
          <w:rFonts w:ascii="Book Antiqua" w:eastAsia="Book Antiqua" w:hAnsi="Book Antiqua" w:cs="Book Antiqua"/>
          <w:i/>
          <w:iCs/>
          <w:color w:val="000000"/>
        </w:rPr>
        <w:t>P</w:t>
      </w:r>
      <w:r w:rsidR="00DE61C4">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0.037;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1.145,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1.069-1.226,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27.106,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5.038-145.825,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OR=0.981,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0.97-0.991,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 = 1.475,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1.032-2.106, </w:t>
      </w:r>
      <w:r>
        <w:rPr>
          <w:rFonts w:ascii="Book Antiqua" w:eastAsia="Book Antiqua" w:hAnsi="Book Antiqua" w:cs="Book Antiqua"/>
          <w:i/>
          <w:iCs/>
          <w:color w:val="000000"/>
        </w:rPr>
        <w:t>P</w:t>
      </w:r>
      <w:r w:rsidR="005F2FE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0.033, respectively); Thus, WBC, NLCR, the INR,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PT were associated with the diagnosis of sepsis, while APTT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were not.</w:t>
      </w:r>
    </w:p>
    <w:p w14:paraId="1033B8BF" w14:textId="77777777" w:rsidR="00A77B3E" w:rsidRDefault="00A77B3E">
      <w:pPr>
        <w:spacing w:line="360" w:lineRule="auto"/>
        <w:jc w:val="both"/>
      </w:pPr>
    </w:p>
    <w:p w14:paraId="2B432A1D" w14:textId="77777777" w:rsidR="00A77B3E" w:rsidRPr="00DE61C4" w:rsidRDefault="00596CC1">
      <w:pPr>
        <w:spacing w:line="360" w:lineRule="auto"/>
        <w:jc w:val="both"/>
        <w:rPr>
          <w:i/>
          <w:iCs/>
        </w:rPr>
      </w:pPr>
      <w:r w:rsidRPr="00DE61C4">
        <w:rPr>
          <w:rFonts w:ascii="Book Antiqua" w:eastAsia="Book Antiqua" w:hAnsi="Book Antiqua" w:cs="Book Antiqua"/>
          <w:b/>
          <w:bCs/>
          <w:i/>
          <w:iCs/>
          <w:color w:val="000000"/>
        </w:rPr>
        <w:t xml:space="preserve">Comparative analysis of ROC curves </w:t>
      </w:r>
    </w:p>
    <w:p w14:paraId="4AB37340" w14:textId="2BA4F465" w:rsidR="00A77B3E" w:rsidRPr="00701963"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ROC curve analysis displayed that the INR had the largest AUC value for the diagnosis of sepsis: 0.918</w:t>
      </w:r>
      <w:r w:rsidR="00DE61C4">
        <w:rPr>
          <w:rFonts w:ascii="Book Antiqua" w:eastAsia="Book Antiqua" w:hAnsi="Book Antiqua" w:cs="Book Antiqua"/>
          <w:color w:val="000000"/>
        </w:rPr>
        <w:t xml:space="preserve"> </w:t>
      </w:r>
      <w:r>
        <w:rPr>
          <w:rFonts w:ascii="Book Antiqua" w:eastAsia="Book Antiqua" w:hAnsi="Book Antiqua" w:cs="Book Antiqua"/>
          <w:color w:val="000000"/>
        </w:rPr>
        <w:t>(95%CI: 0.857-0.959) (Figure 2</w:t>
      </w:r>
      <w:r w:rsidR="00701963">
        <w:rPr>
          <w:rFonts w:ascii="Book Antiqua" w:eastAsia="Book Antiqua" w:hAnsi="Book Antiqua" w:cs="Book Antiqua"/>
          <w:color w:val="000000"/>
        </w:rPr>
        <w:t xml:space="preserve"> and</w:t>
      </w:r>
      <w:r w:rsidR="00701963">
        <w:rPr>
          <w:rFonts w:ascii="Book Antiqua" w:hAnsi="Book Antiqua" w:cs="Book Antiqua" w:hint="eastAsia"/>
          <w:color w:val="000000"/>
          <w:lang w:eastAsia="zh-CN"/>
        </w:rPr>
        <w:t xml:space="preserve"> </w:t>
      </w:r>
      <w:r>
        <w:rPr>
          <w:rFonts w:ascii="Book Antiqua" w:eastAsia="Book Antiqua" w:hAnsi="Book Antiqua" w:cs="Book Antiqua"/>
          <w:color w:val="000000"/>
        </w:rPr>
        <w:t>Table 4). The AUC values for other biomarkers were, respectively, as follows: PT 0.868 (95%CI: 0.796-0.921); PLT 0.841</w:t>
      </w:r>
      <w:r w:rsidR="003E3BFE">
        <w:rPr>
          <w:rFonts w:ascii="Book Antiqua" w:eastAsia="Book Antiqua" w:hAnsi="Book Antiqua" w:cs="Book Antiqua"/>
          <w:color w:val="000000"/>
        </w:rPr>
        <w:t xml:space="preserve"> </w:t>
      </w:r>
      <w:r>
        <w:rPr>
          <w:rFonts w:ascii="Book Antiqua" w:eastAsia="Book Antiqua" w:hAnsi="Book Antiqua" w:cs="Book Antiqua"/>
          <w:color w:val="000000"/>
        </w:rPr>
        <w:t xml:space="preserve">(95%CI: 0.766-0.9); NLCR 0.83 (95%CI: 0.754-0.891);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0.638 (95%CI: 0.548-0.721)</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WBC 0.599 (95%CI: 0.508-0.684). The sensitivity, specificity, positive predictive value (PPV), and negative predictive value (NPV) for WBC, NLCR, the INR, PT,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are depicted in Table 4. The sensitivity and specificity were 90.0% (95%CI: </w:t>
      </w:r>
      <w:r w:rsidR="00EC7A4B">
        <w:rPr>
          <w:rFonts w:ascii="Book Antiqua" w:eastAsia="Book Antiqua" w:hAnsi="Book Antiqua" w:cs="Book Antiqua"/>
          <w:color w:val="000000"/>
        </w:rPr>
        <w:t>0.</w:t>
      </w:r>
      <w:r>
        <w:rPr>
          <w:rFonts w:ascii="Book Antiqua" w:eastAsia="Book Antiqua" w:hAnsi="Book Antiqua" w:cs="Book Antiqua"/>
          <w:color w:val="000000"/>
        </w:rPr>
        <w:t>805-</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959) and 84.48% </w:t>
      </w:r>
      <w:r w:rsidR="00DE61C4">
        <w:rPr>
          <w:rFonts w:ascii="Book Antiqua" w:eastAsia="Book Antiqua" w:hAnsi="Book Antiqua" w:cs="Book Antiqua"/>
          <w:color w:val="000000"/>
        </w:rPr>
        <w:t>(</w:t>
      </w:r>
      <w:r>
        <w:rPr>
          <w:rFonts w:ascii="Book Antiqua" w:eastAsia="Book Antiqua" w:hAnsi="Book Antiqua" w:cs="Book Antiqua"/>
          <w:color w:val="000000"/>
        </w:rPr>
        <w:t xml:space="preserve">95%CI: </w:t>
      </w:r>
      <w:r w:rsidR="00EC7A4B">
        <w:rPr>
          <w:rFonts w:ascii="Book Antiqua" w:eastAsia="Book Antiqua" w:hAnsi="Book Antiqua" w:cs="Book Antiqua"/>
          <w:color w:val="000000"/>
        </w:rPr>
        <w:t>0.</w:t>
      </w:r>
      <w:r>
        <w:rPr>
          <w:rFonts w:ascii="Book Antiqua" w:eastAsia="Book Antiqua" w:hAnsi="Book Antiqua" w:cs="Book Antiqua"/>
          <w:color w:val="000000"/>
        </w:rPr>
        <w:t>726-</w:t>
      </w:r>
      <w:r w:rsidR="00EC7A4B">
        <w:rPr>
          <w:rFonts w:ascii="Book Antiqua" w:eastAsia="Book Antiqua" w:hAnsi="Book Antiqua" w:cs="Book Antiqua"/>
          <w:color w:val="000000"/>
        </w:rPr>
        <w:t>0.</w:t>
      </w:r>
      <w:r>
        <w:rPr>
          <w:rFonts w:ascii="Book Antiqua" w:eastAsia="Book Antiqua" w:hAnsi="Book Antiqua" w:cs="Book Antiqua"/>
          <w:color w:val="000000"/>
        </w:rPr>
        <w:t>927</w:t>
      </w:r>
      <w:r w:rsidR="00DE61C4">
        <w:rPr>
          <w:rFonts w:ascii="Book Antiqua" w:eastAsia="Book Antiqua" w:hAnsi="Book Antiqua" w:cs="Book Antiqua"/>
          <w:color w:val="000000"/>
        </w:rPr>
        <w:t>)</w:t>
      </w:r>
      <w:r>
        <w:rPr>
          <w:rFonts w:ascii="Book Antiqua" w:eastAsia="Book Antiqua" w:hAnsi="Book Antiqua" w:cs="Book Antiqua"/>
          <w:color w:val="000000"/>
        </w:rPr>
        <w:t xml:space="preserve">, and the PPV and NPV were 87.5% (95%CI: </w:t>
      </w:r>
      <w:r w:rsidR="00EC7A4B">
        <w:rPr>
          <w:rFonts w:ascii="Book Antiqua" w:eastAsia="Book Antiqua" w:hAnsi="Book Antiqua" w:cs="Book Antiqua"/>
          <w:color w:val="000000"/>
        </w:rPr>
        <w:t>0.</w:t>
      </w:r>
      <w:r>
        <w:rPr>
          <w:rFonts w:ascii="Book Antiqua" w:eastAsia="Book Antiqua" w:hAnsi="Book Antiqua" w:cs="Book Antiqua"/>
          <w:color w:val="000000"/>
        </w:rPr>
        <w:t>793-</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928) and 87.5% (95%CI: </w:t>
      </w:r>
      <w:r w:rsidR="00EC7A4B">
        <w:rPr>
          <w:rFonts w:ascii="Book Antiqua" w:eastAsia="Book Antiqua" w:hAnsi="Book Antiqua" w:cs="Book Antiqua"/>
          <w:color w:val="000000"/>
        </w:rPr>
        <w:t>0.</w:t>
      </w:r>
      <w:r>
        <w:rPr>
          <w:rFonts w:ascii="Book Antiqua" w:eastAsia="Book Antiqua" w:hAnsi="Book Antiqua" w:cs="Book Antiqua"/>
          <w:color w:val="000000"/>
        </w:rPr>
        <w:t>775-</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934), respectively, when the INR cutoff value was 1.22. </w:t>
      </w:r>
    </w:p>
    <w:p w14:paraId="61593A7C" w14:textId="77777777" w:rsidR="00A77B3E" w:rsidRDefault="00A77B3E">
      <w:pPr>
        <w:spacing w:line="360" w:lineRule="auto"/>
        <w:jc w:val="both"/>
      </w:pPr>
    </w:p>
    <w:p w14:paraId="372597E4" w14:textId="10C706B5" w:rsidR="00A77B3E" w:rsidRPr="008F19B0" w:rsidRDefault="00596CC1">
      <w:pPr>
        <w:spacing w:line="360" w:lineRule="auto"/>
        <w:jc w:val="both"/>
        <w:rPr>
          <w:i/>
          <w:iCs/>
        </w:rPr>
      </w:pPr>
      <w:r w:rsidRPr="008F19B0">
        <w:rPr>
          <w:rFonts w:ascii="Book Antiqua" w:eastAsia="Book Antiqua" w:hAnsi="Book Antiqua" w:cs="Book Antiqua"/>
          <w:b/>
          <w:bCs/>
          <w:i/>
          <w:iCs/>
          <w:color w:val="000000"/>
        </w:rPr>
        <w:t xml:space="preserve">The correlation of </w:t>
      </w:r>
      <w:r w:rsidR="00860480">
        <w:rPr>
          <w:rFonts w:ascii="Book Antiqua" w:eastAsia="Book Antiqua" w:hAnsi="Book Antiqua" w:cs="Book Antiqua"/>
          <w:b/>
          <w:bCs/>
          <w:i/>
          <w:iCs/>
          <w:color w:val="000000"/>
        </w:rPr>
        <w:t>INR</w:t>
      </w:r>
      <w:r w:rsidR="00860480" w:rsidRPr="008F19B0">
        <w:rPr>
          <w:rFonts w:ascii="Book Antiqua" w:eastAsia="Book Antiqua" w:hAnsi="Book Antiqua" w:cs="Book Antiqua"/>
          <w:b/>
          <w:bCs/>
          <w:i/>
          <w:iCs/>
          <w:color w:val="000000"/>
        </w:rPr>
        <w:t xml:space="preserve"> </w:t>
      </w:r>
      <w:r w:rsidRPr="008F19B0">
        <w:rPr>
          <w:rFonts w:ascii="Book Antiqua" w:eastAsia="Book Antiqua" w:hAnsi="Book Antiqua" w:cs="Book Antiqua"/>
          <w:b/>
          <w:bCs/>
          <w:i/>
          <w:iCs/>
          <w:color w:val="000000"/>
        </w:rPr>
        <w:t xml:space="preserve">with </w:t>
      </w:r>
      <w:r w:rsidR="00860480">
        <w:rPr>
          <w:rFonts w:ascii="Book Antiqua" w:eastAsia="Book Antiqua" w:hAnsi="Book Antiqua" w:cs="Book Antiqua"/>
          <w:b/>
          <w:bCs/>
          <w:i/>
          <w:iCs/>
          <w:color w:val="000000"/>
        </w:rPr>
        <w:t>SOFA</w:t>
      </w:r>
      <w:r w:rsidRPr="008F19B0">
        <w:rPr>
          <w:rFonts w:ascii="Book Antiqua" w:eastAsia="Book Antiqua" w:hAnsi="Book Antiqua" w:cs="Book Antiqua"/>
          <w:b/>
          <w:bCs/>
          <w:i/>
          <w:iCs/>
          <w:color w:val="000000"/>
        </w:rPr>
        <w:t xml:space="preserve"> and </w:t>
      </w:r>
      <w:r w:rsidR="00860480" w:rsidRPr="00202BF8">
        <w:rPr>
          <w:rFonts w:ascii="Book Antiqua" w:eastAsia="Book Antiqua" w:hAnsi="Book Antiqua" w:cs="Book Antiqua"/>
          <w:b/>
          <w:bCs/>
          <w:i/>
          <w:iCs/>
          <w:color w:val="000000"/>
        </w:rPr>
        <w:t>APACHE II</w:t>
      </w:r>
      <w:r w:rsidRPr="008F19B0">
        <w:rPr>
          <w:rFonts w:ascii="Book Antiqua" w:eastAsia="Book Antiqua" w:hAnsi="Book Antiqua" w:cs="Book Antiqua"/>
          <w:b/>
          <w:bCs/>
          <w:i/>
          <w:iCs/>
          <w:color w:val="000000"/>
        </w:rPr>
        <w:t xml:space="preserve"> </w:t>
      </w:r>
      <w:r w:rsidR="003D0F65">
        <w:rPr>
          <w:rFonts w:ascii="Book Antiqua" w:eastAsia="Book Antiqua" w:hAnsi="Book Antiqua" w:cs="Book Antiqua"/>
          <w:b/>
          <w:bCs/>
          <w:i/>
          <w:iCs/>
          <w:color w:val="000000"/>
        </w:rPr>
        <w:t>s</w:t>
      </w:r>
      <w:r w:rsidRPr="008F19B0">
        <w:rPr>
          <w:rFonts w:ascii="Book Antiqua" w:eastAsia="Book Antiqua" w:hAnsi="Book Antiqua" w:cs="Book Antiqua"/>
          <w:b/>
          <w:bCs/>
          <w:i/>
          <w:iCs/>
          <w:color w:val="000000"/>
        </w:rPr>
        <w:t xml:space="preserve">core, and low-medium-high risk of sepsis according to </w:t>
      </w:r>
      <w:r w:rsidR="00860480">
        <w:rPr>
          <w:rFonts w:ascii="Book Antiqua" w:eastAsia="Book Antiqua" w:hAnsi="Book Antiqua" w:cs="Book Antiqua"/>
          <w:b/>
          <w:bCs/>
          <w:i/>
          <w:iCs/>
          <w:color w:val="000000"/>
        </w:rPr>
        <w:t>INR</w:t>
      </w:r>
    </w:p>
    <w:p w14:paraId="3840CE6F" w14:textId="439E8190" w:rsidR="00A77B3E" w:rsidRDefault="00596CC1">
      <w:pPr>
        <w:spacing w:line="360" w:lineRule="auto"/>
        <w:jc w:val="both"/>
      </w:pPr>
      <w:r>
        <w:rPr>
          <w:rFonts w:ascii="Book Antiqua" w:eastAsia="Book Antiqua" w:hAnsi="Book Antiqua" w:cs="Book Antiqua"/>
          <w:color w:val="000000"/>
        </w:rPr>
        <w:t xml:space="preserve">Since SOFA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and </w:t>
      </w:r>
      <w:r w:rsidR="00860480" w:rsidRPr="00202BF8">
        <w:rPr>
          <w:rFonts w:ascii="Book Antiqua" w:eastAsia="Book Antiqua" w:hAnsi="Book Antiqua" w:cs="Book Antiqua"/>
          <w:color w:val="000000"/>
        </w:rPr>
        <w:t>APACHE</w:t>
      </w:r>
      <w:r>
        <w:rPr>
          <w:rFonts w:ascii="Book Antiqua" w:eastAsia="Book Antiqua" w:hAnsi="Book Antiqua" w:cs="Book Antiqua"/>
          <w:color w:val="000000"/>
        </w:rPr>
        <w:t xml:space="preserve"> II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are not Gaussian distribution, Spearman’s rank correlation method was used. It can be found that there is a strong correlation between INR value and SOFA </w:t>
      </w:r>
      <w:r w:rsidR="003D0F65">
        <w:rPr>
          <w:rFonts w:ascii="Book Antiqua" w:eastAsia="Book Antiqua" w:hAnsi="Book Antiqua" w:cs="Book Antiqua"/>
          <w:color w:val="000000"/>
        </w:rPr>
        <w:t>s</w:t>
      </w:r>
      <w:r>
        <w:rPr>
          <w:rFonts w:ascii="Book Antiqua" w:eastAsia="Book Antiqua" w:hAnsi="Book Antiqua" w:cs="Book Antiqua"/>
          <w:color w:val="000000"/>
        </w:rPr>
        <w:t>core (</w:t>
      </w:r>
      <w:r w:rsidRPr="0036525D">
        <w:rPr>
          <w:rFonts w:ascii="Book Antiqua" w:eastAsia="Book Antiqua" w:hAnsi="Book Antiqua" w:cs="Book Antiqua"/>
          <w:i/>
          <w:iCs/>
          <w:color w:val="000000"/>
        </w:rPr>
        <w:t>r</w:t>
      </w:r>
      <w:r w:rsidR="0036525D">
        <w:rPr>
          <w:rFonts w:ascii="Book Antiqua" w:eastAsia="Book Antiqua" w:hAnsi="Book Antiqua" w:cs="Book Antiqua"/>
          <w:color w:val="000000"/>
        </w:rPr>
        <w:t xml:space="preserve"> </w:t>
      </w:r>
      <w:r>
        <w:rPr>
          <w:rFonts w:ascii="Book Antiqua" w:eastAsia="Book Antiqua" w:hAnsi="Book Antiqua" w:cs="Book Antiqua"/>
          <w:color w:val="000000"/>
        </w:rPr>
        <w: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0.660, 95%CI: 0.574-0.731,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while there is a weak correlation between INR value and Apache II </w:t>
      </w:r>
      <w:r w:rsidR="003D0F65">
        <w:rPr>
          <w:rFonts w:ascii="Book Antiqua" w:eastAsia="Book Antiqua" w:hAnsi="Book Antiqua" w:cs="Book Antiqua"/>
          <w:color w:val="000000"/>
        </w:rPr>
        <w:t>s</w:t>
      </w:r>
      <w:r>
        <w:rPr>
          <w:rFonts w:ascii="Book Antiqua" w:eastAsia="Book Antiqua" w:hAnsi="Book Antiqua" w:cs="Book Antiqua"/>
          <w:color w:val="000000"/>
        </w:rPr>
        <w:t>core (</w:t>
      </w:r>
      <w:r w:rsidRPr="0036525D">
        <w:rPr>
          <w:rFonts w:ascii="Book Antiqua" w:eastAsia="Book Antiqua" w:hAnsi="Book Antiqua" w:cs="Book Antiqua"/>
          <w:i/>
          <w:iCs/>
          <w:color w:val="000000"/>
        </w:rPr>
        <w:t>r</w:t>
      </w:r>
      <w:r w:rsidR="0036525D">
        <w:rPr>
          <w:rFonts w:ascii="Book Antiqua" w:eastAsia="Book Antiqua" w:hAnsi="Book Antiqua" w:cs="Book Antiqua"/>
          <w:color w:val="000000"/>
        </w:rPr>
        <w:t xml:space="preserve"> </w:t>
      </w:r>
      <w:r>
        <w:rPr>
          <w:rFonts w:ascii="Book Antiqua" w:eastAsia="Book Antiqua" w:hAnsi="Book Antiqua" w:cs="Book Antiqua"/>
          <w:color w:val="000000"/>
        </w:rPr>
        <w: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0.457, 95%CI: 0.341-0.560,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0.001). When INR value was less than or equal to 1.17, 1.20 and greater than or equal to 1.22, respectively, with PPV of 8.24%, 55.6% and 87.5%, there were low, medium, and high risk of sepsis (Figure 3)</w:t>
      </w:r>
      <w:r w:rsidR="00860480">
        <w:rPr>
          <w:rFonts w:ascii="Book Antiqua" w:eastAsia="Book Antiqua" w:hAnsi="Book Antiqua" w:cs="Book Antiqua"/>
          <w:color w:val="000000"/>
        </w:rPr>
        <w:t>.</w:t>
      </w:r>
    </w:p>
    <w:p w14:paraId="293C528A" w14:textId="77777777" w:rsidR="00A77B3E" w:rsidRDefault="00A77B3E">
      <w:pPr>
        <w:spacing w:line="360" w:lineRule="auto"/>
        <w:jc w:val="both"/>
      </w:pPr>
    </w:p>
    <w:p w14:paraId="0A374649" w14:textId="77777777" w:rsidR="00A77B3E" w:rsidRDefault="00596CC1">
      <w:pPr>
        <w:spacing w:line="360" w:lineRule="auto"/>
        <w:jc w:val="both"/>
      </w:pPr>
      <w:r>
        <w:rPr>
          <w:rFonts w:ascii="Book Antiqua" w:eastAsia="Book Antiqua" w:hAnsi="Book Antiqua" w:cs="Book Antiqua"/>
          <w:b/>
          <w:caps/>
          <w:color w:val="000000"/>
          <w:u w:val="single"/>
        </w:rPr>
        <w:t>DISCUSSION</w:t>
      </w:r>
    </w:p>
    <w:p w14:paraId="0590234F" w14:textId="4036C50F" w:rsidR="00A77B3E" w:rsidRPr="00CA66A8" w:rsidRDefault="00596CC1">
      <w:pPr>
        <w:spacing w:line="360" w:lineRule="auto"/>
        <w:jc w:val="both"/>
      </w:pPr>
      <w:r>
        <w:rPr>
          <w:rFonts w:ascii="Book Antiqua" w:eastAsia="Book Antiqua" w:hAnsi="Book Antiqua" w:cs="Book Antiqua"/>
          <w:color w:val="000000"/>
        </w:rPr>
        <w:t>Early diagnosis and timely treatment of sepsis can improve the prognosis and reduce the mortality of sepsis.</w:t>
      </w:r>
      <w:r w:rsidRPr="00CA66A8">
        <w:rPr>
          <w:rFonts w:ascii="Book Antiqua" w:eastAsia="Book Antiqua" w:hAnsi="Book Antiqua" w:cs="Book Antiqua"/>
          <w:color w:val="000000"/>
        </w:rPr>
        <w:t xml:space="preserve"> Although Sepsis-3 revealed organ dysfunction caused by infection, it is difficult to diagnose early for patients who have severe infections not reaching significant organ failure</w:t>
      </w:r>
      <w:r w:rsidR="00F00EC0" w:rsidRPr="00CA66A8">
        <w:rPr>
          <w:rFonts w:ascii="Book Antiqua" w:eastAsia="Book Antiqua" w:hAnsi="Book Antiqua" w:cs="Book Antiqua"/>
          <w:color w:val="000000"/>
          <w:vertAlign w:val="superscript"/>
        </w:rPr>
        <w:t>[</w:t>
      </w:r>
      <w:hyperlink w:anchor="_ENREF_13" w:tooltip="Sartelli, 2018 #1457" w:history="1">
        <w:r w:rsidRPr="00CA66A8">
          <w:rPr>
            <w:rFonts w:ascii="Book Antiqua" w:eastAsia="Book Antiqua" w:hAnsi="Book Antiqua" w:cs="Book Antiqua"/>
            <w:color w:val="000000"/>
            <w:vertAlign w:val="superscript"/>
          </w:rPr>
          <w:t>13</w:t>
        </w:r>
      </w:hyperlink>
      <w:r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In clinical practice, blood culture is still used to diagnose sepsis. Due to culture</w:t>
      </w:r>
      <w:r w:rsidR="00F96B85">
        <w:rPr>
          <w:rFonts w:ascii="Book Antiqua" w:eastAsia="Book Antiqua" w:hAnsi="Book Antiqua" w:cs="Book Antiqua"/>
          <w:color w:val="000000"/>
        </w:rPr>
        <w:t xml:space="preserve"> time,</w:t>
      </w:r>
      <w:r w:rsidRPr="00CA66A8">
        <w:rPr>
          <w:rFonts w:ascii="Book Antiqua" w:eastAsia="Book Antiqua" w:hAnsi="Book Antiqua" w:cs="Book Antiqua"/>
          <w:color w:val="000000"/>
        </w:rPr>
        <w:t xml:space="preserve"> will take a longer time and has a less positive rate, it usually lead</w:t>
      </w:r>
      <w:r w:rsidR="00F96B85">
        <w:rPr>
          <w:rFonts w:ascii="Book Antiqua" w:eastAsia="Book Antiqua" w:hAnsi="Book Antiqua" w:cs="Book Antiqua"/>
          <w:color w:val="000000"/>
        </w:rPr>
        <w:t>s</w:t>
      </w:r>
      <w:r w:rsidRPr="00CA66A8">
        <w:rPr>
          <w:rFonts w:ascii="Book Antiqua" w:eastAsia="Book Antiqua" w:hAnsi="Book Antiqua" w:cs="Book Antiqua"/>
          <w:color w:val="000000"/>
        </w:rPr>
        <w:t xml:space="preserve"> to delayed and missed diagnoses of sepsis. Exploring new and effective markers for the screening of sepsis is necessary. </w:t>
      </w:r>
      <w:proofErr w:type="spellStart"/>
      <w:r w:rsidRPr="00CA66A8">
        <w:rPr>
          <w:rFonts w:ascii="Book Antiqua" w:eastAsia="Book Antiqua" w:hAnsi="Book Antiqua" w:cs="Book Antiqua"/>
          <w:color w:val="000000"/>
        </w:rPr>
        <w:t>Zboromyrska</w:t>
      </w:r>
      <w:proofErr w:type="spellEnd"/>
      <w:r w:rsidRPr="00CA66A8">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335DCD" w:rsidRPr="00CA66A8">
        <w:rPr>
          <w:rFonts w:ascii="Book Antiqua" w:eastAsia="Book Antiqua" w:hAnsi="Book Antiqua" w:cs="Book Antiqua"/>
          <w:color w:val="000000"/>
          <w:vertAlign w:val="superscript"/>
        </w:rPr>
        <w:t>[</w:t>
      </w:r>
      <w:hyperlink w:anchor="_ENREF_18" w:tooltip="Zboromyrska, 2019 #104" w:history="1">
        <w:r w:rsidR="00335DCD" w:rsidRPr="00CA66A8">
          <w:rPr>
            <w:rFonts w:ascii="Book Antiqua" w:eastAsia="Book Antiqua" w:hAnsi="Book Antiqua" w:cs="Book Antiqua"/>
            <w:color w:val="000000"/>
            <w:vertAlign w:val="superscript"/>
          </w:rPr>
          <w:t>18</w:t>
        </w:r>
      </w:hyperlink>
      <w:r w:rsidR="00335DCD"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studied multiplex </w:t>
      </w:r>
      <w:r w:rsidRPr="00CA66A8">
        <w:rPr>
          <w:rFonts w:ascii="Book Antiqua" w:eastAsia="Book Antiqua" w:hAnsi="Book Antiqua" w:cs="Book Antiqua"/>
          <w:color w:val="000000"/>
        </w:rPr>
        <w:lastRenderedPageBreak/>
        <w:t xml:space="preserve">real-time polymerase chain reaction, the </w:t>
      </w:r>
      <w:proofErr w:type="spellStart"/>
      <w:r w:rsidRPr="00CA66A8">
        <w:rPr>
          <w:rFonts w:ascii="Book Antiqua" w:eastAsia="Book Antiqua" w:hAnsi="Book Antiqua" w:cs="Book Antiqua"/>
          <w:color w:val="000000"/>
        </w:rPr>
        <w:t>Magicplex</w:t>
      </w:r>
      <w:r w:rsidRPr="001550C2">
        <w:rPr>
          <w:rFonts w:ascii="Book Antiqua" w:eastAsia="Book Antiqua" w:hAnsi="Book Antiqua" w:cs="Book Antiqua"/>
          <w:color w:val="000000"/>
          <w:vertAlign w:val="superscript"/>
        </w:rPr>
        <w:t>TM</w:t>
      </w:r>
      <w:proofErr w:type="spellEnd"/>
      <w:r w:rsidRPr="00CA66A8">
        <w:rPr>
          <w:rFonts w:ascii="Book Antiqua" w:eastAsia="Book Antiqua" w:hAnsi="Book Antiqua" w:cs="Book Antiqua"/>
          <w:color w:val="000000"/>
        </w:rPr>
        <w:t xml:space="preserve"> Sepsis test, the specificity of which was up to 95%, while the sensitivity was only 29%. </w:t>
      </w:r>
      <w:r w:rsidR="001C2405" w:rsidRPr="00CA66A8">
        <w:rPr>
          <w:rFonts w:ascii="Book Antiqua" w:eastAsia="Book Antiqua" w:hAnsi="Book Antiqua" w:cs="Book Antiqua"/>
          <w:color w:val="000000"/>
        </w:rPr>
        <w:t>Dong</w:t>
      </w:r>
      <w:r w:rsidRPr="00CA66A8">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1C2405" w:rsidRPr="00CA66A8">
        <w:rPr>
          <w:rFonts w:ascii="Book Antiqua" w:eastAsia="Book Antiqua" w:hAnsi="Book Antiqua" w:cs="Book Antiqua"/>
          <w:color w:val="000000"/>
          <w:vertAlign w:val="superscript"/>
        </w:rPr>
        <w:t>[</w:t>
      </w:r>
      <w:hyperlink w:anchor="_ENREF_19" w:tooltip="Dong, 2019 #115" w:history="1">
        <w:r w:rsidR="001C2405" w:rsidRPr="00CA66A8">
          <w:rPr>
            <w:rFonts w:ascii="Book Antiqua" w:eastAsia="Book Antiqua" w:hAnsi="Book Antiqua" w:cs="Book Antiqua"/>
            <w:color w:val="000000"/>
            <w:vertAlign w:val="superscript"/>
          </w:rPr>
          <w:t>19</w:t>
        </w:r>
      </w:hyperlink>
      <w:r w:rsidR="001C2405"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members of the miR-148 family (miR-148A/B and miR-152) were candidate biomarkers for sepsis by studying the Gene Expression Omnibus dataset GSE12624, but further study is required to evaluate the diagnostic performance.</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Guo </w:t>
      </w:r>
      <w:r w:rsidRPr="00CA66A8">
        <w:rPr>
          <w:rFonts w:ascii="Book Antiqua" w:eastAsia="Book Antiqua" w:hAnsi="Book Antiqua" w:cs="Book Antiqua"/>
          <w:i/>
          <w:iCs/>
          <w:color w:val="000000"/>
        </w:rPr>
        <w:t>et al</w:t>
      </w:r>
      <w:r w:rsidR="00CA66A8" w:rsidRPr="00CA66A8">
        <w:rPr>
          <w:rFonts w:ascii="Book Antiqua" w:eastAsia="Book Antiqua" w:hAnsi="Book Antiqua" w:cs="Book Antiqua"/>
          <w:color w:val="000000"/>
          <w:vertAlign w:val="superscript"/>
        </w:rPr>
        <w:t>[</w:t>
      </w:r>
      <w:hyperlink w:anchor="_ENREF_20" w:tooltip="Guo, 2019 #112" w:history="1">
        <w:r w:rsidR="00CA66A8" w:rsidRPr="00CA66A8">
          <w:rPr>
            <w:rFonts w:ascii="Book Antiqua" w:eastAsia="Book Antiqua" w:hAnsi="Book Antiqua" w:cs="Book Antiqua"/>
            <w:color w:val="000000"/>
            <w:vertAlign w:val="superscript"/>
          </w:rPr>
          <w:t>20</w:t>
        </w:r>
      </w:hyperlink>
      <w:r w:rsidR="00CA66A8"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the AUC value of miR-495 in the diagnosis of sepsis was 0.915 when the cutoff value was 0.655, the sensitivity was 89.5%, and the specificity was 83.0%. Although all these new markers have their own advantages, the disadvantage is that their detection takes a long time, costs a lot, and </w:t>
      </w:r>
      <w:r w:rsidR="00F96B85">
        <w:rPr>
          <w:rFonts w:ascii="Book Antiqua" w:eastAsia="Book Antiqua" w:hAnsi="Book Antiqua" w:cs="Book Antiqua"/>
          <w:color w:val="000000"/>
        </w:rPr>
        <w:t xml:space="preserve">has </w:t>
      </w:r>
      <w:r w:rsidRPr="00CA66A8">
        <w:rPr>
          <w:rFonts w:ascii="Book Antiqua" w:eastAsia="Book Antiqua" w:hAnsi="Book Antiqua" w:cs="Book Antiqua"/>
          <w:color w:val="000000"/>
        </w:rPr>
        <w:t xml:space="preserve">limited efficiency, which is difficult to carry out in economically underdeveloped areas. As we learn more about the pathophysiology of sepsis, we may be able to go back and develop new screening indicators for tests routinely performed in the laboratory. </w:t>
      </w:r>
    </w:p>
    <w:p w14:paraId="7B067DD4" w14:textId="415FEC9E" w:rsidR="00A77B3E" w:rsidRPr="00CA66A8" w:rsidRDefault="00596CC1" w:rsidP="00AC1958">
      <w:pPr>
        <w:spacing w:line="360" w:lineRule="auto"/>
        <w:ind w:firstLineChars="100" w:firstLine="240"/>
        <w:jc w:val="both"/>
      </w:pPr>
      <w:r w:rsidRPr="00CA66A8">
        <w:rPr>
          <w:rFonts w:ascii="Book Antiqua" w:eastAsia="Book Antiqua" w:hAnsi="Book Antiqua" w:cs="Book Antiqua"/>
          <w:color w:val="000000"/>
        </w:rPr>
        <w:t>Coagulopathy is one of the characteristic pathophysiological changes of sepsis, which exists across the whole process in sepsis and is a critical factor for the occurrence, development</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and prognosis of sepsis</w:t>
      </w:r>
      <w:r w:rsidR="00F00EC0" w:rsidRPr="00B47627">
        <w:rPr>
          <w:rFonts w:ascii="Book Antiqua" w:eastAsia="Book Antiqua" w:hAnsi="Book Antiqua" w:cs="Book Antiqua"/>
          <w:color w:val="000000"/>
          <w:vertAlign w:val="superscript"/>
        </w:rPr>
        <w:t>[</w:t>
      </w:r>
      <w:hyperlink w:anchor="_ENREF_21" w:tooltip="Gando, 2016 #66" w:history="1">
        <w:r w:rsidRPr="00B47627">
          <w:rPr>
            <w:rFonts w:ascii="Book Antiqua" w:eastAsia="Book Antiqua" w:hAnsi="Book Antiqua" w:cs="Book Antiqua"/>
            <w:color w:val="000000"/>
            <w:vertAlign w:val="superscript"/>
          </w:rPr>
          <w:t>21</w:t>
        </w:r>
      </w:hyperlink>
      <w:r w:rsidRPr="00B47627">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With the persistence of infection or sepsis, the consumption of coagulation factors and decrease of platelets will occur, as well as the bleeding and dysfunction of the skin, mucous membranes and other organs, constituting DIC</w:t>
      </w:r>
      <w:r w:rsidR="00F00EC0" w:rsidRPr="00C96476">
        <w:rPr>
          <w:rFonts w:ascii="Book Antiqua" w:eastAsia="Book Antiqua" w:hAnsi="Book Antiqua" w:cs="Book Antiqua"/>
          <w:color w:val="000000"/>
          <w:vertAlign w:val="superscript"/>
        </w:rPr>
        <w:t>[</w:t>
      </w:r>
      <w:hyperlink w:anchor="_ENREF_22" w:tooltip="Levi, 2017 #51" w:history="1">
        <w:r w:rsidRPr="00C96476">
          <w:rPr>
            <w:rFonts w:ascii="Book Antiqua" w:eastAsia="Book Antiqua" w:hAnsi="Book Antiqua" w:cs="Book Antiqua"/>
            <w:color w:val="000000"/>
            <w:vertAlign w:val="superscript"/>
          </w:rPr>
          <w:t>22</w:t>
        </w:r>
      </w:hyperlink>
      <w:r w:rsidRPr="00C96476">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Therefore, the indicators related to coagulation function have great potential to be used as screening indicators for sepsis. Zhang </w:t>
      </w:r>
      <w:r w:rsidRPr="00CA66A8">
        <w:rPr>
          <w:rFonts w:ascii="Book Antiqua" w:eastAsia="Book Antiqua" w:hAnsi="Book Antiqua" w:cs="Book Antiqua"/>
          <w:i/>
          <w:iCs/>
          <w:color w:val="000000"/>
        </w:rPr>
        <w:t>et al</w:t>
      </w:r>
      <w:r w:rsidR="00032CCB" w:rsidRPr="00032CCB">
        <w:rPr>
          <w:rFonts w:ascii="Book Antiqua" w:eastAsia="Book Antiqua" w:hAnsi="Book Antiqua" w:cs="Book Antiqua"/>
          <w:color w:val="000000"/>
          <w:vertAlign w:val="superscript"/>
        </w:rPr>
        <w:t>[</w:t>
      </w:r>
      <w:hyperlink w:anchor="_ENREF_23" w:tooltip="Zhang, 2019 #94" w:history="1">
        <w:r w:rsidR="00032CCB" w:rsidRPr="00032CCB">
          <w:rPr>
            <w:rFonts w:ascii="Book Antiqua" w:eastAsia="Book Antiqua" w:hAnsi="Book Antiqua" w:cs="Book Antiqua"/>
            <w:color w:val="000000"/>
            <w:vertAlign w:val="superscript"/>
          </w:rPr>
          <w:t>23</w:t>
        </w:r>
      </w:hyperlink>
      <w:r w:rsidR="00032CCB" w:rsidRPr="00032CCB">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the AUC of PT for the diagnosis of sepsis was 0.806 when the cutoff value was 20, and the sensitivity and the specificity were 83.54% and 65.22%, respectively. In this study, we investigated common indicators of coagulation function and some markers of inflammation, such as WBC, NLCR, PLT, INR, PT, APTT, and </w:t>
      </w:r>
      <w:proofErr w:type="spellStart"/>
      <w:r w:rsidRPr="00CA66A8">
        <w:rPr>
          <w:rFonts w:ascii="Book Antiqua" w:eastAsia="Book Antiqua" w:hAnsi="Book Antiqua" w:cs="Book Antiqua"/>
          <w:color w:val="000000"/>
        </w:rPr>
        <w:t>qSOFA</w:t>
      </w:r>
      <w:proofErr w:type="spellEnd"/>
      <w:r w:rsidRPr="00CA66A8">
        <w:rPr>
          <w:rFonts w:ascii="Book Antiqua" w:eastAsia="Book Antiqua" w:hAnsi="Book Antiqua" w:cs="Book Antiqua"/>
          <w:color w:val="000000"/>
        </w:rPr>
        <w:t xml:space="preserve"> scores, in the identification efficiency of adult </w:t>
      </w:r>
      <w:proofErr w:type="spellStart"/>
      <w:r w:rsidRPr="00CA66A8">
        <w:rPr>
          <w:rFonts w:ascii="Book Antiqua" w:eastAsia="Book Antiqua" w:hAnsi="Book Antiqua" w:cs="Book Antiqua"/>
          <w:color w:val="000000"/>
        </w:rPr>
        <w:t>nonpulmonary</w:t>
      </w:r>
      <w:proofErr w:type="spellEnd"/>
      <w:r w:rsidRPr="00CA66A8">
        <w:rPr>
          <w:rFonts w:ascii="Book Antiqua" w:eastAsia="Book Antiqua" w:hAnsi="Book Antiqua" w:cs="Book Antiqua"/>
          <w:color w:val="000000"/>
        </w:rPr>
        <w:t xml:space="preserve"> infectious sepsis. As for procalcitonin, there have been quite a lot of relevant studies reported</w:t>
      </w:r>
      <w:r w:rsidR="00F00EC0" w:rsidRPr="003F675C">
        <w:rPr>
          <w:rFonts w:ascii="Book Antiqua" w:eastAsia="Book Antiqua" w:hAnsi="Book Antiqua" w:cs="Book Antiqua"/>
          <w:color w:val="000000"/>
          <w:vertAlign w:val="superscript"/>
        </w:rPr>
        <w:t>[</w:t>
      </w:r>
      <w:hyperlink w:anchor="_ENREF_24" w:tooltip="Mierzchała-Pasierb, 2019 #1462" w:history="1">
        <w:r w:rsidRPr="003F675C">
          <w:rPr>
            <w:rFonts w:ascii="Book Antiqua" w:eastAsia="Book Antiqua" w:hAnsi="Book Antiqua" w:cs="Book Antiqua"/>
            <w:color w:val="000000"/>
            <w:vertAlign w:val="superscript"/>
          </w:rPr>
          <w:t>24-29</w:t>
        </w:r>
      </w:hyperlink>
      <w:r w:rsidRPr="003F675C">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In addition, procalcitonin is not a routine test item that can be carried out in all economically</w:t>
      </w:r>
      <w:r w:rsidR="002C0E7D">
        <w:rPr>
          <w:rFonts w:ascii="Book Antiqua" w:eastAsia="Book Antiqua" w:hAnsi="Book Antiqua" w:cs="Book Antiqua"/>
          <w:color w:val="000000"/>
        </w:rPr>
        <w:t xml:space="preserve"> challenged</w:t>
      </w:r>
      <w:r w:rsidRPr="00CA66A8">
        <w:rPr>
          <w:rFonts w:ascii="Book Antiqua" w:eastAsia="Book Antiqua" w:hAnsi="Book Antiqua" w:cs="Book Antiqua"/>
          <w:color w:val="000000"/>
        </w:rPr>
        <w:t xml:space="preserve"> areas. Here, we mainly analyzed the most commonly used test indicators. Our results showed that the INR had the highest efficiency in the diagnosis of adult </w:t>
      </w:r>
      <w:proofErr w:type="spellStart"/>
      <w:r w:rsidRPr="00CA66A8">
        <w:rPr>
          <w:rFonts w:ascii="Book Antiqua" w:eastAsia="Book Antiqua" w:hAnsi="Book Antiqua" w:cs="Book Antiqua"/>
          <w:color w:val="000000"/>
        </w:rPr>
        <w:t>nonpulmonary</w:t>
      </w:r>
      <w:proofErr w:type="spellEnd"/>
      <w:r w:rsidRPr="00CA66A8">
        <w:rPr>
          <w:rFonts w:ascii="Book Antiqua" w:eastAsia="Book Antiqua" w:hAnsi="Book Antiqua" w:cs="Book Antiqua"/>
          <w:color w:val="000000"/>
        </w:rPr>
        <w:t xml:space="preserve"> infectious sepsis, compared with WBC, NLCR, PLT, PT, APTT and </w:t>
      </w:r>
      <w:proofErr w:type="spellStart"/>
      <w:r w:rsidRPr="00CA66A8">
        <w:rPr>
          <w:rFonts w:ascii="Book Antiqua" w:eastAsia="Book Antiqua" w:hAnsi="Book Antiqua" w:cs="Book Antiqua"/>
          <w:color w:val="000000"/>
        </w:rPr>
        <w:t>qSOFA</w:t>
      </w:r>
      <w:proofErr w:type="spellEnd"/>
      <w:r w:rsidRPr="00CA66A8">
        <w:rPr>
          <w:rFonts w:ascii="Book Antiqua" w:eastAsia="Book Antiqua" w:hAnsi="Book Antiqua" w:cs="Book Antiqua"/>
          <w:color w:val="000000"/>
        </w:rPr>
        <w:t>. Lyons</w:t>
      </w:r>
      <w:r w:rsidR="00D43495">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D43495" w:rsidRPr="00D43495">
        <w:rPr>
          <w:rFonts w:ascii="Book Antiqua" w:eastAsia="Book Antiqua" w:hAnsi="Book Antiqua" w:cs="Book Antiqua"/>
          <w:color w:val="000000"/>
          <w:vertAlign w:val="superscript"/>
        </w:rPr>
        <w:t>[</w:t>
      </w:r>
      <w:hyperlink w:anchor="_ENREF_30" w:tooltip="Lyons, 2018 #120" w:history="1">
        <w:r w:rsidR="00D43495" w:rsidRPr="00D43495">
          <w:rPr>
            <w:rFonts w:ascii="Book Antiqua" w:eastAsia="Book Antiqua" w:hAnsi="Book Antiqua" w:cs="Book Antiqua"/>
            <w:color w:val="000000"/>
            <w:vertAlign w:val="superscript"/>
          </w:rPr>
          <w:t>30</w:t>
        </w:r>
      </w:hyperlink>
      <w:r w:rsidR="00D43495" w:rsidRPr="00D43495">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w:t>
      </w:r>
      <w:r w:rsidRPr="00CA66A8">
        <w:rPr>
          <w:rFonts w:ascii="Book Antiqua" w:eastAsia="Book Antiqua" w:hAnsi="Book Antiqua" w:cs="Book Antiqua"/>
          <w:color w:val="000000"/>
        </w:rPr>
        <w:lastRenderedPageBreak/>
        <w:t>that coagulopathy was closely related to the severity and mortality of sepsis, and with the extension of the INR, the more severe that the sepsis was, the higher that the mortality was.</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Recent studies of </w:t>
      </w:r>
      <w:r w:rsidR="00FE03ED" w:rsidRPr="00FE03ED">
        <w:rPr>
          <w:rFonts w:ascii="Book Antiqua" w:eastAsia="Book Antiqua" w:hAnsi="Book Antiqua" w:cs="Book Antiqua"/>
          <w:color w:val="000000"/>
        </w:rPr>
        <w:t>coronavirus disease 2019</w:t>
      </w:r>
      <w:r w:rsidRPr="00CA66A8">
        <w:rPr>
          <w:rFonts w:ascii="Book Antiqua" w:eastAsia="Book Antiqua" w:hAnsi="Book Antiqua" w:cs="Book Antiqua"/>
          <w:color w:val="000000"/>
        </w:rPr>
        <w:t xml:space="preserve"> patients with secondary bacterial infection have also reported that prolonged INR time is a monitoring indicator in severe patients, and the longer the INR time is, the worse the prognosis of patients</w:t>
      </w:r>
      <w:r w:rsidR="00F00EC0" w:rsidRPr="000D3834">
        <w:rPr>
          <w:rFonts w:ascii="Book Antiqua" w:eastAsia="Book Antiqua" w:hAnsi="Book Antiqua" w:cs="Book Antiqua"/>
          <w:color w:val="000000"/>
          <w:vertAlign w:val="superscript"/>
        </w:rPr>
        <w:t>[</w:t>
      </w:r>
      <w:hyperlink w:anchor="_ENREF_31" w:tooltip="Zhang, 2020 #1467" w:history="1">
        <w:r w:rsidRPr="000D3834">
          <w:rPr>
            <w:rFonts w:ascii="Book Antiqua" w:eastAsia="Book Antiqua" w:hAnsi="Book Antiqua" w:cs="Book Antiqua"/>
            <w:color w:val="000000"/>
            <w:vertAlign w:val="superscript"/>
          </w:rPr>
          <w:t>31-33</w:t>
        </w:r>
      </w:hyperlink>
      <w:r w:rsidRPr="000D3834">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This study also found that there was a strong correlation between INR value and SOFA </w:t>
      </w:r>
      <w:r w:rsidR="003D0F65">
        <w:rPr>
          <w:rFonts w:ascii="Book Antiqua" w:eastAsia="Book Antiqua" w:hAnsi="Book Antiqua" w:cs="Book Antiqua"/>
          <w:color w:val="000000"/>
        </w:rPr>
        <w:t>s</w:t>
      </w:r>
      <w:r w:rsidRPr="00CA66A8">
        <w:rPr>
          <w:rFonts w:ascii="Book Antiqua" w:eastAsia="Book Antiqua" w:hAnsi="Book Antiqua" w:cs="Book Antiqua"/>
          <w:color w:val="000000"/>
        </w:rPr>
        <w:t>core (</w:t>
      </w:r>
      <w:r w:rsidRPr="00CA66A8">
        <w:rPr>
          <w:rFonts w:ascii="Book Antiqua" w:eastAsia="Book Antiqua" w:hAnsi="Book Antiqua" w:cs="Book Antiqua"/>
          <w:i/>
          <w:iCs/>
          <w:color w:val="000000"/>
        </w:rPr>
        <w:t>r</w:t>
      </w:r>
      <w:r w:rsidRPr="00CA66A8">
        <w:rPr>
          <w:rFonts w:ascii="Book Antiqua" w:eastAsia="Book Antiqua" w:hAnsi="Book Antiqua" w:cs="Book Antiqua"/>
          <w:color w:val="000000"/>
        </w:rPr>
        <w:t xml:space="preserve"> = 0.660). </w:t>
      </w:r>
      <w:r w:rsidR="002C0E7D">
        <w:rPr>
          <w:rFonts w:ascii="Book Antiqua" w:eastAsia="Book Antiqua" w:hAnsi="Book Antiqua" w:cs="Book Antiqua"/>
          <w:color w:val="000000"/>
        </w:rPr>
        <w:t xml:space="preserve">The </w:t>
      </w:r>
      <w:r w:rsidRPr="00CA66A8">
        <w:rPr>
          <w:rFonts w:ascii="Book Antiqua" w:eastAsia="Book Antiqua" w:hAnsi="Book Antiqua" w:cs="Book Antiqua"/>
          <w:color w:val="000000"/>
        </w:rPr>
        <w:t xml:space="preserve">SOFA </w:t>
      </w:r>
      <w:r w:rsidR="003D0F65">
        <w:rPr>
          <w:rFonts w:ascii="Book Antiqua" w:eastAsia="Book Antiqua" w:hAnsi="Book Antiqua" w:cs="Book Antiqua"/>
          <w:color w:val="000000"/>
        </w:rPr>
        <w:t>s</w:t>
      </w:r>
      <w:r w:rsidRPr="00CA66A8">
        <w:rPr>
          <w:rFonts w:ascii="Book Antiqua" w:eastAsia="Book Antiqua" w:hAnsi="Book Antiqua" w:cs="Book Antiqua"/>
          <w:color w:val="000000"/>
        </w:rPr>
        <w:t xml:space="preserve">core was correlated with the prognosis of sepsis, which also suggested that INR had a good predictive value of </w:t>
      </w:r>
      <w:proofErr w:type="spellStart"/>
      <w:r w:rsidRPr="00CA66A8">
        <w:rPr>
          <w:rFonts w:ascii="Book Antiqua" w:eastAsia="Book Antiqua" w:hAnsi="Book Antiqua" w:cs="Book Antiqua"/>
          <w:color w:val="000000"/>
        </w:rPr>
        <w:t>nonpulmonary</w:t>
      </w:r>
      <w:proofErr w:type="spellEnd"/>
      <w:r w:rsidRPr="00CA66A8">
        <w:rPr>
          <w:rFonts w:ascii="Book Antiqua" w:eastAsia="Book Antiqua" w:hAnsi="Book Antiqua" w:cs="Book Antiqua"/>
          <w:color w:val="000000"/>
        </w:rPr>
        <w:t xml:space="preserve"> infectious sepsis from another perspective. In particular, when INR was less than or equal to 1.17,</w:t>
      </w:r>
      <w:r w:rsidR="00EC7A4B">
        <w:rPr>
          <w:rFonts w:ascii="Book Antiqua" w:eastAsia="Book Antiqua" w:hAnsi="Book Antiqua" w:cs="Book Antiqua"/>
          <w:color w:val="000000"/>
        </w:rPr>
        <w:t xml:space="preserve"> </w:t>
      </w:r>
      <w:r w:rsidR="002C0E7D">
        <w:rPr>
          <w:rFonts w:ascii="Book Antiqua" w:eastAsia="Book Antiqua" w:hAnsi="Book Antiqua" w:cs="Book Antiqua"/>
          <w:color w:val="000000"/>
        </w:rPr>
        <w:t xml:space="preserve">between 1.17 and 1.20, or </w:t>
      </w:r>
      <w:r w:rsidRPr="00CA66A8">
        <w:rPr>
          <w:rFonts w:ascii="Book Antiqua" w:eastAsia="Book Antiqua" w:hAnsi="Book Antiqua" w:cs="Book Antiqua"/>
          <w:color w:val="000000"/>
        </w:rPr>
        <w:t xml:space="preserve">greater than or equal to 1.22, </w:t>
      </w:r>
      <w:r w:rsidR="002C0E7D">
        <w:rPr>
          <w:rFonts w:ascii="Book Antiqua" w:eastAsia="Book Antiqua" w:hAnsi="Book Antiqua" w:cs="Book Antiqua"/>
          <w:color w:val="000000"/>
        </w:rPr>
        <w:t>the high positive predictor rates of sepsis could be broken into</w:t>
      </w:r>
      <w:r w:rsidRPr="00CA66A8">
        <w:rPr>
          <w:rFonts w:ascii="Book Antiqua" w:eastAsia="Book Antiqua" w:hAnsi="Book Antiqua" w:cs="Book Antiqua"/>
          <w:color w:val="000000"/>
        </w:rPr>
        <w:t xml:space="preserve"> low, medium and high </w:t>
      </w:r>
      <w:r w:rsidR="002C0E7D">
        <w:rPr>
          <w:rFonts w:ascii="Book Antiqua" w:eastAsia="Book Antiqua" w:hAnsi="Book Antiqua" w:cs="Book Antiqua"/>
          <w:color w:val="000000"/>
        </w:rPr>
        <w:t>levels</w:t>
      </w:r>
      <w:r w:rsidRPr="00CA66A8">
        <w:rPr>
          <w:rFonts w:ascii="Book Antiqua" w:eastAsia="Book Antiqua" w:hAnsi="Book Antiqua" w:cs="Book Antiqua"/>
          <w:color w:val="000000"/>
        </w:rPr>
        <w:t>. All the above related studies have indicated that INR could be used as one of the early screening indicators for sepsis</w:t>
      </w:r>
      <w:r w:rsidR="002C0E7D">
        <w:rPr>
          <w:rFonts w:ascii="Book Antiqua" w:eastAsia="Book Antiqua" w:hAnsi="Book Antiqua" w:cs="Book Antiqua"/>
          <w:color w:val="000000"/>
        </w:rPr>
        <w:t xml:space="preserve">; however, </w:t>
      </w:r>
      <w:r w:rsidRPr="00CA66A8">
        <w:rPr>
          <w:rFonts w:ascii="Book Antiqua" w:eastAsia="Book Antiqua" w:hAnsi="Book Antiqua" w:cs="Book Antiqua"/>
          <w:color w:val="000000"/>
        </w:rPr>
        <w:t xml:space="preserve">there are many underlying diseases that can affect INR. Although relevant conclusions in this study were drawn under corresponding exclusion criteria, it is true that in clinical practice, there are still a small number of potentially infected patients with those underlying diseases that cannot be detected </w:t>
      </w:r>
      <w:r w:rsidR="002C0E7D">
        <w:rPr>
          <w:rFonts w:ascii="Book Antiqua" w:eastAsia="Book Antiqua" w:hAnsi="Book Antiqua" w:cs="Book Antiqua"/>
          <w:color w:val="000000"/>
        </w:rPr>
        <w:t>an initial presentation</w:t>
      </w:r>
      <w:r w:rsidRPr="00CA66A8">
        <w:rPr>
          <w:rFonts w:ascii="Book Antiqua" w:eastAsia="Book Antiqua" w:hAnsi="Book Antiqua" w:cs="Book Antiqua"/>
          <w:color w:val="000000"/>
        </w:rPr>
        <w:t xml:space="preserve">. For this condition, when their INR reach the high-risk value of sepsis, </w:t>
      </w:r>
      <w:r w:rsidRPr="00CA66A8">
        <w:rPr>
          <w:rFonts w:ascii="Book Antiqua" w:eastAsia="Book Antiqua" w:hAnsi="Book Antiqua" w:cs="Book Antiqua"/>
          <w:i/>
          <w:iCs/>
          <w:color w:val="000000"/>
        </w:rPr>
        <w:t>e.g.</w:t>
      </w:r>
      <w:r w:rsidRPr="00CA66A8">
        <w:rPr>
          <w:rFonts w:ascii="Book Antiqua" w:eastAsia="Book Antiqua" w:hAnsi="Book Antiqua" w:cs="Book Antiqua"/>
          <w:color w:val="000000"/>
        </w:rPr>
        <w:t xml:space="preserve">, more than 1.22, sepsis </w:t>
      </w:r>
      <w:r w:rsidR="002C0E7D">
        <w:rPr>
          <w:rFonts w:ascii="Book Antiqua" w:eastAsia="Book Antiqua" w:hAnsi="Book Antiqua" w:cs="Book Antiqua"/>
          <w:color w:val="000000"/>
        </w:rPr>
        <w:t xml:space="preserve">should be highly suspected </w:t>
      </w:r>
      <w:r w:rsidRPr="00CA66A8">
        <w:rPr>
          <w:rFonts w:ascii="Book Antiqua" w:eastAsia="Book Antiqua" w:hAnsi="Book Antiqua" w:cs="Book Antiqua"/>
          <w:color w:val="000000"/>
        </w:rPr>
        <w:t xml:space="preserve">because they are at higher risk of adverse outcomes when they are missed. </w:t>
      </w:r>
    </w:p>
    <w:p w14:paraId="44B2EF32" w14:textId="1B17022C" w:rsidR="00A77B3E" w:rsidRPr="00CA66A8" w:rsidRDefault="002C0E7D" w:rsidP="000D3834">
      <w:pPr>
        <w:spacing w:line="360" w:lineRule="auto"/>
        <w:ind w:firstLineChars="100" w:firstLine="240"/>
        <w:jc w:val="both"/>
      </w:pPr>
      <w:r>
        <w:rPr>
          <w:rFonts w:ascii="Book Antiqua" w:eastAsia="Book Antiqua" w:hAnsi="Book Antiqua" w:cs="Book Antiqua"/>
          <w:color w:val="000000"/>
        </w:rPr>
        <w:t>M</w:t>
      </w:r>
      <w:r w:rsidR="00596CC1" w:rsidRPr="00CA66A8">
        <w:rPr>
          <w:rFonts w:ascii="Book Antiqua" w:eastAsia="Book Antiqua" w:hAnsi="Book Antiqua" w:cs="Book Antiqua"/>
          <w:color w:val="000000"/>
        </w:rPr>
        <w:t xml:space="preserve">any studies have found </w:t>
      </w:r>
      <w:proofErr w:type="spellStart"/>
      <w:r>
        <w:rPr>
          <w:rFonts w:ascii="Book Antiqua" w:eastAsia="Book Antiqua" w:hAnsi="Book Antiqua" w:cs="Book Antiqua"/>
          <w:color w:val="000000"/>
        </w:rPr>
        <w:t>qSOFA</w:t>
      </w:r>
      <w:proofErr w:type="spellEnd"/>
      <w:r w:rsidR="00596CC1" w:rsidRPr="00CA66A8">
        <w:rPr>
          <w:rFonts w:ascii="Book Antiqua" w:eastAsia="Book Antiqua" w:hAnsi="Book Antiqua" w:cs="Book Antiqua"/>
          <w:color w:val="000000"/>
        </w:rPr>
        <w:t xml:space="preserve"> to be of low sensitivity as a sepsis screening tool</w:t>
      </w:r>
      <w:r w:rsidR="00F00EC0" w:rsidRPr="00A421C0">
        <w:rPr>
          <w:rFonts w:ascii="Book Antiqua" w:eastAsia="Book Antiqua" w:hAnsi="Book Antiqua" w:cs="Book Antiqua"/>
          <w:color w:val="000000"/>
          <w:vertAlign w:val="superscript"/>
        </w:rPr>
        <w:t>[</w:t>
      </w:r>
      <w:hyperlink w:anchor="_ENREF_7" w:tooltip="Askim, 2017 #524" w:history="1">
        <w:r w:rsidR="00596CC1" w:rsidRPr="00A421C0">
          <w:rPr>
            <w:rFonts w:ascii="Book Antiqua" w:eastAsia="Book Antiqua" w:hAnsi="Book Antiqua" w:cs="Book Antiqua"/>
            <w:color w:val="000000"/>
            <w:vertAlign w:val="superscript"/>
          </w:rPr>
          <w:t>7</w:t>
        </w:r>
      </w:hyperlink>
      <w:r w:rsidR="00596CC1" w:rsidRPr="00A421C0">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 xml:space="preserve">. Our study also confirmed that the sensitivity of </w:t>
      </w:r>
      <w:proofErr w:type="spellStart"/>
      <w:r w:rsidR="00596CC1" w:rsidRPr="00CA66A8">
        <w:rPr>
          <w:rFonts w:ascii="Book Antiqua" w:eastAsia="Book Antiqua" w:hAnsi="Book Antiqua" w:cs="Book Antiqua"/>
          <w:color w:val="000000"/>
        </w:rPr>
        <w:t>qSOFA</w:t>
      </w:r>
      <w:proofErr w:type="spellEnd"/>
      <w:r w:rsidR="00596CC1" w:rsidRPr="00CA66A8">
        <w:rPr>
          <w:rFonts w:ascii="Book Antiqua" w:eastAsia="Book Antiqua" w:hAnsi="Book Antiqua" w:cs="Book Antiqua"/>
          <w:color w:val="000000"/>
        </w:rPr>
        <w:t xml:space="preserve"> was only 28.57%, the specificity was 79.31%, and the AUC was 0.638 (95</w:t>
      </w:r>
      <w:r w:rsidR="00566788"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rPr>
        <w:t>CI: 0.548</w:t>
      </w:r>
      <w:r w:rsidR="00811EA4">
        <w:rPr>
          <w:rFonts w:ascii="Book Antiqua" w:eastAsia="Book Antiqua" w:hAnsi="Book Antiqua" w:cs="Book Antiqua"/>
          <w:color w:val="000000"/>
        </w:rPr>
        <w:t>-</w:t>
      </w:r>
      <w:r w:rsidR="00596CC1" w:rsidRPr="00CA66A8">
        <w:rPr>
          <w:rFonts w:ascii="Book Antiqua" w:eastAsia="Book Antiqua" w:hAnsi="Book Antiqua" w:cs="Book Antiqua"/>
          <w:color w:val="000000"/>
        </w:rPr>
        <w:t xml:space="preserve">0.721). However, because </w:t>
      </w:r>
      <w:proofErr w:type="spellStart"/>
      <w:r w:rsidR="00596CC1" w:rsidRPr="00CA66A8">
        <w:rPr>
          <w:rFonts w:ascii="Book Antiqua" w:eastAsia="Book Antiqua" w:hAnsi="Book Antiqua" w:cs="Book Antiqua"/>
          <w:color w:val="000000"/>
        </w:rPr>
        <w:t>qSOFA</w:t>
      </w:r>
      <w:proofErr w:type="spellEnd"/>
      <w:r w:rsidR="00596CC1" w:rsidRPr="00CA66A8">
        <w:rPr>
          <w:rFonts w:ascii="Book Antiqua" w:eastAsia="Book Antiqua" w:hAnsi="Book Antiqua" w:cs="Book Antiqua"/>
          <w:color w:val="000000"/>
        </w:rPr>
        <w:t xml:space="preserve"> is a non-invasive and fast screening method, setting it as a preliminary screening is still feasible. Because infection and stress can cause neutropenia and lymphopenia, neutrophil lymphocyte count ratio (NLCR) has attracted more and more attention of clinical researchers</w:t>
      </w:r>
      <w:r w:rsidR="00F00EC0" w:rsidRPr="002A4760">
        <w:rPr>
          <w:rFonts w:ascii="Book Antiqua" w:eastAsia="Book Antiqua" w:hAnsi="Book Antiqua" w:cs="Book Antiqua"/>
          <w:color w:val="000000"/>
          <w:vertAlign w:val="superscript"/>
        </w:rPr>
        <w:t>[</w:t>
      </w:r>
      <w:hyperlink w:anchor="_ENREF_34" w:tooltip="Westerdijk, 2019 #32" w:history="1">
        <w:r w:rsidR="00596CC1" w:rsidRPr="002A4760">
          <w:rPr>
            <w:rFonts w:ascii="Book Antiqua" w:eastAsia="Book Antiqua" w:hAnsi="Book Antiqua" w:cs="Book Antiqua"/>
            <w:color w:val="000000"/>
            <w:vertAlign w:val="superscript"/>
          </w:rPr>
          <w:t>34</w:t>
        </w:r>
      </w:hyperlink>
      <w:r w:rsidR="00596CC1" w:rsidRPr="002A4760">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vertAlign w:val="superscript"/>
        </w:rPr>
        <w:t xml:space="preserve"> </w:t>
      </w:r>
      <w:r w:rsidR="00596CC1" w:rsidRPr="00CA66A8">
        <w:rPr>
          <w:rFonts w:ascii="Book Antiqua" w:eastAsia="Book Antiqua" w:hAnsi="Book Antiqua" w:cs="Book Antiqua"/>
          <w:color w:val="000000"/>
        </w:rPr>
        <w:t>Fuss</w:t>
      </w:r>
      <w:r w:rsidR="00884854">
        <w:rPr>
          <w:rFonts w:ascii="Book Antiqua" w:eastAsia="Book Antiqua" w:hAnsi="Book Antiqua" w:cs="Book Antiqua"/>
          <w:color w:val="000000"/>
        </w:rPr>
        <w:t xml:space="preserve"> </w:t>
      </w:r>
      <w:r w:rsidR="00596CC1" w:rsidRPr="00CA66A8">
        <w:rPr>
          <w:rFonts w:ascii="Book Antiqua" w:eastAsia="Book Antiqua" w:hAnsi="Book Antiqua" w:cs="Book Antiqua"/>
          <w:i/>
          <w:iCs/>
          <w:color w:val="000000"/>
        </w:rPr>
        <w:t>et al</w:t>
      </w:r>
      <w:r w:rsidR="00884854" w:rsidRPr="00CA66A8">
        <w:rPr>
          <w:rFonts w:ascii="Book Antiqua" w:eastAsia="Book Antiqua" w:hAnsi="Book Antiqua" w:cs="Book Antiqua"/>
          <w:color w:val="000000"/>
          <w:vertAlign w:val="superscript"/>
        </w:rPr>
        <w:t>[</w:t>
      </w:r>
      <w:hyperlink w:anchor="_ENREF_35" w:tooltip="Fuss, 2018 #83" w:history="1">
        <w:r w:rsidR="00884854" w:rsidRPr="00884854">
          <w:rPr>
            <w:rFonts w:ascii="Book Antiqua" w:eastAsia="Book Antiqua" w:hAnsi="Book Antiqua" w:cs="Book Antiqua"/>
            <w:color w:val="000000"/>
            <w:vertAlign w:val="superscript"/>
          </w:rPr>
          <w:t>35</w:t>
        </w:r>
      </w:hyperlink>
      <w:r w:rsidR="00884854" w:rsidRPr="00884854">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 xml:space="preserve"> found that the NLCR level of sepsis in burn patients was significantly higher than in common burn patients. Relevant studies have also found that NLCR could be a simple and feasible indicator for the prediction of sepsis after percutaneous nephrolithotomy</w:t>
      </w:r>
      <w:r w:rsidR="00F00EC0" w:rsidRPr="008F50E7">
        <w:rPr>
          <w:rFonts w:ascii="Book Antiqua" w:eastAsia="Book Antiqua" w:hAnsi="Book Antiqua" w:cs="Book Antiqua"/>
          <w:color w:val="000000"/>
          <w:vertAlign w:val="superscript"/>
        </w:rPr>
        <w:t>[</w:t>
      </w:r>
      <w:hyperlink w:anchor="_ENREF_36" w:tooltip="Sen, 2016 #13" w:history="1">
        <w:r w:rsidR="00596CC1" w:rsidRPr="008F50E7">
          <w:rPr>
            <w:rFonts w:ascii="Book Antiqua" w:eastAsia="Book Antiqua" w:hAnsi="Book Antiqua" w:cs="Book Antiqua"/>
            <w:color w:val="000000"/>
            <w:vertAlign w:val="superscript"/>
          </w:rPr>
          <w:t>36</w:t>
        </w:r>
      </w:hyperlink>
      <w:r w:rsidR="00596CC1" w:rsidRPr="008F50E7">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vertAlign w:val="superscript"/>
        </w:rPr>
        <w:t xml:space="preserve"> </w:t>
      </w:r>
      <w:r w:rsidR="00596CC1" w:rsidRPr="00CA66A8">
        <w:rPr>
          <w:rFonts w:ascii="Book Antiqua" w:eastAsia="Book Antiqua" w:hAnsi="Book Antiqua" w:cs="Book Antiqua"/>
          <w:color w:val="000000"/>
        </w:rPr>
        <w:t xml:space="preserve">Our study showed that the diagnostic value of </w:t>
      </w:r>
      <w:r w:rsidR="00596CC1" w:rsidRPr="00CA66A8">
        <w:rPr>
          <w:rFonts w:ascii="Book Antiqua" w:eastAsia="Book Antiqua" w:hAnsi="Book Antiqua" w:cs="Book Antiqua"/>
          <w:color w:val="000000"/>
        </w:rPr>
        <w:lastRenderedPageBreak/>
        <w:t xml:space="preserve">NLCR in diagnosing adult </w:t>
      </w:r>
      <w:proofErr w:type="spellStart"/>
      <w:r w:rsidR="00596CC1" w:rsidRPr="00CA66A8">
        <w:rPr>
          <w:rFonts w:ascii="Book Antiqua" w:eastAsia="Book Antiqua" w:hAnsi="Book Antiqua" w:cs="Book Antiqua"/>
          <w:color w:val="000000"/>
        </w:rPr>
        <w:t>nonpulmonary</w:t>
      </w:r>
      <w:proofErr w:type="spellEnd"/>
      <w:r w:rsidR="00596CC1" w:rsidRPr="00CA66A8">
        <w:rPr>
          <w:rFonts w:ascii="Book Antiqua" w:eastAsia="Book Antiqua" w:hAnsi="Book Antiqua" w:cs="Book Antiqua"/>
          <w:color w:val="000000"/>
        </w:rPr>
        <w:t xml:space="preserve"> infectious sepsis was lower than that of the INR.</w:t>
      </w:r>
    </w:p>
    <w:p w14:paraId="50FEC7B8" w14:textId="008A38FA" w:rsidR="00A77B3E" w:rsidRPr="00CA66A8" w:rsidRDefault="00596CC1" w:rsidP="00372C82">
      <w:pPr>
        <w:spacing w:line="360" w:lineRule="auto"/>
        <w:ind w:firstLineChars="100" w:firstLine="240"/>
        <w:jc w:val="both"/>
      </w:pPr>
      <w:r w:rsidRPr="00CA66A8">
        <w:rPr>
          <w:rFonts w:ascii="Book Antiqua" w:eastAsia="Book Antiqua" w:hAnsi="Book Antiqua" w:cs="Book Antiqua"/>
          <w:color w:val="000000"/>
        </w:rPr>
        <w:t>Platelets play an important role in sepsis because they are at the intersection of the immune system, coagulation cascade</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and endothelial cells</w:t>
      </w:r>
      <w:r w:rsidR="00F00EC0" w:rsidRPr="00320B10">
        <w:rPr>
          <w:rFonts w:ascii="Book Antiqua" w:eastAsia="Book Antiqua" w:hAnsi="Book Antiqua" w:cs="Book Antiqua"/>
          <w:color w:val="000000"/>
          <w:vertAlign w:val="superscript"/>
        </w:rPr>
        <w:t>[</w:t>
      </w:r>
      <w:hyperlink w:anchor="_ENREF_37" w:tooltip="Middleton, 2016 #81" w:history="1">
        <w:r w:rsidRPr="00320B10">
          <w:rPr>
            <w:rFonts w:ascii="Book Antiqua" w:eastAsia="Book Antiqua" w:hAnsi="Book Antiqua" w:cs="Book Antiqua"/>
            <w:color w:val="000000"/>
            <w:vertAlign w:val="superscript"/>
          </w:rPr>
          <w:t>37</w:t>
        </w:r>
      </w:hyperlink>
      <w:r w:rsidR="00320B10" w:rsidRPr="00320B10">
        <w:rPr>
          <w:rFonts w:ascii="Book Antiqua" w:eastAsia="Book Antiqua" w:hAnsi="Book Antiqua" w:cs="Book Antiqua"/>
          <w:color w:val="000000"/>
          <w:vertAlign w:val="superscript"/>
        </w:rPr>
        <w:t>,</w:t>
      </w:r>
      <w:hyperlink w:anchor="_ENREF_38" w:tooltip="Greco, 2017 #79" w:history="1">
        <w:r w:rsidRPr="00320B10">
          <w:rPr>
            <w:rFonts w:ascii="Book Antiqua" w:eastAsia="Book Antiqua" w:hAnsi="Book Antiqua" w:cs="Book Antiqua"/>
            <w:color w:val="000000"/>
            <w:vertAlign w:val="superscript"/>
          </w:rPr>
          <w:t>38</w:t>
        </w:r>
      </w:hyperlink>
      <w:r w:rsidRPr="00320B10">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Patients who had sustained thrombocytopenia or a drop in PLT of &gt;</w:t>
      </w:r>
      <w:r w:rsidR="00320B10">
        <w:rPr>
          <w:rFonts w:ascii="Book Antiqua" w:eastAsia="Book Antiqua" w:hAnsi="Book Antiqua" w:cs="Book Antiqua"/>
          <w:color w:val="000000"/>
        </w:rPr>
        <w:t xml:space="preserve"> </w:t>
      </w:r>
      <w:r w:rsidRPr="00CA66A8">
        <w:rPr>
          <w:rFonts w:ascii="Book Antiqua" w:eastAsia="Book Antiqua" w:hAnsi="Book Antiqua" w:cs="Book Antiqua"/>
          <w:color w:val="000000"/>
        </w:rPr>
        <w:t>30% during their ICU stay had higher mortality</w:t>
      </w:r>
      <w:r w:rsidR="00F00EC0" w:rsidRPr="00847252">
        <w:rPr>
          <w:rFonts w:ascii="Book Antiqua" w:eastAsia="Book Antiqua" w:hAnsi="Book Antiqua" w:cs="Book Antiqua"/>
          <w:color w:val="000000"/>
          <w:vertAlign w:val="superscript"/>
        </w:rPr>
        <w:t>[</w:t>
      </w:r>
      <w:hyperlink w:anchor="_ENREF_39" w:tooltip="Zhou, 2019 #93" w:history="1">
        <w:r w:rsidRPr="00847252">
          <w:rPr>
            <w:rFonts w:ascii="Book Antiqua" w:eastAsia="Book Antiqua" w:hAnsi="Book Antiqua" w:cs="Book Antiqua"/>
            <w:color w:val="000000"/>
            <w:vertAlign w:val="superscript"/>
          </w:rPr>
          <w:t>39</w:t>
        </w:r>
      </w:hyperlink>
      <w:r w:rsidRPr="00847252">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Therefore, thrombocytopenia was considered to be an independent risk factor for death in patients with sepsis or septic shock</w:t>
      </w:r>
      <w:r w:rsidR="00F00EC0" w:rsidRPr="00085D83">
        <w:rPr>
          <w:rFonts w:ascii="Book Antiqua" w:eastAsia="Book Antiqua" w:hAnsi="Book Antiqua" w:cs="Book Antiqua"/>
          <w:color w:val="000000"/>
          <w:vertAlign w:val="superscript"/>
        </w:rPr>
        <w:t>[</w:t>
      </w:r>
      <w:hyperlink w:anchor="_ENREF_40" w:tooltip="Vardon Bounes, 2018 #72" w:history="1">
        <w:r w:rsidRPr="00085D83">
          <w:rPr>
            <w:rFonts w:ascii="Book Antiqua" w:eastAsia="Book Antiqua" w:hAnsi="Book Antiqua" w:cs="Book Antiqua"/>
            <w:color w:val="000000"/>
            <w:vertAlign w:val="superscript"/>
          </w:rPr>
          <w:t>40</w:t>
        </w:r>
      </w:hyperlink>
      <w:r w:rsidRPr="00085D83">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However, as one of the diagnostic criteria for Sepsis-3, </w:t>
      </w:r>
      <w:proofErr w:type="spellStart"/>
      <w:r w:rsidR="00BD29E6" w:rsidRPr="00BD29E6">
        <w:rPr>
          <w:rFonts w:ascii="Book Antiqua" w:eastAsia="Book Antiqua" w:hAnsi="Book Antiqua" w:cs="Book Antiqua"/>
          <w:color w:val="000000"/>
        </w:rPr>
        <w:t>Sepas</w:t>
      </w:r>
      <w:proofErr w:type="spellEnd"/>
      <w:r w:rsidRPr="00CA66A8">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BD29E6" w:rsidRPr="00BD29E6">
        <w:rPr>
          <w:rFonts w:ascii="Book Antiqua" w:eastAsia="Book Antiqua" w:hAnsi="Book Antiqua" w:cs="Book Antiqua"/>
          <w:color w:val="000000"/>
          <w:vertAlign w:val="superscript"/>
        </w:rPr>
        <w:t>[</w:t>
      </w:r>
      <w:hyperlink w:anchor="_ENREF_41" w:tooltip="Sepas, 2019 #99" w:history="1">
        <w:r w:rsidR="00BD29E6" w:rsidRPr="00BD29E6">
          <w:rPr>
            <w:rFonts w:ascii="Book Antiqua" w:eastAsia="Book Antiqua" w:hAnsi="Book Antiqua" w:cs="Book Antiqua"/>
            <w:color w:val="000000"/>
            <w:vertAlign w:val="superscript"/>
          </w:rPr>
          <w:t>41</w:t>
        </w:r>
      </w:hyperlink>
      <w:r w:rsidR="00BD29E6" w:rsidRPr="00BD29E6">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when the platelet count was less tha</w:t>
      </w:r>
      <w:r w:rsidRPr="00FD2AD5">
        <w:rPr>
          <w:rFonts w:ascii="Book Antiqua" w:eastAsia="Book Antiqua" w:hAnsi="Book Antiqua" w:cs="Book Antiqua"/>
          <w:color w:val="000000"/>
        </w:rPr>
        <w:t>n 229</w:t>
      </w:r>
      <w:r w:rsidR="00FD2AD5" w:rsidRPr="00FD2AD5">
        <w:rPr>
          <w:rFonts w:ascii="Book Antiqua" w:eastAsia="Book Antiqua" w:hAnsi="Book Antiqua" w:cs="Book Antiqua"/>
          <w:color w:val="000000"/>
        </w:rPr>
        <w:t xml:space="preserve"> </w:t>
      </w:r>
      <w:r w:rsidR="00FD2AD5" w:rsidRPr="00FD2AD5">
        <w:rPr>
          <w:rFonts w:ascii="Book Antiqua" w:hAnsi="Book Antiqua" w:cs="Book Antiqua"/>
          <w:color w:val="000000"/>
          <w:lang w:eastAsia="zh-CN"/>
        </w:rPr>
        <w:t xml:space="preserve">× </w:t>
      </w:r>
      <w:r w:rsidRPr="00FD2AD5">
        <w:rPr>
          <w:rFonts w:ascii="Book Antiqua" w:eastAsia="Book Antiqua" w:hAnsi="Book Antiqua" w:cs="Book Antiqua"/>
          <w:color w:val="000000"/>
        </w:rPr>
        <w:t>10</w:t>
      </w:r>
      <w:r w:rsidRPr="00FD2AD5">
        <w:rPr>
          <w:rFonts w:ascii="Book Antiqua" w:eastAsia="Book Antiqua" w:hAnsi="Book Antiqua" w:cs="Book Antiqua"/>
          <w:color w:val="000000"/>
          <w:vertAlign w:val="superscript"/>
        </w:rPr>
        <w:t>9</w:t>
      </w:r>
      <w:r w:rsidR="00DC074C" w:rsidRPr="00CA66A8">
        <w:rPr>
          <w:rFonts w:ascii="Book Antiqua" w:eastAsia="Book Antiqua" w:hAnsi="Book Antiqua" w:cs="Book Antiqua"/>
          <w:color w:val="000000"/>
        </w:rPr>
        <w:t>/L</w:t>
      </w:r>
      <w:r w:rsidRPr="00FD2AD5">
        <w:rPr>
          <w:rFonts w:ascii="Book Antiqua" w:eastAsia="Book Antiqua" w:hAnsi="Book Antiqua" w:cs="Book Antiqua"/>
          <w:color w:val="000000"/>
        </w:rPr>
        <w:t xml:space="preserve">, the </w:t>
      </w:r>
      <w:r w:rsidRPr="00CA66A8">
        <w:rPr>
          <w:rFonts w:ascii="Book Antiqua" w:eastAsia="Book Antiqua" w:hAnsi="Book Antiqua" w:cs="Book Antiqua"/>
          <w:color w:val="000000"/>
        </w:rPr>
        <w:t>sensitivity and specificity of the diagnosis of acute appendicitis were only 24% and 75%, respectively. Similarly, our study also showed that when the platelet count was less than 180</w:t>
      </w:r>
      <w:r w:rsidR="005C094A" w:rsidRPr="00FD2AD5">
        <w:rPr>
          <w:rFonts w:ascii="Book Antiqua" w:eastAsia="Book Antiqua" w:hAnsi="Book Antiqua" w:cs="Book Antiqua"/>
          <w:color w:val="000000"/>
        </w:rPr>
        <w:t xml:space="preserve"> </w:t>
      </w:r>
      <w:r w:rsidR="005C094A" w:rsidRPr="00FD2AD5">
        <w:rPr>
          <w:rFonts w:ascii="Book Antiqua" w:hAnsi="Book Antiqua" w:cs="Book Antiqua"/>
          <w:color w:val="000000"/>
          <w:lang w:eastAsia="zh-CN"/>
        </w:rPr>
        <w:t xml:space="preserve">× </w:t>
      </w:r>
      <w:r w:rsidR="005C094A" w:rsidRPr="00FD2AD5">
        <w:rPr>
          <w:rFonts w:ascii="Book Antiqua" w:eastAsia="Book Antiqua" w:hAnsi="Book Antiqua" w:cs="Book Antiqua"/>
          <w:color w:val="000000"/>
        </w:rPr>
        <w:t>10</w:t>
      </w:r>
      <w:r w:rsidR="005C094A" w:rsidRPr="00FD2AD5">
        <w:rPr>
          <w:rFonts w:ascii="Book Antiqua" w:eastAsia="Book Antiqua" w:hAnsi="Book Antiqua" w:cs="Book Antiqua"/>
          <w:color w:val="000000"/>
          <w:vertAlign w:val="superscript"/>
        </w:rPr>
        <w:t>9</w:t>
      </w:r>
      <w:r w:rsidRPr="00CA66A8">
        <w:rPr>
          <w:rFonts w:ascii="Book Antiqua" w:eastAsia="Book Antiqua" w:hAnsi="Book Antiqua" w:cs="Book Antiqua"/>
          <w:color w:val="000000"/>
        </w:rPr>
        <w:t>/L, the sensitivity and specificity of the diagnosis of sepsis were 80.0% and 82.76%</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respectively, which were still lower than those of the INR. Furthermore, the base range of platelets was larger, and the sensitivity was lower, which could easily lead to delayed diagnosis of sepsis with delayed treatment and increased mortality of sepsis patients. Therefore, whether INR could replace platelet count as one of the indicators of SOFA score in sepsis criteria in the future still needs further studies with large sample size and multiple centers.</w:t>
      </w:r>
    </w:p>
    <w:p w14:paraId="5940B1C3" w14:textId="77777777" w:rsidR="00A77B3E" w:rsidRDefault="00A77B3E">
      <w:pPr>
        <w:spacing w:line="360" w:lineRule="auto"/>
        <w:jc w:val="both"/>
      </w:pPr>
    </w:p>
    <w:p w14:paraId="21F07077" w14:textId="77777777" w:rsidR="00A77B3E" w:rsidRDefault="00596CC1">
      <w:pPr>
        <w:spacing w:line="360" w:lineRule="auto"/>
        <w:jc w:val="both"/>
      </w:pPr>
      <w:r>
        <w:rPr>
          <w:rFonts w:ascii="Book Antiqua" w:eastAsia="Book Antiqua" w:hAnsi="Book Antiqua" w:cs="Book Antiqua"/>
          <w:b/>
          <w:caps/>
          <w:color w:val="000000"/>
          <w:u w:val="single"/>
        </w:rPr>
        <w:t>CONCLUSION</w:t>
      </w:r>
    </w:p>
    <w:p w14:paraId="20174AEB" w14:textId="77777777" w:rsidR="00A77B3E" w:rsidRDefault="00596CC1">
      <w:pPr>
        <w:spacing w:line="360" w:lineRule="auto"/>
        <w:jc w:val="both"/>
      </w:pPr>
      <w:r>
        <w:rPr>
          <w:rFonts w:ascii="Book Antiqua" w:eastAsia="Book Antiqua" w:hAnsi="Book Antiqua" w:cs="Book Antiqua"/>
          <w:color w:val="000000"/>
        </w:rPr>
        <w:t xml:space="preserve">The INR has high specificity and sensitivity in the early identification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 When the INR value exceeds 1.22 in patients with non-pulmonary infection, sepsis should be highly suspected, especially for those patients without preexisting underlying disease or medication history that affects coagulation function. Due to its low cost, rapid detection and easy interpretation of the results, it is particularly suitable for the preliminary screening of sepsis in emergency patients, outpatient patients and patients in economically backward areas. </w:t>
      </w:r>
    </w:p>
    <w:p w14:paraId="38A1CA00" w14:textId="77777777" w:rsidR="00A77B3E" w:rsidRDefault="00A77B3E">
      <w:pPr>
        <w:spacing w:line="360" w:lineRule="auto"/>
        <w:jc w:val="both"/>
      </w:pPr>
    </w:p>
    <w:p w14:paraId="31CF376B" w14:textId="77777777" w:rsidR="00A77B3E" w:rsidRDefault="00596CC1">
      <w:pPr>
        <w:spacing w:line="360" w:lineRule="auto"/>
        <w:jc w:val="both"/>
      </w:pPr>
      <w:r>
        <w:rPr>
          <w:rFonts w:ascii="Book Antiqua" w:eastAsia="Book Antiqua" w:hAnsi="Book Antiqua" w:cs="Book Antiqua"/>
          <w:b/>
          <w:caps/>
          <w:color w:val="000000"/>
          <w:u w:val="single"/>
        </w:rPr>
        <w:t>ARTICLE HIGHLIGHTS</w:t>
      </w:r>
    </w:p>
    <w:p w14:paraId="758DE068" w14:textId="77777777" w:rsidR="00A77B3E" w:rsidRDefault="00596CC1">
      <w:pPr>
        <w:spacing w:line="360" w:lineRule="auto"/>
        <w:jc w:val="both"/>
      </w:pPr>
      <w:r>
        <w:rPr>
          <w:rFonts w:ascii="Book Antiqua" w:eastAsia="Book Antiqua" w:hAnsi="Book Antiqua" w:cs="Book Antiqua"/>
          <w:b/>
          <w:i/>
          <w:color w:val="000000"/>
        </w:rPr>
        <w:t>Research background</w:t>
      </w:r>
    </w:p>
    <w:p w14:paraId="5EE6DC22" w14:textId="3B82586B" w:rsidR="00A77B3E" w:rsidRDefault="00596CC1">
      <w:pPr>
        <w:spacing w:line="360" w:lineRule="auto"/>
        <w:jc w:val="both"/>
      </w:pPr>
      <w:r>
        <w:rPr>
          <w:rFonts w:ascii="Book Antiqua" w:eastAsia="Book Antiqua" w:hAnsi="Book Antiqua" w:cs="Book Antiqua"/>
          <w:color w:val="000000"/>
        </w:rPr>
        <w:lastRenderedPageBreak/>
        <w:t>Currently, there is a lack of sepsis screening tools that can be widely used worldwide. Pulmonary sepsis can be of sufficient concern to physicians due to their noticeable symptoms, which usually rely less on screening tools</w:t>
      </w:r>
      <w:r w:rsidR="009A6246">
        <w:rPr>
          <w:rFonts w:ascii="Book Antiqua" w:eastAsia="Book Antiqua" w:hAnsi="Book Antiqua" w:cs="Book Antiqua"/>
          <w:color w:val="000000"/>
        </w:rPr>
        <w:t>.</w:t>
      </w:r>
    </w:p>
    <w:p w14:paraId="5997E2FC" w14:textId="77777777" w:rsidR="00A77B3E" w:rsidRDefault="00A77B3E">
      <w:pPr>
        <w:spacing w:line="360" w:lineRule="auto"/>
        <w:jc w:val="both"/>
      </w:pPr>
    </w:p>
    <w:p w14:paraId="32EBC732" w14:textId="77777777" w:rsidR="00A77B3E" w:rsidRDefault="00596CC1">
      <w:pPr>
        <w:spacing w:line="360" w:lineRule="auto"/>
        <w:jc w:val="both"/>
      </w:pPr>
      <w:r>
        <w:rPr>
          <w:rFonts w:ascii="Book Antiqua" w:eastAsia="Book Antiqua" w:hAnsi="Book Antiqua" w:cs="Book Antiqua"/>
          <w:b/>
          <w:i/>
          <w:color w:val="000000"/>
        </w:rPr>
        <w:t>Research motivation</w:t>
      </w:r>
    </w:p>
    <w:p w14:paraId="1A45A75A" w14:textId="6F849E3C" w:rsidR="00A77B3E" w:rsidRDefault="00596CC1">
      <w:pPr>
        <w:spacing w:line="360" w:lineRule="auto"/>
        <w:jc w:val="both"/>
      </w:pPr>
      <w:r>
        <w:rPr>
          <w:rFonts w:ascii="Book Antiqua" w:eastAsia="Book Antiqua" w:hAnsi="Book Antiqua" w:cs="Book Antiqua"/>
          <w:color w:val="000000"/>
        </w:rPr>
        <w:t xml:space="preserve">To investigate the efficiency of the international </w:t>
      </w:r>
      <w:r w:rsidR="00860480">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(INR) for the early rapid recognition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w:t>
      </w:r>
    </w:p>
    <w:p w14:paraId="7D31E788" w14:textId="77777777" w:rsidR="00A77B3E" w:rsidRDefault="00A77B3E">
      <w:pPr>
        <w:spacing w:line="360" w:lineRule="auto"/>
        <w:jc w:val="both"/>
      </w:pPr>
    </w:p>
    <w:p w14:paraId="7E8C4350" w14:textId="77777777" w:rsidR="00A77B3E" w:rsidRDefault="00596CC1">
      <w:pPr>
        <w:spacing w:line="360" w:lineRule="auto"/>
        <w:jc w:val="both"/>
      </w:pPr>
      <w:r>
        <w:rPr>
          <w:rFonts w:ascii="Book Antiqua" w:eastAsia="Book Antiqua" w:hAnsi="Book Antiqua" w:cs="Book Antiqua"/>
          <w:b/>
          <w:i/>
          <w:color w:val="000000"/>
        </w:rPr>
        <w:t>Research objectives</w:t>
      </w:r>
    </w:p>
    <w:p w14:paraId="65FF5E74" w14:textId="77777777" w:rsidR="00A77B3E" w:rsidRDefault="00596CC1">
      <w:pPr>
        <w:spacing w:line="360" w:lineRule="auto"/>
        <w:jc w:val="both"/>
      </w:pPr>
      <w:r>
        <w:rPr>
          <w:rFonts w:ascii="Book Antiqua" w:eastAsia="Book Antiqua" w:hAnsi="Book Antiqua" w:cs="Book Antiqua"/>
          <w:color w:val="000000"/>
        </w:rPr>
        <w:t xml:space="preserve">A total of 108 sepsis patients and 106 </w:t>
      </w:r>
      <w:proofErr w:type="spellStart"/>
      <w:r>
        <w:rPr>
          <w:rFonts w:ascii="Book Antiqua" w:eastAsia="Book Antiqua" w:hAnsi="Book Antiqua" w:cs="Book Antiqua"/>
          <w:color w:val="000000"/>
        </w:rPr>
        <w:t>nonsepsis</w:t>
      </w:r>
      <w:proofErr w:type="spellEnd"/>
      <w:r>
        <w:rPr>
          <w:rFonts w:ascii="Book Antiqua" w:eastAsia="Book Antiqua" w:hAnsi="Book Antiqua" w:cs="Book Antiqua"/>
          <w:color w:val="000000"/>
        </w:rPr>
        <w:t xml:space="preserve"> patients were enrolled</w:t>
      </w:r>
      <w:r>
        <w:rPr>
          <w:rFonts w:ascii="Book Antiqua" w:eastAsia="Book Antiqua" w:hAnsi="Book Antiqua" w:cs="Book Antiqua"/>
          <w:color w:val="000000"/>
          <w:szCs w:val="21"/>
        </w:rPr>
        <w:t xml:space="preserve"> a</w:t>
      </w:r>
      <w:r>
        <w:rPr>
          <w:rFonts w:ascii="Book Antiqua" w:eastAsia="Book Antiqua" w:hAnsi="Book Antiqua" w:cs="Book Antiqua"/>
          <w:color w:val="000000"/>
        </w:rPr>
        <w:t>ccording to relevant inclusion and exclusion criteria.</w:t>
      </w:r>
    </w:p>
    <w:p w14:paraId="10D774DD" w14:textId="77777777" w:rsidR="00A77B3E" w:rsidRDefault="00A77B3E">
      <w:pPr>
        <w:spacing w:line="360" w:lineRule="auto"/>
        <w:jc w:val="both"/>
      </w:pPr>
    </w:p>
    <w:p w14:paraId="34AB0B44" w14:textId="77777777" w:rsidR="00A77B3E" w:rsidRDefault="00596CC1">
      <w:pPr>
        <w:spacing w:line="360" w:lineRule="auto"/>
        <w:jc w:val="both"/>
      </w:pPr>
      <w:r>
        <w:rPr>
          <w:rFonts w:ascii="Book Antiqua" w:eastAsia="Book Antiqua" w:hAnsi="Book Antiqua" w:cs="Book Antiqua"/>
          <w:b/>
          <w:i/>
          <w:color w:val="000000"/>
        </w:rPr>
        <w:t>Research methods</w:t>
      </w:r>
    </w:p>
    <w:p w14:paraId="20DC0666" w14:textId="51B8866B" w:rsidR="00A77B3E" w:rsidRDefault="00596CC1">
      <w:pPr>
        <w:spacing w:line="360" w:lineRule="auto"/>
        <w:jc w:val="both"/>
      </w:pPr>
      <w:r>
        <w:rPr>
          <w:rFonts w:ascii="Book Antiqua" w:eastAsia="Book Antiqua" w:hAnsi="Book Antiqua" w:cs="Book Antiqua"/>
          <w:color w:val="000000"/>
        </w:rPr>
        <w:t xml:space="preserve">Commonly used clinical indicators, such </w:t>
      </w:r>
      <w:r w:rsidRPr="00EC7A4B">
        <w:rPr>
          <w:rFonts w:ascii="Book Antiqua" w:eastAsia="Book Antiqua" w:hAnsi="Book Antiqua" w:cs="Book Antiqua"/>
          <w:color w:val="000000"/>
        </w:rPr>
        <w:t xml:space="preserve">as </w:t>
      </w:r>
      <w:r w:rsidR="00860480" w:rsidRPr="00860480">
        <w:rPr>
          <w:rFonts w:ascii="Book Antiqua" w:eastAsia="Book Antiqua" w:hAnsi="Book Antiqua" w:cs="Book Antiqua"/>
          <w:color w:val="000000"/>
        </w:rPr>
        <w:t>white blood cell</w:t>
      </w:r>
      <w:r w:rsidRPr="00EC7A4B">
        <w:rPr>
          <w:rFonts w:ascii="Book Antiqua" w:eastAsia="Book Antiqua" w:hAnsi="Book Antiqua" w:cs="Book Antiqua"/>
          <w:color w:val="000000"/>
        </w:rPr>
        <w:t>, neutro</w:t>
      </w:r>
      <w:r>
        <w:rPr>
          <w:rFonts w:ascii="Book Antiqua" w:eastAsia="Book Antiqua" w:hAnsi="Book Antiqua" w:cs="Book Antiqua"/>
          <w:color w:val="000000"/>
        </w:rPr>
        <w:t>phil count, lymphocyte count, neutrophil-lymphocyte count ratio (NLCR), platelets (PLT), prothrombin time, INR, activated partial thromboplastin time and quick Sequential</w:t>
      </w:r>
      <w:r w:rsidR="00BD6138">
        <w:rPr>
          <w:rFonts w:ascii="Book Antiqua" w:eastAsia="Book Antiqua" w:hAnsi="Book Antiqua" w:cs="Book Antiqua"/>
          <w:color w:val="000000"/>
        </w:rPr>
        <w:t xml:space="preserve"> </w:t>
      </w:r>
      <w:r w:rsidR="00860480">
        <w:rPr>
          <w:rFonts w:ascii="Book Antiqua" w:eastAsia="Book Antiqua" w:hAnsi="Book Antiqua" w:cs="Book Antiqua"/>
          <w:color w:val="000000"/>
        </w:rPr>
        <w:t>“</w:t>
      </w:r>
      <w:r>
        <w:rPr>
          <w:rFonts w:ascii="Book Antiqua" w:eastAsia="Book Antiqua" w:hAnsi="Book Antiqua" w:cs="Book Antiqua"/>
          <w:color w:val="000000"/>
        </w:rPr>
        <w:t>Sepsis-related</w:t>
      </w:r>
      <w:r w:rsidR="00860480">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scores, were recorded within 24 h after admission. The diagnostic performances of them were analyzed and compared through multivariate logistic regression analysis, Spearman correlation</w:t>
      </w:r>
      <w:r w:rsidR="002C0E7D">
        <w:rPr>
          <w:rFonts w:ascii="Book Antiqua" w:eastAsia="Book Antiqua" w:hAnsi="Book Antiqua" w:cs="Book Antiqua"/>
          <w:color w:val="000000"/>
        </w:rPr>
        <w:t>,</w:t>
      </w:r>
      <w:r>
        <w:rPr>
          <w:rFonts w:ascii="Book Antiqua" w:eastAsia="Book Antiqua" w:hAnsi="Book Antiqua" w:cs="Book Antiqua"/>
          <w:color w:val="000000"/>
        </w:rPr>
        <w:t xml:space="preserve"> and receiver operating characteristic curve</w:t>
      </w:r>
      <w:r w:rsidR="00FB7DB2">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w:t>
      </w:r>
    </w:p>
    <w:p w14:paraId="33EE309A" w14:textId="77777777" w:rsidR="00A77B3E" w:rsidRDefault="00A77B3E">
      <w:pPr>
        <w:spacing w:line="360" w:lineRule="auto"/>
        <w:jc w:val="both"/>
      </w:pPr>
    </w:p>
    <w:p w14:paraId="53CB4A9A" w14:textId="77777777" w:rsidR="00A77B3E" w:rsidRDefault="00596CC1">
      <w:pPr>
        <w:spacing w:line="360" w:lineRule="auto"/>
        <w:jc w:val="both"/>
      </w:pPr>
      <w:r>
        <w:rPr>
          <w:rFonts w:ascii="Book Antiqua" w:eastAsia="Book Antiqua" w:hAnsi="Book Antiqua" w:cs="Book Antiqua"/>
          <w:b/>
          <w:i/>
          <w:color w:val="000000"/>
        </w:rPr>
        <w:t>Research results</w:t>
      </w:r>
    </w:p>
    <w:p w14:paraId="38F9DACD" w14:textId="7E28E0E9" w:rsidR="00A77B3E" w:rsidRDefault="00596CC1">
      <w:pPr>
        <w:spacing w:line="360" w:lineRule="auto"/>
        <w:jc w:val="both"/>
      </w:pPr>
      <w:r>
        <w:rPr>
          <w:rFonts w:ascii="Book Antiqua" w:eastAsia="Book Antiqua" w:hAnsi="Book Antiqua" w:cs="Book Antiqua"/>
          <w:color w:val="000000"/>
        </w:rPr>
        <w:t>The level of the INR was significantly prolonged in the sepsis group. The INR had high diagnostic performance for sepsis, with an area under the curve</w:t>
      </w:r>
      <w:r w:rsidR="00327307">
        <w:rPr>
          <w:rFonts w:ascii="Book Antiqua" w:eastAsia="Book Antiqua" w:hAnsi="Book Antiqua" w:cs="Book Antiqua"/>
          <w:color w:val="000000"/>
        </w:rPr>
        <w:t xml:space="preserve"> </w:t>
      </w:r>
      <w:r>
        <w:rPr>
          <w:rFonts w:ascii="Book Antiqua" w:eastAsia="Book Antiqua" w:hAnsi="Book Antiqua" w:cs="Book Antiqua"/>
          <w:color w:val="000000"/>
        </w:rPr>
        <w:t>value of 0.918 (95%C</w:t>
      </w:r>
      <w:r w:rsidR="00422A23">
        <w:rPr>
          <w:rFonts w:ascii="Book Antiqua" w:eastAsia="Book Antiqua" w:hAnsi="Book Antiqua" w:cs="Book Antiqua"/>
          <w:color w:val="000000"/>
        </w:rPr>
        <w:t xml:space="preserve">I: </w:t>
      </w:r>
      <w:r>
        <w:rPr>
          <w:rFonts w:ascii="Book Antiqua" w:eastAsia="Book Antiqua" w:hAnsi="Book Antiqua" w:cs="Book Antiqua"/>
          <w:color w:val="000000"/>
        </w:rPr>
        <w:t xml:space="preserve">0.857-0.959), when the preexisting diseases that significantly affect coagulation function were excluded. The diagnostic efficacy of the INR was more significant than that of NLCR, PLT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B11B0">
        <w:rPr>
          <w:rFonts w:ascii="Book Antiqua" w:eastAsia="Book Antiqua" w:hAnsi="Book Antiqua" w:cs="Book Antiqua"/>
          <w:color w:val="000000"/>
        </w:rPr>
        <w:t xml:space="preserve"> </w:t>
      </w:r>
      <w:r>
        <w:rPr>
          <w:rFonts w:ascii="Book Antiqua" w:eastAsia="Book Antiqua" w:hAnsi="Book Antiqua" w:cs="Book Antiqua"/>
          <w:color w:val="000000"/>
        </w:rPr>
        <w:t xml:space="preserve">0.05). Moreover, INR levels of 1.17, 1.20, and 1.22 could be used </w:t>
      </w:r>
      <w:r w:rsidR="002C0E7D">
        <w:rPr>
          <w:rFonts w:ascii="Book Antiqua" w:eastAsia="Book Antiqua" w:hAnsi="Book Antiqua" w:cs="Book Antiqua"/>
          <w:color w:val="000000"/>
        </w:rPr>
        <w:t xml:space="preserve">to delineate patients as </w:t>
      </w:r>
      <w:r>
        <w:rPr>
          <w:rFonts w:ascii="Book Antiqua" w:eastAsia="Book Antiqua" w:hAnsi="Book Antiqua" w:cs="Book Antiqua"/>
          <w:color w:val="000000"/>
        </w:rPr>
        <w:t>low</w:t>
      </w:r>
      <w:r w:rsidR="002C0E7D">
        <w:rPr>
          <w:rFonts w:ascii="Book Antiqua" w:eastAsia="Book Antiqua" w:hAnsi="Book Antiqua" w:cs="Book Antiqua"/>
          <w:color w:val="000000"/>
        </w:rPr>
        <w:t xml:space="preserve">, medium or </w:t>
      </w:r>
      <w:r>
        <w:rPr>
          <w:rFonts w:ascii="Book Antiqua" w:eastAsia="Book Antiqua" w:hAnsi="Book Antiqua" w:cs="Book Antiqua"/>
          <w:color w:val="000000"/>
        </w:rPr>
        <w:t xml:space="preserve">high risk </w:t>
      </w:r>
      <w:r w:rsidR="00535329">
        <w:rPr>
          <w:rFonts w:ascii="Book Antiqua" w:eastAsia="Book Antiqua" w:hAnsi="Book Antiqua" w:cs="Book Antiqua"/>
          <w:color w:val="000000"/>
        </w:rPr>
        <w:t>for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 respectively.</w:t>
      </w:r>
    </w:p>
    <w:p w14:paraId="644BB0AE" w14:textId="77777777" w:rsidR="00A77B3E" w:rsidRDefault="00A77B3E">
      <w:pPr>
        <w:spacing w:line="360" w:lineRule="auto"/>
        <w:jc w:val="both"/>
      </w:pPr>
    </w:p>
    <w:p w14:paraId="46C5E49E" w14:textId="77777777" w:rsidR="00A77B3E" w:rsidRDefault="00596CC1">
      <w:pPr>
        <w:spacing w:line="360" w:lineRule="auto"/>
        <w:jc w:val="both"/>
      </w:pPr>
      <w:r>
        <w:rPr>
          <w:rFonts w:ascii="Book Antiqua" w:eastAsia="Book Antiqua" w:hAnsi="Book Antiqua" w:cs="Book Antiqua"/>
          <w:b/>
          <w:i/>
          <w:color w:val="000000"/>
        </w:rPr>
        <w:t>Research conclusions</w:t>
      </w:r>
    </w:p>
    <w:p w14:paraId="30E06055" w14:textId="77777777" w:rsidR="00A77B3E" w:rsidRDefault="00596CC1">
      <w:pPr>
        <w:spacing w:line="360" w:lineRule="auto"/>
        <w:jc w:val="both"/>
      </w:pPr>
      <w:r>
        <w:rPr>
          <w:rFonts w:ascii="Book Antiqua" w:eastAsia="Book Antiqua" w:hAnsi="Book Antiqua" w:cs="Book Antiqua"/>
          <w:color w:val="000000"/>
        </w:rPr>
        <w:t xml:space="preserve">The INR is a promising and easily available biomarker for diagnosis, and it can be used as one of the indicators for early screening of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 When its value is higher than the optimal cutoff (1.22) value, high vigilance is required for adult </w:t>
      </w:r>
      <w:proofErr w:type="spellStart"/>
      <w:r>
        <w:rPr>
          <w:rFonts w:ascii="Book Antiqua" w:eastAsia="Book Antiqua" w:hAnsi="Book Antiqua" w:cs="Book Antiqua"/>
          <w:color w:val="000000"/>
        </w:rPr>
        <w:t>nonpulmonary</w:t>
      </w:r>
      <w:proofErr w:type="spellEnd"/>
      <w:r>
        <w:rPr>
          <w:rFonts w:ascii="Book Antiqua" w:eastAsia="Book Antiqua" w:hAnsi="Book Antiqua" w:cs="Book Antiqua"/>
          <w:color w:val="000000"/>
        </w:rPr>
        <w:t xml:space="preserve"> infectious sepsis.</w:t>
      </w:r>
    </w:p>
    <w:p w14:paraId="2ADC7C0A" w14:textId="77777777" w:rsidR="00A77B3E" w:rsidRDefault="00A77B3E">
      <w:pPr>
        <w:spacing w:line="360" w:lineRule="auto"/>
        <w:jc w:val="both"/>
      </w:pPr>
    </w:p>
    <w:p w14:paraId="678F5955" w14:textId="77777777" w:rsidR="00A77B3E" w:rsidRDefault="00596CC1">
      <w:pPr>
        <w:spacing w:line="360" w:lineRule="auto"/>
        <w:jc w:val="both"/>
      </w:pPr>
      <w:r>
        <w:rPr>
          <w:rFonts w:ascii="Book Antiqua" w:eastAsia="Book Antiqua" w:hAnsi="Book Antiqua" w:cs="Book Antiqua"/>
          <w:b/>
          <w:i/>
          <w:color w:val="000000"/>
        </w:rPr>
        <w:t>Research perspectives</w:t>
      </w:r>
    </w:p>
    <w:p w14:paraId="0162F995" w14:textId="01494FB9" w:rsidR="00A77B3E" w:rsidRDefault="00596CC1">
      <w:pPr>
        <w:spacing w:line="360" w:lineRule="auto"/>
        <w:jc w:val="both"/>
      </w:pPr>
      <w:r>
        <w:rPr>
          <w:rFonts w:ascii="Book Antiqua" w:eastAsia="Book Antiqua" w:hAnsi="Book Antiqua" w:cs="Book Antiqua"/>
          <w:color w:val="000000"/>
        </w:rPr>
        <w:t>Due to its low cost, fast detection and easy interpretation, INR is suitable for the primary screening of sepsis for emergency patients</w:t>
      </w:r>
      <w:r w:rsidR="00535329">
        <w:rPr>
          <w:rFonts w:ascii="Book Antiqua" w:eastAsia="Book Antiqua" w:hAnsi="Book Antiqua" w:cs="Book Antiqua"/>
          <w:color w:val="000000"/>
        </w:rPr>
        <w:t xml:space="preserve"> and</w:t>
      </w:r>
      <w:r>
        <w:rPr>
          <w:rFonts w:ascii="Book Antiqua" w:eastAsia="Book Antiqua" w:hAnsi="Book Antiqua" w:cs="Book Antiqua"/>
          <w:color w:val="000000"/>
        </w:rPr>
        <w:t xml:space="preserve"> outpatients, particularly in low and middle-income countries. Sepsis is highly suspected when the INR value exceeds 1.22 in patients with non-pulmonary infection, especially for those patients without preexisting underlying disease or medication history that affects coagulation function.</w:t>
      </w:r>
    </w:p>
    <w:p w14:paraId="4D0D8B97" w14:textId="77777777" w:rsidR="00A77B3E" w:rsidRDefault="00A77B3E">
      <w:pPr>
        <w:spacing w:line="360" w:lineRule="auto"/>
        <w:jc w:val="both"/>
      </w:pPr>
    </w:p>
    <w:p w14:paraId="1BB0FE1E" w14:textId="77777777" w:rsidR="00A77B3E" w:rsidRDefault="00596CC1">
      <w:pPr>
        <w:spacing w:line="360" w:lineRule="auto"/>
        <w:jc w:val="both"/>
      </w:pPr>
      <w:r>
        <w:rPr>
          <w:rFonts w:ascii="Book Antiqua" w:eastAsia="Book Antiqua" w:hAnsi="Book Antiqua" w:cs="Book Antiqua"/>
          <w:b/>
          <w:caps/>
          <w:color w:val="000000"/>
          <w:u w:val="single"/>
        </w:rPr>
        <w:t>ACKNOWLEDGEMENTS</w:t>
      </w:r>
    </w:p>
    <w:p w14:paraId="7011972B" w14:textId="4914CCE0" w:rsidR="00A77B3E" w:rsidRDefault="00596CC1">
      <w:pPr>
        <w:spacing w:line="360" w:lineRule="auto"/>
        <w:jc w:val="both"/>
      </w:pPr>
      <w:r>
        <w:rPr>
          <w:rFonts w:ascii="Book Antiqua" w:eastAsia="Book Antiqua" w:hAnsi="Book Antiqua" w:cs="Book Antiqua"/>
          <w:color w:val="000000"/>
        </w:rPr>
        <w:t>We would like to thank Prof.</w:t>
      </w:r>
      <w:r w:rsidR="00A10003">
        <w:rPr>
          <w:rFonts w:ascii="Book Antiqua" w:eastAsia="Book Antiqua" w:hAnsi="Book Antiqua" w:cs="Book Antiqua"/>
          <w:color w:val="000000"/>
        </w:rPr>
        <w:t xml:space="preserve"> </w:t>
      </w:r>
      <w:r>
        <w:rPr>
          <w:rFonts w:ascii="Book Antiqua" w:eastAsia="Book Antiqua" w:hAnsi="Book Antiqua" w:cs="Book Antiqua"/>
          <w:color w:val="000000"/>
        </w:rPr>
        <w:t xml:space="preserve">Peng B, Department of Statistics, Chongqing Medical University, for his advice on the statistics in this study. </w:t>
      </w:r>
    </w:p>
    <w:p w14:paraId="6DE13764" w14:textId="77777777" w:rsidR="00A77B3E" w:rsidRDefault="00A77B3E">
      <w:pPr>
        <w:spacing w:line="360" w:lineRule="auto"/>
        <w:jc w:val="both"/>
      </w:pPr>
    </w:p>
    <w:p w14:paraId="7416F162" w14:textId="77777777" w:rsidR="00A77B3E" w:rsidRDefault="00596CC1">
      <w:pPr>
        <w:spacing w:line="360" w:lineRule="auto"/>
        <w:jc w:val="both"/>
      </w:pPr>
      <w:r>
        <w:rPr>
          <w:rFonts w:ascii="Book Antiqua" w:eastAsia="Book Antiqua" w:hAnsi="Book Antiqua" w:cs="Book Antiqua"/>
          <w:b/>
          <w:color w:val="000000"/>
        </w:rPr>
        <w:t>REFERENCES</w:t>
      </w:r>
    </w:p>
    <w:p w14:paraId="2F3738C2" w14:textId="5755C892" w:rsidR="00A77B3E" w:rsidRDefault="00596CC1">
      <w:pPr>
        <w:spacing w:line="360" w:lineRule="auto"/>
        <w:jc w:val="both"/>
      </w:pPr>
      <w:bookmarkStart w:id="7" w:name="OLE_LINK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Horak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Martinkova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Radej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Matejovič</w:t>
      </w:r>
      <w:proofErr w:type="spellEnd"/>
      <w:r>
        <w:rPr>
          <w:rFonts w:ascii="Book Antiqua" w:eastAsia="Book Antiqua" w:hAnsi="Book Antiqua" w:cs="Book Antiqua"/>
          <w:color w:val="000000"/>
        </w:rPr>
        <w:t xml:space="preserve"> M. Bac</w:t>
      </w:r>
      <w:r w:rsidR="00246963">
        <w:rPr>
          <w:rFonts w:ascii="Book Antiqua" w:eastAsia="Book Antiqua" w:hAnsi="Book Antiqua" w:cs="Book Antiqua"/>
          <w:color w:val="000000"/>
        </w:rPr>
        <w:t>k to basics: recognition of sepsis with new defi</w:t>
      </w:r>
      <w:r>
        <w:rPr>
          <w:rFonts w:ascii="Book Antiqua" w:eastAsia="Book Antiqua" w:hAnsi="Book Antiqua" w:cs="Book Antiqua"/>
          <w:color w:val="000000"/>
        </w:rPr>
        <w:t xml:space="preserve">nition.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31683991 DOI: 10.3390/jcm8111838]</w:t>
      </w:r>
    </w:p>
    <w:p w14:paraId="74894390" w14:textId="77777777" w:rsidR="00A77B3E" w:rsidRDefault="00596CC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Payen</w:t>
      </w:r>
      <w:proofErr w:type="spellEnd"/>
      <w:r>
        <w:rPr>
          <w:rFonts w:ascii="Book Antiqua" w:eastAsia="Book Antiqua" w:hAnsi="Book Antiqua" w:cs="Book Antiqua"/>
          <w:color w:val="000000"/>
        </w:rPr>
        <w:t xml:space="preserve"> D. Sepsis-induced immunosuppression: from cellular dysfunctions to immunotherapy.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862-874 [PMID: 24232462 DOI: 10.1038/nri3552]</w:t>
      </w:r>
    </w:p>
    <w:p w14:paraId="50F1EA64" w14:textId="77777777" w:rsidR="00A77B3E" w:rsidRDefault="00596CC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Delano MJ</w:t>
      </w:r>
      <w:r>
        <w:rPr>
          <w:rFonts w:ascii="Book Antiqua" w:eastAsia="Book Antiqua" w:hAnsi="Book Antiqua" w:cs="Book Antiqua"/>
          <w:color w:val="000000"/>
        </w:rPr>
        <w:t xml:space="preserve">, Ward PA. Sepsis-induced immune dysfunction: can immune therapies reduce mortality?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23-31 [PMID: 26727230 DOI: 10.1172/JCI82224]</w:t>
      </w:r>
    </w:p>
    <w:p w14:paraId="6BB9DA90" w14:textId="7A2D9782" w:rsidR="00A77B3E" w:rsidRDefault="00596CC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Reinhart K</w:t>
      </w:r>
      <w:r>
        <w:rPr>
          <w:rFonts w:ascii="Book Antiqua" w:eastAsia="Book Antiqua" w:hAnsi="Book Antiqua" w:cs="Book Antiqua"/>
          <w:color w:val="000000"/>
        </w:rPr>
        <w:t xml:space="preserve">, Daniels R,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 N, Machado FR, </w:t>
      </w:r>
      <w:proofErr w:type="spellStart"/>
      <w:r>
        <w:rPr>
          <w:rFonts w:ascii="Book Antiqua" w:eastAsia="Book Antiqua" w:hAnsi="Book Antiqua" w:cs="Book Antiqua"/>
          <w:color w:val="000000"/>
        </w:rPr>
        <w:t>Schachter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Re</w:t>
      </w:r>
      <w:r w:rsidR="00631758">
        <w:rPr>
          <w:rFonts w:ascii="Book Antiqua" w:eastAsia="Book Antiqua" w:hAnsi="Book Antiqua" w:cs="Book Antiqua"/>
          <w:color w:val="000000"/>
        </w:rPr>
        <w:t xml:space="preserve">cognizing sepsis as a global health priority - a </w:t>
      </w:r>
      <w:r>
        <w:rPr>
          <w:rFonts w:ascii="Book Antiqua" w:eastAsia="Book Antiqua" w:hAnsi="Book Antiqua" w:cs="Book Antiqua"/>
          <w:color w:val="000000"/>
        </w:rPr>
        <w:t xml:space="preserve">WHO </w:t>
      </w:r>
      <w:r w:rsidR="00631758">
        <w:rPr>
          <w:rFonts w:ascii="Book Antiqua" w:eastAsia="Book Antiqua" w:hAnsi="Book Antiqua" w:cs="Book Antiqua"/>
          <w:color w:val="000000"/>
        </w:rPr>
        <w:t>re</w:t>
      </w:r>
      <w:r>
        <w:rPr>
          <w:rFonts w:ascii="Book Antiqua" w:eastAsia="Book Antiqua" w:hAnsi="Book Antiqua" w:cs="Book Antiqua"/>
          <w:color w:val="000000"/>
        </w:rPr>
        <w:t xml:space="preserve">solution.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414-417 [PMID: 28658587 DOI: 10.1056/NEJMp1707170]</w:t>
      </w:r>
    </w:p>
    <w:p w14:paraId="5402B727" w14:textId="26EDB92D" w:rsidR="00A77B3E" w:rsidRDefault="00596CC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w:t>
      </w:r>
      <w:r w:rsidR="00A00D71">
        <w:rPr>
          <w:rFonts w:ascii="Book Antiqua" w:eastAsia="Book Antiqua" w:hAnsi="Book Antiqua" w:cs="Book Antiqua"/>
          <w:color w:val="000000"/>
        </w:rPr>
        <w:t>e third international consensus definitions for sepsis and septic sh</w:t>
      </w:r>
      <w:r>
        <w:rPr>
          <w:rFonts w:ascii="Book Antiqua" w:eastAsia="Book Antiqua" w:hAnsi="Book Antiqua" w:cs="Book Antiqua"/>
          <w:color w:val="000000"/>
        </w:rPr>
        <w:t xml:space="preserve">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739424A" w14:textId="77777777" w:rsidR="00A77B3E" w:rsidRDefault="00596C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Costa RT</w:t>
      </w:r>
      <w:r>
        <w:rPr>
          <w:rFonts w:ascii="Book Antiqua" w:eastAsia="Book Antiqua" w:hAnsi="Book Antiqua" w:cs="Book Antiqua"/>
          <w:color w:val="000000"/>
        </w:rPr>
        <w:t xml:space="preserve">, Nassar AP Jr, Caruso P. Accuracy of SOFA,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and SIRS scores for mortality in cancer patients admitted to an intensive care unit with suspected infection.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52-57 [PMID: 29413723 DOI: 10.1016/j.jcrc.2017.12.024]</w:t>
      </w:r>
    </w:p>
    <w:p w14:paraId="3AB0D2AC" w14:textId="77777777" w:rsidR="00A77B3E" w:rsidRDefault="00596CC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Askim</w:t>
      </w:r>
      <w:proofErr w:type="spellEnd"/>
      <w:r>
        <w:rPr>
          <w:rFonts w:ascii="Book Antiqua" w:eastAsia="Book Antiqua" w:hAnsi="Book Antiqua" w:cs="Book Antiqua"/>
          <w:b/>
          <w:bCs/>
          <w:color w:val="000000"/>
        </w:rPr>
        <w:t xml:space="preserve"> Å</w:t>
      </w:r>
      <w:r>
        <w:rPr>
          <w:rFonts w:ascii="Book Antiqua" w:eastAsia="Book Antiqua" w:hAnsi="Book Antiqua" w:cs="Book Antiqua"/>
          <w:color w:val="000000"/>
        </w:rPr>
        <w:t xml:space="preserve">, Moser F, </w:t>
      </w:r>
      <w:proofErr w:type="spellStart"/>
      <w:r>
        <w:rPr>
          <w:rFonts w:ascii="Book Antiqua" w:eastAsia="Book Antiqua" w:hAnsi="Book Antiqua" w:cs="Book Antiqua"/>
          <w:color w:val="000000"/>
        </w:rPr>
        <w:t>Gustad</w:t>
      </w:r>
      <w:proofErr w:type="spellEnd"/>
      <w:r>
        <w:rPr>
          <w:rFonts w:ascii="Book Antiqua" w:eastAsia="Book Antiqua" w:hAnsi="Book Antiqua" w:cs="Book Antiqua"/>
          <w:color w:val="000000"/>
        </w:rPr>
        <w:t xml:space="preserve"> LT, Stene H, </w:t>
      </w:r>
      <w:proofErr w:type="spellStart"/>
      <w:r>
        <w:rPr>
          <w:rFonts w:ascii="Book Antiqua" w:eastAsia="Book Antiqua" w:hAnsi="Book Antiqua" w:cs="Book Antiqua"/>
          <w:color w:val="000000"/>
        </w:rPr>
        <w:t>Gundersen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Åsvold</w:t>
      </w:r>
      <w:proofErr w:type="spellEnd"/>
      <w:r>
        <w:rPr>
          <w:rFonts w:ascii="Book Antiqua" w:eastAsia="Book Antiqua" w:hAnsi="Book Antiqua" w:cs="Book Antiqua"/>
          <w:color w:val="000000"/>
        </w:rPr>
        <w:t xml:space="preserve"> BO, Dale J, </w:t>
      </w:r>
      <w:proofErr w:type="spellStart"/>
      <w:r>
        <w:rPr>
          <w:rFonts w:ascii="Book Antiqua" w:eastAsia="Book Antiqua" w:hAnsi="Book Antiqua" w:cs="Book Antiqua"/>
          <w:color w:val="000000"/>
        </w:rPr>
        <w:t>Bjørnsen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Damås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Solligård</w:t>
      </w:r>
      <w:proofErr w:type="spellEnd"/>
      <w:r>
        <w:rPr>
          <w:rFonts w:ascii="Book Antiqua" w:eastAsia="Book Antiqua" w:hAnsi="Book Antiqua" w:cs="Book Antiqua"/>
          <w:color w:val="000000"/>
        </w:rPr>
        <w:t xml:space="preserve"> E. Poor performance of quick-SOFA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in predicting severe sepsis and mortality - a prospective study of patients admitted with infection to the emergency department.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56 [PMID: 28599661 DOI: 10.1186/s13049-017-0399-4]</w:t>
      </w:r>
    </w:p>
    <w:p w14:paraId="2C8ED665" w14:textId="6A15BA59" w:rsidR="00A77B3E" w:rsidRDefault="00596CC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Williams JM</w:t>
      </w:r>
      <w:r>
        <w:rPr>
          <w:rFonts w:ascii="Book Antiqua" w:eastAsia="Book Antiqua" w:hAnsi="Book Antiqua" w:cs="Book Antiqua"/>
          <w:color w:val="000000"/>
        </w:rPr>
        <w:t>, Greenslade JH, McKenzie JV, Chu K, Brown AFT, Lipman J. Syst</w:t>
      </w:r>
      <w:r w:rsidR="00652CFE">
        <w:rPr>
          <w:rFonts w:ascii="Book Antiqua" w:eastAsia="Book Antiqua" w:hAnsi="Book Antiqua" w:cs="Book Antiqua"/>
          <w:color w:val="000000"/>
        </w:rPr>
        <w:t>emic inflammatory response syndrome, quick sequential organ function assessment, and organ dysfunction: insights from a prospective database of ed patients with infec</w:t>
      </w:r>
      <w:r>
        <w:rPr>
          <w:rFonts w:ascii="Book Antiqua" w:eastAsia="Book Antiqua" w:hAnsi="Book Antiqua" w:cs="Book Antiqua"/>
          <w:color w:val="000000"/>
        </w:rPr>
        <w:t xml:space="preserve">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586-596 [PMID: 27876592 DOI: 10.1016/j.chest.2016.10.057]</w:t>
      </w:r>
    </w:p>
    <w:p w14:paraId="7EC3A639" w14:textId="77777777" w:rsidR="00A77B3E" w:rsidRDefault="00596CC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Szabo BG</w:t>
      </w:r>
      <w:r>
        <w:rPr>
          <w:rFonts w:ascii="Book Antiqua" w:eastAsia="Book Antiqua" w:hAnsi="Book Antiqua" w:cs="Book Antiqua"/>
          <w:color w:val="000000"/>
        </w:rPr>
        <w:t xml:space="preserve">, Kiss R, </w:t>
      </w:r>
      <w:proofErr w:type="spellStart"/>
      <w:r>
        <w:rPr>
          <w:rFonts w:ascii="Book Antiqua" w:eastAsia="Book Antiqua" w:hAnsi="Book Antiqua" w:cs="Book Antiqua"/>
          <w:color w:val="000000"/>
        </w:rPr>
        <w:t>Lenart</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Marosi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Ostorhazi</w:t>
      </w:r>
      <w:proofErr w:type="spellEnd"/>
      <w:r>
        <w:rPr>
          <w:rFonts w:ascii="Book Antiqua" w:eastAsia="Book Antiqua" w:hAnsi="Book Antiqua" w:cs="Book Antiqua"/>
          <w:color w:val="000000"/>
        </w:rPr>
        <w:t xml:space="preserve"> E. Clinical and microbiological characteristics and outcomes of community-acquired sepsis among adults: a single center, 1-year retrospective observational cohort study from Hungary.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584 [PMID: 31349818 DOI: 10.1186/s12879-019-4219-5]</w:t>
      </w:r>
    </w:p>
    <w:p w14:paraId="32CCC820" w14:textId="77777777" w:rsidR="00A77B3E" w:rsidRDefault="00596C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Walborn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Rondina</w:t>
      </w:r>
      <w:proofErr w:type="spellEnd"/>
      <w:r>
        <w:rPr>
          <w:rFonts w:ascii="Book Antiqua" w:eastAsia="Book Antiqua" w:hAnsi="Book Antiqua" w:cs="Book Antiqua"/>
          <w:color w:val="000000"/>
        </w:rPr>
        <w:t xml:space="preserve"> M, Fareed J, </w:t>
      </w:r>
      <w:proofErr w:type="spellStart"/>
      <w:r>
        <w:rPr>
          <w:rFonts w:ascii="Book Antiqua" w:eastAsia="Book Antiqua" w:hAnsi="Book Antiqua" w:cs="Book Antiqua"/>
          <w:color w:val="000000"/>
        </w:rPr>
        <w:t>Hoppensteadt</w:t>
      </w:r>
      <w:proofErr w:type="spellEnd"/>
      <w:r>
        <w:rPr>
          <w:rFonts w:ascii="Book Antiqua" w:eastAsia="Book Antiqua" w:hAnsi="Book Antiqua" w:cs="Book Antiqua"/>
          <w:color w:val="000000"/>
        </w:rPr>
        <w:t xml:space="preserve"> D. Markers of Inflammation and Infection in Sepsis and Disseminated Intravascular Coagulation.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1076029619843338 [PMID: 30991817 DOI: 10.1177/1076029619843338]</w:t>
      </w:r>
    </w:p>
    <w:p w14:paraId="7526515B" w14:textId="77777777" w:rsidR="00A77B3E" w:rsidRDefault="00596CC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Levi M</w:t>
      </w:r>
      <w:r>
        <w:rPr>
          <w:rFonts w:ascii="Book Antiqua" w:eastAsia="Book Antiqua" w:hAnsi="Book Antiqua" w:cs="Book Antiqua"/>
          <w:color w:val="000000"/>
        </w:rPr>
        <w:t xml:space="preserve">, Schultz MJ. What do sepsis-induced coagulation test result abnormalities mean to intensivists?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581-583 [PMID: 28220224 DOI: 10.1007/s00134-017-4725-0]</w:t>
      </w:r>
    </w:p>
    <w:p w14:paraId="5A0C192D" w14:textId="77777777" w:rsidR="00A77B3E" w:rsidRDefault="00596CC1">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Lipinska-Gediga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Coagulopathy in sepsis - a new look at an old problem.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Intensive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352-359 [PMID: 27824218 DOI: 10.5603/AIT.a2016.0051]</w:t>
      </w:r>
    </w:p>
    <w:p w14:paraId="1D2EBCC6" w14:textId="77777777" w:rsidR="00A77B3E" w:rsidRDefault="00596CC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Hardcastle</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Watkins RR,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AK, Augustin G,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Baraket</w:t>
      </w:r>
      <w:proofErr w:type="spellEnd"/>
      <w:r>
        <w:rPr>
          <w:rFonts w:ascii="Book Antiqua" w:eastAsia="Book Antiqua" w:hAnsi="Book Antiqua" w:cs="Book Antiqua"/>
          <w:color w:val="000000"/>
        </w:rPr>
        <w:t xml:space="preserve"> O, Beltran MA,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De Simone B, de Souza HP, Cui Y, Davies RJ, Dhingra S, Diaz JJ,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Dogjani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Elmangory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Ferrada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Frattima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 Gomes CA, </w:t>
      </w:r>
      <w:proofErr w:type="spellStart"/>
      <w:r>
        <w:rPr>
          <w:rFonts w:ascii="Book Antiqua" w:eastAsia="Book Antiqua" w:hAnsi="Book Antiqua" w:cs="Book Antiqua"/>
          <w:color w:val="000000"/>
        </w:rPr>
        <w:t>Kanj</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Kenig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Khamis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Koike K,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KYY,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R, Lee JG,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Machain</w:t>
      </w:r>
      <w:proofErr w:type="spellEnd"/>
      <w:r>
        <w:rPr>
          <w:rFonts w:ascii="Book Antiqua" w:eastAsia="Book Antiqua" w:hAnsi="Book Antiqua" w:cs="Book Antiqua"/>
          <w:color w:val="000000"/>
        </w:rPr>
        <w:t xml:space="preserve"> GM, Manzano-Nunez R, Major P,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McFarlane M,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Mesina</w:t>
      </w:r>
      <w:proofErr w:type="spellEnd"/>
      <w:r>
        <w:rPr>
          <w:rFonts w:ascii="Book Antiqua" w:eastAsia="Book Antiqua" w:hAnsi="Book Antiqua" w:cs="Book Antiqua"/>
          <w:color w:val="000000"/>
        </w:rPr>
        <w:t xml:space="preserve"> C, Moore EE, Moore FA, Naidoo N,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Ofori-Asenso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Olaoye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Ordoñez</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Ouadii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Paolillo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Picetti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Pintar</w:t>
      </w:r>
      <w:proofErr w:type="spellEnd"/>
      <w:r>
        <w:rPr>
          <w:rFonts w:ascii="Book Antiqua" w:eastAsia="Book Antiqua" w:hAnsi="Book Antiqua" w:cs="Book Antiqua"/>
          <w:color w:val="000000"/>
        </w:rPr>
        <w:t xml:space="preserve"> T, Ponce-de-Leon A, </w:t>
      </w:r>
      <w:proofErr w:type="spellStart"/>
      <w:r>
        <w:rPr>
          <w:rFonts w:ascii="Book Antiqua" w:eastAsia="Book Antiqua" w:hAnsi="Book Antiqua" w:cs="Book Antiqua"/>
          <w:color w:val="000000"/>
        </w:rPr>
        <w:t>Pupelis</w:t>
      </w:r>
      <w:proofErr w:type="spellEnd"/>
      <w:r>
        <w:rPr>
          <w:rFonts w:ascii="Book Antiqua" w:eastAsia="Book Antiqua" w:hAnsi="Book Antiqua" w:cs="Book Antiqua"/>
          <w:color w:val="000000"/>
        </w:rPr>
        <w:t xml:space="preserve"> G, Reis T,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Kafil</w:t>
      </w:r>
      <w:proofErr w:type="spellEnd"/>
      <w:r>
        <w:rPr>
          <w:rFonts w:ascii="Book Antiqua" w:eastAsia="Book Antiqua" w:hAnsi="Book Antiqua" w:cs="Book Antiqua"/>
          <w:color w:val="000000"/>
        </w:rPr>
        <w:t xml:space="preserve"> HS, Sato N, Shah JN, </w:t>
      </w:r>
      <w:proofErr w:type="spellStart"/>
      <w:r>
        <w:rPr>
          <w:rFonts w:ascii="Book Antiqua" w:eastAsia="Book Antiqua" w:hAnsi="Book Antiqua" w:cs="Book Antiqua"/>
          <w:color w:val="000000"/>
        </w:rPr>
        <w:t>Siribumrungwong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Tranà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Yuan KC, Catena F. Raising concerns about the Sepsis-3 definitions.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 [PMID: 29416555 DOI: 10.1186/s13017-018-0165-6]</w:t>
      </w:r>
    </w:p>
    <w:p w14:paraId="250CC136" w14:textId="77777777" w:rsidR="00A77B3E" w:rsidRDefault="00596CC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Davies GR</w:t>
      </w:r>
      <w:r>
        <w:rPr>
          <w:rFonts w:ascii="Book Antiqua" w:eastAsia="Book Antiqua" w:hAnsi="Book Antiqua" w:cs="Book Antiqua"/>
          <w:color w:val="000000"/>
        </w:rPr>
        <w:t xml:space="preserve">, Lawrence M, Pillai S, Mills GM, Aubrey R, Thomas D, Williams R, Morris K, Evans PA. The effect of sepsis and septic shock on the viscoelastic properties of clot quality and mass using rotational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A prospective observational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7-11 [PMID: 28988002 DOI: 10.1016/j.jcrc.2017.09.183]</w:t>
      </w:r>
    </w:p>
    <w:p w14:paraId="755D00D1" w14:textId="6C523B32" w:rsidR="00A77B3E" w:rsidRDefault="00596CC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Korpallová</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Samoš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Škorňová</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Kovář</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Kubisz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Staško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Mokáň</w:t>
      </w:r>
      <w:proofErr w:type="spellEnd"/>
      <w:r>
        <w:rPr>
          <w:rFonts w:ascii="Book Antiqua" w:eastAsia="Book Antiqua" w:hAnsi="Book Antiqua" w:cs="Book Antiqua"/>
          <w:color w:val="000000"/>
        </w:rPr>
        <w:t xml:space="preserve"> M. Rol</w:t>
      </w:r>
      <w:r w:rsidR="00A070A6">
        <w:rPr>
          <w:rFonts w:ascii="Book Antiqua" w:eastAsia="Book Antiqua" w:hAnsi="Book Antiqua" w:cs="Book Antiqua"/>
          <w:color w:val="000000"/>
        </w:rPr>
        <w:t xml:space="preserve">e of </w:t>
      </w:r>
      <w:proofErr w:type="spellStart"/>
      <w:r w:rsidR="00A070A6">
        <w:rPr>
          <w:rFonts w:ascii="Book Antiqua" w:eastAsia="Book Antiqua" w:hAnsi="Book Antiqua" w:cs="Book Antiqua"/>
          <w:color w:val="000000"/>
        </w:rPr>
        <w:t>thromboelastography</w:t>
      </w:r>
      <w:proofErr w:type="spellEnd"/>
      <w:r w:rsidR="00A070A6">
        <w:rPr>
          <w:rFonts w:ascii="Book Antiqua" w:eastAsia="Book Antiqua" w:hAnsi="Book Antiqua" w:cs="Book Antiqua"/>
          <w:color w:val="000000"/>
        </w:rPr>
        <w:t xml:space="preserve"> and rotational </w:t>
      </w:r>
      <w:proofErr w:type="spellStart"/>
      <w:r w:rsidR="00A070A6">
        <w:rPr>
          <w:rFonts w:ascii="Book Antiqua" w:eastAsia="Book Antiqua" w:hAnsi="Book Antiqua" w:cs="Book Antiqua"/>
          <w:color w:val="000000"/>
        </w:rPr>
        <w:t>thromboelastometry</w:t>
      </w:r>
      <w:proofErr w:type="spellEnd"/>
      <w:r w:rsidR="00A070A6">
        <w:rPr>
          <w:rFonts w:ascii="Book Antiqua" w:eastAsia="Book Antiqua" w:hAnsi="Book Antiqua" w:cs="Book Antiqua"/>
          <w:color w:val="000000"/>
        </w:rPr>
        <w:t xml:space="preserve"> in the management of cardiovascular dise</w:t>
      </w:r>
      <w:r>
        <w:rPr>
          <w:rFonts w:ascii="Book Antiqua" w:eastAsia="Book Antiqua" w:hAnsi="Book Antiqua" w:cs="Book Antiqua"/>
          <w:color w:val="000000"/>
        </w:rPr>
        <w:t xml:space="preserve">ases.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1199-1207 [PMID: 30041546 DOI: 10.1177/1076029618790092]</w:t>
      </w:r>
    </w:p>
    <w:p w14:paraId="0BF547B7" w14:textId="77777777" w:rsidR="00A77B3E" w:rsidRDefault="00596CC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Stettler</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Sumislawski</w:t>
      </w:r>
      <w:proofErr w:type="spellEnd"/>
      <w:r>
        <w:rPr>
          <w:rFonts w:ascii="Book Antiqua" w:eastAsia="Book Antiqua" w:hAnsi="Book Antiqua" w:cs="Book Antiqua"/>
          <w:color w:val="000000"/>
        </w:rPr>
        <w:t xml:space="preserve"> JJ, Moore EE, </w:t>
      </w:r>
      <w:proofErr w:type="spellStart"/>
      <w:r>
        <w:rPr>
          <w:rFonts w:ascii="Book Antiqua" w:eastAsia="Book Antiqua" w:hAnsi="Book Antiqua" w:cs="Book Antiqua"/>
          <w:color w:val="000000"/>
        </w:rPr>
        <w:t>Nunns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Kornblith</w:t>
      </w:r>
      <w:proofErr w:type="spellEnd"/>
      <w:r>
        <w:rPr>
          <w:rFonts w:ascii="Book Antiqua" w:eastAsia="Book Antiqua" w:hAnsi="Book Antiqua" w:cs="Book Antiqua"/>
          <w:color w:val="000000"/>
        </w:rPr>
        <w:t xml:space="preserve"> LZ, Conroy AS, </w:t>
      </w:r>
      <w:proofErr w:type="spellStart"/>
      <w:r>
        <w:rPr>
          <w:rFonts w:ascii="Book Antiqua" w:eastAsia="Book Antiqua" w:hAnsi="Book Antiqua" w:cs="Book Antiqua"/>
          <w:color w:val="000000"/>
        </w:rPr>
        <w:t>Callcut</w:t>
      </w:r>
      <w:proofErr w:type="spellEnd"/>
      <w:r>
        <w:rPr>
          <w:rFonts w:ascii="Book Antiqua" w:eastAsia="Book Antiqua" w:hAnsi="Book Antiqua" w:cs="Book Antiqua"/>
          <w:color w:val="000000"/>
        </w:rPr>
        <w:t xml:space="preserve"> RA, Silliman CC, Banerjee A, Cohen MJ, </w:t>
      </w:r>
      <w:proofErr w:type="spellStart"/>
      <w:r>
        <w:rPr>
          <w:rFonts w:ascii="Book Antiqua" w:eastAsia="Book Antiqua" w:hAnsi="Book Antiqua" w:cs="Book Antiqua"/>
          <w:color w:val="000000"/>
        </w:rPr>
        <w:t>Sauaia</w:t>
      </w:r>
      <w:proofErr w:type="spellEnd"/>
      <w:r>
        <w:rPr>
          <w:rFonts w:ascii="Book Antiqua" w:eastAsia="Book Antiqua" w:hAnsi="Book Antiqua" w:cs="Book Antiqua"/>
          <w:color w:val="000000"/>
        </w:rPr>
        <w:t xml:space="preserve"> A. Citrated kaolin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 (TEG) thresholds for goal-directed therapy in injured patients receiving massive </w:t>
      </w:r>
      <w:r>
        <w:rPr>
          <w:rFonts w:ascii="Book Antiqua" w:eastAsia="Book Antiqua" w:hAnsi="Book Antiqua" w:cs="Book Antiqua"/>
          <w:color w:val="000000"/>
        </w:rPr>
        <w:lastRenderedPageBreak/>
        <w:t xml:space="preserve">transfusion.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85</w:t>
      </w:r>
      <w:r>
        <w:rPr>
          <w:rFonts w:ascii="Book Antiqua" w:eastAsia="Book Antiqua" w:hAnsi="Book Antiqua" w:cs="Book Antiqua"/>
          <w:color w:val="000000"/>
        </w:rPr>
        <w:t>: 734-740 [PMID: 30059456 DOI: 10.1097/TA.0000000000002037]</w:t>
      </w:r>
    </w:p>
    <w:p w14:paraId="5BCCFFA3" w14:textId="17603015" w:rsidR="00A77B3E" w:rsidRDefault="00596CC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Fantz</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Confirming P</w:t>
      </w:r>
      <w:r w:rsidR="009C24F7">
        <w:rPr>
          <w:rFonts w:ascii="Book Antiqua" w:eastAsia="Book Antiqua" w:hAnsi="Book Antiqua" w:cs="Book Antiqua"/>
          <w:color w:val="000000"/>
        </w:rPr>
        <w:t>oint-of-car</w:t>
      </w:r>
      <w:r>
        <w:rPr>
          <w:rFonts w:ascii="Book Antiqua" w:eastAsia="Book Antiqua" w:hAnsi="Book Antiqua" w:cs="Book Antiqua"/>
          <w:color w:val="000000"/>
        </w:rPr>
        <w:t xml:space="preserve">e INR </w:t>
      </w:r>
      <w:r w:rsidR="009C24F7">
        <w:rPr>
          <w:rFonts w:ascii="Book Antiqua" w:eastAsia="Book Antiqua" w:hAnsi="Book Antiqua" w:cs="Book Antiqua"/>
          <w:color w:val="000000"/>
        </w:rPr>
        <w:t>test result</w:t>
      </w:r>
      <w:r>
        <w:rPr>
          <w:rFonts w:ascii="Book Antiqua" w:eastAsia="Book Antiqua" w:hAnsi="Book Antiqua" w:cs="Book Antiqua"/>
          <w:color w:val="000000"/>
        </w:rPr>
        <w:t xml:space="preserv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1190-1191 [PMID: 32207787 DOI: 10.1001/jama.2020.0945]</w:t>
      </w:r>
    </w:p>
    <w:p w14:paraId="6277E6FB" w14:textId="141EE7EA" w:rsidR="00A77B3E" w:rsidRDefault="00596CC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Zboromyrska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Cilloniz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Cobos-Trigueros</w:t>
      </w:r>
      <w:proofErr w:type="spellEnd"/>
      <w:r>
        <w:rPr>
          <w:rFonts w:ascii="Book Antiqua" w:eastAsia="Book Antiqua" w:hAnsi="Book Antiqua" w:cs="Book Antiqua"/>
          <w:color w:val="000000"/>
        </w:rPr>
        <w:t xml:space="preserve"> N, </w:t>
      </w:r>
      <w:proofErr w:type="spellStart"/>
      <w:r w:rsidR="00D0396C" w:rsidRPr="00D0396C">
        <w:rPr>
          <w:rFonts w:ascii="Book Antiqua" w:eastAsia="Book Antiqua" w:hAnsi="Book Antiqua" w:cs="Book Antiqua"/>
          <w:color w:val="000000"/>
        </w:rPr>
        <w:t>Almela</w:t>
      </w:r>
      <w:proofErr w:type="spellEnd"/>
      <w:r w:rsidR="00D0396C" w:rsidRPr="00D0396C">
        <w:rPr>
          <w:rFonts w:ascii="Book Antiqua" w:eastAsia="Book Antiqua" w:hAnsi="Book Antiqua" w:cs="Book Antiqua"/>
          <w:color w:val="000000"/>
        </w:rPr>
        <w:t xml:space="preserve"> M, Hurtado JC, Vergara A, Mata C, Soriano A, Mensa J, Marco F, Vila J.</w:t>
      </w:r>
      <w:r w:rsidR="0010717C">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Evaluation of the </w:t>
      </w:r>
      <w:proofErr w:type="spellStart"/>
      <w:r>
        <w:rPr>
          <w:rFonts w:ascii="Book Antiqua" w:eastAsia="Book Antiqua" w:hAnsi="Book Antiqua" w:cs="Book Antiqua"/>
          <w:color w:val="000000"/>
        </w:rPr>
        <w:t>Magicplex</w:t>
      </w:r>
      <w:proofErr w:type="spellEnd"/>
      <w:r>
        <w:rPr>
          <w:rFonts w:ascii="Book Antiqua" w:eastAsia="Book Antiqua" w:hAnsi="Book Antiqua" w:cs="Book Antiqua"/>
          <w:color w:val="000000"/>
        </w:rPr>
        <w:t xml:space="preserve"> Sepsis Real-Time Test for the Rapid Diagnosis of Bloodstream Infections in Adults. </w:t>
      </w:r>
      <w:r w:rsidRPr="00A10003">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2019;</w:t>
      </w:r>
      <w:r w:rsidR="00A10003">
        <w:rPr>
          <w:rFonts w:ascii="Book Antiqua" w:eastAsia="Book Antiqua" w:hAnsi="Book Antiqua" w:cs="Book Antiqua"/>
          <w:color w:val="000000"/>
        </w:rPr>
        <w:t xml:space="preserve"> </w:t>
      </w:r>
      <w:r w:rsidRPr="00A10003">
        <w:rPr>
          <w:rFonts w:ascii="Book Antiqua" w:eastAsia="Book Antiqua" w:hAnsi="Book Antiqua" w:cs="Book Antiqua"/>
          <w:b/>
          <w:bCs/>
          <w:color w:val="000000"/>
        </w:rPr>
        <w:t>9</w:t>
      </w:r>
      <w:r>
        <w:rPr>
          <w:rFonts w:ascii="Book Antiqua" w:eastAsia="Book Antiqua" w:hAnsi="Book Antiqua" w:cs="Book Antiqua"/>
          <w:color w:val="000000"/>
        </w:rPr>
        <w:t>:</w:t>
      </w:r>
      <w:r w:rsidR="00A10003">
        <w:rPr>
          <w:rFonts w:ascii="Book Antiqua" w:eastAsia="Book Antiqua" w:hAnsi="Book Antiqua" w:cs="Book Antiqua"/>
          <w:color w:val="000000"/>
        </w:rPr>
        <w:t xml:space="preserve"> </w:t>
      </w:r>
      <w:r>
        <w:rPr>
          <w:rFonts w:ascii="Book Antiqua" w:eastAsia="Book Antiqua" w:hAnsi="Book Antiqua" w:cs="Book Antiqua"/>
          <w:color w:val="000000"/>
        </w:rPr>
        <w:t xml:space="preserve">56 </w:t>
      </w:r>
      <w:r w:rsidR="00D17C7D">
        <w:rPr>
          <w:rFonts w:ascii="Book Antiqua" w:eastAsia="Book Antiqua" w:hAnsi="Book Antiqua" w:cs="Book Antiqua"/>
          <w:color w:val="000000"/>
        </w:rPr>
        <w:t>[DOI</w:t>
      </w:r>
      <w:r>
        <w:rPr>
          <w:rFonts w:ascii="Book Antiqua" w:eastAsia="Book Antiqua" w:hAnsi="Book Antiqua" w:cs="Book Antiqua"/>
          <w:color w:val="000000"/>
        </w:rPr>
        <w:t>: 10.3389/fcimb.2019.00056</w:t>
      </w:r>
      <w:r w:rsidR="00D17C7D">
        <w:rPr>
          <w:rFonts w:ascii="Book Antiqua" w:eastAsia="Book Antiqua" w:hAnsi="Book Antiqua" w:cs="Book Antiqua"/>
          <w:color w:val="000000"/>
        </w:rPr>
        <w:t>]</w:t>
      </w:r>
    </w:p>
    <w:p w14:paraId="2CE51210" w14:textId="77777777" w:rsidR="00A77B3E" w:rsidRDefault="00596CC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Dong L</w:t>
      </w:r>
      <w:r>
        <w:rPr>
          <w:rFonts w:ascii="Book Antiqua" w:eastAsia="Book Antiqua" w:hAnsi="Book Antiqua" w:cs="Book Antiqua"/>
          <w:color w:val="000000"/>
        </w:rPr>
        <w:t>, Li H, Zhang S, Yang G. miR</w:t>
      </w:r>
      <w:r>
        <w:rPr>
          <w:rFonts w:ascii="Book Antiqua" w:eastAsia="Book Antiqua" w:hAnsi="Book Antiqua" w:cs="Book Antiqua"/>
          <w:color w:val="000000"/>
        </w:rPr>
        <w:noBreakHyphen/>
        <w:t xml:space="preserve">148 family members are putative biomarkers for sepsis.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5133-5141 [PMID: 31059023 DOI: 10.3892/mmr.2019.10174]</w:t>
      </w:r>
    </w:p>
    <w:p w14:paraId="6AF2B259" w14:textId="77777777" w:rsidR="00A77B3E" w:rsidRDefault="00596CC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Guo H</w:t>
      </w:r>
      <w:r>
        <w:rPr>
          <w:rFonts w:ascii="Book Antiqua" w:eastAsia="Book Antiqua" w:hAnsi="Book Antiqua" w:cs="Book Antiqua"/>
          <w:color w:val="000000"/>
        </w:rPr>
        <w:t xml:space="preserve">, Tang L, Xu J, Lin C, Ling X, Lu C, Liu Z. MicroRNA-495 serves as a diagnostic biomarker in patients with sepsis and regulates sepsis-induced inflammation and cardiac dysfunction. </w:t>
      </w:r>
      <w:r>
        <w:rPr>
          <w:rFonts w:ascii="Book Antiqua" w:eastAsia="Book Antiqua" w:hAnsi="Book Antiqua" w:cs="Book Antiqua"/>
          <w:i/>
          <w:iCs/>
          <w:color w:val="000000"/>
        </w:rPr>
        <w:t>Eur J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37 [PMID: 31771650 DOI: 10.1186/s40001-019-0396-3]</w:t>
      </w:r>
    </w:p>
    <w:p w14:paraId="7BB0E58F" w14:textId="77777777" w:rsidR="00A77B3E" w:rsidRDefault="00596CC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Gando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Levi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CH. Disseminated intravascular coagulation.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16037 [PMID: 27250996 DOI: 10.1038/nrdp.2016.37]</w:t>
      </w:r>
    </w:p>
    <w:p w14:paraId="4C638813" w14:textId="77777777" w:rsidR="00A77B3E" w:rsidRDefault="00596CC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Coagulation and sepsis.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38-44 [PMID: 27886531 DOI: 10.1016/j.thromres.2016.11.007]</w:t>
      </w:r>
    </w:p>
    <w:p w14:paraId="216814C0" w14:textId="77777777" w:rsidR="00A77B3E" w:rsidRDefault="00596CC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Khalid S, Jiang L. Diagnostic and predictive performance of biomarkers in patients with sepsis in an intensive care unit.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44-58 [PMID: 30477377 DOI: 10.1177/0300060518793791]</w:t>
      </w:r>
    </w:p>
    <w:p w14:paraId="30F0C70B" w14:textId="77777777" w:rsidR="00A77B3E" w:rsidRDefault="00596CC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Mierzchała-Pasierb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Lipińska-Gediga</w:t>
      </w:r>
      <w:proofErr w:type="spellEnd"/>
      <w:r>
        <w:rPr>
          <w:rFonts w:ascii="Book Antiqua" w:eastAsia="Book Antiqua" w:hAnsi="Book Antiqua" w:cs="Book Antiqua"/>
          <w:color w:val="000000"/>
        </w:rPr>
        <w:t xml:space="preserve"> M. Sepsis diagnosis and monitoring - procalcitonin as standard, but what next?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Intensive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299-305 [PMID: 31550871 DOI: 10.5114/ait.2019.88104]</w:t>
      </w:r>
    </w:p>
    <w:p w14:paraId="2010BACE" w14:textId="77777777" w:rsidR="00A77B3E" w:rsidRDefault="00596CC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Chen C, Zhang Y, Luo C, Liu B. Ability of serum procalcitonin to distinguish focus of infection and pathogen types in patients with bloodstream infection.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135 [PMID: 31157256 DOI: 10.21037/atm.2019.03.24]</w:t>
      </w:r>
    </w:p>
    <w:p w14:paraId="3CDB2117" w14:textId="77777777" w:rsidR="00A77B3E" w:rsidRDefault="00596CC1">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Song J</w:t>
      </w:r>
      <w:r>
        <w:rPr>
          <w:rFonts w:ascii="Book Antiqua" w:eastAsia="Book Antiqua" w:hAnsi="Book Antiqua" w:cs="Book Antiqua"/>
          <w:color w:val="000000"/>
        </w:rPr>
        <w:t xml:space="preserve">, Park DW, Moon S, Cho HJ, Park JH, Seok H, Choi WS. Diagnostic and prognostic value of interleukin-6, pentraxin 3, and procalcitonin levels among sepsis and septic shock patients: a prospective controlled study according to the Sepsis-3 definitions.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968 [PMID: 31718563 DOI: 10.1186/s12879-019-4618-7]</w:t>
      </w:r>
    </w:p>
    <w:p w14:paraId="3D91484C" w14:textId="77777777" w:rsidR="00A77B3E" w:rsidRDefault="00596CC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Chen GY, Liu Z, Zhao Y, Xu GY, Li SF, Li CN, Chen LS, Tao Z. The combination of procalcitonin and C-reactive protein or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alone improves the accuracy of diagnosis of neonatal sepsis: a meta-analysis and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316 [PMID: 30463590 DOI: 10.1186/s13054-018-2236-1]</w:t>
      </w:r>
    </w:p>
    <w:p w14:paraId="098F5664" w14:textId="77777777" w:rsidR="00A77B3E" w:rsidRDefault="00596CC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Jekarl</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Lee S, Kim M, Kim Y, Woo SH, Lee WJ. Procalcitonin as a prognostic marker for sepsis based on SEPSIS-3.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e22996 [PMID: 31420921 DOI: 10.1002/jcla.22996]</w:t>
      </w:r>
    </w:p>
    <w:p w14:paraId="5AF1F871" w14:textId="77777777" w:rsidR="00A77B3E" w:rsidRDefault="00596CC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Wacker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Prkno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Schlattmann</w:t>
      </w:r>
      <w:proofErr w:type="spellEnd"/>
      <w:r>
        <w:rPr>
          <w:rFonts w:ascii="Book Antiqua" w:eastAsia="Book Antiqua" w:hAnsi="Book Antiqua" w:cs="Book Antiqua"/>
          <w:color w:val="000000"/>
        </w:rPr>
        <w:t xml:space="preserve"> P. Procalcitonin as a diagnostic marker for sepsis: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426-435 [PMID: 23375419 DOI: 10.1016/S1473-3099(12)70323-7]</w:t>
      </w:r>
    </w:p>
    <w:p w14:paraId="0FD4F726" w14:textId="77777777" w:rsidR="00A77B3E" w:rsidRDefault="00596CC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Lyons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Micek</w:t>
      </w:r>
      <w:proofErr w:type="spellEnd"/>
      <w:r>
        <w:rPr>
          <w:rFonts w:ascii="Book Antiqua" w:eastAsia="Book Antiqua" w:hAnsi="Book Antiqua" w:cs="Book Antiqua"/>
          <w:color w:val="000000"/>
        </w:rPr>
        <w:t xml:space="preserve"> ST, Hampton N, </w:t>
      </w:r>
      <w:proofErr w:type="spellStart"/>
      <w:r>
        <w:rPr>
          <w:rFonts w:ascii="Book Antiqua" w:eastAsia="Book Antiqua" w:hAnsi="Book Antiqua" w:cs="Book Antiqua"/>
          <w:color w:val="000000"/>
        </w:rPr>
        <w:t>Kollef</w:t>
      </w:r>
      <w:proofErr w:type="spellEnd"/>
      <w:r>
        <w:rPr>
          <w:rFonts w:ascii="Book Antiqua" w:eastAsia="Book Antiqua" w:hAnsi="Book Antiqua" w:cs="Book Antiqua"/>
          <w:color w:val="000000"/>
        </w:rPr>
        <w:t xml:space="preserve"> MH. Sepsis-Associated Coagulopathy Severity Predicts Hospital Mortality.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736-742 [PMID: 29373360 DOI: 10.1097/CCM.0000000000002997]</w:t>
      </w:r>
    </w:p>
    <w:p w14:paraId="781A1616" w14:textId="5BEB1574" w:rsidR="00A77B3E" w:rsidRDefault="00596CC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2095-2103 [PMID: 32239796 DOI: </w:t>
      </w:r>
      <w:r w:rsidR="00D17C7D" w:rsidRPr="00D17C7D">
        <w:rPr>
          <w:rFonts w:ascii="Book Antiqua" w:eastAsia="Book Antiqua" w:hAnsi="Book Antiqua" w:cs="Book Antiqua"/>
          <w:color w:val="000000"/>
        </w:rPr>
        <w:t>10.1111/liv.14455</w:t>
      </w:r>
      <w:r>
        <w:rPr>
          <w:rFonts w:ascii="Book Antiqua" w:eastAsia="Book Antiqua" w:hAnsi="Book Antiqua" w:cs="Book Antiqua"/>
          <w:color w:val="000000"/>
        </w:rPr>
        <w:t>]</w:t>
      </w:r>
    </w:p>
    <w:p w14:paraId="1BCE4D6B" w14:textId="77777777" w:rsidR="00A77B3E" w:rsidRDefault="00596CC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Chen Y, Li Y, Mao S, Chen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The values of coagulation function in COVID-19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e0241329 [PMID: 33119703 DOI: 10.1371/journal.pone.0241329]</w:t>
      </w:r>
    </w:p>
    <w:p w14:paraId="547CCC6C" w14:textId="77777777" w:rsidR="00A77B3E" w:rsidRDefault="00596CC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Marietta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Mighali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Vicini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Coluccio</w:t>
      </w:r>
      <w:proofErr w:type="spellEnd"/>
      <w:r>
        <w:rPr>
          <w:rFonts w:ascii="Book Antiqua" w:eastAsia="Book Antiqua" w:hAnsi="Book Antiqua" w:cs="Book Antiqua"/>
          <w:color w:val="000000"/>
        </w:rPr>
        <w:t xml:space="preserve"> V, D'Amico R; COVID-19 HD Study 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comparing efficacy and safety of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Low-Molecular Weight Heparin dosages in hospitalized patients with severe COVID-19 pneumonia and coagulopathy not requiring invasive mechanical ventilation (COVID-19 </w:t>
      </w:r>
      <w:r>
        <w:rPr>
          <w:rFonts w:ascii="Book Antiqua" w:eastAsia="Book Antiqua" w:hAnsi="Book Antiqua" w:cs="Book Antiqua"/>
          <w:color w:val="000000"/>
        </w:rPr>
        <w:lastRenderedPageBreak/>
        <w:t xml:space="preserve">HD): a structured summary of a study protocol.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574 [PMID: 32586394 DOI: 10.1186/s13063-020-04475-z]</w:t>
      </w:r>
    </w:p>
    <w:p w14:paraId="52BB412C" w14:textId="77777777" w:rsidR="00A77B3E" w:rsidRDefault="00596CC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Westerdijk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Simons KS, </w:t>
      </w:r>
      <w:proofErr w:type="spellStart"/>
      <w:r>
        <w:rPr>
          <w:rFonts w:ascii="Book Antiqua" w:eastAsia="Book Antiqua" w:hAnsi="Book Antiqua" w:cs="Book Antiqua"/>
          <w:color w:val="000000"/>
        </w:rPr>
        <w:t>Zegers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CPC. The value of the neutrophil-lymphocyte count ratio in the diagnosis of sepsis in patients admitted to the Intensive Care Unit: A retrospective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e0212861 [PMID: 30811475 DOI: 10.1371/journal.pone.0212861]</w:t>
      </w:r>
    </w:p>
    <w:p w14:paraId="74C00B13" w14:textId="77777777" w:rsidR="00A77B3E" w:rsidRDefault="00596CC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Fuss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Voloboyeva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Poliovyj</w:t>
      </w:r>
      <w:proofErr w:type="spellEnd"/>
      <w:r>
        <w:rPr>
          <w:rFonts w:ascii="Book Antiqua" w:eastAsia="Book Antiqua" w:hAnsi="Book Antiqua" w:cs="Book Antiqua"/>
          <w:color w:val="000000"/>
        </w:rPr>
        <w:t xml:space="preserve"> V. Prognostic value of using neutrophil-lymphocyte ratio in patients with burn injury for the diagnosis of sepsis and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Pol </w:t>
      </w:r>
      <w:proofErr w:type="spellStart"/>
      <w:r>
        <w:rPr>
          <w:rFonts w:ascii="Book Antiqua" w:eastAsia="Book Antiqua" w:hAnsi="Book Antiqua" w:cs="Book Antiqua"/>
          <w:i/>
          <w:iCs/>
          <w:color w:val="000000"/>
        </w:rPr>
        <w:t>Przegl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13-16 [PMID: 30426944 DOI: 10.5604/01.3001.0012.0971]</w:t>
      </w:r>
    </w:p>
    <w:p w14:paraId="0675CCCB" w14:textId="77777777" w:rsidR="00A77B3E" w:rsidRDefault="00596CC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Sen V</w:t>
      </w:r>
      <w:r>
        <w:rPr>
          <w:rFonts w:ascii="Book Antiqua" w:eastAsia="Book Antiqua" w:hAnsi="Book Antiqua" w:cs="Book Antiqua"/>
          <w:color w:val="000000"/>
        </w:rPr>
        <w:t xml:space="preserve">, Bozkurt IH, </w:t>
      </w:r>
      <w:proofErr w:type="spellStart"/>
      <w:r>
        <w:rPr>
          <w:rFonts w:ascii="Book Antiqua" w:eastAsia="Book Antiqua" w:hAnsi="Book Antiqua" w:cs="Book Antiqua"/>
          <w:color w:val="000000"/>
        </w:rPr>
        <w:t>Aydogdu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Yonguc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Yarimoglu</w:t>
      </w:r>
      <w:proofErr w:type="spellEnd"/>
      <w:r>
        <w:rPr>
          <w:rFonts w:ascii="Book Antiqua" w:eastAsia="Book Antiqua" w:hAnsi="Book Antiqua" w:cs="Book Antiqua"/>
          <w:color w:val="000000"/>
        </w:rPr>
        <w:t xml:space="preserve"> S, Sen P, Koras O, </w:t>
      </w:r>
      <w:proofErr w:type="spellStart"/>
      <w:r>
        <w:rPr>
          <w:rFonts w:ascii="Book Antiqua" w:eastAsia="Book Antiqua" w:hAnsi="Book Antiqua" w:cs="Book Antiqua"/>
          <w:color w:val="000000"/>
        </w:rPr>
        <w:t>Degirmenci</w:t>
      </w:r>
      <w:proofErr w:type="spellEnd"/>
      <w:r>
        <w:rPr>
          <w:rFonts w:ascii="Book Antiqua" w:eastAsia="Book Antiqua" w:hAnsi="Book Antiqua" w:cs="Book Antiqua"/>
          <w:color w:val="000000"/>
        </w:rPr>
        <w:t xml:space="preserve"> T. Significance of preoperative neutrophil-lymphocyte count ratio on predicting postoperative sepsis after percutaneous nephrolithotomy.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507-513 [PMID: 27742034 DOI: 10.1016/j.kjms.2016.08.008]</w:t>
      </w:r>
    </w:p>
    <w:p w14:paraId="703E4902" w14:textId="77777777" w:rsidR="00A77B3E" w:rsidRDefault="00596CC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Middleton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Rondina</w:t>
      </w:r>
      <w:proofErr w:type="spellEnd"/>
      <w:r>
        <w:rPr>
          <w:rFonts w:ascii="Book Antiqua" w:eastAsia="Book Antiqua" w:hAnsi="Book Antiqua" w:cs="Book Antiqua"/>
          <w:color w:val="000000"/>
        </w:rPr>
        <w:t xml:space="preserve"> MT. Platelets in infectious disease. </w:t>
      </w:r>
      <w:r>
        <w:rPr>
          <w:rFonts w:ascii="Book Antiqua" w:eastAsia="Book Antiqua" w:hAnsi="Book Antiqua" w:cs="Book Antiqua"/>
          <w:i/>
          <w:iCs/>
          <w:color w:val="000000"/>
        </w:rPr>
        <w:t xml:space="preserve">Hematology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256-261 [PMID: 27913489 DOI: 10.1182/asheducation-2016.1.256]</w:t>
      </w:r>
    </w:p>
    <w:p w14:paraId="2083B396" w14:textId="77777777" w:rsidR="00A77B3E" w:rsidRDefault="00596CC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Greco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Lupia</w:t>
      </w:r>
      <w:proofErr w:type="spellEnd"/>
      <w:r>
        <w:rPr>
          <w:rFonts w:ascii="Book Antiqua" w:eastAsia="Book Antiqua" w:hAnsi="Book Antiqua" w:cs="Book Antiqua"/>
          <w:color w:val="000000"/>
        </w:rPr>
        <w:t xml:space="preserve"> E, Bosco O, </w:t>
      </w:r>
      <w:proofErr w:type="spellStart"/>
      <w:r>
        <w:rPr>
          <w:rFonts w:ascii="Book Antiqua" w:eastAsia="Book Antiqua" w:hAnsi="Book Antiqua" w:cs="Book Antiqua"/>
          <w:color w:val="000000"/>
        </w:rPr>
        <w:t>Vizio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Montrucchio</w:t>
      </w:r>
      <w:proofErr w:type="spellEnd"/>
      <w:r>
        <w:rPr>
          <w:rFonts w:ascii="Book Antiqua" w:eastAsia="Book Antiqua" w:hAnsi="Book Antiqua" w:cs="Book Antiqua"/>
          <w:color w:val="000000"/>
        </w:rPr>
        <w:t xml:space="preserve"> G. Platelets and Multi-Organ Failure in Sepsis.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29053592 DOI: 10.3390/ijms18102200]</w:t>
      </w:r>
    </w:p>
    <w:p w14:paraId="778D3DA8" w14:textId="77777777" w:rsidR="00A77B3E" w:rsidRDefault="00596CC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Zhou Z</w:t>
      </w:r>
      <w:r>
        <w:rPr>
          <w:rFonts w:ascii="Book Antiqua" w:eastAsia="Book Antiqua" w:hAnsi="Book Antiqua" w:cs="Book Antiqua"/>
          <w:color w:val="000000"/>
        </w:rPr>
        <w:t xml:space="preserve">, Feng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Huang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Tian R, Qian B, Wang R. The effect of recombinant human </w:t>
      </w:r>
      <w:proofErr w:type="spellStart"/>
      <w:r>
        <w:rPr>
          <w:rFonts w:ascii="Book Antiqua" w:eastAsia="Book Antiqua" w:hAnsi="Book Antiqua" w:cs="Book Antiqua"/>
          <w:color w:val="000000"/>
        </w:rPr>
        <w:t>thrombopoietin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rhTPO</w:t>
      </w:r>
      <w:proofErr w:type="spellEnd"/>
      <w:r>
        <w:rPr>
          <w:rFonts w:ascii="Book Antiqua" w:eastAsia="Book Antiqua" w:hAnsi="Book Antiqua" w:cs="Book Antiqua"/>
          <w:color w:val="000000"/>
        </w:rPr>
        <w:t xml:space="preserve">) on sepsis patients with acute severe thrombocytopenia: a study protocol for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(RESCUE trial).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780 [PMID: 31492102 DOI: 10.1186/s12879-019-4388-2]</w:t>
      </w:r>
    </w:p>
    <w:p w14:paraId="008350C5" w14:textId="77777777" w:rsidR="00A77B3E" w:rsidRDefault="00596CC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Vardon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Bounes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Mémier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Marcaud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Hamzeh-Cognasse</w:t>
      </w:r>
      <w:proofErr w:type="spellEnd"/>
      <w:r>
        <w:rPr>
          <w:rFonts w:ascii="Book Antiqua" w:eastAsia="Book Antiqua" w:hAnsi="Book Antiqua" w:cs="Book Antiqua"/>
          <w:color w:val="000000"/>
        </w:rPr>
        <w:t xml:space="preserve"> H, Garcia C, Series J, </w:t>
      </w:r>
      <w:proofErr w:type="spellStart"/>
      <w:r>
        <w:rPr>
          <w:rFonts w:ascii="Book Antiqua" w:eastAsia="Book Antiqua" w:hAnsi="Book Antiqua" w:cs="Book Antiqua"/>
          <w:color w:val="000000"/>
        </w:rPr>
        <w:t>Sié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Minville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Gratacap</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Payrastre</w:t>
      </w:r>
      <w:proofErr w:type="spellEnd"/>
      <w:r>
        <w:rPr>
          <w:rFonts w:ascii="Book Antiqua" w:eastAsia="Book Antiqua" w:hAnsi="Book Antiqua" w:cs="Book Antiqua"/>
          <w:color w:val="000000"/>
        </w:rPr>
        <w:t xml:space="preserve"> B. Platelet activation and prothrombotic properties in a mouse model of peritoneal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13536 [PMID: 30201980 DOI: 10.1038/s41598-018-31910-8]</w:t>
      </w:r>
    </w:p>
    <w:p w14:paraId="48BE370F" w14:textId="77777777" w:rsidR="00A77B3E" w:rsidRDefault="00596CC1">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Sepas</w:t>
      </w:r>
      <w:proofErr w:type="spellEnd"/>
      <w:r>
        <w:rPr>
          <w:rFonts w:ascii="Book Antiqua" w:eastAsia="Book Antiqua" w:hAnsi="Book Antiqua" w:cs="Book Antiqua"/>
          <w:b/>
          <w:bCs/>
          <w:color w:val="000000"/>
        </w:rPr>
        <w:t xml:space="preserve"> HN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Negahi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Mousavie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M. Evaluation of the Potential Association of Platelet Levels, Mean Platelet Volume and Platelet Distribution Width </w:t>
      </w:r>
      <w:r>
        <w:rPr>
          <w:rFonts w:ascii="Book Antiqua" w:eastAsia="Book Antiqua" w:hAnsi="Book Antiqua" w:cs="Book Antiqua"/>
          <w:color w:val="000000"/>
        </w:rPr>
        <w:lastRenderedPageBreak/>
        <w:t xml:space="preserve">with Acute Appendicitis. </w:t>
      </w:r>
      <w:r>
        <w:rPr>
          <w:rFonts w:ascii="Book Antiqua" w:eastAsia="Book Antiqua" w:hAnsi="Book Antiqua" w:cs="Book Antiqua"/>
          <w:i/>
          <w:iCs/>
          <w:color w:val="000000"/>
        </w:rPr>
        <w:t xml:space="preserve">Open Access </w:t>
      </w:r>
      <w:proofErr w:type="spellStart"/>
      <w:r>
        <w:rPr>
          <w:rFonts w:ascii="Book Antiqua" w:eastAsia="Book Antiqua" w:hAnsi="Book Antiqua" w:cs="Book Antiqua"/>
          <w:i/>
          <w:iCs/>
          <w:color w:val="000000"/>
        </w:rPr>
        <w:t>Maced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2271-2276 [PMID: 31592065 DOI: 10.3889/oamjms.2019.244]</w:t>
      </w:r>
    </w:p>
    <w:bookmarkEnd w:id="7"/>
    <w:p w14:paraId="44531B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5ACB37" w14:textId="77777777" w:rsidR="00A77B3E" w:rsidRDefault="00596CC1">
      <w:pPr>
        <w:spacing w:line="360" w:lineRule="auto"/>
        <w:jc w:val="both"/>
      </w:pPr>
      <w:r>
        <w:rPr>
          <w:rFonts w:ascii="Book Antiqua" w:eastAsia="Book Antiqua" w:hAnsi="Book Antiqua" w:cs="Book Antiqua"/>
          <w:b/>
          <w:color w:val="000000"/>
        </w:rPr>
        <w:lastRenderedPageBreak/>
        <w:t>Footnotes</w:t>
      </w:r>
    </w:p>
    <w:p w14:paraId="0D32DC5E" w14:textId="4218BED3" w:rsidR="00A77B3E" w:rsidRDefault="00596CC1">
      <w:pPr>
        <w:spacing w:line="360" w:lineRule="auto"/>
        <w:jc w:val="both"/>
      </w:pPr>
      <w:r>
        <w:rPr>
          <w:rFonts w:ascii="Book Antiqua" w:eastAsia="Book Antiqua" w:hAnsi="Book Antiqua" w:cs="Book Antiqua"/>
          <w:b/>
          <w:bCs/>
          <w:color w:val="000000"/>
        </w:rPr>
        <w:t xml:space="preserve">Institutional review board statement: </w:t>
      </w:r>
      <w:r w:rsidR="00301367">
        <w:rPr>
          <w:rFonts w:ascii="Book Antiqua" w:eastAsia="Book Antiqua" w:hAnsi="Book Antiqua" w:cs="Book Antiqua"/>
          <w:color w:val="000000"/>
          <w:shd w:val="clear" w:color="auto" w:fill="FFFFFF"/>
        </w:rPr>
        <w:t xml:space="preserve">The study was reviewed and approved by the </w:t>
      </w:r>
      <w:r w:rsidR="00301367" w:rsidRPr="00301367">
        <w:rPr>
          <w:rFonts w:ascii="Book Antiqua" w:eastAsia="Book Antiqua" w:hAnsi="Book Antiqua" w:cs="Book Antiqua"/>
          <w:color w:val="000000"/>
          <w:shd w:val="clear" w:color="auto" w:fill="FFFFFF"/>
        </w:rPr>
        <w:t>First Affiliated Hospital of Chongqing Medical University</w:t>
      </w:r>
      <w:r w:rsidR="00301367">
        <w:rPr>
          <w:rFonts w:ascii="Book Antiqua" w:eastAsia="Book Antiqua" w:hAnsi="Book Antiqua" w:cs="Book Antiqua"/>
          <w:color w:val="000000"/>
          <w:shd w:val="clear" w:color="auto" w:fill="FFFFFF"/>
        </w:rPr>
        <w:t xml:space="preserve"> Ethics Committee (Approval No. 2019-312</w:t>
      </w:r>
      <w:r w:rsidR="00E94AA9">
        <w:rPr>
          <w:rFonts w:ascii="Book Antiqua" w:eastAsia="Book Antiqua" w:hAnsi="Book Antiqua" w:cs="Book Antiqua"/>
          <w:color w:val="000000"/>
          <w:shd w:val="clear" w:color="auto" w:fill="FFFFFF"/>
        </w:rPr>
        <w:t>).</w:t>
      </w:r>
    </w:p>
    <w:p w14:paraId="733CBE63" w14:textId="77777777" w:rsidR="00A77B3E" w:rsidRDefault="00A77B3E">
      <w:pPr>
        <w:spacing w:line="360" w:lineRule="auto"/>
        <w:jc w:val="both"/>
      </w:pPr>
    </w:p>
    <w:p w14:paraId="7C60DDAA" w14:textId="77777777" w:rsidR="00A77B3E" w:rsidRDefault="00596CC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consent to participate in this study which have been obtained from the research subjects prior to study commencement, and the study participants gave consent to have their data published. All informed consents are in the form of hand-signed consent forms by participants.</w:t>
      </w:r>
    </w:p>
    <w:p w14:paraId="2B24ACC8" w14:textId="77777777" w:rsidR="00A77B3E" w:rsidRDefault="00A77B3E">
      <w:pPr>
        <w:spacing w:line="360" w:lineRule="auto"/>
        <w:jc w:val="both"/>
      </w:pPr>
    </w:p>
    <w:p w14:paraId="39054F65" w14:textId="77777777" w:rsidR="00A77B3E" w:rsidRDefault="00596CC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1BC3AE42" w14:textId="77777777" w:rsidR="00A77B3E" w:rsidRDefault="00A77B3E">
      <w:pPr>
        <w:spacing w:line="360" w:lineRule="auto"/>
        <w:jc w:val="both"/>
      </w:pPr>
    </w:p>
    <w:p w14:paraId="3D00E847" w14:textId="11F50455" w:rsidR="00A77B3E"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xml:space="preserve">The datasets used and </w:t>
      </w:r>
      <w:r w:rsidR="00D17A17">
        <w:rPr>
          <w:rFonts w:ascii="Book Antiqua" w:eastAsia="Book Antiqua" w:hAnsi="Book Antiqua" w:cs="Book Antiqua"/>
          <w:color w:val="000000"/>
        </w:rPr>
        <w:t xml:space="preserve">analyzed </w:t>
      </w:r>
      <w:r>
        <w:rPr>
          <w:rFonts w:ascii="Book Antiqua" w:eastAsia="Book Antiqua" w:hAnsi="Book Antiqua" w:cs="Book Antiqua"/>
          <w:color w:val="000000"/>
        </w:rPr>
        <w:t>during the current study are available from the corresponding author on reasonable request.</w:t>
      </w:r>
    </w:p>
    <w:p w14:paraId="3D878F6F" w14:textId="14965B16" w:rsidR="00860480" w:rsidRDefault="00860480">
      <w:pPr>
        <w:spacing w:line="360" w:lineRule="auto"/>
        <w:jc w:val="both"/>
        <w:rPr>
          <w:rFonts w:ascii="Book Antiqua" w:eastAsia="Book Antiqua" w:hAnsi="Book Antiqua" w:cs="Book Antiqua"/>
          <w:color w:val="000000"/>
        </w:rPr>
      </w:pPr>
    </w:p>
    <w:p w14:paraId="760B06BF" w14:textId="77777777" w:rsidR="00202BF8" w:rsidRPr="000E50DD" w:rsidRDefault="00202BF8" w:rsidP="00202BF8">
      <w:pPr>
        <w:autoSpaceDE w:val="0"/>
        <w:autoSpaceDN w:val="0"/>
        <w:adjustRightInd w:val="0"/>
        <w:snapToGrid w:val="0"/>
        <w:spacing w:line="360" w:lineRule="auto"/>
        <w:rPr>
          <w:rFonts w:ascii="Book Antiqua" w:hAnsi="Book Antiqua" w:cs="Garamond-Bold"/>
          <w:bCs/>
          <w:color w:val="000000" w:themeColor="text1"/>
        </w:rPr>
      </w:pPr>
      <w:r w:rsidRPr="000E50DD">
        <w:rPr>
          <w:rFonts w:ascii="Book Antiqua" w:hAnsi="Book Antiqua"/>
          <w:b/>
        </w:rPr>
        <w:t xml:space="preserve">STROBE </w:t>
      </w:r>
      <w:r>
        <w:rPr>
          <w:rFonts w:ascii="Book Antiqua" w:hAnsi="Book Antiqua"/>
          <w:b/>
        </w:rPr>
        <w:t>s</w:t>
      </w:r>
      <w:r w:rsidRPr="000E50DD">
        <w:rPr>
          <w:rFonts w:ascii="Book Antiqua" w:hAnsi="Book Antiqua"/>
          <w:b/>
        </w:rPr>
        <w:t>tatement</w:t>
      </w:r>
      <w:r>
        <w:rPr>
          <w:rFonts w:ascii="Book Antiqua" w:hAnsi="Book Antiqua" w:cs="Garamond-Bold"/>
          <w:bCs/>
          <w:color w:val="000000" w:themeColor="text1"/>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6DBBE83" w14:textId="77777777" w:rsidR="00A77B3E" w:rsidRDefault="00A77B3E">
      <w:pPr>
        <w:spacing w:line="360" w:lineRule="auto"/>
        <w:jc w:val="both"/>
      </w:pPr>
    </w:p>
    <w:p w14:paraId="172895D0" w14:textId="77777777" w:rsidR="00A77B3E" w:rsidRDefault="00596C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80776" w14:textId="77777777" w:rsidR="00A77B3E" w:rsidRDefault="00A77B3E">
      <w:pPr>
        <w:spacing w:line="360" w:lineRule="auto"/>
        <w:jc w:val="both"/>
      </w:pPr>
    </w:p>
    <w:p w14:paraId="4E12E480" w14:textId="6643ACA9" w:rsidR="00A77B3E"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201B1">
        <w:rPr>
          <w:rFonts w:ascii="Book Antiqua" w:eastAsia="Book Antiqua" w:hAnsi="Book Antiqua" w:cs="Book Antiqua"/>
          <w:color w:val="000000"/>
        </w:rPr>
        <w:t>m</w:t>
      </w:r>
      <w:r>
        <w:rPr>
          <w:rFonts w:ascii="Book Antiqua" w:eastAsia="Book Antiqua" w:hAnsi="Book Antiqua" w:cs="Book Antiqua"/>
          <w:color w:val="000000"/>
        </w:rPr>
        <w:t>anuscript</w:t>
      </w:r>
    </w:p>
    <w:p w14:paraId="0ACC6A31" w14:textId="77777777" w:rsidR="006201B1" w:rsidRDefault="006201B1">
      <w:pPr>
        <w:spacing w:line="360" w:lineRule="auto"/>
        <w:jc w:val="both"/>
      </w:pPr>
    </w:p>
    <w:p w14:paraId="45D4E9E7" w14:textId="2A36BF05" w:rsidR="00A77B3E" w:rsidRDefault="00596CC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Chongqing Medical Association Critical Care Medicine Branch, </w:t>
      </w:r>
      <w:r w:rsidR="00860480">
        <w:rPr>
          <w:rFonts w:ascii="Book Antiqua" w:eastAsia="Book Antiqua" w:hAnsi="Book Antiqua" w:cs="Book Antiqua"/>
          <w:color w:val="000000"/>
        </w:rPr>
        <w:t xml:space="preserve">No. </w:t>
      </w:r>
      <w:r>
        <w:rPr>
          <w:rFonts w:ascii="Book Antiqua" w:eastAsia="Book Antiqua" w:hAnsi="Book Antiqua" w:cs="Book Antiqua"/>
          <w:color w:val="000000"/>
        </w:rPr>
        <w:t xml:space="preserve">S20200630644148; </w:t>
      </w:r>
      <w:r w:rsidR="00860480">
        <w:rPr>
          <w:rFonts w:ascii="Book Antiqua" w:eastAsia="Book Antiqua" w:hAnsi="Book Antiqua" w:cs="Book Antiqua"/>
          <w:color w:val="000000"/>
        </w:rPr>
        <w:t xml:space="preserve">and </w:t>
      </w:r>
      <w:r>
        <w:rPr>
          <w:rFonts w:ascii="Book Antiqua" w:eastAsia="Book Antiqua" w:hAnsi="Book Antiqua" w:cs="Book Antiqua"/>
          <w:color w:val="000000"/>
        </w:rPr>
        <w:t xml:space="preserve">Chinese Anti-Cancer Association, </w:t>
      </w:r>
      <w:r w:rsidR="00860480">
        <w:rPr>
          <w:rFonts w:ascii="Book Antiqua" w:eastAsia="Book Antiqua" w:hAnsi="Book Antiqua" w:cs="Book Antiqua"/>
          <w:color w:val="000000"/>
        </w:rPr>
        <w:t xml:space="preserve">No. </w:t>
      </w:r>
      <w:r>
        <w:rPr>
          <w:rFonts w:ascii="Book Antiqua" w:eastAsia="Book Antiqua" w:hAnsi="Book Antiqua" w:cs="Book Antiqua"/>
          <w:color w:val="000000"/>
        </w:rPr>
        <w:t>M160F01924M.</w:t>
      </w:r>
    </w:p>
    <w:p w14:paraId="141E0FDF" w14:textId="77777777" w:rsidR="00A77B3E" w:rsidRDefault="00A77B3E">
      <w:pPr>
        <w:spacing w:line="360" w:lineRule="auto"/>
        <w:jc w:val="both"/>
      </w:pPr>
    </w:p>
    <w:p w14:paraId="6053A664" w14:textId="77777777" w:rsidR="00A77B3E" w:rsidRDefault="00596C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2021</w:t>
      </w:r>
    </w:p>
    <w:p w14:paraId="04233601" w14:textId="77777777" w:rsidR="00A77B3E" w:rsidRDefault="00596C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14:paraId="55DB7883" w14:textId="7BC27381" w:rsidR="00A77B3E" w:rsidRDefault="00596CC1">
      <w:pPr>
        <w:spacing w:line="360" w:lineRule="auto"/>
        <w:jc w:val="both"/>
      </w:pPr>
      <w:r>
        <w:rPr>
          <w:rFonts w:ascii="Book Antiqua" w:eastAsia="Book Antiqua" w:hAnsi="Book Antiqua" w:cs="Book Antiqua"/>
          <w:b/>
          <w:color w:val="000000"/>
        </w:rPr>
        <w:t xml:space="preserve">Article in press: </w:t>
      </w:r>
      <w:r w:rsidR="009D5851">
        <w:rPr>
          <w:rFonts w:ascii="Book Antiqua" w:eastAsia="宋体" w:hAnsi="Book Antiqua"/>
          <w:color w:val="000000" w:themeColor="text1"/>
        </w:rPr>
        <w:t>J</w:t>
      </w:r>
      <w:r w:rsidR="009D5851">
        <w:rPr>
          <w:rFonts w:ascii="Book Antiqua" w:eastAsia="宋体" w:hAnsi="Book Antiqua" w:hint="eastAsia"/>
          <w:color w:val="000000" w:themeColor="text1"/>
        </w:rPr>
        <w:t>u</w:t>
      </w:r>
      <w:r w:rsidR="009D5851">
        <w:rPr>
          <w:rFonts w:ascii="Book Antiqua" w:eastAsia="宋体" w:hAnsi="Book Antiqua"/>
          <w:color w:val="000000" w:themeColor="text1"/>
        </w:rPr>
        <w:t>ly</w:t>
      </w:r>
      <w:r w:rsidR="009D5851" w:rsidRPr="00F06907">
        <w:rPr>
          <w:rFonts w:ascii="Book Antiqua" w:eastAsia="宋体" w:hAnsi="Book Antiqua"/>
          <w:color w:val="000000" w:themeColor="text1"/>
        </w:rPr>
        <w:t xml:space="preserve"> </w:t>
      </w:r>
      <w:r w:rsidR="009D5851">
        <w:rPr>
          <w:rFonts w:ascii="Book Antiqua" w:eastAsia="宋体" w:hAnsi="Book Antiqua"/>
          <w:color w:val="000000" w:themeColor="text1"/>
        </w:rPr>
        <w:t>19</w:t>
      </w:r>
      <w:r w:rsidR="009D5851" w:rsidRPr="00F06907">
        <w:rPr>
          <w:rFonts w:ascii="Book Antiqua" w:eastAsia="宋体" w:hAnsi="Book Antiqua"/>
          <w:color w:val="000000" w:themeColor="text1"/>
        </w:rPr>
        <w:t>, 2021</w:t>
      </w:r>
    </w:p>
    <w:p w14:paraId="5FAB239D" w14:textId="77777777" w:rsidR="00A77B3E" w:rsidRDefault="00A77B3E">
      <w:pPr>
        <w:spacing w:line="360" w:lineRule="auto"/>
        <w:jc w:val="both"/>
      </w:pPr>
    </w:p>
    <w:p w14:paraId="438218B3" w14:textId="666DA283" w:rsidR="00A77B3E" w:rsidRDefault="00596CC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296422">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296422">
        <w:rPr>
          <w:rFonts w:ascii="Book Antiqua" w:eastAsia="Book Antiqua" w:hAnsi="Book Antiqua" w:cs="Book Antiqua"/>
          <w:color w:val="000000"/>
        </w:rPr>
        <w:t>i</w:t>
      </w:r>
      <w:r>
        <w:rPr>
          <w:rFonts w:ascii="Book Antiqua" w:eastAsia="Book Antiqua" w:hAnsi="Book Antiqua" w:cs="Book Antiqua"/>
          <w:color w:val="000000"/>
        </w:rPr>
        <w:t>nternal</w:t>
      </w:r>
    </w:p>
    <w:p w14:paraId="70FA5C9F" w14:textId="77777777" w:rsidR="00A77B3E" w:rsidRDefault="00596C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C0388C" w14:textId="77777777" w:rsidR="00A77B3E" w:rsidRDefault="00596CC1">
      <w:pPr>
        <w:spacing w:line="360" w:lineRule="auto"/>
        <w:jc w:val="both"/>
      </w:pPr>
      <w:r>
        <w:rPr>
          <w:rFonts w:ascii="Book Antiqua" w:eastAsia="Book Antiqua" w:hAnsi="Book Antiqua" w:cs="Book Antiqua"/>
          <w:b/>
          <w:color w:val="000000"/>
        </w:rPr>
        <w:t>Peer-review report’s scientific quality classification</w:t>
      </w:r>
    </w:p>
    <w:p w14:paraId="1C462535" w14:textId="77777777" w:rsidR="00A77B3E" w:rsidRDefault="00596CC1">
      <w:pPr>
        <w:spacing w:line="360" w:lineRule="auto"/>
        <w:jc w:val="both"/>
      </w:pPr>
      <w:r>
        <w:rPr>
          <w:rFonts w:ascii="Book Antiqua" w:eastAsia="Book Antiqua" w:hAnsi="Book Antiqua" w:cs="Book Antiqua"/>
          <w:color w:val="000000"/>
        </w:rPr>
        <w:t>Grade A (Excellent): A</w:t>
      </w:r>
    </w:p>
    <w:p w14:paraId="4A0E2DA2" w14:textId="77777777" w:rsidR="00A77B3E" w:rsidRDefault="00596CC1">
      <w:pPr>
        <w:spacing w:line="360" w:lineRule="auto"/>
        <w:jc w:val="both"/>
      </w:pPr>
      <w:r>
        <w:rPr>
          <w:rFonts w:ascii="Book Antiqua" w:eastAsia="Book Antiqua" w:hAnsi="Book Antiqua" w:cs="Book Antiqua"/>
          <w:color w:val="000000"/>
        </w:rPr>
        <w:t>Grade B (Very good): 0</w:t>
      </w:r>
    </w:p>
    <w:p w14:paraId="1CF96F5A" w14:textId="77777777" w:rsidR="00A77B3E" w:rsidRDefault="00596CC1">
      <w:pPr>
        <w:spacing w:line="360" w:lineRule="auto"/>
        <w:jc w:val="both"/>
      </w:pPr>
      <w:r>
        <w:rPr>
          <w:rFonts w:ascii="Book Antiqua" w:eastAsia="Book Antiqua" w:hAnsi="Book Antiqua" w:cs="Book Antiqua"/>
          <w:color w:val="000000"/>
        </w:rPr>
        <w:t>Grade C (Good): C</w:t>
      </w:r>
    </w:p>
    <w:p w14:paraId="28319ED2" w14:textId="77777777" w:rsidR="00A77B3E" w:rsidRDefault="00596CC1">
      <w:pPr>
        <w:spacing w:line="360" w:lineRule="auto"/>
        <w:jc w:val="both"/>
      </w:pPr>
      <w:r>
        <w:rPr>
          <w:rFonts w:ascii="Book Antiqua" w:eastAsia="Book Antiqua" w:hAnsi="Book Antiqua" w:cs="Book Antiqua"/>
          <w:color w:val="000000"/>
        </w:rPr>
        <w:t>Grade D (Fair): 0</w:t>
      </w:r>
    </w:p>
    <w:p w14:paraId="12A6B0F0" w14:textId="77777777" w:rsidR="00A77B3E" w:rsidRDefault="00596CC1">
      <w:pPr>
        <w:spacing w:line="360" w:lineRule="auto"/>
        <w:jc w:val="both"/>
      </w:pPr>
      <w:r>
        <w:rPr>
          <w:rFonts w:ascii="Book Antiqua" w:eastAsia="Book Antiqua" w:hAnsi="Book Antiqua" w:cs="Book Antiqua"/>
          <w:color w:val="000000"/>
        </w:rPr>
        <w:t>Grade E (Poor): 0</w:t>
      </w:r>
    </w:p>
    <w:p w14:paraId="1FDEA814" w14:textId="77777777" w:rsidR="00A77B3E" w:rsidRDefault="00A77B3E">
      <w:pPr>
        <w:spacing w:line="360" w:lineRule="auto"/>
        <w:jc w:val="both"/>
      </w:pPr>
    </w:p>
    <w:p w14:paraId="72478182" w14:textId="19D4C348" w:rsidR="00A77B3E" w:rsidRPr="00BB4A06" w:rsidRDefault="00596CC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Covino M, 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296422">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EE608A" w:rsidRPr="00EE608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D5851" w:rsidRPr="00BB4A06">
        <w:rPr>
          <w:rFonts w:ascii="Book Antiqua" w:eastAsia="Book Antiqua" w:hAnsi="Book Antiqua" w:cs="Book Antiqua" w:hint="eastAsia"/>
          <w:bCs/>
          <w:color w:val="000000"/>
        </w:rPr>
        <w:t>Ma</w:t>
      </w:r>
      <w:r w:rsidR="009D5851" w:rsidRPr="00BB4A06">
        <w:rPr>
          <w:rFonts w:ascii="Book Antiqua" w:eastAsia="Book Antiqua" w:hAnsi="Book Antiqua" w:cs="Book Antiqua"/>
          <w:bCs/>
          <w:color w:val="000000"/>
        </w:rPr>
        <w:t xml:space="preserve"> </w:t>
      </w:r>
      <w:r w:rsidR="009D5851" w:rsidRPr="00BB4A06">
        <w:rPr>
          <w:rFonts w:ascii="Book Antiqua" w:eastAsia="Book Antiqua" w:hAnsi="Book Antiqua" w:cs="Book Antiqua" w:hint="eastAsia"/>
          <w:bCs/>
          <w:color w:val="000000"/>
        </w:rPr>
        <w:t>YJ</w:t>
      </w:r>
    </w:p>
    <w:p w14:paraId="3BE2C648" w14:textId="49D10206" w:rsidR="00EB73C9" w:rsidRDefault="00EB73C9">
      <w:pPr>
        <w:spacing w:line="360" w:lineRule="auto"/>
        <w:jc w:val="both"/>
        <w:sectPr w:rsidR="00EB73C9">
          <w:pgSz w:w="12240" w:h="15840"/>
          <w:pgMar w:top="1440" w:right="1440" w:bottom="1440" w:left="1440" w:header="720" w:footer="720" w:gutter="0"/>
          <w:cols w:space="720"/>
          <w:docGrid w:linePitch="360"/>
        </w:sectPr>
      </w:pPr>
    </w:p>
    <w:p w14:paraId="05DD88C8" w14:textId="1568489B" w:rsidR="00A77B3E" w:rsidRDefault="00596C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D64CEE" w14:textId="77777777" w:rsidR="002F325B" w:rsidRDefault="001F4B20">
      <w:pPr>
        <w:spacing w:line="360" w:lineRule="auto"/>
        <w:jc w:val="both"/>
        <w:rPr>
          <w:rFonts w:ascii="Book Antiqua" w:eastAsia="Book Antiqua" w:hAnsi="Book Antiqua" w:cs="Book Antiqua"/>
          <w:b/>
          <w:bCs/>
          <w:color w:val="000000"/>
        </w:rPr>
      </w:pPr>
      <w:r>
        <w:rPr>
          <w:noProof/>
          <w:lang w:eastAsia="zh-CN"/>
        </w:rPr>
        <w:drawing>
          <wp:inline distT="0" distB="0" distL="0" distR="0" wp14:anchorId="02E7E820" wp14:editId="7723EAC8">
            <wp:extent cx="4874142" cy="38446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4142" cy="3844636"/>
                    </a:xfrm>
                    <a:prstGeom prst="rect">
                      <a:avLst/>
                    </a:prstGeom>
                  </pic:spPr>
                </pic:pic>
              </a:graphicData>
            </a:graphic>
          </wp:inline>
        </w:drawing>
      </w:r>
      <w:r>
        <w:rPr>
          <w:rFonts w:ascii="Book Antiqua" w:eastAsia="Book Antiqua" w:hAnsi="Book Antiqua" w:cs="Book Antiqua"/>
          <w:b/>
          <w:bCs/>
          <w:color w:val="000000"/>
        </w:rPr>
        <w:t xml:space="preserve"> </w:t>
      </w:r>
    </w:p>
    <w:p w14:paraId="1ED52538" w14:textId="37F30367" w:rsidR="00A77B3E" w:rsidRDefault="00596CC1">
      <w:pPr>
        <w:spacing w:line="360" w:lineRule="auto"/>
        <w:jc w:val="both"/>
      </w:pPr>
      <w:r>
        <w:rPr>
          <w:rFonts w:ascii="Book Antiqua" w:eastAsia="Book Antiqua" w:hAnsi="Book Antiqua" w:cs="Book Antiqua"/>
          <w:b/>
          <w:bCs/>
          <w:color w:val="000000"/>
        </w:rPr>
        <w:t>Figure 1 Study population.</w:t>
      </w:r>
    </w:p>
    <w:p w14:paraId="1E9D183D" w14:textId="77777777" w:rsidR="00EF65FB" w:rsidRDefault="00EF65FB">
      <w:pPr>
        <w:spacing w:line="360" w:lineRule="auto"/>
        <w:jc w:val="both"/>
        <w:sectPr w:rsidR="00EF65FB">
          <w:pgSz w:w="12240" w:h="15840"/>
          <w:pgMar w:top="1440" w:right="1440" w:bottom="1440" w:left="1440" w:header="720" w:footer="720" w:gutter="0"/>
          <w:cols w:space="720"/>
          <w:docGrid w:linePitch="360"/>
        </w:sectPr>
      </w:pPr>
    </w:p>
    <w:p w14:paraId="72019089" w14:textId="18BC52D7" w:rsidR="00A77B3E" w:rsidRDefault="004E29A1">
      <w:pPr>
        <w:spacing w:line="360" w:lineRule="auto"/>
        <w:jc w:val="both"/>
      </w:pPr>
      <w:r>
        <w:rPr>
          <w:noProof/>
          <w:lang w:eastAsia="zh-CN"/>
        </w:rPr>
        <w:lastRenderedPageBreak/>
        <w:drawing>
          <wp:inline distT="0" distB="0" distL="0" distR="0" wp14:anchorId="0BC2C5FE" wp14:editId="6289359F">
            <wp:extent cx="3918791" cy="31796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9131" cy="3179894"/>
                    </a:xfrm>
                    <a:prstGeom prst="rect">
                      <a:avLst/>
                    </a:prstGeom>
                  </pic:spPr>
                </pic:pic>
              </a:graphicData>
            </a:graphic>
          </wp:inline>
        </w:drawing>
      </w:r>
    </w:p>
    <w:p w14:paraId="4112C4A4" w14:textId="508F3E17" w:rsidR="00A77B3E" w:rsidRPr="00057EF4"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Receiver operating characteristic</w:t>
      </w:r>
      <w:r w:rsidR="006C1FD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 of </w:t>
      </w:r>
      <w:r w:rsidR="00A048B3" w:rsidRPr="00A048B3">
        <w:rPr>
          <w:rFonts w:ascii="Book Antiqua" w:eastAsia="Book Antiqua" w:hAnsi="Book Antiqua" w:cs="Book Antiqua"/>
          <w:b/>
          <w:bCs/>
          <w:color w:val="000000"/>
        </w:rPr>
        <w:t>white blood cell</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neutrophil-lymphocyte count ratio</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platelet</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prothrombin time</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 xml:space="preserve">international </w:t>
      </w:r>
      <w:r w:rsidR="00860480" w:rsidRPr="00B70541">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B70541">
        <w:rPr>
          <w:rFonts w:ascii="Book Antiqua" w:eastAsia="Book Antiqua" w:hAnsi="Book Antiqua" w:cs="Book Antiqua"/>
          <w:b/>
          <w:bCs/>
          <w:color w:val="000000"/>
        </w:rPr>
        <w:t xml:space="preserve">ed </w:t>
      </w:r>
      <w:r w:rsidR="00B70541" w:rsidRPr="00B70541">
        <w:rPr>
          <w:rFonts w:ascii="Book Antiqua" w:eastAsia="Book Antiqua" w:hAnsi="Book Antiqua" w:cs="Book Antiqua"/>
          <w:b/>
          <w:bCs/>
          <w:color w:val="000000"/>
        </w:rPr>
        <w:t>ratio</w:t>
      </w:r>
      <w:r>
        <w:rPr>
          <w:rFonts w:ascii="Book Antiqua" w:eastAsia="Book Antiqua" w:hAnsi="Book Antiqua" w:cs="Book Antiqua"/>
          <w:b/>
          <w:bCs/>
          <w:color w:val="000000"/>
        </w:rPr>
        <w:t xml:space="preserve"> and </w:t>
      </w:r>
      <w:r w:rsidR="006B0344" w:rsidRPr="006B0344">
        <w:rPr>
          <w:rFonts w:ascii="Book Antiqua" w:eastAsia="Book Antiqua" w:hAnsi="Book Antiqua" w:cs="Book Antiqua"/>
          <w:b/>
          <w:bCs/>
          <w:color w:val="000000"/>
        </w:rPr>
        <w:t xml:space="preserve">quick 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w:t>
      </w:r>
      <w:r w:rsidR="00BD6138" w:rsidRPr="006F0B8B">
        <w:rPr>
          <w:rFonts w:ascii="Book Antiqua" w:eastAsia="Book Antiqua" w:hAnsi="Book Antiqua" w:cs="Book Antiqua"/>
          <w:b/>
          <w:bCs/>
          <w:color w:val="000000"/>
        </w:rPr>
        <w:t>d</w:t>
      </w:r>
      <w:r w:rsidR="00860480" w:rsidRPr="006F0B8B">
        <w:rPr>
          <w:rFonts w:ascii="Book Antiqua" w:eastAsia="Book Antiqua" w:hAnsi="Book Antiqua" w:cs="Book Antiqua"/>
          <w:b/>
          <w:bCs/>
          <w:color w:val="000000"/>
        </w:rPr>
        <w:t>”</w:t>
      </w:r>
      <w:r w:rsidR="006B0344" w:rsidRPr="006F0B8B">
        <w:rPr>
          <w:rFonts w:ascii="Book Antiqua" w:eastAsia="Book Antiqua" w:hAnsi="Book Antiqua" w:cs="Book Antiqua"/>
          <w:b/>
          <w:bCs/>
          <w:color w:val="000000"/>
        </w:rPr>
        <w:t xml:space="preserve"> Organ Failure Assessment score</w:t>
      </w:r>
      <w:r w:rsidR="00D640E0" w:rsidRPr="006F0B8B">
        <w:rPr>
          <w:rFonts w:ascii="Book Antiqua" w:eastAsia="Book Antiqua" w:hAnsi="Book Antiqua" w:cs="Book Antiqua"/>
          <w:b/>
          <w:bCs/>
          <w:color w:val="000000"/>
        </w:rPr>
        <w:t xml:space="preserve"> </w:t>
      </w:r>
      <w:r w:rsidRPr="006F0B8B">
        <w:rPr>
          <w:rFonts w:ascii="Book Antiqua" w:eastAsia="Book Antiqua" w:hAnsi="Book Antiqua" w:cs="Book Antiqua"/>
          <w:b/>
          <w:bCs/>
          <w:color w:val="000000"/>
        </w:rPr>
        <w:t xml:space="preserve">within 24 h after admission between sepsis and </w:t>
      </w:r>
      <w:proofErr w:type="spellStart"/>
      <w:r w:rsidRPr="006F0B8B">
        <w:rPr>
          <w:rFonts w:ascii="Book Antiqua" w:eastAsia="Book Antiqua" w:hAnsi="Book Antiqua" w:cs="Book Antiqua"/>
          <w:b/>
          <w:bCs/>
          <w:color w:val="000000"/>
        </w:rPr>
        <w:t>nonsepsis</w:t>
      </w:r>
      <w:proofErr w:type="spellEnd"/>
      <w:r w:rsidRPr="006F0B8B">
        <w:rPr>
          <w:rFonts w:ascii="Book Antiqua" w:eastAsia="Book Antiqua" w:hAnsi="Book Antiqua" w:cs="Book Antiqua"/>
          <w:b/>
          <w:bCs/>
          <w:color w:val="000000"/>
        </w:rPr>
        <w:t>.</w:t>
      </w:r>
      <w:r w:rsidRPr="006F0B8B">
        <w:rPr>
          <w:rFonts w:ascii="Book Antiqua" w:eastAsia="Book Antiqua" w:hAnsi="Book Antiqua" w:cs="Book Antiqua"/>
          <w:color w:val="000000"/>
        </w:rPr>
        <w:t xml:space="preserve"> The results showed that the </w:t>
      </w:r>
      <w:r w:rsidR="00D17A17" w:rsidRPr="006F0B8B">
        <w:rPr>
          <w:rFonts w:ascii="Book Antiqua" w:eastAsia="Book Antiqua" w:hAnsi="Book Antiqua" w:cs="Book Antiqua"/>
          <w:color w:val="000000"/>
        </w:rPr>
        <w:t>area under the curve</w:t>
      </w:r>
      <w:r w:rsidRPr="006F0B8B">
        <w:rPr>
          <w:rFonts w:ascii="Book Antiqua" w:eastAsia="Book Antiqua" w:hAnsi="Book Antiqua" w:cs="Book Antiqua"/>
          <w:color w:val="000000"/>
        </w:rPr>
        <w:t xml:space="preserve"> of </w:t>
      </w:r>
      <w:r w:rsidR="00FE61A6" w:rsidRPr="006F0B8B">
        <w:rPr>
          <w:rFonts w:ascii="Book Antiqua" w:eastAsia="Book Antiqua" w:hAnsi="Book Antiqua" w:cs="Book Antiqua"/>
          <w:color w:val="000000"/>
        </w:rPr>
        <w:t xml:space="preserve">international </w:t>
      </w:r>
      <w:r w:rsidR="00EE608A" w:rsidRPr="006F0B8B">
        <w:rPr>
          <w:rFonts w:ascii="Book Antiqua" w:eastAsia="Book Antiqua" w:hAnsi="Book Antiqua" w:cs="Book Antiqua"/>
          <w:color w:val="000000"/>
        </w:rPr>
        <w:t>normalized</w:t>
      </w:r>
      <w:r w:rsidR="00FE61A6" w:rsidRPr="006F0B8B">
        <w:rPr>
          <w:rFonts w:ascii="Book Antiqua" w:eastAsia="Book Antiqua" w:hAnsi="Book Antiqua" w:cs="Book Antiqua"/>
          <w:color w:val="000000"/>
        </w:rPr>
        <w:t xml:space="preserve"> ratio (INR)</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prothrombin time</w:t>
      </w:r>
      <w:r w:rsidR="00535329">
        <w:rPr>
          <w:rFonts w:ascii="Book Antiqua" w:eastAsia="Book Antiqua" w:hAnsi="Book Antiqua" w:cs="Book Antiqua"/>
          <w:color w:val="000000"/>
        </w:rPr>
        <w:t xml:space="preserve"> (PT)</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neutrophil-lymphocyte count ratio</w:t>
      </w:r>
      <w:r w:rsidR="00535329">
        <w:rPr>
          <w:rFonts w:ascii="Book Antiqua" w:eastAsia="Book Antiqua" w:hAnsi="Book Antiqua" w:cs="Book Antiqua"/>
          <w:color w:val="000000"/>
        </w:rPr>
        <w:t xml:space="preserve"> (NLCR)</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platelet</w:t>
      </w:r>
      <w:r w:rsidR="00535329">
        <w:rPr>
          <w:rFonts w:ascii="Book Antiqua" w:eastAsia="Book Antiqua" w:hAnsi="Book Antiqua" w:cs="Book Antiqua"/>
          <w:color w:val="000000"/>
        </w:rPr>
        <w:t xml:space="preserve"> (PLT)</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quick Sequential “Sepsis-related” Organ Failure Assessment</w:t>
      </w:r>
      <w:r w:rsidRPr="006F0B8B">
        <w:rPr>
          <w:rFonts w:ascii="Book Antiqua" w:eastAsia="Book Antiqua" w:hAnsi="Book Antiqua" w:cs="Book Antiqua"/>
          <w:color w:val="000000"/>
        </w:rPr>
        <w:t xml:space="preserve"> </w:t>
      </w:r>
      <w:r w:rsidR="00535329">
        <w:rPr>
          <w:rFonts w:ascii="Book Antiqua" w:eastAsia="Book Antiqua" w:hAnsi="Book Antiqua" w:cs="Book Antiqua"/>
          <w:color w:val="000000"/>
        </w:rPr>
        <w:t>(</w:t>
      </w:r>
      <w:proofErr w:type="spellStart"/>
      <w:r w:rsidR="00535329">
        <w:rPr>
          <w:rFonts w:ascii="Book Antiqua" w:eastAsia="Book Antiqua" w:hAnsi="Book Antiqua" w:cs="Book Antiqua"/>
          <w:color w:val="000000"/>
        </w:rPr>
        <w:t>qSOFA</w:t>
      </w:r>
      <w:proofErr w:type="spellEnd"/>
      <w:r w:rsidR="00535329">
        <w:rPr>
          <w:rFonts w:ascii="Book Antiqua" w:eastAsia="Book Antiqua" w:hAnsi="Book Antiqua" w:cs="Book Antiqua"/>
          <w:color w:val="000000"/>
        </w:rPr>
        <w:t xml:space="preserve">), </w:t>
      </w:r>
      <w:r w:rsidRPr="006F0B8B">
        <w:rPr>
          <w:rFonts w:ascii="Book Antiqua" w:eastAsia="Book Antiqua" w:hAnsi="Book Antiqua" w:cs="Book Antiqua"/>
          <w:color w:val="000000"/>
        </w:rPr>
        <w:t xml:space="preserve">and </w:t>
      </w:r>
      <w:r w:rsidR="00031D58" w:rsidRPr="006F0B8B">
        <w:rPr>
          <w:rFonts w:ascii="Book Antiqua" w:eastAsia="Book Antiqua" w:hAnsi="Book Antiqua" w:cs="Book Antiqua"/>
          <w:color w:val="000000"/>
        </w:rPr>
        <w:t>white blood cell</w:t>
      </w:r>
      <w:r w:rsidRPr="006F0B8B">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count (WBC) </w:t>
      </w:r>
      <w:r w:rsidRPr="006F0B8B">
        <w:rPr>
          <w:rFonts w:ascii="Book Antiqua" w:eastAsia="Book Antiqua" w:hAnsi="Book Antiqua" w:cs="Book Antiqua"/>
          <w:color w:val="000000"/>
        </w:rPr>
        <w:t>in the diagnosis of sepsis were 0.918, 0.868, 0.83, 0.841, 0.638 and 0.599, respectively, and they were statistically significant (</w:t>
      </w:r>
      <w:r w:rsidRPr="006F0B8B">
        <w:rPr>
          <w:rFonts w:ascii="Book Antiqua" w:eastAsia="Book Antiqua" w:hAnsi="Book Antiqua" w:cs="Book Antiqua"/>
          <w:i/>
          <w:iCs/>
          <w:color w:val="000000"/>
        </w:rPr>
        <w:t>P</w:t>
      </w:r>
      <w:r w:rsidR="00F8439A" w:rsidRPr="006F0B8B">
        <w:rPr>
          <w:rFonts w:ascii="Book Antiqua" w:eastAsia="Book Antiqua" w:hAnsi="Book Antiqua" w:cs="Book Antiqua"/>
          <w:i/>
          <w:iCs/>
          <w:color w:val="000000"/>
        </w:rPr>
        <w:t xml:space="preserve"> </w:t>
      </w:r>
      <w:r w:rsidRPr="006F0B8B">
        <w:rPr>
          <w:rFonts w:ascii="Book Antiqua" w:eastAsia="Book Antiqua" w:hAnsi="Book Antiqua" w:cs="Book Antiqua"/>
          <w:color w:val="000000"/>
        </w:rPr>
        <w:t>&lt;</w:t>
      </w:r>
      <w:r w:rsidR="00F8439A" w:rsidRPr="006F0B8B">
        <w:rPr>
          <w:rFonts w:ascii="Book Antiqua" w:eastAsia="Book Antiqua" w:hAnsi="Book Antiqua" w:cs="Book Antiqua"/>
          <w:color w:val="000000"/>
        </w:rPr>
        <w:t xml:space="preserve"> </w:t>
      </w:r>
      <w:r w:rsidRPr="006F0B8B">
        <w:rPr>
          <w:rFonts w:ascii="Book Antiqua" w:eastAsia="Book Antiqua" w:hAnsi="Book Antiqua" w:cs="Book Antiqua"/>
          <w:color w:val="000000"/>
        </w:rPr>
        <w:t>0.05). The study indicates that the INR could be a helpful diagnostic biomarker in sepsis.</w:t>
      </w:r>
      <w:r w:rsidR="000A1435" w:rsidRPr="006F0B8B">
        <w:rPr>
          <w:rFonts w:ascii="Book Antiqua" w:eastAsia="Book Antiqua" w:hAnsi="Book Antiqua" w:cs="Book Antiqua"/>
          <w:color w:val="000000"/>
        </w:rPr>
        <w:t xml:space="preserve"> </w:t>
      </w:r>
    </w:p>
    <w:p w14:paraId="1DD73D54" w14:textId="77777777" w:rsidR="00EF65FB" w:rsidRDefault="00EF65FB">
      <w:pPr>
        <w:spacing w:line="360" w:lineRule="auto"/>
        <w:jc w:val="both"/>
        <w:sectPr w:rsidR="00EF65FB">
          <w:pgSz w:w="12240" w:h="15840"/>
          <w:pgMar w:top="1440" w:right="1440" w:bottom="1440" w:left="1440" w:header="720" w:footer="720" w:gutter="0"/>
          <w:cols w:space="720"/>
          <w:docGrid w:linePitch="360"/>
        </w:sectPr>
      </w:pPr>
    </w:p>
    <w:p w14:paraId="080E9E93" w14:textId="6EBE866A" w:rsidR="00A77B3E" w:rsidRDefault="002C5019">
      <w:pPr>
        <w:spacing w:line="360" w:lineRule="auto"/>
        <w:jc w:val="both"/>
      </w:pPr>
      <w:r>
        <w:rPr>
          <w:noProof/>
          <w:lang w:eastAsia="zh-CN"/>
        </w:rPr>
        <w:lastRenderedPageBreak/>
        <w:drawing>
          <wp:inline distT="0" distB="0" distL="0" distR="0" wp14:anchorId="1E378E8A" wp14:editId="6C3C127C">
            <wp:extent cx="4670625" cy="3415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0625" cy="3415145"/>
                    </a:xfrm>
                    <a:prstGeom prst="rect">
                      <a:avLst/>
                    </a:prstGeom>
                  </pic:spPr>
                </pic:pic>
              </a:graphicData>
            </a:graphic>
          </wp:inline>
        </w:drawing>
      </w:r>
    </w:p>
    <w:p w14:paraId="108E8F66" w14:textId="0F6B089B" w:rsidR="004D50DF"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Correlation analysis of </w:t>
      </w:r>
      <w:r w:rsidR="007C507F" w:rsidRPr="007C507F">
        <w:rPr>
          <w:rFonts w:ascii="Book Antiqua" w:eastAsia="Book Antiqua" w:hAnsi="Book Antiqua" w:cs="Book Antiqua"/>
          <w:b/>
          <w:bCs/>
          <w:color w:val="000000"/>
        </w:rPr>
        <w:t xml:space="preserve">international </w:t>
      </w:r>
      <w:r w:rsidR="00860480" w:rsidRPr="007C507F">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7C507F">
        <w:rPr>
          <w:rFonts w:ascii="Book Antiqua" w:eastAsia="Book Antiqua" w:hAnsi="Book Antiqua" w:cs="Book Antiqua"/>
          <w:b/>
          <w:bCs/>
          <w:color w:val="000000"/>
        </w:rPr>
        <w:t xml:space="preserve">ed </w:t>
      </w:r>
      <w:r w:rsidR="007C507F" w:rsidRPr="007C507F">
        <w:rPr>
          <w:rFonts w:ascii="Book Antiqua" w:eastAsia="Book Antiqua" w:hAnsi="Book Antiqua" w:cs="Book Antiqua"/>
          <w:b/>
          <w:bCs/>
          <w:color w:val="000000"/>
        </w:rPr>
        <w:t>ratio</w:t>
      </w:r>
      <w:r>
        <w:rPr>
          <w:rFonts w:ascii="Book Antiqua" w:eastAsia="Book Antiqua" w:hAnsi="Book Antiqua" w:cs="Book Antiqua"/>
          <w:b/>
          <w:bCs/>
          <w:color w:val="000000"/>
        </w:rPr>
        <w:t xml:space="preserve"> value with </w:t>
      </w:r>
      <w:r w:rsidR="00BA0C51" w:rsidRPr="00BA0C51">
        <w:rPr>
          <w:rFonts w:ascii="Book Antiqua" w:eastAsia="Book Antiqua" w:hAnsi="Book Antiqua" w:cs="Book Antiqua"/>
          <w:b/>
          <w:bCs/>
          <w:color w:val="000000"/>
        </w:rPr>
        <w:t xml:space="preserve">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BA0C51" w:rsidRPr="00BA0C51">
        <w:rPr>
          <w:rFonts w:ascii="Book Antiqua" w:eastAsia="Book Antiqua" w:hAnsi="Book Antiqua" w:cs="Book Antiqua"/>
          <w:b/>
          <w:bCs/>
          <w:color w:val="000000"/>
        </w:rPr>
        <w:t xml:space="preserve"> Organ Failure Assessment</w:t>
      </w:r>
      <w:r>
        <w:rPr>
          <w:rFonts w:ascii="Book Antiqua" w:eastAsia="Book Antiqua" w:hAnsi="Book Antiqua" w:cs="Book Antiqua"/>
          <w:b/>
          <w:bCs/>
          <w:color w:val="000000"/>
        </w:rPr>
        <w:t xml:space="preserve"> </w:t>
      </w:r>
      <w:r w:rsidR="003D0F65">
        <w:rPr>
          <w:rFonts w:ascii="Book Antiqua" w:eastAsia="Book Antiqua" w:hAnsi="Book Antiqua" w:cs="Book Antiqua"/>
          <w:b/>
          <w:bCs/>
          <w:color w:val="000000"/>
        </w:rPr>
        <w:t>s</w:t>
      </w:r>
      <w:r>
        <w:rPr>
          <w:rFonts w:ascii="Book Antiqua" w:eastAsia="Book Antiqua" w:hAnsi="Book Antiqua" w:cs="Book Antiqua"/>
          <w:b/>
          <w:bCs/>
          <w:color w:val="000000"/>
        </w:rPr>
        <w:t xml:space="preserve">core and </w:t>
      </w:r>
      <w:r w:rsidR="004424B9" w:rsidRPr="004424B9">
        <w:rPr>
          <w:rFonts w:ascii="Book Antiqua" w:eastAsia="Book Antiqua" w:hAnsi="Book Antiqua" w:cs="Book Antiqua"/>
          <w:b/>
          <w:bCs/>
          <w:color w:val="000000"/>
        </w:rPr>
        <w:t>Acute Physiology and Chronic Health Evaluation II</w:t>
      </w:r>
      <w:r>
        <w:rPr>
          <w:rFonts w:ascii="Book Antiqua" w:eastAsia="Book Antiqua" w:hAnsi="Book Antiqua" w:cs="Book Antiqua"/>
          <w:b/>
          <w:bCs/>
          <w:color w:val="000000"/>
        </w:rPr>
        <w:t xml:space="preserve"> </w:t>
      </w:r>
      <w:r w:rsidR="003D0F65">
        <w:rPr>
          <w:rFonts w:ascii="Book Antiqua" w:eastAsia="Book Antiqua" w:hAnsi="Book Antiqua" w:cs="Book Antiqua"/>
          <w:b/>
          <w:bCs/>
          <w:color w:val="000000"/>
        </w:rPr>
        <w:t>s</w:t>
      </w:r>
      <w:r>
        <w:rPr>
          <w:rFonts w:ascii="Book Antiqua" w:eastAsia="Book Antiqua" w:hAnsi="Book Antiqua" w:cs="Book Antiqua"/>
          <w:b/>
          <w:bCs/>
          <w:color w:val="000000"/>
        </w:rPr>
        <w:t xml:space="preserve">core, and analysis of </w:t>
      </w:r>
      <w:r w:rsidR="00233CB7" w:rsidRPr="00233CB7">
        <w:rPr>
          <w:rFonts w:ascii="Book Antiqua" w:eastAsia="Book Antiqua" w:hAnsi="Book Antiqua" w:cs="Book Antiqua"/>
          <w:b/>
          <w:bCs/>
          <w:color w:val="000000"/>
        </w:rPr>
        <w:t xml:space="preserve">international </w:t>
      </w:r>
      <w:r w:rsidR="00860480" w:rsidRPr="00233CB7">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233CB7">
        <w:rPr>
          <w:rFonts w:ascii="Book Antiqua" w:eastAsia="Book Antiqua" w:hAnsi="Book Antiqua" w:cs="Book Antiqua"/>
          <w:b/>
          <w:bCs/>
          <w:color w:val="000000"/>
        </w:rPr>
        <w:t xml:space="preserve">ed </w:t>
      </w:r>
      <w:r w:rsidR="00233CB7" w:rsidRPr="00233CB7">
        <w:rPr>
          <w:rFonts w:ascii="Book Antiqua" w:eastAsia="Book Antiqua" w:hAnsi="Book Antiqua" w:cs="Book Antiqua"/>
          <w:b/>
          <w:bCs/>
          <w:color w:val="000000"/>
        </w:rPr>
        <w:t>ratio</w:t>
      </w:r>
      <w:r>
        <w:rPr>
          <w:rFonts w:ascii="Book Antiqua" w:eastAsia="Book Antiqua" w:hAnsi="Book Antiqua" w:cs="Book Antiqua"/>
          <w:b/>
          <w:bCs/>
          <w:color w:val="000000"/>
        </w:rPr>
        <w:t xml:space="preserve"> value for predicting the risk of </w:t>
      </w:r>
      <w:proofErr w:type="spellStart"/>
      <w:r>
        <w:rPr>
          <w:rFonts w:ascii="Book Antiqua" w:eastAsia="Book Antiqua" w:hAnsi="Book Antiqua" w:cs="Book Antiqua"/>
          <w:b/>
          <w:bCs/>
          <w:color w:val="000000"/>
        </w:rPr>
        <w:t>nonpul</w:t>
      </w:r>
      <w:r w:rsidRPr="003A396A">
        <w:rPr>
          <w:rFonts w:ascii="Book Antiqua" w:eastAsia="Book Antiqua" w:hAnsi="Book Antiqua" w:cs="Book Antiqua"/>
          <w:b/>
          <w:bCs/>
          <w:color w:val="000000"/>
        </w:rPr>
        <w:t>monary</w:t>
      </w:r>
      <w:proofErr w:type="spellEnd"/>
      <w:r w:rsidRPr="003A396A">
        <w:rPr>
          <w:rFonts w:ascii="Book Antiqua" w:eastAsia="Book Antiqua" w:hAnsi="Book Antiqua" w:cs="Book Antiqua"/>
          <w:b/>
          <w:bCs/>
          <w:color w:val="000000"/>
        </w:rPr>
        <w:t xml:space="preserve"> sepsis.</w:t>
      </w:r>
      <w:r w:rsidRPr="003A396A">
        <w:rPr>
          <w:rFonts w:ascii="Book Antiqua" w:eastAsia="Book Antiqua" w:hAnsi="Book Antiqua" w:cs="Book Antiqua"/>
          <w:color w:val="000000"/>
        </w:rPr>
        <w:t xml:space="preserve"> A: Spearman rank correlation analysis between </w:t>
      </w:r>
      <w:r w:rsidR="000F13E4" w:rsidRPr="003A396A">
        <w:rPr>
          <w:rFonts w:ascii="Book Antiqua" w:eastAsia="Book Antiqua" w:hAnsi="Book Antiqua" w:cs="Book Antiqua"/>
          <w:color w:val="000000"/>
        </w:rPr>
        <w:t>international normali</w:t>
      </w:r>
      <w:r w:rsidR="00EE608A">
        <w:rPr>
          <w:rFonts w:ascii="Book Antiqua" w:eastAsia="Book Antiqua" w:hAnsi="Book Antiqua" w:cs="Book Antiqua"/>
          <w:color w:val="000000"/>
        </w:rPr>
        <w:t>z</w:t>
      </w:r>
      <w:r w:rsidR="000F13E4" w:rsidRPr="003A396A">
        <w:rPr>
          <w:rFonts w:ascii="Book Antiqua" w:eastAsia="Book Antiqua" w:hAnsi="Book Antiqua" w:cs="Book Antiqua"/>
          <w:color w:val="000000"/>
        </w:rPr>
        <w:t>ed ratio (INR)</w:t>
      </w:r>
      <w:r w:rsidRPr="003A396A">
        <w:rPr>
          <w:rFonts w:ascii="Book Antiqua" w:eastAsia="Book Antiqua" w:hAnsi="Book Antiqua" w:cs="Book Antiqua"/>
          <w:color w:val="000000"/>
        </w:rPr>
        <w:t xml:space="preserve"> </w:t>
      </w:r>
      <w:r w:rsidR="00443CF2" w:rsidRPr="003A396A">
        <w:rPr>
          <w:rFonts w:ascii="Book Antiqua" w:eastAsia="Book Antiqua" w:hAnsi="Book Antiqua" w:cs="Book Antiqua"/>
          <w:color w:val="000000"/>
        </w:rPr>
        <w:t>v</w:t>
      </w:r>
      <w:r w:rsidRPr="003A396A">
        <w:rPr>
          <w:rFonts w:ascii="Book Antiqua" w:eastAsia="Book Antiqua" w:hAnsi="Book Antiqua" w:cs="Book Antiqua"/>
          <w:color w:val="000000"/>
        </w:rPr>
        <w:t xml:space="preserve">alue and </w:t>
      </w:r>
      <w:r w:rsidR="004400DF" w:rsidRPr="003A396A">
        <w:rPr>
          <w:rFonts w:ascii="Book Antiqua" w:eastAsia="Book Antiqua" w:hAnsi="Book Antiqua" w:cs="Book Antiqua"/>
          <w:color w:val="000000"/>
        </w:rPr>
        <w:t>Sequential “Sepsis-related” Organ Failure Assessment</w:t>
      </w:r>
      <w:r w:rsidRPr="003A396A">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(SOFA) </w:t>
      </w:r>
      <w:r w:rsidR="00443CF2" w:rsidRPr="003A396A">
        <w:rPr>
          <w:rFonts w:ascii="Book Antiqua" w:eastAsia="Book Antiqua" w:hAnsi="Book Antiqua" w:cs="Book Antiqua"/>
          <w:color w:val="000000"/>
        </w:rPr>
        <w:t>s</w:t>
      </w:r>
      <w:r w:rsidRPr="003A396A">
        <w:rPr>
          <w:rFonts w:ascii="Book Antiqua" w:eastAsia="Book Antiqua" w:hAnsi="Book Antiqua" w:cs="Book Antiqua"/>
          <w:color w:val="000000"/>
        </w:rPr>
        <w:t xml:space="preserve">core; B: Spearman rank correlation analysis between INR </w:t>
      </w:r>
      <w:r w:rsidR="003D0F65" w:rsidRPr="003A396A">
        <w:rPr>
          <w:rFonts w:ascii="Book Antiqua" w:eastAsia="Book Antiqua" w:hAnsi="Book Antiqua" w:cs="Book Antiqua"/>
          <w:color w:val="000000"/>
        </w:rPr>
        <w:t>v</w:t>
      </w:r>
      <w:r w:rsidRPr="003A396A">
        <w:rPr>
          <w:rFonts w:ascii="Book Antiqua" w:eastAsia="Book Antiqua" w:hAnsi="Book Antiqua" w:cs="Book Antiqua"/>
          <w:color w:val="000000"/>
        </w:rPr>
        <w:t xml:space="preserve">alue and </w:t>
      </w:r>
      <w:r w:rsidR="004400DF" w:rsidRPr="003A396A">
        <w:rPr>
          <w:rFonts w:ascii="Book Antiqua" w:eastAsia="Book Antiqua" w:hAnsi="Book Antiqua" w:cs="Book Antiqua"/>
          <w:color w:val="000000"/>
        </w:rPr>
        <w:t>Acute Physiology and Chronic Health Evaluation II</w:t>
      </w:r>
      <w:r w:rsidRPr="003A396A">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(APACHE II) </w:t>
      </w:r>
      <w:r w:rsidR="003D0F65" w:rsidRPr="003A396A">
        <w:rPr>
          <w:rFonts w:ascii="Book Antiqua" w:eastAsia="Book Antiqua" w:hAnsi="Book Antiqua" w:cs="Book Antiqua"/>
          <w:color w:val="000000"/>
        </w:rPr>
        <w:t>s</w:t>
      </w:r>
      <w:r w:rsidRPr="003A396A">
        <w:rPr>
          <w:rFonts w:ascii="Book Antiqua" w:eastAsia="Book Antiqua" w:hAnsi="Book Antiqua" w:cs="Book Antiqua"/>
          <w:color w:val="000000"/>
        </w:rPr>
        <w:t xml:space="preserve">core; C: The positive prediction rate and negative prediction rate of sepsis under different INR values. </w:t>
      </w:r>
      <w:r w:rsidR="00EA64A7" w:rsidRPr="003A396A">
        <w:rPr>
          <w:rFonts w:ascii="Book Antiqua" w:eastAsia="Book Antiqua" w:hAnsi="Book Antiqua" w:cs="Book Antiqua"/>
          <w:color w:val="000000"/>
        </w:rPr>
        <w:t>95%CI: 95% confidence interval</w:t>
      </w:r>
      <w:r>
        <w:rPr>
          <w:rFonts w:ascii="Book Antiqua" w:eastAsia="Book Antiqua" w:hAnsi="Book Antiqua" w:cs="Book Antiqua"/>
          <w:color w:val="000000"/>
        </w:rPr>
        <w:t>.</w:t>
      </w:r>
    </w:p>
    <w:p w14:paraId="3686BEBA" w14:textId="6A4FC03B" w:rsidR="004D50DF" w:rsidRDefault="004D50DF">
      <w:pPr>
        <w:spacing w:line="360" w:lineRule="auto"/>
        <w:jc w:val="both"/>
        <w:rPr>
          <w:rFonts w:ascii="Book Antiqua" w:eastAsia="Book Antiqua" w:hAnsi="Book Antiqua" w:cs="Book Antiqua"/>
          <w:color w:val="000000"/>
        </w:rPr>
        <w:sectPr w:rsidR="004D50DF">
          <w:pgSz w:w="12240" w:h="15840"/>
          <w:pgMar w:top="1440" w:right="1440" w:bottom="1440" w:left="1440" w:header="720" w:footer="720" w:gutter="0"/>
          <w:cols w:space="720"/>
          <w:docGrid w:linePitch="360"/>
        </w:sectPr>
      </w:pPr>
    </w:p>
    <w:p w14:paraId="58BE45A7" w14:textId="319BCBEA" w:rsidR="00E27DD0" w:rsidRPr="005439C1" w:rsidRDefault="00E27DD0" w:rsidP="00E27DD0">
      <w:pPr>
        <w:spacing w:line="360" w:lineRule="auto"/>
        <w:jc w:val="both"/>
        <w:rPr>
          <w:rFonts w:ascii="Book Antiqua" w:hAnsi="Book Antiqua"/>
          <w:b/>
          <w:bCs/>
          <w:kern w:val="1"/>
        </w:rPr>
      </w:pPr>
      <w:r w:rsidRPr="005439C1">
        <w:rPr>
          <w:rFonts w:ascii="Book Antiqua" w:hAnsi="Book Antiqua"/>
          <w:b/>
          <w:bCs/>
          <w:kern w:val="1"/>
        </w:rPr>
        <w:lastRenderedPageBreak/>
        <w:t>Table 1 Population and baseline characteristics</w:t>
      </w:r>
    </w:p>
    <w:tbl>
      <w:tblPr>
        <w:tblW w:w="7479" w:type="dxa"/>
        <w:tblBorders>
          <w:top w:val="single" w:sz="4" w:space="0" w:color="auto"/>
          <w:bottom w:val="single" w:sz="4" w:space="0" w:color="auto"/>
        </w:tblBorders>
        <w:tblLayout w:type="fixed"/>
        <w:tblLook w:val="04A0" w:firstRow="1" w:lastRow="0" w:firstColumn="1" w:lastColumn="0" w:noHBand="0" w:noVBand="1"/>
      </w:tblPr>
      <w:tblGrid>
        <w:gridCol w:w="2802"/>
        <w:gridCol w:w="1847"/>
        <w:gridCol w:w="1413"/>
        <w:gridCol w:w="1417"/>
      </w:tblGrid>
      <w:tr w:rsidR="008A7956" w:rsidRPr="005439C1" w14:paraId="635E92F6" w14:textId="77777777" w:rsidTr="00BB4A06">
        <w:trPr>
          <w:trHeight w:val="440"/>
        </w:trPr>
        <w:tc>
          <w:tcPr>
            <w:tcW w:w="2802" w:type="dxa"/>
            <w:tcBorders>
              <w:top w:val="single" w:sz="4" w:space="0" w:color="auto"/>
              <w:bottom w:val="single" w:sz="4" w:space="0" w:color="auto"/>
            </w:tcBorders>
            <w:shd w:val="clear" w:color="auto" w:fill="auto"/>
            <w:hideMark/>
          </w:tcPr>
          <w:p w14:paraId="49A58B8C" w14:textId="77777777" w:rsidR="008A7956" w:rsidRPr="00C210B4" w:rsidRDefault="008A7956" w:rsidP="00854FA6">
            <w:pPr>
              <w:spacing w:line="360" w:lineRule="auto"/>
              <w:jc w:val="both"/>
              <w:rPr>
                <w:rFonts w:ascii="Book Antiqua" w:hAnsi="Book Antiqua"/>
                <w:b/>
                <w:bCs/>
              </w:rPr>
            </w:pPr>
          </w:p>
        </w:tc>
        <w:tc>
          <w:tcPr>
            <w:tcW w:w="1847" w:type="dxa"/>
            <w:tcBorders>
              <w:top w:val="single" w:sz="4" w:space="0" w:color="auto"/>
              <w:bottom w:val="single" w:sz="4" w:space="0" w:color="auto"/>
            </w:tcBorders>
            <w:shd w:val="clear" w:color="auto" w:fill="auto"/>
            <w:hideMark/>
          </w:tcPr>
          <w:p w14:paraId="6EE746CF" w14:textId="77777777" w:rsidR="008A7956" w:rsidRPr="00C210B4" w:rsidRDefault="008A7956" w:rsidP="00854FA6">
            <w:pPr>
              <w:spacing w:line="360" w:lineRule="auto"/>
              <w:jc w:val="both"/>
              <w:rPr>
                <w:rFonts w:ascii="Book Antiqua" w:hAnsi="Book Antiqua"/>
                <w:b/>
                <w:bCs/>
              </w:rPr>
            </w:pPr>
            <w:r w:rsidRPr="00C210B4">
              <w:rPr>
                <w:rFonts w:ascii="Book Antiqua" w:hAnsi="Book Antiqua"/>
                <w:b/>
                <w:bCs/>
              </w:rPr>
              <w:t xml:space="preserve">Sepsis </w:t>
            </w:r>
          </w:p>
        </w:tc>
        <w:tc>
          <w:tcPr>
            <w:tcW w:w="1413" w:type="dxa"/>
            <w:tcBorders>
              <w:top w:val="single" w:sz="4" w:space="0" w:color="auto"/>
              <w:bottom w:val="single" w:sz="4" w:space="0" w:color="auto"/>
            </w:tcBorders>
            <w:shd w:val="clear" w:color="auto" w:fill="auto"/>
            <w:hideMark/>
          </w:tcPr>
          <w:p w14:paraId="399461F2" w14:textId="77777777" w:rsidR="008A7956" w:rsidRPr="00C210B4" w:rsidRDefault="008A7956" w:rsidP="00854FA6">
            <w:pPr>
              <w:spacing w:line="360" w:lineRule="auto"/>
              <w:jc w:val="both"/>
              <w:rPr>
                <w:rFonts w:ascii="Book Antiqua" w:hAnsi="Book Antiqua"/>
                <w:b/>
                <w:bCs/>
              </w:rPr>
            </w:pPr>
            <w:proofErr w:type="spellStart"/>
            <w:r w:rsidRPr="00C210B4">
              <w:rPr>
                <w:rFonts w:ascii="Book Antiqua" w:hAnsi="Book Antiqua"/>
                <w:b/>
                <w:bCs/>
              </w:rPr>
              <w:t>Nonsepsis</w:t>
            </w:r>
            <w:proofErr w:type="spellEnd"/>
            <w:r w:rsidRPr="00C210B4">
              <w:rPr>
                <w:rFonts w:ascii="Book Antiqua" w:hAnsi="Book Antiqua"/>
                <w:b/>
                <w:bCs/>
              </w:rPr>
              <w:t xml:space="preserve"> </w:t>
            </w:r>
          </w:p>
        </w:tc>
        <w:tc>
          <w:tcPr>
            <w:tcW w:w="1417" w:type="dxa"/>
            <w:tcBorders>
              <w:top w:val="single" w:sz="4" w:space="0" w:color="auto"/>
              <w:bottom w:val="single" w:sz="4" w:space="0" w:color="auto"/>
            </w:tcBorders>
            <w:shd w:val="clear" w:color="auto" w:fill="auto"/>
            <w:hideMark/>
          </w:tcPr>
          <w:p w14:paraId="0C7E4660" w14:textId="31D5364F" w:rsidR="008A7956" w:rsidRPr="00C210B4" w:rsidRDefault="008A7956" w:rsidP="00854FA6">
            <w:pPr>
              <w:spacing w:line="360" w:lineRule="auto"/>
              <w:jc w:val="both"/>
              <w:rPr>
                <w:rFonts w:ascii="Book Antiqua" w:hAnsi="Book Antiqua"/>
                <w:b/>
                <w:bCs/>
                <w:i/>
                <w:iCs/>
              </w:rPr>
            </w:pPr>
            <w:r w:rsidRPr="00C210B4">
              <w:rPr>
                <w:rFonts w:ascii="Book Antiqua" w:hAnsi="Book Antiqua"/>
                <w:b/>
                <w:bCs/>
                <w:i/>
                <w:iCs/>
              </w:rPr>
              <w:t>P</w:t>
            </w:r>
            <w:r w:rsidR="00C210B4">
              <w:rPr>
                <w:rFonts w:ascii="Book Antiqua" w:hAnsi="Book Antiqua"/>
                <w:b/>
                <w:bCs/>
              </w:rPr>
              <w:t xml:space="preserve"> </w:t>
            </w:r>
            <w:r w:rsidRPr="00C210B4">
              <w:rPr>
                <w:rFonts w:ascii="Book Antiqua" w:hAnsi="Book Antiqua"/>
                <w:b/>
                <w:bCs/>
              </w:rPr>
              <w:t>value</w:t>
            </w:r>
          </w:p>
        </w:tc>
      </w:tr>
      <w:tr w:rsidR="008A7956" w:rsidRPr="005439C1" w14:paraId="3A1F8B3B" w14:textId="77777777" w:rsidTr="00BB4A06">
        <w:trPr>
          <w:trHeight w:val="312"/>
        </w:trPr>
        <w:tc>
          <w:tcPr>
            <w:tcW w:w="2802" w:type="dxa"/>
            <w:tcBorders>
              <w:top w:val="single" w:sz="4" w:space="0" w:color="auto"/>
            </w:tcBorders>
            <w:shd w:val="clear" w:color="auto" w:fill="auto"/>
            <w:hideMark/>
          </w:tcPr>
          <w:p w14:paraId="3E38C926" w14:textId="4A6055CC" w:rsidR="008A7956" w:rsidRPr="005439C1" w:rsidRDefault="008A7956" w:rsidP="00854FA6">
            <w:pPr>
              <w:spacing w:line="360" w:lineRule="auto"/>
              <w:jc w:val="both"/>
              <w:rPr>
                <w:rFonts w:ascii="Book Antiqua" w:hAnsi="Book Antiqua"/>
              </w:rPr>
            </w:pPr>
            <w:r w:rsidRPr="005439C1">
              <w:rPr>
                <w:rFonts w:ascii="Book Antiqua" w:hAnsi="Book Antiqua"/>
              </w:rPr>
              <w:t>Sex</w:t>
            </w:r>
            <w:r w:rsidR="00860480">
              <w:rPr>
                <w:rFonts w:ascii="Book Antiqua" w:hAnsi="Book Antiqua"/>
              </w:rPr>
              <w:t>,</w:t>
            </w:r>
            <w:r w:rsidRPr="005439C1">
              <w:rPr>
                <w:rFonts w:ascii="Book Antiqua" w:hAnsi="Book Antiqua"/>
              </w:rPr>
              <w:t xml:space="preserve"> </w:t>
            </w:r>
            <w:r w:rsidRPr="00E22D89">
              <w:rPr>
                <w:rFonts w:ascii="Book Antiqua" w:hAnsi="Book Antiqua"/>
                <w:i/>
                <w:iCs/>
              </w:rPr>
              <w:t>n</w:t>
            </w:r>
            <w:r w:rsidR="00860480">
              <w:rPr>
                <w:rFonts w:ascii="Book Antiqua" w:hAnsi="Book Antiqua"/>
              </w:rPr>
              <w:t xml:space="preserve"> (</w:t>
            </w:r>
            <w:r w:rsidRPr="005439C1">
              <w:rPr>
                <w:rFonts w:ascii="Book Antiqua" w:hAnsi="Book Antiqua"/>
              </w:rPr>
              <w:t xml:space="preserve">%)  </w:t>
            </w:r>
          </w:p>
        </w:tc>
        <w:tc>
          <w:tcPr>
            <w:tcW w:w="1847" w:type="dxa"/>
            <w:tcBorders>
              <w:top w:val="single" w:sz="4" w:space="0" w:color="auto"/>
            </w:tcBorders>
            <w:shd w:val="clear" w:color="auto" w:fill="auto"/>
            <w:hideMark/>
          </w:tcPr>
          <w:p w14:paraId="23899238" w14:textId="77777777" w:rsidR="008A7956" w:rsidRPr="005439C1" w:rsidRDefault="008A7956" w:rsidP="00854FA6">
            <w:pPr>
              <w:spacing w:line="360" w:lineRule="auto"/>
              <w:jc w:val="both"/>
              <w:rPr>
                <w:rFonts w:ascii="Book Antiqua" w:hAnsi="Book Antiqua"/>
              </w:rPr>
            </w:pPr>
          </w:p>
        </w:tc>
        <w:tc>
          <w:tcPr>
            <w:tcW w:w="1413" w:type="dxa"/>
            <w:tcBorders>
              <w:top w:val="single" w:sz="4" w:space="0" w:color="auto"/>
            </w:tcBorders>
            <w:shd w:val="clear" w:color="auto" w:fill="auto"/>
            <w:hideMark/>
          </w:tcPr>
          <w:p w14:paraId="6FBB38E5" w14:textId="77777777" w:rsidR="008A7956" w:rsidRPr="005439C1" w:rsidRDefault="008A7956" w:rsidP="00854FA6">
            <w:pPr>
              <w:spacing w:line="360" w:lineRule="auto"/>
              <w:jc w:val="both"/>
              <w:rPr>
                <w:rFonts w:ascii="Book Antiqua" w:eastAsia="Times New Roman" w:hAnsi="Book Antiqua"/>
              </w:rPr>
            </w:pPr>
          </w:p>
        </w:tc>
        <w:tc>
          <w:tcPr>
            <w:tcW w:w="1417" w:type="dxa"/>
            <w:tcBorders>
              <w:top w:val="single" w:sz="4" w:space="0" w:color="auto"/>
            </w:tcBorders>
            <w:shd w:val="clear" w:color="auto" w:fill="auto"/>
            <w:hideMark/>
          </w:tcPr>
          <w:p w14:paraId="7C829F20" w14:textId="77777777" w:rsidR="008A7956" w:rsidRPr="005439C1" w:rsidRDefault="008A7956" w:rsidP="00854FA6">
            <w:pPr>
              <w:spacing w:line="360" w:lineRule="auto"/>
              <w:jc w:val="both"/>
              <w:rPr>
                <w:rFonts w:ascii="Book Antiqua" w:hAnsi="Book Antiqua"/>
              </w:rPr>
            </w:pPr>
            <w:r w:rsidRPr="005439C1">
              <w:rPr>
                <w:rFonts w:ascii="Book Antiqua" w:hAnsi="Book Antiqua"/>
              </w:rPr>
              <w:t>0.083</w:t>
            </w:r>
          </w:p>
        </w:tc>
      </w:tr>
      <w:tr w:rsidR="008A7956" w:rsidRPr="005439C1" w14:paraId="35032B22" w14:textId="77777777" w:rsidTr="00BB4A06">
        <w:trPr>
          <w:trHeight w:val="312"/>
        </w:trPr>
        <w:tc>
          <w:tcPr>
            <w:tcW w:w="2802" w:type="dxa"/>
            <w:shd w:val="clear" w:color="auto" w:fill="auto"/>
            <w:hideMark/>
          </w:tcPr>
          <w:p w14:paraId="672D32F8"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 xml:space="preserve">Male </w:t>
            </w:r>
          </w:p>
        </w:tc>
        <w:tc>
          <w:tcPr>
            <w:tcW w:w="1847" w:type="dxa"/>
            <w:shd w:val="clear" w:color="auto" w:fill="auto"/>
            <w:hideMark/>
          </w:tcPr>
          <w:p w14:paraId="4C093A72" w14:textId="6CC8490D" w:rsidR="008A7956" w:rsidRPr="005439C1" w:rsidRDefault="008A7956" w:rsidP="00854FA6">
            <w:pPr>
              <w:spacing w:line="360" w:lineRule="auto"/>
              <w:jc w:val="both"/>
              <w:rPr>
                <w:rFonts w:ascii="Book Antiqua" w:hAnsi="Book Antiqua"/>
              </w:rPr>
            </w:pPr>
            <w:r w:rsidRPr="005439C1">
              <w:rPr>
                <w:rFonts w:ascii="Book Antiqua" w:hAnsi="Book Antiqua"/>
              </w:rPr>
              <w:t>52 (48.1)</w:t>
            </w:r>
          </w:p>
        </w:tc>
        <w:tc>
          <w:tcPr>
            <w:tcW w:w="1413" w:type="dxa"/>
            <w:shd w:val="clear" w:color="auto" w:fill="auto"/>
            <w:hideMark/>
          </w:tcPr>
          <w:p w14:paraId="191405E7" w14:textId="5AA75EAC" w:rsidR="008A7956" w:rsidRPr="005439C1" w:rsidRDefault="008A7956" w:rsidP="00854FA6">
            <w:pPr>
              <w:spacing w:line="360" w:lineRule="auto"/>
              <w:jc w:val="both"/>
              <w:rPr>
                <w:rFonts w:ascii="Book Antiqua" w:hAnsi="Book Antiqua"/>
              </w:rPr>
            </w:pPr>
            <w:r w:rsidRPr="005439C1">
              <w:rPr>
                <w:rFonts w:ascii="Book Antiqua" w:hAnsi="Book Antiqua"/>
              </w:rPr>
              <w:t>59 (55.7)</w:t>
            </w:r>
          </w:p>
        </w:tc>
        <w:tc>
          <w:tcPr>
            <w:tcW w:w="1417" w:type="dxa"/>
            <w:shd w:val="clear" w:color="auto" w:fill="auto"/>
            <w:hideMark/>
          </w:tcPr>
          <w:p w14:paraId="30332445"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4C4337F8" w14:textId="77777777" w:rsidTr="00BB4A06">
        <w:trPr>
          <w:trHeight w:val="312"/>
        </w:trPr>
        <w:tc>
          <w:tcPr>
            <w:tcW w:w="2802" w:type="dxa"/>
            <w:shd w:val="clear" w:color="auto" w:fill="auto"/>
            <w:hideMark/>
          </w:tcPr>
          <w:p w14:paraId="559A7671" w14:textId="7934BA85"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 xml:space="preserve">Female </w:t>
            </w:r>
          </w:p>
        </w:tc>
        <w:tc>
          <w:tcPr>
            <w:tcW w:w="1847" w:type="dxa"/>
            <w:shd w:val="clear" w:color="auto" w:fill="auto"/>
            <w:hideMark/>
          </w:tcPr>
          <w:p w14:paraId="21BEA4A5" w14:textId="61E7DC80" w:rsidR="008A7956" w:rsidRPr="005439C1" w:rsidRDefault="008A7956" w:rsidP="00854FA6">
            <w:pPr>
              <w:spacing w:line="360" w:lineRule="auto"/>
              <w:jc w:val="both"/>
              <w:rPr>
                <w:rFonts w:ascii="Book Antiqua" w:hAnsi="Book Antiqua"/>
              </w:rPr>
            </w:pPr>
            <w:r w:rsidRPr="005439C1">
              <w:rPr>
                <w:rFonts w:ascii="Book Antiqua" w:hAnsi="Book Antiqua"/>
              </w:rPr>
              <w:t>56 (51.9)</w:t>
            </w:r>
          </w:p>
        </w:tc>
        <w:tc>
          <w:tcPr>
            <w:tcW w:w="1413" w:type="dxa"/>
            <w:shd w:val="clear" w:color="auto" w:fill="auto"/>
            <w:hideMark/>
          </w:tcPr>
          <w:p w14:paraId="29BF0E62" w14:textId="1703098C" w:rsidR="008A7956" w:rsidRPr="005439C1" w:rsidRDefault="008A7956" w:rsidP="00854FA6">
            <w:pPr>
              <w:spacing w:line="360" w:lineRule="auto"/>
              <w:jc w:val="both"/>
              <w:rPr>
                <w:rFonts w:ascii="Book Antiqua" w:hAnsi="Book Antiqua"/>
              </w:rPr>
            </w:pPr>
            <w:r w:rsidRPr="005439C1">
              <w:rPr>
                <w:rFonts w:ascii="Book Antiqua" w:hAnsi="Book Antiqua"/>
              </w:rPr>
              <w:t>47 (44.3)</w:t>
            </w:r>
          </w:p>
        </w:tc>
        <w:tc>
          <w:tcPr>
            <w:tcW w:w="1417" w:type="dxa"/>
            <w:shd w:val="clear" w:color="auto" w:fill="auto"/>
            <w:hideMark/>
          </w:tcPr>
          <w:p w14:paraId="2197812C"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4A260BC0" w14:textId="77777777" w:rsidTr="00BB4A06">
        <w:trPr>
          <w:trHeight w:val="380"/>
        </w:trPr>
        <w:tc>
          <w:tcPr>
            <w:tcW w:w="2802" w:type="dxa"/>
            <w:shd w:val="clear" w:color="auto" w:fill="auto"/>
            <w:hideMark/>
          </w:tcPr>
          <w:p w14:paraId="49C70DC5" w14:textId="7354BE92" w:rsidR="008A7956" w:rsidRPr="005439C1" w:rsidRDefault="008A7956" w:rsidP="00854FA6">
            <w:pPr>
              <w:spacing w:line="360" w:lineRule="auto"/>
              <w:jc w:val="both"/>
              <w:rPr>
                <w:rFonts w:ascii="Book Antiqua" w:hAnsi="Book Antiqua"/>
              </w:rPr>
            </w:pPr>
            <w:r w:rsidRPr="005439C1">
              <w:rPr>
                <w:rFonts w:ascii="Book Antiqua" w:hAnsi="Book Antiqua"/>
              </w:rPr>
              <w:t xml:space="preserve">Age, </w:t>
            </w:r>
            <w:proofErr w:type="spellStart"/>
            <w:r w:rsidRPr="00C210B4">
              <w:rPr>
                <w:rFonts w:ascii="Book Antiqua" w:hAnsi="Book Antiqua"/>
              </w:rPr>
              <w:t>y</w:t>
            </w:r>
            <w:r w:rsidR="00C210B4">
              <w:rPr>
                <w:rFonts w:ascii="Book Antiqua" w:hAnsi="Book Antiqua"/>
              </w:rPr>
              <w:t>r</w:t>
            </w:r>
            <w:proofErr w:type="spellEnd"/>
            <w:r w:rsidRPr="005439C1">
              <w:rPr>
                <w:rFonts w:ascii="Book Antiqua" w:hAnsi="Book Antiqua"/>
              </w:rPr>
              <w:t xml:space="preserve"> (mean</w:t>
            </w:r>
            <w:r w:rsidR="002E4EDB">
              <w:rPr>
                <w:rFonts w:ascii="Book Antiqua" w:hAnsi="Book Antiqua"/>
              </w:rPr>
              <w:t xml:space="preserve"> </w:t>
            </w:r>
            <w:r w:rsidRPr="005439C1">
              <w:rPr>
                <w:rFonts w:ascii="Book Antiqua" w:hAnsi="Book Antiqua"/>
              </w:rPr>
              <w:t>±</w:t>
            </w:r>
            <w:r w:rsidR="002E4EDB">
              <w:rPr>
                <w:rFonts w:ascii="Book Antiqua" w:hAnsi="Book Antiqua"/>
              </w:rPr>
              <w:t xml:space="preserve"> </w:t>
            </w:r>
            <w:r w:rsidRPr="005439C1">
              <w:rPr>
                <w:rFonts w:ascii="Book Antiqua" w:hAnsi="Book Antiqua"/>
              </w:rPr>
              <w:t>SD)</w:t>
            </w:r>
          </w:p>
        </w:tc>
        <w:tc>
          <w:tcPr>
            <w:tcW w:w="1847" w:type="dxa"/>
            <w:shd w:val="clear" w:color="auto" w:fill="auto"/>
            <w:hideMark/>
          </w:tcPr>
          <w:p w14:paraId="74680EE3" w14:textId="6FA6F6BE" w:rsidR="008A7956" w:rsidRPr="005439C1" w:rsidRDefault="008A7956" w:rsidP="00854FA6">
            <w:pPr>
              <w:spacing w:line="360" w:lineRule="auto"/>
              <w:jc w:val="both"/>
              <w:rPr>
                <w:rFonts w:ascii="Book Antiqua" w:hAnsi="Book Antiqua"/>
              </w:rPr>
            </w:pPr>
            <w:r w:rsidRPr="005439C1">
              <w:rPr>
                <w:rFonts w:ascii="Book Antiqua" w:hAnsi="Book Antiqua"/>
              </w:rPr>
              <w:t>55</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9</w:t>
            </w:r>
          </w:p>
        </w:tc>
        <w:tc>
          <w:tcPr>
            <w:tcW w:w="1413" w:type="dxa"/>
            <w:shd w:val="clear" w:color="auto" w:fill="auto"/>
            <w:hideMark/>
          </w:tcPr>
          <w:p w14:paraId="57100FE0" w14:textId="50DF9746" w:rsidR="008A7956" w:rsidRPr="005439C1" w:rsidRDefault="008A7956" w:rsidP="00854FA6">
            <w:pPr>
              <w:spacing w:line="360" w:lineRule="auto"/>
              <w:jc w:val="both"/>
              <w:rPr>
                <w:rFonts w:ascii="Book Antiqua" w:hAnsi="Book Antiqua"/>
              </w:rPr>
            </w:pPr>
            <w:r w:rsidRPr="005439C1">
              <w:rPr>
                <w:rFonts w:ascii="Book Antiqua" w:hAnsi="Book Antiqua"/>
              </w:rPr>
              <w:t>52</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15</w:t>
            </w:r>
          </w:p>
        </w:tc>
        <w:tc>
          <w:tcPr>
            <w:tcW w:w="1417" w:type="dxa"/>
            <w:shd w:val="clear" w:color="auto" w:fill="auto"/>
            <w:hideMark/>
          </w:tcPr>
          <w:p w14:paraId="1E3DF67E" w14:textId="77777777" w:rsidR="008A7956" w:rsidRPr="005439C1" w:rsidRDefault="008A7956" w:rsidP="00854FA6">
            <w:pPr>
              <w:spacing w:line="360" w:lineRule="auto"/>
              <w:jc w:val="both"/>
              <w:rPr>
                <w:rFonts w:ascii="Book Antiqua" w:hAnsi="Book Antiqua"/>
              </w:rPr>
            </w:pPr>
            <w:r w:rsidRPr="005439C1">
              <w:rPr>
                <w:rFonts w:ascii="Book Antiqua" w:hAnsi="Book Antiqua"/>
              </w:rPr>
              <w:t>0.12</w:t>
            </w:r>
          </w:p>
        </w:tc>
      </w:tr>
      <w:tr w:rsidR="008A7956" w:rsidRPr="005439C1" w14:paraId="71409DA8" w14:textId="77777777" w:rsidTr="00BB4A06">
        <w:trPr>
          <w:trHeight w:val="380"/>
        </w:trPr>
        <w:tc>
          <w:tcPr>
            <w:tcW w:w="2802" w:type="dxa"/>
            <w:shd w:val="clear" w:color="auto" w:fill="auto"/>
          </w:tcPr>
          <w:p w14:paraId="309DA5A2" w14:textId="45109F44" w:rsidR="008A7956" w:rsidRPr="005439C1" w:rsidRDefault="008A7956" w:rsidP="00854FA6">
            <w:pPr>
              <w:spacing w:line="360" w:lineRule="auto"/>
              <w:jc w:val="both"/>
              <w:rPr>
                <w:rFonts w:ascii="Book Antiqua" w:hAnsi="Book Antiqua"/>
              </w:rPr>
            </w:pPr>
            <w:r w:rsidRPr="005439C1">
              <w:rPr>
                <w:rFonts w:ascii="Book Antiqua" w:hAnsi="Book Antiqua"/>
              </w:rPr>
              <w:t xml:space="preserve">Body </w:t>
            </w:r>
            <w:r w:rsidR="00B94C95">
              <w:rPr>
                <w:rFonts w:ascii="Book Antiqua" w:hAnsi="Book Antiqua"/>
              </w:rPr>
              <w:t>m</w:t>
            </w:r>
            <w:r w:rsidRPr="005439C1">
              <w:rPr>
                <w:rFonts w:ascii="Book Antiqua" w:hAnsi="Book Antiqua"/>
              </w:rPr>
              <w:t xml:space="preserve">ass </w:t>
            </w:r>
            <w:r w:rsidR="00B94C95">
              <w:rPr>
                <w:rFonts w:ascii="Book Antiqua" w:hAnsi="Book Antiqua"/>
              </w:rPr>
              <w:t>i</w:t>
            </w:r>
            <w:r w:rsidRPr="005439C1">
              <w:rPr>
                <w:rFonts w:ascii="Book Antiqua" w:hAnsi="Book Antiqua"/>
              </w:rPr>
              <w:t>ndex (mean ± SD)</w:t>
            </w:r>
          </w:p>
        </w:tc>
        <w:tc>
          <w:tcPr>
            <w:tcW w:w="1847" w:type="dxa"/>
            <w:shd w:val="clear" w:color="auto" w:fill="auto"/>
          </w:tcPr>
          <w:p w14:paraId="2AE80C5F" w14:textId="04250534" w:rsidR="008A7956" w:rsidRPr="005439C1" w:rsidRDefault="008A7956" w:rsidP="00854FA6">
            <w:pPr>
              <w:spacing w:line="360" w:lineRule="auto"/>
              <w:jc w:val="both"/>
              <w:rPr>
                <w:rFonts w:ascii="Book Antiqua" w:hAnsi="Book Antiqua"/>
              </w:rPr>
            </w:pPr>
            <w:r w:rsidRPr="005439C1">
              <w:rPr>
                <w:rFonts w:ascii="Book Antiqua" w:hAnsi="Book Antiqua"/>
              </w:rPr>
              <w:t>24.1</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2.2</w:t>
            </w:r>
          </w:p>
        </w:tc>
        <w:tc>
          <w:tcPr>
            <w:tcW w:w="1413" w:type="dxa"/>
            <w:shd w:val="clear" w:color="auto" w:fill="auto"/>
          </w:tcPr>
          <w:p w14:paraId="232F6E28" w14:textId="4F9A9CF2" w:rsidR="008A7956" w:rsidRPr="005439C1" w:rsidRDefault="008A7956" w:rsidP="00854FA6">
            <w:pPr>
              <w:spacing w:line="360" w:lineRule="auto"/>
              <w:jc w:val="both"/>
              <w:rPr>
                <w:rFonts w:ascii="Book Antiqua" w:hAnsi="Book Antiqua"/>
              </w:rPr>
            </w:pPr>
            <w:r w:rsidRPr="005439C1">
              <w:rPr>
                <w:rFonts w:ascii="Book Antiqua" w:hAnsi="Book Antiqua"/>
              </w:rPr>
              <w:t>23.8</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2.5</w:t>
            </w:r>
          </w:p>
        </w:tc>
        <w:tc>
          <w:tcPr>
            <w:tcW w:w="1417" w:type="dxa"/>
            <w:shd w:val="clear" w:color="auto" w:fill="auto"/>
          </w:tcPr>
          <w:p w14:paraId="6DA1BF9B" w14:textId="77777777" w:rsidR="008A7956" w:rsidRPr="005439C1" w:rsidRDefault="008A7956" w:rsidP="00854FA6">
            <w:pPr>
              <w:spacing w:line="360" w:lineRule="auto"/>
              <w:jc w:val="both"/>
              <w:rPr>
                <w:rFonts w:ascii="Book Antiqua" w:hAnsi="Book Antiqua"/>
              </w:rPr>
            </w:pPr>
            <w:r w:rsidRPr="005439C1">
              <w:rPr>
                <w:rFonts w:ascii="Book Antiqua" w:hAnsi="Book Antiqua"/>
              </w:rPr>
              <w:t>0.25</w:t>
            </w:r>
          </w:p>
        </w:tc>
      </w:tr>
      <w:tr w:rsidR="008A7956" w:rsidRPr="005439C1" w14:paraId="169DA8BF" w14:textId="77777777" w:rsidTr="00BB4A06">
        <w:trPr>
          <w:trHeight w:val="320"/>
        </w:trPr>
        <w:tc>
          <w:tcPr>
            <w:tcW w:w="2802" w:type="dxa"/>
            <w:shd w:val="clear" w:color="auto" w:fill="auto"/>
            <w:hideMark/>
          </w:tcPr>
          <w:p w14:paraId="56ED3C14" w14:textId="3531A2AF" w:rsidR="008A7956" w:rsidRPr="005439C1" w:rsidRDefault="008A7956" w:rsidP="00854FA6">
            <w:pPr>
              <w:spacing w:line="360" w:lineRule="auto"/>
              <w:jc w:val="both"/>
              <w:rPr>
                <w:rFonts w:ascii="Book Antiqua" w:hAnsi="Book Antiqua"/>
              </w:rPr>
            </w:pPr>
            <w:r w:rsidRPr="005439C1">
              <w:rPr>
                <w:rFonts w:ascii="Book Antiqua" w:hAnsi="Book Antiqua"/>
              </w:rPr>
              <w:t>Site of infection</w:t>
            </w:r>
            <w:r w:rsidR="00860480">
              <w:rPr>
                <w:rFonts w:ascii="Book Antiqua" w:hAnsi="Book Antiqua"/>
              </w:rPr>
              <w:t>,</w:t>
            </w:r>
            <w:r w:rsidRPr="005439C1">
              <w:rPr>
                <w:rFonts w:ascii="Book Antiqua" w:hAnsi="Book Antiqua"/>
              </w:rPr>
              <w:t xml:space="preserve"> </w:t>
            </w:r>
            <w:r w:rsidR="00860480" w:rsidRPr="00E22D89">
              <w:rPr>
                <w:rFonts w:ascii="Book Antiqua" w:hAnsi="Book Antiqua"/>
                <w:i/>
                <w:iCs/>
              </w:rPr>
              <w:t>n</w:t>
            </w:r>
            <w:r w:rsidR="00860480">
              <w:rPr>
                <w:rFonts w:ascii="Book Antiqua" w:hAnsi="Book Antiqua"/>
              </w:rPr>
              <w:t xml:space="preserve"> (</w:t>
            </w:r>
            <w:r w:rsidR="00860480" w:rsidRPr="005439C1">
              <w:rPr>
                <w:rFonts w:ascii="Book Antiqua" w:hAnsi="Book Antiqua"/>
              </w:rPr>
              <w:t xml:space="preserve">%)  </w:t>
            </w:r>
          </w:p>
        </w:tc>
        <w:tc>
          <w:tcPr>
            <w:tcW w:w="1847" w:type="dxa"/>
            <w:shd w:val="clear" w:color="auto" w:fill="auto"/>
            <w:hideMark/>
          </w:tcPr>
          <w:p w14:paraId="6626A374" w14:textId="77777777" w:rsidR="008A7956" w:rsidRPr="005439C1" w:rsidRDefault="008A7956" w:rsidP="00854FA6">
            <w:pPr>
              <w:spacing w:line="360" w:lineRule="auto"/>
              <w:jc w:val="both"/>
              <w:rPr>
                <w:rFonts w:ascii="Book Antiqua" w:hAnsi="Book Antiqua"/>
              </w:rPr>
            </w:pPr>
          </w:p>
        </w:tc>
        <w:tc>
          <w:tcPr>
            <w:tcW w:w="1413" w:type="dxa"/>
            <w:shd w:val="clear" w:color="auto" w:fill="auto"/>
            <w:hideMark/>
          </w:tcPr>
          <w:p w14:paraId="73599153" w14:textId="77777777" w:rsidR="008A7956" w:rsidRPr="005439C1" w:rsidRDefault="008A7956" w:rsidP="00854FA6">
            <w:pPr>
              <w:spacing w:line="360" w:lineRule="auto"/>
              <w:jc w:val="both"/>
              <w:rPr>
                <w:rFonts w:ascii="Book Antiqua" w:eastAsia="Times New Roman" w:hAnsi="Book Antiqua"/>
              </w:rPr>
            </w:pPr>
          </w:p>
        </w:tc>
        <w:tc>
          <w:tcPr>
            <w:tcW w:w="1417" w:type="dxa"/>
            <w:shd w:val="clear" w:color="auto" w:fill="auto"/>
            <w:hideMark/>
          </w:tcPr>
          <w:p w14:paraId="4E29047A" w14:textId="77777777" w:rsidR="008A7956" w:rsidRPr="005439C1" w:rsidRDefault="008A7956" w:rsidP="00854FA6">
            <w:pPr>
              <w:spacing w:line="360" w:lineRule="auto"/>
              <w:jc w:val="both"/>
              <w:rPr>
                <w:rFonts w:ascii="Book Antiqua" w:hAnsi="Book Antiqua"/>
              </w:rPr>
            </w:pPr>
            <w:r w:rsidRPr="005439C1">
              <w:rPr>
                <w:rFonts w:ascii="Book Antiqua" w:hAnsi="Book Antiqua"/>
              </w:rPr>
              <w:t>0.832</w:t>
            </w:r>
          </w:p>
        </w:tc>
      </w:tr>
      <w:tr w:rsidR="008A7956" w:rsidRPr="005439C1" w14:paraId="2374E5C3" w14:textId="77777777" w:rsidTr="00BB4A06">
        <w:trPr>
          <w:trHeight w:val="312"/>
        </w:trPr>
        <w:tc>
          <w:tcPr>
            <w:tcW w:w="2802" w:type="dxa"/>
            <w:shd w:val="clear" w:color="auto" w:fill="auto"/>
            <w:hideMark/>
          </w:tcPr>
          <w:p w14:paraId="395F547F"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Abdominal</w:t>
            </w:r>
          </w:p>
        </w:tc>
        <w:tc>
          <w:tcPr>
            <w:tcW w:w="1847" w:type="dxa"/>
            <w:shd w:val="clear" w:color="auto" w:fill="auto"/>
            <w:hideMark/>
          </w:tcPr>
          <w:p w14:paraId="19394CF4" w14:textId="4C3AE03A" w:rsidR="008A7956" w:rsidRPr="005439C1" w:rsidRDefault="008A7956" w:rsidP="00854FA6">
            <w:pPr>
              <w:spacing w:line="360" w:lineRule="auto"/>
              <w:jc w:val="both"/>
              <w:rPr>
                <w:rFonts w:ascii="Book Antiqua" w:hAnsi="Book Antiqua"/>
              </w:rPr>
            </w:pPr>
            <w:r w:rsidRPr="005439C1">
              <w:rPr>
                <w:rFonts w:ascii="Book Antiqua" w:hAnsi="Book Antiqua"/>
              </w:rPr>
              <w:t>50 (46.3)</w:t>
            </w:r>
          </w:p>
        </w:tc>
        <w:tc>
          <w:tcPr>
            <w:tcW w:w="1413" w:type="dxa"/>
            <w:shd w:val="clear" w:color="auto" w:fill="auto"/>
            <w:hideMark/>
          </w:tcPr>
          <w:p w14:paraId="4649E4B0" w14:textId="09B8E3F2" w:rsidR="008A7956" w:rsidRPr="005439C1" w:rsidRDefault="008A7956" w:rsidP="00854FA6">
            <w:pPr>
              <w:spacing w:line="360" w:lineRule="auto"/>
              <w:jc w:val="both"/>
              <w:rPr>
                <w:rFonts w:ascii="Book Antiqua" w:hAnsi="Book Antiqua"/>
              </w:rPr>
            </w:pPr>
            <w:r w:rsidRPr="005439C1">
              <w:rPr>
                <w:rFonts w:ascii="Book Antiqua" w:hAnsi="Book Antiqua"/>
              </w:rPr>
              <w:t>47 (44.3)</w:t>
            </w:r>
          </w:p>
        </w:tc>
        <w:tc>
          <w:tcPr>
            <w:tcW w:w="1417" w:type="dxa"/>
            <w:shd w:val="clear" w:color="auto" w:fill="auto"/>
            <w:hideMark/>
          </w:tcPr>
          <w:p w14:paraId="1BD708AF"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29E5062E" w14:textId="77777777" w:rsidTr="00BB4A06">
        <w:trPr>
          <w:trHeight w:val="320"/>
        </w:trPr>
        <w:tc>
          <w:tcPr>
            <w:tcW w:w="2802" w:type="dxa"/>
            <w:shd w:val="clear" w:color="auto" w:fill="auto"/>
            <w:hideMark/>
          </w:tcPr>
          <w:p w14:paraId="569F288E"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Urinary</w:t>
            </w:r>
          </w:p>
        </w:tc>
        <w:tc>
          <w:tcPr>
            <w:tcW w:w="1847" w:type="dxa"/>
            <w:shd w:val="clear" w:color="auto" w:fill="auto"/>
            <w:hideMark/>
          </w:tcPr>
          <w:p w14:paraId="32E3AAB3" w14:textId="150D6A59" w:rsidR="008A7956" w:rsidRPr="005439C1" w:rsidRDefault="008A7956" w:rsidP="00854FA6">
            <w:pPr>
              <w:spacing w:line="360" w:lineRule="auto"/>
              <w:jc w:val="both"/>
              <w:rPr>
                <w:rFonts w:ascii="Book Antiqua" w:hAnsi="Book Antiqua"/>
              </w:rPr>
            </w:pPr>
            <w:r w:rsidRPr="005439C1">
              <w:rPr>
                <w:rFonts w:ascii="Book Antiqua" w:hAnsi="Book Antiqua"/>
              </w:rPr>
              <w:t>36 (33.3)</w:t>
            </w:r>
          </w:p>
        </w:tc>
        <w:tc>
          <w:tcPr>
            <w:tcW w:w="1413" w:type="dxa"/>
            <w:shd w:val="clear" w:color="auto" w:fill="auto"/>
            <w:hideMark/>
          </w:tcPr>
          <w:p w14:paraId="63186A12" w14:textId="3EB58AFC" w:rsidR="008A7956" w:rsidRPr="005439C1" w:rsidRDefault="008A7956" w:rsidP="00854FA6">
            <w:pPr>
              <w:spacing w:line="360" w:lineRule="auto"/>
              <w:jc w:val="both"/>
              <w:rPr>
                <w:rFonts w:ascii="Book Antiqua" w:hAnsi="Book Antiqua"/>
              </w:rPr>
            </w:pPr>
            <w:r w:rsidRPr="005439C1">
              <w:rPr>
                <w:rFonts w:ascii="Book Antiqua" w:hAnsi="Book Antiqua"/>
              </w:rPr>
              <w:t>35 (33.0)</w:t>
            </w:r>
          </w:p>
        </w:tc>
        <w:tc>
          <w:tcPr>
            <w:tcW w:w="1417" w:type="dxa"/>
            <w:shd w:val="clear" w:color="auto" w:fill="auto"/>
            <w:hideMark/>
          </w:tcPr>
          <w:p w14:paraId="3AAA1499"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3E3C8C8A" w14:textId="77777777" w:rsidTr="00BB4A06">
        <w:trPr>
          <w:trHeight w:val="360"/>
        </w:trPr>
        <w:tc>
          <w:tcPr>
            <w:tcW w:w="2802" w:type="dxa"/>
            <w:shd w:val="clear" w:color="auto" w:fill="auto"/>
            <w:hideMark/>
          </w:tcPr>
          <w:p w14:paraId="522AC8F5"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Skin and others</w:t>
            </w:r>
          </w:p>
        </w:tc>
        <w:tc>
          <w:tcPr>
            <w:tcW w:w="1847" w:type="dxa"/>
            <w:shd w:val="clear" w:color="auto" w:fill="auto"/>
            <w:hideMark/>
          </w:tcPr>
          <w:p w14:paraId="4E6C4C53" w14:textId="55A1B74B" w:rsidR="008A7956" w:rsidRPr="005439C1" w:rsidRDefault="008A7956" w:rsidP="00854FA6">
            <w:pPr>
              <w:spacing w:line="360" w:lineRule="auto"/>
              <w:jc w:val="both"/>
              <w:rPr>
                <w:rFonts w:ascii="Book Antiqua" w:hAnsi="Book Antiqua"/>
              </w:rPr>
            </w:pPr>
            <w:r w:rsidRPr="005439C1">
              <w:rPr>
                <w:rFonts w:ascii="Book Antiqua" w:hAnsi="Book Antiqua"/>
              </w:rPr>
              <w:t>14 (13.0)</w:t>
            </w:r>
          </w:p>
        </w:tc>
        <w:tc>
          <w:tcPr>
            <w:tcW w:w="1413" w:type="dxa"/>
            <w:shd w:val="clear" w:color="auto" w:fill="auto"/>
            <w:hideMark/>
          </w:tcPr>
          <w:p w14:paraId="2BB8E684" w14:textId="3801989B" w:rsidR="008A7956" w:rsidRPr="005439C1" w:rsidRDefault="008A7956" w:rsidP="00854FA6">
            <w:pPr>
              <w:spacing w:line="360" w:lineRule="auto"/>
              <w:jc w:val="both"/>
              <w:rPr>
                <w:rFonts w:ascii="Book Antiqua" w:hAnsi="Book Antiqua"/>
              </w:rPr>
            </w:pPr>
            <w:r w:rsidRPr="005439C1">
              <w:rPr>
                <w:rFonts w:ascii="Book Antiqua" w:hAnsi="Book Antiqua"/>
              </w:rPr>
              <w:t>18 (17.0)</w:t>
            </w:r>
          </w:p>
        </w:tc>
        <w:tc>
          <w:tcPr>
            <w:tcW w:w="1417" w:type="dxa"/>
            <w:shd w:val="clear" w:color="auto" w:fill="auto"/>
            <w:hideMark/>
          </w:tcPr>
          <w:p w14:paraId="6F70320A"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398507A6" w14:textId="77777777" w:rsidTr="00BB4A06">
        <w:trPr>
          <w:trHeight w:val="327"/>
        </w:trPr>
        <w:tc>
          <w:tcPr>
            <w:tcW w:w="2802" w:type="dxa"/>
            <w:shd w:val="clear" w:color="auto" w:fill="auto"/>
            <w:hideMark/>
          </w:tcPr>
          <w:p w14:paraId="33E85AFB"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Multiple sites</w:t>
            </w:r>
          </w:p>
        </w:tc>
        <w:tc>
          <w:tcPr>
            <w:tcW w:w="1847" w:type="dxa"/>
            <w:shd w:val="clear" w:color="auto" w:fill="auto"/>
            <w:hideMark/>
          </w:tcPr>
          <w:p w14:paraId="73F728A5" w14:textId="30483C6A" w:rsidR="008A7956" w:rsidRPr="005439C1" w:rsidRDefault="008A7956" w:rsidP="00854FA6">
            <w:pPr>
              <w:spacing w:line="360" w:lineRule="auto"/>
              <w:jc w:val="both"/>
              <w:rPr>
                <w:rFonts w:ascii="Book Antiqua" w:hAnsi="Book Antiqua"/>
              </w:rPr>
            </w:pPr>
            <w:r w:rsidRPr="005439C1">
              <w:rPr>
                <w:rFonts w:ascii="Book Antiqua" w:hAnsi="Book Antiqua"/>
              </w:rPr>
              <w:t>8 (7.4)</w:t>
            </w:r>
          </w:p>
        </w:tc>
        <w:tc>
          <w:tcPr>
            <w:tcW w:w="1413" w:type="dxa"/>
            <w:shd w:val="clear" w:color="auto" w:fill="auto"/>
            <w:hideMark/>
          </w:tcPr>
          <w:p w14:paraId="6BDF3D7F" w14:textId="5E427AA2" w:rsidR="008A7956" w:rsidRPr="005439C1" w:rsidRDefault="008A7956" w:rsidP="00854FA6">
            <w:pPr>
              <w:spacing w:line="360" w:lineRule="auto"/>
              <w:jc w:val="both"/>
              <w:rPr>
                <w:rFonts w:ascii="Book Antiqua" w:hAnsi="Book Antiqua"/>
              </w:rPr>
            </w:pPr>
            <w:r w:rsidRPr="005439C1">
              <w:rPr>
                <w:rFonts w:ascii="Book Antiqua" w:hAnsi="Book Antiqua"/>
              </w:rPr>
              <w:t>6 (5.7)</w:t>
            </w:r>
          </w:p>
        </w:tc>
        <w:tc>
          <w:tcPr>
            <w:tcW w:w="1417" w:type="dxa"/>
            <w:shd w:val="clear" w:color="auto" w:fill="auto"/>
            <w:hideMark/>
          </w:tcPr>
          <w:p w14:paraId="6E471F34" w14:textId="77777777" w:rsidR="008A7956" w:rsidRPr="005439C1" w:rsidRDefault="008A7956" w:rsidP="00854FA6">
            <w:pPr>
              <w:spacing w:line="360" w:lineRule="auto"/>
              <w:jc w:val="both"/>
              <w:rPr>
                <w:rFonts w:ascii="Book Antiqua" w:eastAsia="Times New Roman" w:hAnsi="Book Antiqua"/>
              </w:rPr>
            </w:pPr>
          </w:p>
        </w:tc>
      </w:tr>
    </w:tbl>
    <w:p w14:paraId="33E61C75" w14:textId="64D84763" w:rsidR="00A77B3E" w:rsidRDefault="00796D44">
      <w:pPr>
        <w:spacing w:line="360" w:lineRule="auto"/>
        <w:jc w:val="both"/>
        <w:rPr>
          <w:rFonts w:ascii="Book Antiqua" w:eastAsia="Book Antiqua" w:hAnsi="Book Antiqua" w:cs="Book Antiqua"/>
          <w:color w:val="000000"/>
        </w:rPr>
      </w:pPr>
      <w:r w:rsidRPr="00796D44">
        <w:rPr>
          <w:rFonts w:ascii="Book Antiqua" w:eastAsia="Book Antiqua" w:hAnsi="Book Antiqua" w:cs="Book Antiqua"/>
          <w:color w:val="000000"/>
        </w:rPr>
        <w:t xml:space="preserve">SD: </w:t>
      </w:r>
      <w:r w:rsidR="00D61792">
        <w:rPr>
          <w:rFonts w:ascii="Book Antiqua" w:eastAsia="Book Antiqua" w:hAnsi="Book Antiqua" w:cs="Book Antiqua"/>
          <w:color w:val="000000"/>
        </w:rPr>
        <w:t>S</w:t>
      </w:r>
      <w:r w:rsidRPr="00796D44">
        <w:rPr>
          <w:rFonts w:ascii="Book Antiqua" w:eastAsia="Book Antiqua" w:hAnsi="Book Antiqua" w:cs="Book Antiqua"/>
          <w:color w:val="000000"/>
        </w:rPr>
        <w:t>tandard deviation</w:t>
      </w:r>
      <w:r w:rsidR="004C5B5E">
        <w:rPr>
          <w:rFonts w:ascii="Book Antiqua" w:eastAsia="Book Antiqua" w:hAnsi="Book Antiqua" w:cs="Book Antiqua"/>
          <w:color w:val="000000"/>
        </w:rPr>
        <w:t>.</w:t>
      </w:r>
    </w:p>
    <w:p w14:paraId="6E04246A" w14:textId="77777777" w:rsidR="0097061D" w:rsidRDefault="0097061D">
      <w:pPr>
        <w:spacing w:line="360" w:lineRule="auto"/>
        <w:jc w:val="both"/>
        <w:rPr>
          <w:rFonts w:ascii="Book Antiqua" w:eastAsia="Book Antiqua" w:hAnsi="Book Antiqua" w:cs="Book Antiqua"/>
          <w:color w:val="000000"/>
        </w:rPr>
        <w:sectPr w:rsidR="0097061D">
          <w:pgSz w:w="12240" w:h="15840"/>
          <w:pgMar w:top="1440" w:right="1440" w:bottom="1440" w:left="1440" w:header="720" w:footer="720" w:gutter="0"/>
          <w:cols w:space="720"/>
          <w:docGrid w:linePitch="360"/>
        </w:sectPr>
      </w:pPr>
    </w:p>
    <w:p w14:paraId="17EF88BE" w14:textId="35824CAC" w:rsidR="00992FAF" w:rsidRDefault="0097061D">
      <w:pPr>
        <w:spacing w:line="360" w:lineRule="auto"/>
        <w:jc w:val="both"/>
        <w:rPr>
          <w:rFonts w:ascii="Book Antiqua" w:eastAsia="Book Antiqua" w:hAnsi="Book Antiqua" w:cs="Book Antiqua"/>
          <w:b/>
          <w:bCs/>
          <w:color w:val="000000"/>
        </w:rPr>
      </w:pPr>
      <w:r w:rsidRPr="0097061D">
        <w:rPr>
          <w:rFonts w:ascii="Book Antiqua" w:eastAsia="Book Antiqua" w:hAnsi="Book Antiqua" w:cs="Book Antiqua" w:hint="eastAsia"/>
          <w:b/>
          <w:bCs/>
          <w:color w:val="000000"/>
        </w:rPr>
        <w:lastRenderedPageBreak/>
        <w:t xml:space="preserve">Table 2 Comparison of the </w:t>
      </w:r>
      <w:r w:rsidR="00992FAF" w:rsidRPr="00992FAF">
        <w:rPr>
          <w:rFonts w:ascii="Book Antiqua" w:eastAsia="Book Antiqua" w:hAnsi="Book Antiqua" w:cs="Book Antiqua"/>
          <w:b/>
          <w:bCs/>
          <w:color w:val="000000"/>
        </w:rPr>
        <w:t xml:space="preserve">international </w:t>
      </w:r>
      <w:r w:rsidR="00860480" w:rsidRPr="00992FAF">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992FAF">
        <w:rPr>
          <w:rFonts w:ascii="Book Antiqua" w:eastAsia="Book Antiqua" w:hAnsi="Book Antiqua" w:cs="Book Antiqua"/>
          <w:b/>
          <w:bCs/>
          <w:color w:val="000000"/>
        </w:rPr>
        <w:t xml:space="preserve">ed </w:t>
      </w:r>
      <w:r w:rsidR="00992FAF" w:rsidRPr="00992FAF">
        <w:rPr>
          <w:rFonts w:ascii="Book Antiqua" w:eastAsia="Book Antiqua" w:hAnsi="Book Antiqua" w:cs="Book Antiqua"/>
          <w:b/>
          <w:bCs/>
          <w:color w:val="000000"/>
        </w:rPr>
        <w:t>ratio</w:t>
      </w:r>
      <w:r w:rsidR="00992FAF">
        <w:rPr>
          <w:rFonts w:ascii="Book Antiqua" w:eastAsia="Book Antiqua" w:hAnsi="Book Antiqua" w:cs="Book Antiqua"/>
          <w:b/>
          <w:bCs/>
          <w:color w:val="000000"/>
        </w:rPr>
        <w:t xml:space="preserve">, </w:t>
      </w:r>
      <w:r w:rsidR="00992FAF" w:rsidRPr="00A048B3">
        <w:rPr>
          <w:rFonts w:ascii="Book Antiqua" w:eastAsia="Book Antiqua" w:hAnsi="Book Antiqua" w:cs="Book Antiqua"/>
          <w:b/>
          <w:bCs/>
          <w:color w:val="000000"/>
        </w:rPr>
        <w:t>white blood cell</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neutrophil-lymphocyte count ratio</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platelet</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prothrombin time</w:t>
      </w:r>
      <w:r w:rsidR="00992FAF">
        <w:rPr>
          <w:rFonts w:ascii="Book Antiqua" w:eastAsia="Book Antiqua" w:hAnsi="Book Antiqua" w:cs="Book Antiqua"/>
          <w:b/>
          <w:bCs/>
          <w:color w:val="000000"/>
        </w:rPr>
        <w:t>,</w:t>
      </w:r>
      <w:r w:rsidR="00992FAF" w:rsidRPr="00992FAF">
        <w:t xml:space="preserve"> </w:t>
      </w:r>
      <w:r w:rsidR="00992FAF" w:rsidRPr="00992FAF">
        <w:rPr>
          <w:rFonts w:ascii="Book Antiqua" w:eastAsia="Book Antiqua" w:hAnsi="Book Antiqua" w:cs="Book Antiqua"/>
          <w:b/>
          <w:bCs/>
          <w:color w:val="000000"/>
        </w:rPr>
        <w:t>activated partial thromboplastin time</w:t>
      </w:r>
      <w:r w:rsidR="00992FAF">
        <w:rPr>
          <w:rFonts w:ascii="Book Antiqua" w:eastAsia="Book Antiqua" w:hAnsi="Book Antiqua" w:cs="Book Antiqua"/>
          <w:b/>
          <w:bCs/>
          <w:color w:val="000000"/>
        </w:rPr>
        <w:t>,</w:t>
      </w:r>
      <w:r w:rsidR="00992FAF" w:rsidRPr="00992FAF">
        <w:t xml:space="preserve"> </w:t>
      </w:r>
      <w:r w:rsidR="00992FAF" w:rsidRPr="00992FAF">
        <w:rPr>
          <w:rFonts w:ascii="Book Antiqua" w:eastAsia="Book Antiqua" w:hAnsi="Book Antiqua" w:cs="Book Antiqua"/>
          <w:b/>
          <w:bCs/>
          <w:color w:val="000000"/>
        </w:rPr>
        <w:t xml:space="preserve">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860480" w:rsidRP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Organ Failure Assessment</w:t>
      </w:r>
      <w:r w:rsidR="00992FAF">
        <w:rPr>
          <w:rFonts w:ascii="Book Antiqua" w:eastAsia="Book Antiqua" w:hAnsi="Book Antiqua" w:cs="Book Antiqua"/>
          <w:b/>
          <w:bCs/>
          <w:color w:val="000000"/>
        </w:rPr>
        <w:t xml:space="preserve"> </w:t>
      </w:r>
      <w:r w:rsidR="00992FAF" w:rsidRPr="0097061D">
        <w:rPr>
          <w:rFonts w:ascii="Book Antiqua" w:eastAsia="Book Antiqua" w:hAnsi="Book Antiqua" w:cs="Book Antiqua" w:hint="eastAsia"/>
          <w:b/>
          <w:bCs/>
          <w:color w:val="000000"/>
        </w:rPr>
        <w:t>scores</w:t>
      </w:r>
      <w:r w:rsid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 xml:space="preserve">quick Sequential </w:t>
      </w:r>
      <w:r w:rsidR="00860480">
        <w:rPr>
          <w:rFonts w:ascii="Book Antiqua" w:eastAsia="Book Antiqua" w:hAnsi="Book Antiqua" w:cs="Book Antiqua"/>
          <w:b/>
          <w:bCs/>
          <w:color w:val="000000"/>
        </w:rPr>
        <w:t>“</w:t>
      </w:r>
      <w:r w:rsidR="00992FAF" w:rsidRPr="00992FAF">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860480" w:rsidRP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Organ Failure Assessment scores</w:t>
      </w:r>
      <w:r w:rsidR="00992FAF">
        <w:rPr>
          <w:rFonts w:ascii="Book Antiqua" w:eastAsia="Book Antiqua" w:hAnsi="Book Antiqua" w:cs="Book Antiqua"/>
          <w:b/>
          <w:bCs/>
          <w:color w:val="000000"/>
        </w:rPr>
        <w:t xml:space="preserve"> and </w:t>
      </w:r>
      <w:r w:rsidR="00992FAF" w:rsidRPr="00992FAF">
        <w:rPr>
          <w:rFonts w:ascii="Book Antiqua" w:eastAsia="Book Antiqua" w:hAnsi="Book Antiqua" w:cs="Book Antiqua"/>
          <w:b/>
          <w:bCs/>
          <w:color w:val="000000"/>
        </w:rPr>
        <w:t>Acute Physiology and Chronic Health Evaluation II</w:t>
      </w:r>
      <w:r w:rsidR="00992FAF">
        <w:rPr>
          <w:rFonts w:ascii="Book Antiqua" w:eastAsia="Book Antiqua" w:hAnsi="Book Antiqua" w:cs="Book Antiqua"/>
          <w:b/>
          <w:bCs/>
          <w:color w:val="000000"/>
        </w:rPr>
        <w:t xml:space="preserve"> </w:t>
      </w:r>
      <w:r w:rsidR="00992FAF" w:rsidRPr="0097061D">
        <w:rPr>
          <w:rFonts w:ascii="Book Antiqua" w:eastAsia="Book Antiqua" w:hAnsi="Book Antiqua" w:cs="Book Antiqua" w:hint="eastAsia"/>
          <w:b/>
          <w:bCs/>
          <w:color w:val="000000"/>
        </w:rPr>
        <w:t xml:space="preserve">scores between the sepsis and </w:t>
      </w:r>
      <w:proofErr w:type="spellStart"/>
      <w:r w:rsidR="00992FAF" w:rsidRPr="0097061D">
        <w:rPr>
          <w:rFonts w:ascii="Book Antiqua" w:eastAsia="Book Antiqua" w:hAnsi="Book Antiqua" w:cs="Book Antiqua" w:hint="eastAsia"/>
          <w:b/>
          <w:bCs/>
          <w:color w:val="000000"/>
        </w:rPr>
        <w:t>nonsepsis</w:t>
      </w:r>
      <w:proofErr w:type="spellEnd"/>
      <w:r w:rsidR="00992FAF" w:rsidRPr="0097061D">
        <w:rPr>
          <w:rFonts w:ascii="Book Antiqua" w:eastAsia="Book Antiqua" w:hAnsi="Book Antiqua" w:cs="Book Antiqua" w:hint="eastAsia"/>
          <w:b/>
          <w:bCs/>
          <w:color w:val="000000"/>
        </w:rPr>
        <w:t xml:space="preserve"> groups</w:t>
      </w:r>
    </w:p>
    <w:tbl>
      <w:tblPr>
        <w:tblW w:w="8425" w:type="dxa"/>
        <w:tblInd w:w="108" w:type="dxa"/>
        <w:tblLook w:val="04A0" w:firstRow="1" w:lastRow="0" w:firstColumn="1" w:lastColumn="0" w:noHBand="0" w:noVBand="1"/>
      </w:tblPr>
      <w:tblGrid>
        <w:gridCol w:w="2083"/>
        <w:gridCol w:w="1964"/>
        <w:gridCol w:w="2279"/>
        <w:gridCol w:w="2099"/>
      </w:tblGrid>
      <w:tr w:rsidR="002F3629" w:rsidRPr="005439C1" w14:paraId="73B7058A" w14:textId="77777777" w:rsidTr="002F3629">
        <w:trPr>
          <w:trHeight w:val="327"/>
        </w:trPr>
        <w:tc>
          <w:tcPr>
            <w:tcW w:w="2083" w:type="dxa"/>
            <w:tcBorders>
              <w:top w:val="single" w:sz="4" w:space="0" w:color="auto"/>
              <w:left w:val="nil"/>
              <w:bottom w:val="single" w:sz="4" w:space="0" w:color="auto"/>
              <w:right w:val="nil"/>
            </w:tcBorders>
            <w:shd w:val="clear" w:color="auto" w:fill="auto"/>
            <w:hideMark/>
          </w:tcPr>
          <w:p w14:paraId="57CCE996" w14:textId="77777777" w:rsidR="002F3629" w:rsidRPr="002F3629" w:rsidRDefault="002F3629" w:rsidP="00854FA6">
            <w:pPr>
              <w:spacing w:line="360" w:lineRule="auto"/>
              <w:jc w:val="both"/>
              <w:rPr>
                <w:rFonts w:ascii="Book Antiqua" w:hAnsi="Book Antiqua" w:cs="宋体"/>
                <w:b/>
                <w:bCs/>
              </w:rPr>
            </w:pPr>
          </w:p>
        </w:tc>
        <w:tc>
          <w:tcPr>
            <w:tcW w:w="1964" w:type="dxa"/>
            <w:tcBorders>
              <w:top w:val="single" w:sz="4" w:space="0" w:color="auto"/>
              <w:left w:val="nil"/>
              <w:bottom w:val="single" w:sz="4" w:space="0" w:color="auto"/>
              <w:right w:val="nil"/>
            </w:tcBorders>
            <w:shd w:val="clear" w:color="auto" w:fill="auto"/>
            <w:hideMark/>
          </w:tcPr>
          <w:p w14:paraId="6B2A065E" w14:textId="77777777" w:rsidR="002F3629" w:rsidRPr="002F3629" w:rsidRDefault="002F3629" w:rsidP="00854FA6">
            <w:pPr>
              <w:spacing w:line="360" w:lineRule="auto"/>
              <w:jc w:val="both"/>
              <w:rPr>
                <w:rFonts w:ascii="Book Antiqua" w:hAnsi="Book Antiqua"/>
                <w:b/>
                <w:bCs/>
              </w:rPr>
            </w:pPr>
            <w:r w:rsidRPr="002F3629">
              <w:rPr>
                <w:rFonts w:ascii="Book Antiqua" w:hAnsi="Book Antiqua"/>
                <w:b/>
                <w:bCs/>
              </w:rPr>
              <w:t>Sepsis</w:t>
            </w:r>
          </w:p>
        </w:tc>
        <w:tc>
          <w:tcPr>
            <w:tcW w:w="2279" w:type="dxa"/>
            <w:tcBorders>
              <w:top w:val="single" w:sz="4" w:space="0" w:color="auto"/>
              <w:left w:val="nil"/>
              <w:bottom w:val="single" w:sz="4" w:space="0" w:color="auto"/>
              <w:right w:val="nil"/>
            </w:tcBorders>
            <w:shd w:val="clear" w:color="auto" w:fill="auto"/>
            <w:hideMark/>
          </w:tcPr>
          <w:p w14:paraId="46432D0C" w14:textId="77777777" w:rsidR="002F3629" w:rsidRPr="002F3629" w:rsidRDefault="002F3629" w:rsidP="00854FA6">
            <w:pPr>
              <w:spacing w:line="360" w:lineRule="auto"/>
              <w:jc w:val="both"/>
              <w:rPr>
                <w:rFonts w:ascii="Book Antiqua" w:hAnsi="Book Antiqua"/>
                <w:b/>
                <w:bCs/>
              </w:rPr>
            </w:pPr>
            <w:proofErr w:type="spellStart"/>
            <w:r w:rsidRPr="002F3629">
              <w:rPr>
                <w:rFonts w:ascii="Book Antiqua" w:hAnsi="Book Antiqua"/>
                <w:b/>
                <w:bCs/>
              </w:rPr>
              <w:t>Nonsepsis</w:t>
            </w:r>
            <w:proofErr w:type="spellEnd"/>
          </w:p>
        </w:tc>
        <w:tc>
          <w:tcPr>
            <w:tcW w:w="2099" w:type="dxa"/>
            <w:tcBorders>
              <w:top w:val="single" w:sz="4" w:space="0" w:color="auto"/>
              <w:left w:val="nil"/>
              <w:bottom w:val="single" w:sz="4" w:space="0" w:color="auto"/>
              <w:right w:val="nil"/>
            </w:tcBorders>
            <w:shd w:val="clear" w:color="auto" w:fill="auto"/>
            <w:hideMark/>
          </w:tcPr>
          <w:p w14:paraId="1A240A97" w14:textId="7A703924" w:rsidR="002F3629" w:rsidRPr="002F3629" w:rsidRDefault="002F3629" w:rsidP="00854FA6">
            <w:pPr>
              <w:spacing w:line="360" w:lineRule="auto"/>
              <w:jc w:val="both"/>
              <w:rPr>
                <w:rFonts w:ascii="Book Antiqua" w:hAnsi="Book Antiqua"/>
                <w:b/>
                <w:bCs/>
                <w:i/>
                <w:iCs/>
              </w:rPr>
            </w:pPr>
            <w:r w:rsidRPr="002F3629">
              <w:rPr>
                <w:rFonts w:ascii="Book Antiqua" w:hAnsi="Book Antiqua"/>
                <w:b/>
                <w:bCs/>
                <w:i/>
                <w:iCs/>
              </w:rPr>
              <w:t>P</w:t>
            </w:r>
            <w:r w:rsidR="00144A6A">
              <w:rPr>
                <w:rFonts w:ascii="Book Antiqua" w:hAnsi="Book Antiqua"/>
                <w:b/>
                <w:bCs/>
              </w:rPr>
              <w:t xml:space="preserve"> </w:t>
            </w:r>
            <w:r w:rsidRPr="002F3629">
              <w:rPr>
                <w:rFonts w:ascii="Book Antiqua" w:hAnsi="Book Antiqua"/>
                <w:b/>
                <w:bCs/>
              </w:rPr>
              <w:t>value</w:t>
            </w:r>
          </w:p>
        </w:tc>
      </w:tr>
      <w:tr w:rsidR="002F3629" w:rsidRPr="005439C1" w14:paraId="49CDCBE8" w14:textId="77777777" w:rsidTr="002F3629">
        <w:trPr>
          <w:trHeight w:val="312"/>
        </w:trPr>
        <w:tc>
          <w:tcPr>
            <w:tcW w:w="2083" w:type="dxa"/>
            <w:tcBorders>
              <w:top w:val="single" w:sz="4" w:space="0" w:color="auto"/>
              <w:left w:val="nil"/>
              <w:bottom w:val="nil"/>
              <w:right w:val="nil"/>
            </w:tcBorders>
            <w:shd w:val="clear" w:color="auto" w:fill="auto"/>
            <w:hideMark/>
          </w:tcPr>
          <w:p w14:paraId="4F5C724C" w14:textId="39455BA0" w:rsidR="002F3629" w:rsidRPr="005439C1" w:rsidRDefault="002F3629" w:rsidP="00854FA6">
            <w:pPr>
              <w:spacing w:line="360" w:lineRule="auto"/>
              <w:jc w:val="both"/>
              <w:rPr>
                <w:rFonts w:ascii="Book Antiqua" w:hAnsi="Book Antiqua"/>
              </w:rPr>
            </w:pPr>
            <w:r w:rsidRPr="005439C1">
              <w:rPr>
                <w:rFonts w:ascii="Book Antiqua" w:hAnsi="Book Antiqua"/>
              </w:rPr>
              <w:t>WBC (×</w:t>
            </w:r>
            <w:r w:rsidR="00144A6A">
              <w:rPr>
                <w:rFonts w:ascii="Book Antiqua" w:hAnsi="Book Antiqua"/>
              </w:rPr>
              <w:t xml:space="preserve"> </w:t>
            </w:r>
            <w:r w:rsidRPr="005439C1">
              <w:rPr>
                <w:rFonts w:ascii="Book Antiqua" w:hAnsi="Book Antiqua"/>
              </w:rPr>
              <w:t>10</w:t>
            </w:r>
            <w:r w:rsidRPr="005439C1">
              <w:rPr>
                <w:rFonts w:ascii="Book Antiqua" w:hAnsi="Book Antiqua"/>
                <w:vertAlign w:val="superscript"/>
              </w:rPr>
              <w:t>9</w:t>
            </w:r>
            <w:r w:rsidRPr="005439C1">
              <w:rPr>
                <w:rFonts w:ascii="Book Antiqua" w:hAnsi="Book Antiqua"/>
              </w:rPr>
              <w:t>/L)</w:t>
            </w:r>
          </w:p>
        </w:tc>
        <w:tc>
          <w:tcPr>
            <w:tcW w:w="1964" w:type="dxa"/>
            <w:tcBorders>
              <w:top w:val="single" w:sz="4" w:space="0" w:color="auto"/>
              <w:left w:val="nil"/>
              <w:bottom w:val="nil"/>
              <w:right w:val="nil"/>
            </w:tcBorders>
            <w:shd w:val="clear" w:color="auto" w:fill="auto"/>
            <w:hideMark/>
          </w:tcPr>
          <w:p w14:paraId="2899AE7E" w14:textId="77A5EEF6" w:rsidR="002F3629" w:rsidRPr="005439C1" w:rsidRDefault="002F3629" w:rsidP="00854FA6">
            <w:pPr>
              <w:spacing w:line="360" w:lineRule="auto"/>
              <w:jc w:val="both"/>
              <w:rPr>
                <w:rFonts w:ascii="Book Antiqua" w:hAnsi="Book Antiqua"/>
              </w:rPr>
            </w:pPr>
            <w:r w:rsidRPr="005439C1">
              <w:rPr>
                <w:rFonts w:ascii="Book Antiqua" w:hAnsi="Book Antiqua"/>
              </w:rPr>
              <w:t>12.90</w:t>
            </w:r>
            <w:r w:rsidR="00144A6A">
              <w:rPr>
                <w:rFonts w:ascii="Book Antiqua" w:hAnsi="Book Antiqua"/>
              </w:rPr>
              <w:t xml:space="preserve"> ± </w:t>
            </w:r>
            <w:r w:rsidRPr="005439C1">
              <w:rPr>
                <w:rFonts w:ascii="Book Antiqua" w:hAnsi="Book Antiqua"/>
              </w:rPr>
              <w:t>8.76</w:t>
            </w:r>
          </w:p>
        </w:tc>
        <w:tc>
          <w:tcPr>
            <w:tcW w:w="2279" w:type="dxa"/>
            <w:tcBorders>
              <w:top w:val="single" w:sz="4" w:space="0" w:color="auto"/>
              <w:left w:val="nil"/>
              <w:bottom w:val="nil"/>
              <w:right w:val="nil"/>
            </w:tcBorders>
            <w:shd w:val="clear" w:color="auto" w:fill="auto"/>
            <w:hideMark/>
          </w:tcPr>
          <w:p w14:paraId="2AC7EC4B" w14:textId="2DF7B88E" w:rsidR="002F3629" w:rsidRPr="005439C1" w:rsidRDefault="002F3629" w:rsidP="00854FA6">
            <w:pPr>
              <w:spacing w:line="360" w:lineRule="auto"/>
              <w:jc w:val="both"/>
              <w:rPr>
                <w:rFonts w:ascii="Book Antiqua" w:hAnsi="Book Antiqua"/>
              </w:rPr>
            </w:pPr>
            <w:r w:rsidRPr="005439C1">
              <w:rPr>
                <w:rFonts w:ascii="Book Antiqua" w:hAnsi="Book Antiqua"/>
              </w:rPr>
              <w:t>9.88</w:t>
            </w:r>
            <w:r w:rsidR="009C4A7C">
              <w:rPr>
                <w:rFonts w:ascii="Book Antiqua" w:hAnsi="Book Antiqua"/>
              </w:rPr>
              <w:t xml:space="preserve"> </w:t>
            </w:r>
            <w:r w:rsidRPr="005439C1">
              <w:rPr>
                <w:rFonts w:ascii="Book Antiqua" w:hAnsi="Book Antiqua"/>
              </w:rPr>
              <w:t>± 5.09</w:t>
            </w:r>
          </w:p>
        </w:tc>
        <w:tc>
          <w:tcPr>
            <w:tcW w:w="2099" w:type="dxa"/>
            <w:tcBorders>
              <w:top w:val="single" w:sz="4" w:space="0" w:color="auto"/>
              <w:left w:val="nil"/>
              <w:bottom w:val="nil"/>
              <w:right w:val="nil"/>
            </w:tcBorders>
            <w:shd w:val="clear" w:color="auto" w:fill="auto"/>
            <w:hideMark/>
          </w:tcPr>
          <w:p w14:paraId="52C0CEE3" w14:textId="77777777" w:rsidR="002F3629" w:rsidRPr="005439C1" w:rsidRDefault="002F3629" w:rsidP="00854FA6">
            <w:pPr>
              <w:spacing w:line="360" w:lineRule="auto"/>
              <w:jc w:val="both"/>
              <w:rPr>
                <w:rFonts w:ascii="Book Antiqua" w:hAnsi="Book Antiqua"/>
              </w:rPr>
            </w:pPr>
            <w:r w:rsidRPr="005439C1">
              <w:rPr>
                <w:rFonts w:ascii="Book Antiqua" w:hAnsi="Book Antiqua"/>
              </w:rPr>
              <w:t>0.022</w:t>
            </w:r>
          </w:p>
        </w:tc>
      </w:tr>
      <w:tr w:rsidR="002F3629" w:rsidRPr="005439C1" w14:paraId="320D7CBF" w14:textId="77777777" w:rsidTr="00854FA6">
        <w:trPr>
          <w:trHeight w:val="312"/>
        </w:trPr>
        <w:tc>
          <w:tcPr>
            <w:tcW w:w="2083" w:type="dxa"/>
            <w:tcBorders>
              <w:top w:val="nil"/>
              <w:left w:val="nil"/>
              <w:bottom w:val="nil"/>
              <w:right w:val="nil"/>
            </w:tcBorders>
            <w:shd w:val="clear" w:color="auto" w:fill="auto"/>
            <w:hideMark/>
          </w:tcPr>
          <w:p w14:paraId="77145D44" w14:textId="77777777" w:rsidR="002F3629" w:rsidRPr="005439C1" w:rsidRDefault="002F3629" w:rsidP="00854FA6">
            <w:pPr>
              <w:spacing w:line="360" w:lineRule="auto"/>
              <w:jc w:val="both"/>
              <w:rPr>
                <w:rFonts w:ascii="Book Antiqua" w:hAnsi="Book Antiqua"/>
              </w:rPr>
            </w:pPr>
            <w:r w:rsidRPr="005439C1">
              <w:rPr>
                <w:rFonts w:ascii="Book Antiqua" w:hAnsi="Book Antiqua"/>
              </w:rPr>
              <w:t>NLCR</w:t>
            </w:r>
          </w:p>
        </w:tc>
        <w:tc>
          <w:tcPr>
            <w:tcW w:w="1964" w:type="dxa"/>
            <w:tcBorders>
              <w:top w:val="nil"/>
              <w:left w:val="nil"/>
              <w:bottom w:val="nil"/>
              <w:right w:val="nil"/>
            </w:tcBorders>
            <w:shd w:val="clear" w:color="auto" w:fill="auto"/>
            <w:hideMark/>
          </w:tcPr>
          <w:p w14:paraId="634AFFAC" w14:textId="63ECCC1F" w:rsidR="002F3629" w:rsidRPr="005439C1" w:rsidRDefault="002F3629" w:rsidP="00854FA6">
            <w:pPr>
              <w:spacing w:line="360" w:lineRule="auto"/>
              <w:jc w:val="both"/>
              <w:rPr>
                <w:rFonts w:ascii="Book Antiqua" w:hAnsi="Book Antiqua"/>
              </w:rPr>
            </w:pPr>
            <w:r w:rsidRPr="005439C1">
              <w:rPr>
                <w:rFonts w:ascii="Book Antiqua" w:hAnsi="Book Antiqua"/>
              </w:rPr>
              <w:t>28.45</w:t>
            </w:r>
            <w:r w:rsidR="00144A6A">
              <w:rPr>
                <w:rFonts w:ascii="Book Antiqua" w:hAnsi="Book Antiqua"/>
              </w:rPr>
              <w:t xml:space="preserve"> ±</w:t>
            </w:r>
            <w:r w:rsidRPr="005439C1">
              <w:rPr>
                <w:rFonts w:ascii="Book Antiqua" w:hAnsi="Book Antiqua"/>
              </w:rPr>
              <w:t xml:space="preserve"> 21.05</w:t>
            </w:r>
          </w:p>
        </w:tc>
        <w:tc>
          <w:tcPr>
            <w:tcW w:w="2279" w:type="dxa"/>
            <w:tcBorders>
              <w:top w:val="nil"/>
              <w:left w:val="nil"/>
              <w:bottom w:val="nil"/>
              <w:right w:val="nil"/>
            </w:tcBorders>
            <w:shd w:val="clear" w:color="auto" w:fill="auto"/>
            <w:hideMark/>
          </w:tcPr>
          <w:p w14:paraId="4F3F60FF" w14:textId="0A06A9FC" w:rsidR="002F3629" w:rsidRPr="005439C1" w:rsidRDefault="002F3629" w:rsidP="00854FA6">
            <w:pPr>
              <w:spacing w:line="360" w:lineRule="auto"/>
              <w:jc w:val="both"/>
              <w:rPr>
                <w:rFonts w:ascii="Book Antiqua" w:hAnsi="Book Antiqua"/>
              </w:rPr>
            </w:pPr>
            <w:r w:rsidRPr="005439C1">
              <w:rPr>
                <w:rFonts w:ascii="Book Antiqua" w:hAnsi="Book Antiqua"/>
              </w:rPr>
              <w:t>10.44</w:t>
            </w:r>
            <w:r w:rsidR="00144A6A">
              <w:rPr>
                <w:rFonts w:ascii="Book Antiqua" w:hAnsi="Book Antiqua"/>
              </w:rPr>
              <w:t xml:space="preserve"> ±</w:t>
            </w:r>
            <w:r w:rsidRPr="005439C1">
              <w:rPr>
                <w:rFonts w:ascii="Book Antiqua" w:hAnsi="Book Antiqua"/>
              </w:rPr>
              <w:t xml:space="preserve"> 11.87</w:t>
            </w:r>
          </w:p>
        </w:tc>
        <w:tc>
          <w:tcPr>
            <w:tcW w:w="2099" w:type="dxa"/>
            <w:tcBorders>
              <w:top w:val="nil"/>
              <w:left w:val="nil"/>
              <w:bottom w:val="nil"/>
              <w:right w:val="nil"/>
            </w:tcBorders>
            <w:shd w:val="clear" w:color="auto" w:fill="auto"/>
            <w:hideMark/>
          </w:tcPr>
          <w:p w14:paraId="4D78E59C" w14:textId="3E4D1EB4"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70A6CDC3" w14:textId="77777777" w:rsidTr="00854FA6">
        <w:trPr>
          <w:trHeight w:val="312"/>
        </w:trPr>
        <w:tc>
          <w:tcPr>
            <w:tcW w:w="2083" w:type="dxa"/>
            <w:tcBorders>
              <w:top w:val="nil"/>
              <w:left w:val="nil"/>
              <w:bottom w:val="nil"/>
              <w:right w:val="nil"/>
            </w:tcBorders>
            <w:shd w:val="clear" w:color="auto" w:fill="auto"/>
            <w:hideMark/>
          </w:tcPr>
          <w:p w14:paraId="4A777484" w14:textId="77777777" w:rsidR="002F3629" w:rsidRPr="005439C1" w:rsidRDefault="002F3629" w:rsidP="00854FA6">
            <w:pPr>
              <w:spacing w:line="360" w:lineRule="auto"/>
              <w:jc w:val="both"/>
              <w:rPr>
                <w:rFonts w:ascii="Book Antiqua" w:hAnsi="Book Antiqua"/>
              </w:rPr>
            </w:pPr>
            <w:r w:rsidRPr="005439C1">
              <w:rPr>
                <w:rFonts w:ascii="Book Antiqua" w:hAnsi="Book Antiqua"/>
              </w:rPr>
              <w:t>INR</w:t>
            </w:r>
          </w:p>
        </w:tc>
        <w:tc>
          <w:tcPr>
            <w:tcW w:w="1964" w:type="dxa"/>
            <w:tcBorders>
              <w:top w:val="nil"/>
              <w:left w:val="nil"/>
              <w:bottom w:val="nil"/>
              <w:right w:val="nil"/>
            </w:tcBorders>
            <w:shd w:val="clear" w:color="auto" w:fill="auto"/>
            <w:hideMark/>
          </w:tcPr>
          <w:p w14:paraId="63BDD094" w14:textId="5B434165" w:rsidR="002F3629" w:rsidRPr="005439C1" w:rsidRDefault="002F3629" w:rsidP="00854FA6">
            <w:pPr>
              <w:spacing w:line="360" w:lineRule="auto"/>
              <w:jc w:val="both"/>
              <w:rPr>
                <w:rFonts w:ascii="Book Antiqua" w:hAnsi="Book Antiqua"/>
              </w:rPr>
            </w:pPr>
            <w:r w:rsidRPr="005439C1">
              <w:rPr>
                <w:rFonts w:ascii="Book Antiqua" w:hAnsi="Book Antiqua"/>
              </w:rPr>
              <w:t>1.49</w:t>
            </w:r>
            <w:r w:rsidR="00144A6A">
              <w:rPr>
                <w:rFonts w:ascii="Book Antiqua" w:hAnsi="Book Antiqua"/>
              </w:rPr>
              <w:t xml:space="preserve"> ±</w:t>
            </w:r>
            <w:r w:rsidRPr="005439C1">
              <w:rPr>
                <w:rFonts w:ascii="Book Antiqua" w:hAnsi="Book Antiqua"/>
              </w:rPr>
              <w:t xml:space="preserve"> 0.47</w:t>
            </w:r>
          </w:p>
        </w:tc>
        <w:tc>
          <w:tcPr>
            <w:tcW w:w="2279" w:type="dxa"/>
            <w:tcBorders>
              <w:top w:val="nil"/>
              <w:left w:val="nil"/>
              <w:bottom w:val="nil"/>
              <w:right w:val="nil"/>
            </w:tcBorders>
            <w:shd w:val="clear" w:color="auto" w:fill="auto"/>
            <w:hideMark/>
          </w:tcPr>
          <w:p w14:paraId="03F7BBCD" w14:textId="69312B91" w:rsidR="002F3629" w:rsidRPr="005439C1" w:rsidRDefault="002F3629" w:rsidP="00854FA6">
            <w:pPr>
              <w:spacing w:line="360" w:lineRule="auto"/>
              <w:jc w:val="both"/>
              <w:rPr>
                <w:rFonts w:ascii="Book Antiqua" w:hAnsi="Book Antiqua"/>
              </w:rPr>
            </w:pPr>
            <w:r w:rsidRPr="005439C1">
              <w:rPr>
                <w:rFonts w:ascii="Book Antiqua" w:hAnsi="Book Antiqua"/>
              </w:rPr>
              <w:t>1.11</w:t>
            </w:r>
            <w:r w:rsidR="00144A6A">
              <w:rPr>
                <w:rFonts w:ascii="Book Antiqua" w:hAnsi="Book Antiqua"/>
              </w:rPr>
              <w:t xml:space="preserve"> ±</w:t>
            </w:r>
            <w:r w:rsidRPr="005439C1">
              <w:rPr>
                <w:rFonts w:ascii="Book Antiqua" w:hAnsi="Book Antiqua"/>
              </w:rPr>
              <w:t xml:space="preserve"> 0.15</w:t>
            </w:r>
          </w:p>
        </w:tc>
        <w:tc>
          <w:tcPr>
            <w:tcW w:w="2099" w:type="dxa"/>
            <w:tcBorders>
              <w:top w:val="nil"/>
              <w:left w:val="nil"/>
              <w:bottom w:val="nil"/>
              <w:right w:val="nil"/>
            </w:tcBorders>
            <w:shd w:val="clear" w:color="auto" w:fill="auto"/>
            <w:hideMark/>
          </w:tcPr>
          <w:p w14:paraId="51EC4884" w14:textId="2F9FA659"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5768042E" w14:textId="77777777" w:rsidTr="00854FA6">
        <w:trPr>
          <w:trHeight w:val="300"/>
        </w:trPr>
        <w:tc>
          <w:tcPr>
            <w:tcW w:w="2083" w:type="dxa"/>
            <w:tcBorders>
              <w:top w:val="nil"/>
              <w:left w:val="nil"/>
              <w:bottom w:val="nil"/>
              <w:right w:val="nil"/>
            </w:tcBorders>
            <w:shd w:val="clear" w:color="auto" w:fill="auto"/>
            <w:hideMark/>
          </w:tcPr>
          <w:p w14:paraId="4A309B90" w14:textId="002E477C" w:rsidR="002F3629" w:rsidRPr="005439C1" w:rsidRDefault="002F3629" w:rsidP="00854FA6">
            <w:pPr>
              <w:spacing w:line="360" w:lineRule="auto"/>
              <w:jc w:val="both"/>
              <w:rPr>
                <w:rFonts w:ascii="Book Antiqua" w:hAnsi="Book Antiqua"/>
              </w:rPr>
            </w:pPr>
            <w:r w:rsidRPr="005439C1">
              <w:rPr>
                <w:rFonts w:ascii="Book Antiqua" w:hAnsi="Book Antiqua"/>
              </w:rPr>
              <w:t>PLT (×</w:t>
            </w:r>
            <w:r w:rsidR="00BC7700">
              <w:rPr>
                <w:rFonts w:ascii="Book Antiqua" w:hAnsi="Book Antiqua"/>
              </w:rPr>
              <w:t xml:space="preserve"> </w:t>
            </w:r>
            <w:r w:rsidRPr="005439C1">
              <w:rPr>
                <w:rFonts w:ascii="Book Antiqua" w:hAnsi="Book Antiqua"/>
              </w:rPr>
              <w:t>10</w:t>
            </w:r>
            <w:r w:rsidRPr="005439C1">
              <w:rPr>
                <w:rFonts w:ascii="Book Antiqua" w:hAnsi="Book Antiqua"/>
                <w:vertAlign w:val="superscript"/>
              </w:rPr>
              <w:t>9</w:t>
            </w:r>
            <w:r w:rsidRPr="005439C1">
              <w:rPr>
                <w:rFonts w:ascii="Book Antiqua" w:hAnsi="Book Antiqua"/>
              </w:rPr>
              <w:t>/L)</w:t>
            </w:r>
          </w:p>
        </w:tc>
        <w:tc>
          <w:tcPr>
            <w:tcW w:w="1964" w:type="dxa"/>
            <w:tcBorders>
              <w:top w:val="nil"/>
              <w:left w:val="nil"/>
              <w:bottom w:val="nil"/>
              <w:right w:val="nil"/>
            </w:tcBorders>
            <w:shd w:val="clear" w:color="auto" w:fill="auto"/>
            <w:hideMark/>
          </w:tcPr>
          <w:p w14:paraId="45CCC88A" w14:textId="171E05C9" w:rsidR="002F3629" w:rsidRPr="005439C1" w:rsidRDefault="002F3629" w:rsidP="00854FA6">
            <w:pPr>
              <w:spacing w:line="360" w:lineRule="auto"/>
              <w:jc w:val="both"/>
              <w:rPr>
                <w:rFonts w:ascii="Book Antiqua" w:hAnsi="Book Antiqua"/>
              </w:rPr>
            </w:pPr>
            <w:r w:rsidRPr="005439C1">
              <w:rPr>
                <w:rFonts w:ascii="Book Antiqua" w:hAnsi="Book Antiqua"/>
              </w:rPr>
              <w:t>135.09</w:t>
            </w:r>
            <w:r w:rsidR="00144A6A">
              <w:rPr>
                <w:rFonts w:ascii="Book Antiqua" w:hAnsi="Book Antiqua"/>
              </w:rPr>
              <w:t xml:space="preserve"> ±</w:t>
            </w:r>
            <w:r w:rsidRPr="005439C1">
              <w:rPr>
                <w:rFonts w:ascii="Book Antiqua" w:hAnsi="Book Antiqua"/>
              </w:rPr>
              <w:t xml:space="preserve"> 92.35</w:t>
            </w:r>
          </w:p>
        </w:tc>
        <w:tc>
          <w:tcPr>
            <w:tcW w:w="2279" w:type="dxa"/>
            <w:tcBorders>
              <w:top w:val="nil"/>
              <w:left w:val="nil"/>
              <w:bottom w:val="nil"/>
              <w:right w:val="nil"/>
            </w:tcBorders>
            <w:shd w:val="clear" w:color="auto" w:fill="auto"/>
            <w:hideMark/>
          </w:tcPr>
          <w:p w14:paraId="5C363F2E" w14:textId="60C0E96F" w:rsidR="002F3629" w:rsidRPr="005439C1" w:rsidRDefault="002F3629" w:rsidP="00854FA6">
            <w:pPr>
              <w:spacing w:line="360" w:lineRule="auto"/>
              <w:jc w:val="both"/>
              <w:rPr>
                <w:rFonts w:ascii="Book Antiqua" w:hAnsi="Book Antiqua"/>
              </w:rPr>
            </w:pPr>
            <w:r w:rsidRPr="005439C1">
              <w:rPr>
                <w:rFonts w:ascii="Book Antiqua" w:hAnsi="Book Antiqua"/>
              </w:rPr>
              <w:t>229.5</w:t>
            </w:r>
            <w:r w:rsidR="00144A6A">
              <w:rPr>
                <w:rFonts w:ascii="Book Antiqua" w:hAnsi="Book Antiqua"/>
              </w:rPr>
              <w:t xml:space="preserve"> ±</w:t>
            </w:r>
            <w:r w:rsidRPr="005439C1">
              <w:rPr>
                <w:rFonts w:ascii="Book Antiqua" w:hAnsi="Book Antiqua"/>
              </w:rPr>
              <w:t xml:space="preserve"> 72.83</w:t>
            </w:r>
          </w:p>
        </w:tc>
        <w:tc>
          <w:tcPr>
            <w:tcW w:w="2099" w:type="dxa"/>
            <w:tcBorders>
              <w:top w:val="nil"/>
              <w:left w:val="nil"/>
              <w:bottom w:val="nil"/>
              <w:right w:val="nil"/>
            </w:tcBorders>
            <w:shd w:val="clear" w:color="auto" w:fill="auto"/>
            <w:hideMark/>
          </w:tcPr>
          <w:p w14:paraId="2822BAE1" w14:textId="1ABD7EB3"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061E133A" w14:textId="77777777" w:rsidTr="00854FA6">
        <w:trPr>
          <w:trHeight w:val="312"/>
        </w:trPr>
        <w:tc>
          <w:tcPr>
            <w:tcW w:w="2083" w:type="dxa"/>
            <w:tcBorders>
              <w:top w:val="nil"/>
              <w:left w:val="nil"/>
              <w:bottom w:val="nil"/>
              <w:right w:val="nil"/>
            </w:tcBorders>
            <w:shd w:val="clear" w:color="auto" w:fill="auto"/>
            <w:hideMark/>
          </w:tcPr>
          <w:p w14:paraId="4C754CA0" w14:textId="77777777" w:rsidR="002F3629" w:rsidRPr="005439C1" w:rsidRDefault="002F3629" w:rsidP="00854FA6">
            <w:pPr>
              <w:spacing w:line="360" w:lineRule="auto"/>
              <w:jc w:val="both"/>
              <w:rPr>
                <w:rFonts w:ascii="Book Antiqua" w:hAnsi="Book Antiqua"/>
              </w:rPr>
            </w:pPr>
            <w:r w:rsidRPr="005439C1">
              <w:rPr>
                <w:rFonts w:ascii="Book Antiqua" w:hAnsi="Book Antiqua"/>
              </w:rPr>
              <w:t>PT (s)</w:t>
            </w:r>
          </w:p>
        </w:tc>
        <w:tc>
          <w:tcPr>
            <w:tcW w:w="1964" w:type="dxa"/>
            <w:tcBorders>
              <w:top w:val="nil"/>
              <w:left w:val="nil"/>
              <w:bottom w:val="nil"/>
              <w:right w:val="nil"/>
            </w:tcBorders>
            <w:shd w:val="clear" w:color="auto" w:fill="auto"/>
            <w:hideMark/>
          </w:tcPr>
          <w:p w14:paraId="4B096FE4" w14:textId="14A96083" w:rsidR="002F3629" w:rsidRPr="005439C1" w:rsidRDefault="002F3629" w:rsidP="00854FA6">
            <w:pPr>
              <w:spacing w:line="360" w:lineRule="auto"/>
              <w:jc w:val="both"/>
              <w:rPr>
                <w:rFonts w:ascii="Book Antiqua" w:hAnsi="Book Antiqua"/>
              </w:rPr>
            </w:pPr>
            <w:r w:rsidRPr="005439C1">
              <w:rPr>
                <w:rFonts w:ascii="Book Antiqua" w:hAnsi="Book Antiqua"/>
              </w:rPr>
              <w:t>17.42</w:t>
            </w:r>
            <w:r w:rsidR="00144A6A">
              <w:rPr>
                <w:rFonts w:ascii="Book Antiqua" w:hAnsi="Book Antiqua"/>
              </w:rPr>
              <w:t xml:space="preserve"> ±</w:t>
            </w:r>
            <w:r w:rsidRPr="005439C1">
              <w:rPr>
                <w:rFonts w:ascii="Book Antiqua" w:hAnsi="Book Antiqua"/>
              </w:rPr>
              <w:t xml:space="preserve"> 4.76</w:t>
            </w:r>
          </w:p>
        </w:tc>
        <w:tc>
          <w:tcPr>
            <w:tcW w:w="2279" w:type="dxa"/>
            <w:tcBorders>
              <w:top w:val="nil"/>
              <w:left w:val="nil"/>
              <w:bottom w:val="nil"/>
              <w:right w:val="nil"/>
            </w:tcBorders>
            <w:shd w:val="clear" w:color="auto" w:fill="auto"/>
            <w:hideMark/>
          </w:tcPr>
          <w:p w14:paraId="44164888" w14:textId="28F7CB73" w:rsidR="002F3629" w:rsidRPr="005439C1" w:rsidRDefault="002F3629" w:rsidP="00854FA6">
            <w:pPr>
              <w:spacing w:line="360" w:lineRule="auto"/>
              <w:jc w:val="both"/>
              <w:rPr>
                <w:rFonts w:ascii="Book Antiqua" w:hAnsi="Book Antiqua"/>
              </w:rPr>
            </w:pPr>
            <w:r w:rsidRPr="005439C1">
              <w:rPr>
                <w:rFonts w:ascii="Book Antiqua" w:hAnsi="Book Antiqua"/>
              </w:rPr>
              <w:t>13.86</w:t>
            </w:r>
            <w:r w:rsidR="00144A6A">
              <w:rPr>
                <w:rFonts w:ascii="Book Antiqua" w:hAnsi="Book Antiqua"/>
              </w:rPr>
              <w:t xml:space="preserve"> ±</w:t>
            </w:r>
            <w:r w:rsidRPr="005439C1">
              <w:rPr>
                <w:rFonts w:ascii="Book Antiqua" w:hAnsi="Book Antiqua"/>
              </w:rPr>
              <w:t xml:space="preserve"> 1.75</w:t>
            </w:r>
          </w:p>
        </w:tc>
        <w:tc>
          <w:tcPr>
            <w:tcW w:w="2099" w:type="dxa"/>
            <w:tcBorders>
              <w:top w:val="nil"/>
              <w:left w:val="nil"/>
              <w:bottom w:val="nil"/>
              <w:right w:val="nil"/>
            </w:tcBorders>
            <w:shd w:val="clear" w:color="auto" w:fill="auto"/>
            <w:hideMark/>
          </w:tcPr>
          <w:p w14:paraId="25E966EB" w14:textId="72B24EC0"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52F4B0F7" w14:textId="77777777" w:rsidTr="00854FA6">
        <w:trPr>
          <w:trHeight w:val="312"/>
        </w:trPr>
        <w:tc>
          <w:tcPr>
            <w:tcW w:w="2083" w:type="dxa"/>
            <w:tcBorders>
              <w:top w:val="nil"/>
              <w:left w:val="nil"/>
              <w:bottom w:val="nil"/>
              <w:right w:val="nil"/>
            </w:tcBorders>
            <w:shd w:val="clear" w:color="auto" w:fill="auto"/>
            <w:hideMark/>
          </w:tcPr>
          <w:p w14:paraId="4AD440FB" w14:textId="77777777" w:rsidR="002F3629" w:rsidRPr="005439C1" w:rsidRDefault="002F3629" w:rsidP="00854FA6">
            <w:pPr>
              <w:spacing w:line="360" w:lineRule="auto"/>
              <w:jc w:val="both"/>
              <w:rPr>
                <w:rFonts w:ascii="Book Antiqua" w:hAnsi="Book Antiqua"/>
              </w:rPr>
            </w:pPr>
            <w:r w:rsidRPr="005439C1">
              <w:rPr>
                <w:rFonts w:ascii="Book Antiqua" w:hAnsi="Book Antiqua"/>
              </w:rPr>
              <w:t>APTT (s)</w:t>
            </w:r>
          </w:p>
        </w:tc>
        <w:tc>
          <w:tcPr>
            <w:tcW w:w="1964" w:type="dxa"/>
            <w:tcBorders>
              <w:top w:val="nil"/>
              <w:left w:val="nil"/>
              <w:bottom w:val="nil"/>
              <w:right w:val="nil"/>
            </w:tcBorders>
            <w:shd w:val="clear" w:color="auto" w:fill="auto"/>
            <w:hideMark/>
          </w:tcPr>
          <w:p w14:paraId="4BCDBDC4" w14:textId="7BE58B58" w:rsidR="002F3629" w:rsidRPr="005439C1" w:rsidRDefault="002F3629" w:rsidP="00854FA6">
            <w:pPr>
              <w:spacing w:line="360" w:lineRule="auto"/>
              <w:jc w:val="both"/>
              <w:rPr>
                <w:rFonts w:ascii="Book Antiqua" w:hAnsi="Book Antiqua"/>
              </w:rPr>
            </w:pPr>
            <w:r w:rsidRPr="005439C1">
              <w:rPr>
                <w:rFonts w:ascii="Book Antiqua" w:hAnsi="Book Antiqua"/>
              </w:rPr>
              <w:t>46.06</w:t>
            </w:r>
            <w:r w:rsidR="00144A6A">
              <w:rPr>
                <w:rFonts w:ascii="Book Antiqua" w:hAnsi="Book Antiqua"/>
              </w:rPr>
              <w:t xml:space="preserve"> ±</w:t>
            </w:r>
            <w:r w:rsidRPr="005439C1">
              <w:rPr>
                <w:rFonts w:ascii="Book Antiqua" w:hAnsi="Book Antiqua"/>
              </w:rPr>
              <w:t xml:space="preserve"> 10.30</w:t>
            </w:r>
          </w:p>
        </w:tc>
        <w:tc>
          <w:tcPr>
            <w:tcW w:w="2279" w:type="dxa"/>
            <w:tcBorders>
              <w:top w:val="nil"/>
              <w:left w:val="nil"/>
              <w:bottom w:val="nil"/>
              <w:right w:val="nil"/>
            </w:tcBorders>
            <w:shd w:val="clear" w:color="auto" w:fill="auto"/>
            <w:hideMark/>
          </w:tcPr>
          <w:p w14:paraId="2EF5E737" w14:textId="49C6C5C9" w:rsidR="002F3629" w:rsidRPr="005439C1" w:rsidRDefault="002F3629" w:rsidP="00854FA6">
            <w:pPr>
              <w:spacing w:line="360" w:lineRule="auto"/>
              <w:jc w:val="both"/>
              <w:rPr>
                <w:rFonts w:ascii="Book Antiqua" w:hAnsi="Book Antiqua"/>
              </w:rPr>
            </w:pPr>
            <w:r w:rsidRPr="005439C1">
              <w:rPr>
                <w:rFonts w:ascii="Book Antiqua" w:hAnsi="Book Antiqua"/>
              </w:rPr>
              <w:t>36.88</w:t>
            </w:r>
            <w:r w:rsidR="00144A6A">
              <w:rPr>
                <w:rFonts w:ascii="Book Antiqua" w:hAnsi="Book Antiqua"/>
              </w:rPr>
              <w:t xml:space="preserve"> ±</w:t>
            </w:r>
            <w:r w:rsidRPr="005439C1">
              <w:rPr>
                <w:rFonts w:ascii="Book Antiqua" w:hAnsi="Book Antiqua"/>
              </w:rPr>
              <w:t xml:space="preserve"> 12.11</w:t>
            </w:r>
          </w:p>
        </w:tc>
        <w:tc>
          <w:tcPr>
            <w:tcW w:w="2099" w:type="dxa"/>
            <w:tcBorders>
              <w:top w:val="nil"/>
              <w:left w:val="nil"/>
              <w:bottom w:val="nil"/>
              <w:right w:val="nil"/>
            </w:tcBorders>
            <w:shd w:val="clear" w:color="auto" w:fill="auto"/>
            <w:hideMark/>
          </w:tcPr>
          <w:p w14:paraId="2AB3E8BF" w14:textId="3D83FEA8"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189998E0" w14:textId="77777777" w:rsidTr="00854FA6">
        <w:trPr>
          <w:trHeight w:val="312"/>
        </w:trPr>
        <w:tc>
          <w:tcPr>
            <w:tcW w:w="2083" w:type="dxa"/>
            <w:tcBorders>
              <w:top w:val="nil"/>
              <w:left w:val="nil"/>
              <w:bottom w:val="nil"/>
              <w:right w:val="nil"/>
            </w:tcBorders>
            <w:shd w:val="clear" w:color="auto" w:fill="auto"/>
            <w:hideMark/>
          </w:tcPr>
          <w:p w14:paraId="1035DBCF" w14:textId="77777777" w:rsidR="002F3629" w:rsidRPr="005439C1" w:rsidRDefault="002F3629" w:rsidP="00854FA6">
            <w:pPr>
              <w:spacing w:line="360" w:lineRule="auto"/>
              <w:jc w:val="both"/>
              <w:rPr>
                <w:rFonts w:ascii="Book Antiqua" w:hAnsi="Book Antiqua"/>
              </w:rPr>
            </w:pPr>
            <w:r w:rsidRPr="005439C1">
              <w:rPr>
                <w:rFonts w:ascii="Book Antiqua" w:hAnsi="Book Antiqua"/>
              </w:rPr>
              <w:t>SOFA</w:t>
            </w:r>
          </w:p>
        </w:tc>
        <w:tc>
          <w:tcPr>
            <w:tcW w:w="1964" w:type="dxa"/>
            <w:tcBorders>
              <w:top w:val="nil"/>
              <w:left w:val="nil"/>
              <w:bottom w:val="nil"/>
              <w:right w:val="nil"/>
            </w:tcBorders>
            <w:shd w:val="clear" w:color="auto" w:fill="auto"/>
            <w:hideMark/>
          </w:tcPr>
          <w:p w14:paraId="7D3E5323" w14:textId="3CFB6E77" w:rsidR="002F3629" w:rsidRPr="005439C1" w:rsidRDefault="002F3629" w:rsidP="00854FA6">
            <w:pPr>
              <w:spacing w:line="360" w:lineRule="auto"/>
              <w:jc w:val="both"/>
              <w:rPr>
                <w:rFonts w:ascii="Book Antiqua" w:hAnsi="Book Antiqua"/>
              </w:rPr>
            </w:pPr>
            <w:r w:rsidRPr="005439C1">
              <w:rPr>
                <w:rFonts w:ascii="Book Antiqua" w:hAnsi="Book Antiqua"/>
              </w:rPr>
              <w:t>6.93</w:t>
            </w:r>
            <w:r w:rsidR="00144A6A">
              <w:rPr>
                <w:rFonts w:ascii="Book Antiqua" w:hAnsi="Book Antiqua"/>
              </w:rPr>
              <w:t xml:space="preserve"> ± </w:t>
            </w:r>
            <w:r w:rsidRPr="005439C1">
              <w:rPr>
                <w:rFonts w:ascii="Book Antiqua" w:hAnsi="Book Antiqua"/>
              </w:rPr>
              <w:t>2.69</w:t>
            </w:r>
          </w:p>
        </w:tc>
        <w:tc>
          <w:tcPr>
            <w:tcW w:w="2279" w:type="dxa"/>
            <w:tcBorders>
              <w:top w:val="nil"/>
              <w:left w:val="nil"/>
              <w:bottom w:val="nil"/>
              <w:right w:val="nil"/>
            </w:tcBorders>
            <w:shd w:val="clear" w:color="auto" w:fill="auto"/>
            <w:hideMark/>
          </w:tcPr>
          <w:p w14:paraId="5B0855BB" w14:textId="2F49F6B8" w:rsidR="002F3629" w:rsidRPr="005439C1" w:rsidRDefault="002F3629" w:rsidP="00854FA6">
            <w:pPr>
              <w:spacing w:line="360" w:lineRule="auto"/>
              <w:jc w:val="both"/>
              <w:rPr>
                <w:rFonts w:ascii="Book Antiqua" w:hAnsi="Book Antiqua"/>
              </w:rPr>
            </w:pPr>
            <w:r w:rsidRPr="005439C1">
              <w:rPr>
                <w:rFonts w:ascii="Book Antiqua" w:hAnsi="Book Antiqua"/>
              </w:rPr>
              <w:t>0.72</w:t>
            </w:r>
            <w:r w:rsidR="00144A6A">
              <w:rPr>
                <w:rFonts w:ascii="Book Antiqua" w:hAnsi="Book Antiqua"/>
              </w:rPr>
              <w:t xml:space="preserve"> ± </w:t>
            </w:r>
            <w:r w:rsidRPr="005439C1">
              <w:rPr>
                <w:rFonts w:ascii="Book Antiqua" w:hAnsi="Book Antiqua"/>
              </w:rPr>
              <w:t>0.45</w:t>
            </w:r>
          </w:p>
        </w:tc>
        <w:tc>
          <w:tcPr>
            <w:tcW w:w="2099" w:type="dxa"/>
            <w:tcBorders>
              <w:top w:val="nil"/>
              <w:left w:val="nil"/>
              <w:bottom w:val="nil"/>
              <w:right w:val="nil"/>
            </w:tcBorders>
            <w:shd w:val="clear" w:color="auto" w:fill="auto"/>
            <w:hideMark/>
          </w:tcPr>
          <w:p w14:paraId="69CDD60D" w14:textId="0BCD43E2"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2771C752" w14:textId="77777777" w:rsidTr="002F3629">
        <w:trPr>
          <w:trHeight w:val="312"/>
        </w:trPr>
        <w:tc>
          <w:tcPr>
            <w:tcW w:w="2083" w:type="dxa"/>
            <w:tcBorders>
              <w:top w:val="nil"/>
              <w:left w:val="nil"/>
              <w:right w:val="nil"/>
            </w:tcBorders>
            <w:shd w:val="clear" w:color="auto" w:fill="auto"/>
            <w:hideMark/>
          </w:tcPr>
          <w:p w14:paraId="578A8F48" w14:textId="77777777" w:rsidR="002F3629" w:rsidRPr="005439C1" w:rsidRDefault="002F3629" w:rsidP="00854FA6">
            <w:pPr>
              <w:spacing w:line="360" w:lineRule="auto"/>
              <w:jc w:val="both"/>
              <w:rPr>
                <w:rFonts w:ascii="Book Antiqua" w:hAnsi="Book Antiqua"/>
              </w:rPr>
            </w:pPr>
            <w:proofErr w:type="spellStart"/>
            <w:r w:rsidRPr="005439C1">
              <w:rPr>
                <w:rFonts w:ascii="Book Antiqua" w:hAnsi="Book Antiqua"/>
              </w:rPr>
              <w:t>qSOFA</w:t>
            </w:r>
            <w:proofErr w:type="spellEnd"/>
          </w:p>
        </w:tc>
        <w:tc>
          <w:tcPr>
            <w:tcW w:w="1964" w:type="dxa"/>
            <w:tcBorders>
              <w:top w:val="nil"/>
              <w:left w:val="nil"/>
              <w:right w:val="nil"/>
            </w:tcBorders>
            <w:shd w:val="clear" w:color="auto" w:fill="auto"/>
            <w:hideMark/>
          </w:tcPr>
          <w:p w14:paraId="79A7A90D" w14:textId="5E173FE7" w:rsidR="002F3629" w:rsidRPr="005439C1" w:rsidRDefault="002F3629" w:rsidP="00854FA6">
            <w:pPr>
              <w:spacing w:line="360" w:lineRule="auto"/>
              <w:jc w:val="both"/>
              <w:rPr>
                <w:rFonts w:ascii="Book Antiqua" w:hAnsi="Book Antiqua"/>
              </w:rPr>
            </w:pPr>
            <w:r w:rsidRPr="005439C1">
              <w:rPr>
                <w:rFonts w:ascii="Book Antiqua" w:hAnsi="Book Antiqua"/>
              </w:rPr>
              <w:t>1.17</w:t>
            </w:r>
            <w:r w:rsidR="00144A6A">
              <w:rPr>
                <w:rFonts w:ascii="Book Antiqua" w:hAnsi="Book Antiqua"/>
              </w:rPr>
              <w:t xml:space="preserve"> ± </w:t>
            </w:r>
            <w:r w:rsidRPr="005439C1">
              <w:rPr>
                <w:rFonts w:ascii="Book Antiqua" w:hAnsi="Book Antiqua"/>
              </w:rPr>
              <w:t>0.66</w:t>
            </w:r>
          </w:p>
        </w:tc>
        <w:tc>
          <w:tcPr>
            <w:tcW w:w="2279" w:type="dxa"/>
            <w:tcBorders>
              <w:top w:val="nil"/>
              <w:left w:val="nil"/>
              <w:right w:val="nil"/>
            </w:tcBorders>
            <w:shd w:val="clear" w:color="auto" w:fill="auto"/>
            <w:hideMark/>
          </w:tcPr>
          <w:p w14:paraId="300D4724" w14:textId="438AB720" w:rsidR="002F3629" w:rsidRPr="005439C1" w:rsidRDefault="002F3629" w:rsidP="00854FA6">
            <w:pPr>
              <w:spacing w:line="360" w:lineRule="auto"/>
              <w:jc w:val="both"/>
              <w:rPr>
                <w:rFonts w:ascii="Book Antiqua" w:hAnsi="Book Antiqua"/>
              </w:rPr>
            </w:pPr>
            <w:r w:rsidRPr="005439C1">
              <w:rPr>
                <w:rFonts w:ascii="Book Antiqua" w:hAnsi="Book Antiqua"/>
              </w:rPr>
              <w:t>0.79</w:t>
            </w:r>
            <w:r w:rsidR="00144A6A">
              <w:rPr>
                <w:rFonts w:ascii="Book Antiqua" w:hAnsi="Book Antiqua"/>
              </w:rPr>
              <w:t xml:space="preserve"> ± </w:t>
            </w:r>
            <w:r w:rsidRPr="005439C1">
              <w:rPr>
                <w:rFonts w:ascii="Book Antiqua" w:hAnsi="Book Antiqua"/>
              </w:rPr>
              <w:t>0.75</w:t>
            </w:r>
          </w:p>
        </w:tc>
        <w:tc>
          <w:tcPr>
            <w:tcW w:w="2099" w:type="dxa"/>
            <w:tcBorders>
              <w:top w:val="nil"/>
              <w:left w:val="nil"/>
              <w:right w:val="nil"/>
            </w:tcBorders>
            <w:shd w:val="clear" w:color="auto" w:fill="auto"/>
            <w:hideMark/>
          </w:tcPr>
          <w:p w14:paraId="086F0DD1" w14:textId="77777777" w:rsidR="002F3629" w:rsidRPr="005439C1" w:rsidRDefault="002F3629" w:rsidP="00854FA6">
            <w:pPr>
              <w:spacing w:line="360" w:lineRule="auto"/>
              <w:jc w:val="both"/>
              <w:rPr>
                <w:rFonts w:ascii="Book Antiqua" w:hAnsi="Book Antiqua"/>
              </w:rPr>
            </w:pPr>
            <w:r w:rsidRPr="005439C1">
              <w:rPr>
                <w:rFonts w:ascii="Book Antiqua" w:hAnsi="Book Antiqua"/>
              </w:rPr>
              <w:t>0.003</w:t>
            </w:r>
          </w:p>
        </w:tc>
      </w:tr>
      <w:tr w:rsidR="002F3629" w:rsidRPr="005439C1" w14:paraId="2207F83B" w14:textId="77777777" w:rsidTr="002F3629">
        <w:trPr>
          <w:trHeight w:val="327"/>
        </w:trPr>
        <w:tc>
          <w:tcPr>
            <w:tcW w:w="2083" w:type="dxa"/>
            <w:tcBorders>
              <w:top w:val="nil"/>
              <w:left w:val="nil"/>
              <w:bottom w:val="single" w:sz="4" w:space="0" w:color="auto"/>
              <w:right w:val="nil"/>
            </w:tcBorders>
            <w:shd w:val="clear" w:color="auto" w:fill="auto"/>
            <w:hideMark/>
          </w:tcPr>
          <w:p w14:paraId="52F857B3" w14:textId="77777777" w:rsidR="002F3629" w:rsidRPr="005439C1" w:rsidRDefault="002F3629" w:rsidP="00854FA6">
            <w:pPr>
              <w:spacing w:line="360" w:lineRule="auto"/>
              <w:jc w:val="both"/>
              <w:rPr>
                <w:rFonts w:ascii="Book Antiqua" w:hAnsi="Book Antiqua"/>
              </w:rPr>
            </w:pPr>
            <w:r w:rsidRPr="005439C1">
              <w:rPr>
                <w:rFonts w:ascii="Book Antiqua" w:hAnsi="Book Antiqua"/>
              </w:rPr>
              <w:t xml:space="preserve">APACHE </w:t>
            </w:r>
            <w:r w:rsidRPr="005439C1">
              <w:rPr>
                <w:rFonts w:ascii="宋体" w:eastAsia="宋体" w:hAnsi="宋体" w:cs="宋体" w:hint="eastAsia"/>
              </w:rPr>
              <w:t>Ⅱ</w:t>
            </w:r>
          </w:p>
        </w:tc>
        <w:tc>
          <w:tcPr>
            <w:tcW w:w="1964" w:type="dxa"/>
            <w:tcBorders>
              <w:top w:val="nil"/>
              <w:left w:val="nil"/>
              <w:bottom w:val="single" w:sz="4" w:space="0" w:color="auto"/>
              <w:right w:val="nil"/>
            </w:tcBorders>
            <w:shd w:val="clear" w:color="auto" w:fill="auto"/>
            <w:hideMark/>
          </w:tcPr>
          <w:p w14:paraId="1C494FBD" w14:textId="20404EAF" w:rsidR="002F3629" w:rsidRPr="005439C1" w:rsidRDefault="002F3629" w:rsidP="00854FA6">
            <w:pPr>
              <w:spacing w:line="360" w:lineRule="auto"/>
              <w:jc w:val="both"/>
              <w:rPr>
                <w:rFonts w:ascii="Book Antiqua" w:hAnsi="Book Antiqua"/>
              </w:rPr>
            </w:pPr>
            <w:r w:rsidRPr="005439C1">
              <w:rPr>
                <w:rFonts w:ascii="Book Antiqua" w:hAnsi="Book Antiqua"/>
              </w:rPr>
              <w:t>18.81</w:t>
            </w:r>
            <w:r w:rsidR="00144A6A">
              <w:rPr>
                <w:rFonts w:ascii="Book Antiqua" w:hAnsi="Book Antiqua"/>
              </w:rPr>
              <w:t xml:space="preserve"> ± </w:t>
            </w:r>
            <w:r w:rsidRPr="005439C1">
              <w:rPr>
                <w:rFonts w:ascii="Book Antiqua" w:hAnsi="Book Antiqua"/>
              </w:rPr>
              <w:t>6.90</w:t>
            </w:r>
          </w:p>
        </w:tc>
        <w:tc>
          <w:tcPr>
            <w:tcW w:w="2279" w:type="dxa"/>
            <w:tcBorders>
              <w:top w:val="nil"/>
              <w:left w:val="nil"/>
              <w:bottom w:val="single" w:sz="4" w:space="0" w:color="auto"/>
              <w:right w:val="nil"/>
            </w:tcBorders>
            <w:shd w:val="clear" w:color="auto" w:fill="auto"/>
            <w:hideMark/>
          </w:tcPr>
          <w:p w14:paraId="4384B3BE" w14:textId="3BA02F00" w:rsidR="002F3629" w:rsidRPr="005439C1" w:rsidRDefault="002F3629" w:rsidP="00854FA6">
            <w:pPr>
              <w:spacing w:line="360" w:lineRule="auto"/>
              <w:jc w:val="both"/>
              <w:rPr>
                <w:rFonts w:ascii="Book Antiqua" w:hAnsi="Book Antiqua"/>
              </w:rPr>
            </w:pPr>
            <w:r w:rsidRPr="005439C1">
              <w:rPr>
                <w:rFonts w:ascii="Book Antiqua" w:hAnsi="Book Antiqua"/>
              </w:rPr>
              <w:t>9.29</w:t>
            </w:r>
            <w:r w:rsidR="00144A6A">
              <w:rPr>
                <w:rFonts w:ascii="Book Antiqua" w:hAnsi="Book Antiqua"/>
              </w:rPr>
              <w:t xml:space="preserve"> ± </w:t>
            </w:r>
            <w:r w:rsidRPr="005439C1">
              <w:rPr>
                <w:rFonts w:ascii="Book Antiqua" w:hAnsi="Book Antiqua"/>
              </w:rPr>
              <w:t>4.14</w:t>
            </w:r>
          </w:p>
        </w:tc>
        <w:tc>
          <w:tcPr>
            <w:tcW w:w="2099" w:type="dxa"/>
            <w:tcBorders>
              <w:top w:val="nil"/>
              <w:left w:val="nil"/>
              <w:bottom w:val="single" w:sz="4" w:space="0" w:color="auto"/>
              <w:right w:val="nil"/>
            </w:tcBorders>
            <w:shd w:val="clear" w:color="auto" w:fill="auto"/>
            <w:hideMark/>
          </w:tcPr>
          <w:p w14:paraId="54F04EB2" w14:textId="5CB1E834"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bl>
    <w:p w14:paraId="3427555B" w14:textId="57B7270D" w:rsidR="00992FAF" w:rsidRPr="0093550F" w:rsidRDefault="007055A0">
      <w:pPr>
        <w:spacing w:line="360" w:lineRule="auto"/>
        <w:jc w:val="both"/>
        <w:rPr>
          <w:rFonts w:ascii="Book Antiqua" w:eastAsia="Book Antiqua" w:hAnsi="Book Antiqua" w:cs="Book Antiqua"/>
          <w:color w:val="000000"/>
        </w:rPr>
      </w:pPr>
      <w:r w:rsidRPr="0093550F">
        <w:rPr>
          <w:rFonts w:ascii="Book Antiqua" w:eastAsia="Book Antiqua" w:hAnsi="Book Antiqua" w:cs="Book Antiqua" w:hint="eastAsia"/>
          <w:color w:val="000000"/>
        </w:rPr>
        <w:t xml:space="preserve">Data are presented as </w:t>
      </w:r>
      <w:r w:rsidRPr="00D575A4">
        <w:rPr>
          <w:rFonts w:ascii="Book Antiqua" w:eastAsia="Book Antiqua" w:hAnsi="Book Antiqua" w:cs="Book Antiqua"/>
          <w:color w:val="000000"/>
        </w:rPr>
        <w:t>mean ±</w:t>
      </w:r>
      <w:r w:rsidR="00BC7700">
        <w:rPr>
          <w:rFonts w:ascii="Book Antiqua" w:eastAsia="Book Antiqua" w:hAnsi="Book Antiqua" w:cs="Book Antiqua"/>
          <w:color w:val="000000"/>
        </w:rPr>
        <w:t xml:space="preserve"> </w:t>
      </w:r>
      <w:r w:rsidR="00854FA6">
        <w:rPr>
          <w:rFonts w:ascii="Book Antiqua" w:eastAsia="Book Antiqua" w:hAnsi="Book Antiqua" w:cs="Book Antiqua"/>
          <w:color w:val="000000"/>
        </w:rPr>
        <w:t>SD.</w:t>
      </w:r>
      <w:r w:rsidR="00D61A43">
        <w:rPr>
          <w:rFonts w:ascii="Book Antiqua" w:eastAsia="Book Antiqua" w:hAnsi="Book Antiqua" w:cs="Book Antiqua"/>
          <w:color w:val="000000"/>
        </w:rPr>
        <w:t xml:space="preserve"> </w:t>
      </w:r>
      <w:r w:rsidR="00535329" w:rsidRPr="00AF3599">
        <w:rPr>
          <w:rFonts w:ascii="Book Antiqua" w:eastAsia="Book Antiqua" w:hAnsi="Book Antiqua" w:cs="Book Antiqua"/>
          <w:color w:val="000000"/>
        </w:rPr>
        <w:t xml:space="preserve">APACHE </w:t>
      </w:r>
      <w:r w:rsidR="00535329" w:rsidRPr="00AF3599">
        <w:rPr>
          <w:rFonts w:ascii="Book Antiqua" w:eastAsia="宋体" w:hAnsi="Book Antiqua" w:cs="宋体"/>
          <w:color w:val="000000"/>
          <w:lang w:eastAsia="zh-CN"/>
        </w:rPr>
        <w:t>II</w:t>
      </w:r>
      <w:r w:rsidR="00535329" w:rsidRPr="00AF3599">
        <w:rPr>
          <w:rFonts w:ascii="Book Antiqua" w:eastAsia="Book Antiqua" w:hAnsi="Book Antiqua" w:cs="Book Antiqua"/>
          <w:color w:val="000000"/>
        </w:rPr>
        <w:t>: Acute Phy</w:t>
      </w:r>
      <w:r w:rsidR="00535329" w:rsidRPr="0093550F">
        <w:rPr>
          <w:rFonts w:ascii="Book Antiqua" w:eastAsia="Book Antiqua" w:hAnsi="Book Antiqua" w:cs="Book Antiqua" w:hint="eastAsia"/>
          <w:color w:val="000000"/>
        </w:rPr>
        <w:t xml:space="preserve">siological and Chronic Health Score </w:t>
      </w:r>
      <w:r w:rsidR="00535329">
        <w:rPr>
          <w:rFonts w:ascii="Book Antiqua" w:eastAsia="Book Antiqua" w:hAnsi="Book Antiqua" w:cs="Book Antiqua"/>
          <w:color w:val="000000"/>
        </w:rPr>
        <w:t>II;</w:t>
      </w:r>
      <w:r w:rsidR="00535329" w:rsidRPr="0093550F">
        <w:rPr>
          <w:rFonts w:ascii="Book Antiqua" w:eastAsia="Book Antiqua" w:hAnsi="Book Antiqua" w:cs="Book Antiqua" w:hint="eastAsia"/>
          <w:color w:val="000000"/>
        </w:rPr>
        <w:t xml:space="preserve"> </w:t>
      </w:r>
      <w:r w:rsidR="00535329" w:rsidRPr="0093550F">
        <w:rPr>
          <w:rFonts w:ascii="Book Antiqua" w:eastAsia="Book Antiqua" w:hAnsi="Book Antiqua" w:cs="Book Antiqua"/>
          <w:color w:val="000000"/>
        </w:rPr>
        <w:t xml:space="preserve">APTT: </w:t>
      </w:r>
      <w:r w:rsidR="00535329">
        <w:rPr>
          <w:rFonts w:ascii="Book Antiqua" w:eastAsia="Book Antiqua" w:hAnsi="Book Antiqua" w:cs="Book Antiqua"/>
          <w:color w:val="000000"/>
        </w:rPr>
        <w:t>A</w:t>
      </w:r>
      <w:r w:rsidR="00535329" w:rsidRPr="0093550F">
        <w:rPr>
          <w:rFonts w:ascii="Book Antiqua" w:eastAsia="Book Antiqua" w:hAnsi="Book Antiqua" w:cs="Book Antiqua"/>
          <w:color w:val="000000"/>
        </w:rPr>
        <w:t xml:space="preserve">ctivated partial thromboplastin time; INR: </w:t>
      </w:r>
      <w:r w:rsidR="00535329">
        <w:rPr>
          <w:rFonts w:ascii="Book Antiqua" w:eastAsia="Book Antiqua" w:hAnsi="Book Antiqua" w:cs="Book Antiqua"/>
          <w:color w:val="000000"/>
        </w:rPr>
        <w:t>I</w:t>
      </w:r>
      <w:r w:rsidR="00535329" w:rsidRPr="007F5754">
        <w:rPr>
          <w:rFonts w:ascii="Book Antiqua" w:eastAsia="Book Antiqua" w:hAnsi="Book Antiqua" w:cs="Book Antiqua"/>
          <w:color w:val="000000"/>
        </w:rPr>
        <w:t>nternational normalized ratio</w:t>
      </w:r>
      <w:r w:rsidR="00535329" w:rsidRPr="0093550F">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NLCR: </w:t>
      </w:r>
      <w:r w:rsidR="00BC7700">
        <w:rPr>
          <w:rFonts w:ascii="Book Antiqua" w:eastAsia="Book Antiqua" w:hAnsi="Book Antiqua" w:cs="Book Antiqua"/>
          <w:color w:val="000000"/>
        </w:rPr>
        <w:t>N</w:t>
      </w:r>
      <w:r w:rsidR="00BC7700" w:rsidRPr="0093550F">
        <w:rPr>
          <w:rFonts w:ascii="Book Antiqua" w:eastAsia="Book Antiqua" w:hAnsi="Book Antiqua" w:cs="Book Antiqua"/>
          <w:color w:val="000000"/>
        </w:rPr>
        <w:t>eutrophil</w:t>
      </w:r>
      <w:r w:rsidR="00C4598B" w:rsidRPr="0093550F">
        <w:rPr>
          <w:rFonts w:ascii="Book Antiqua" w:eastAsia="Book Antiqua" w:hAnsi="Book Antiqua" w:cs="Book Antiqua"/>
          <w:color w:val="000000"/>
        </w:rPr>
        <w:t xml:space="preserve">-lymphocyte count ratio; PLT: </w:t>
      </w:r>
      <w:r w:rsidR="003E6288">
        <w:rPr>
          <w:rFonts w:ascii="Book Antiqua" w:eastAsia="Book Antiqua" w:hAnsi="Book Antiqua" w:cs="Book Antiqua"/>
          <w:color w:val="000000"/>
        </w:rPr>
        <w:t>P</w:t>
      </w:r>
      <w:r w:rsidR="00C4598B" w:rsidRPr="0093550F">
        <w:rPr>
          <w:rFonts w:ascii="Book Antiqua" w:eastAsia="Book Antiqua" w:hAnsi="Book Antiqua" w:cs="Book Antiqua"/>
          <w:color w:val="000000"/>
        </w:rPr>
        <w:t xml:space="preserve">latelet; PT: </w:t>
      </w:r>
      <w:r w:rsidR="003E6288">
        <w:rPr>
          <w:rFonts w:ascii="Book Antiqua" w:eastAsia="Book Antiqua" w:hAnsi="Book Antiqua" w:cs="Book Antiqua"/>
          <w:color w:val="000000"/>
        </w:rPr>
        <w:t>P</w:t>
      </w:r>
      <w:r w:rsidR="00C4598B" w:rsidRPr="0093550F">
        <w:rPr>
          <w:rFonts w:ascii="Book Antiqua" w:eastAsia="Book Antiqua" w:hAnsi="Book Antiqua" w:cs="Book Antiqua"/>
          <w:color w:val="000000"/>
        </w:rPr>
        <w:t xml:space="preserve">rothrombin time; </w:t>
      </w:r>
      <w:proofErr w:type="spellStart"/>
      <w:r w:rsidR="00535329" w:rsidRPr="0093550F">
        <w:rPr>
          <w:rFonts w:ascii="Book Antiqua" w:eastAsia="Book Antiqua" w:hAnsi="Book Antiqua" w:cs="Book Antiqua"/>
          <w:color w:val="000000"/>
        </w:rPr>
        <w:t>qSOFA</w:t>
      </w:r>
      <w:proofErr w:type="spellEnd"/>
      <w:r w:rsidR="00535329" w:rsidRPr="0093550F">
        <w:rPr>
          <w:rFonts w:ascii="Book Antiqua" w:eastAsia="Book Antiqua" w:hAnsi="Book Antiqua" w:cs="Book Antiqua"/>
          <w:color w:val="000000"/>
        </w:rPr>
        <w:t xml:space="preserve">: </w:t>
      </w:r>
      <w:r w:rsidR="00535329">
        <w:rPr>
          <w:rFonts w:ascii="Book Antiqua" w:eastAsia="Book Antiqua" w:hAnsi="Book Antiqua" w:cs="Book Antiqua"/>
          <w:color w:val="000000"/>
        </w:rPr>
        <w:t>Q</w:t>
      </w:r>
      <w:r w:rsidR="00535329" w:rsidRPr="0093550F">
        <w:rPr>
          <w:rFonts w:ascii="Book Antiqua" w:eastAsia="Book Antiqua" w:hAnsi="Book Antiqua" w:cs="Book Antiqua"/>
          <w:color w:val="000000"/>
        </w:rPr>
        <w:t xml:space="preserve">uick Sequential </w:t>
      </w:r>
      <w:r w:rsidR="00535329">
        <w:rPr>
          <w:rFonts w:ascii="Book Antiqua" w:eastAsia="Book Antiqua" w:hAnsi="Book Antiqua" w:cs="Book Antiqua"/>
          <w:color w:val="000000"/>
        </w:rPr>
        <w:t>“</w:t>
      </w:r>
      <w:r w:rsidR="00535329" w:rsidRPr="0093550F">
        <w:rPr>
          <w:rFonts w:ascii="Book Antiqua" w:eastAsia="Book Antiqua" w:hAnsi="Book Antiqua" w:cs="Book Antiqua"/>
          <w:color w:val="000000"/>
        </w:rPr>
        <w:t>Sepsis-re</w:t>
      </w:r>
      <w:r w:rsidR="00535329" w:rsidRPr="0093550F">
        <w:rPr>
          <w:rFonts w:ascii="Book Antiqua" w:eastAsia="Book Antiqua" w:hAnsi="Book Antiqua" w:cs="Book Antiqua" w:hint="eastAsia"/>
          <w:color w:val="000000"/>
        </w:rPr>
        <w:t>lated</w:t>
      </w:r>
      <w:r w:rsidR="00535329">
        <w:rPr>
          <w:rFonts w:ascii="Book Antiqua" w:eastAsia="Book Antiqua" w:hAnsi="Book Antiqua" w:cs="Book Antiqua"/>
          <w:color w:val="000000"/>
        </w:rPr>
        <w:t>”</w:t>
      </w:r>
      <w:r w:rsidR="00535329" w:rsidRPr="0093550F">
        <w:rPr>
          <w:rFonts w:ascii="Book Antiqua" w:eastAsia="Book Antiqua" w:hAnsi="Book Antiqua" w:cs="Book Antiqua" w:hint="eastAsia"/>
          <w:color w:val="000000"/>
        </w:rPr>
        <w:t xml:space="preserve"> Organ Failure Assessment;</w:t>
      </w:r>
      <w:r w:rsidR="00535329">
        <w:rPr>
          <w:rFonts w:ascii="Book Antiqua" w:eastAsia="Book Antiqua" w:hAnsi="Book Antiqua" w:cs="Book Antiqua"/>
          <w:color w:val="000000"/>
        </w:rPr>
        <w:t xml:space="preserve"> </w:t>
      </w:r>
      <w:r w:rsidR="00535329" w:rsidRPr="0093550F">
        <w:rPr>
          <w:rFonts w:ascii="Book Antiqua" w:eastAsia="Book Antiqua" w:hAnsi="Book Antiqua" w:cs="Book Antiqua" w:hint="eastAsia"/>
          <w:color w:val="000000"/>
        </w:rPr>
        <w:t xml:space="preserve">SD: </w:t>
      </w:r>
      <w:r w:rsidR="00535329">
        <w:rPr>
          <w:rFonts w:ascii="Book Antiqua" w:eastAsia="Book Antiqua" w:hAnsi="Book Antiqua" w:cs="Book Antiqua"/>
          <w:color w:val="000000"/>
        </w:rPr>
        <w:t>S</w:t>
      </w:r>
      <w:r w:rsidR="00535329" w:rsidRPr="0093550F">
        <w:rPr>
          <w:rFonts w:ascii="Book Antiqua" w:eastAsia="Book Antiqua" w:hAnsi="Book Antiqua" w:cs="Book Antiqua" w:hint="eastAsia"/>
          <w:color w:val="000000"/>
        </w:rPr>
        <w:t>tandard deviation</w:t>
      </w:r>
      <w:r w:rsidR="00535329">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SOFA: Sequential </w:t>
      </w:r>
      <w:r w:rsidR="00BC7700">
        <w:rPr>
          <w:rFonts w:ascii="Book Antiqua" w:eastAsia="Book Antiqua" w:hAnsi="Book Antiqua" w:cs="Book Antiqua"/>
          <w:color w:val="000000"/>
        </w:rPr>
        <w:t>“</w:t>
      </w:r>
      <w:r w:rsidR="00C4598B" w:rsidRPr="0093550F">
        <w:rPr>
          <w:rFonts w:ascii="Book Antiqua" w:eastAsia="Book Antiqua" w:hAnsi="Book Antiqua" w:cs="Book Antiqua"/>
          <w:color w:val="000000"/>
        </w:rPr>
        <w:t>Sepsis-related</w:t>
      </w:r>
      <w:r w:rsidR="00BC7700">
        <w:rPr>
          <w:rFonts w:ascii="Book Antiqua" w:eastAsia="Book Antiqua" w:hAnsi="Book Antiqua" w:cs="Book Antiqua"/>
          <w:color w:val="000000"/>
        </w:rPr>
        <w:t>”</w:t>
      </w:r>
      <w:r w:rsidR="00BC7700" w:rsidRPr="0093550F">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Organ Failure Assessment; </w:t>
      </w:r>
      <w:r w:rsidR="00535329" w:rsidRPr="003A396A">
        <w:rPr>
          <w:rFonts w:ascii="Book Antiqua" w:eastAsia="Book Antiqua" w:hAnsi="Book Antiqua" w:cs="Book Antiqua"/>
          <w:color w:val="000000"/>
        </w:rPr>
        <w:t>WBC</w:t>
      </w:r>
      <w:r w:rsidR="00535329">
        <w:rPr>
          <w:rFonts w:ascii="Book Antiqua" w:eastAsia="Book Antiqua" w:hAnsi="Book Antiqua" w:cs="Book Antiqua"/>
          <w:color w:val="000000"/>
        </w:rPr>
        <w:t>: W</w:t>
      </w:r>
      <w:r w:rsidR="00535329" w:rsidRPr="003A396A">
        <w:rPr>
          <w:rFonts w:ascii="Book Antiqua" w:eastAsia="Book Antiqua" w:hAnsi="Book Antiqua" w:cs="Book Antiqua"/>
          <w:color w:val="000000"/>
        </w:rPr>
        <w:t>hite blood cell</w:t>
      </w:r>
      <w:r w:rsidR="00D61A43">
        <w:rPr>
          <w:rFonts w:ascii="Book Antiqua" w:eastAsia="Book Antiqua" w:hAnsi="Book Antiqua" w:cs="Book Antiqua"/>
          <w:color w:val="000000"/>
        </w:rPr>
        <w:t>.</w:t>
      </w:r>
    </w:p>
    <w:p w14:paraId="24AED94A" w14:textId="77777777" w:rsidR="002F7B34" w:rsidRDefault="002F7B34">
      <w:pPr>
        <w:spacing w:line="360" w:lineRule="auto"/>
        <w:jc w:val="both"/>
        <w:rPr>
          <w:rFonts w:ascii="Book Antiqua" w:eastAsia="Book Antiqua" w:hAnsi="Book Antiqua" w:cs="Book Antiqua"/>
          <w:color w:val="000000"/>
        </w:rPr>
        <w:sectPr w:rsidR="002F7B34">
          <w:pgSz w:w="12240" w:h="15840"/>
          <w:pgMar w:top="1440" w:right="1440" w:bottom="1440" w:left="1440" w:header="720" w:footer="720" w:gutter="0"/>
          <w:cols w:space="720"/>
          <w:docGrid w:linePitch="360"/>
        </w:sectPr>
      </w:pPr>
    </w:p>
    <w:p w14:paraId="6C747F6B" w14:textId="2FED98F7" w:rsidR="002F7B34" w:rsidRPr="002F7B34" w:rsidRDefault="002F7B34" w:rsidP="002F7B34">
      <w:pPr>
        <w:spacing w:line="360" w:lineRule="auto"/>
        <w:jc w:val="both"/>
        <w:rPr>
          <w:rFonts w:ascii="Book Antiqua" w:eastAsia="Book Antiqua" w:hAnsi="Book Antiqua" w:cs="Book Antiqua"/>
          <w:b/>
          <w:bCs/>
          <w:color w:val="000000"/>
        </w:rPr>
      </w:pPr>
      <w:r w:rsidRPr="002F7B34">
        <w:rPr>
          <w:rFonts w:ascii="Book Antiqua" w:eastAsia="Book Antiqua" w:hAnsi="Book Antiqua" w:cs="Book Antiqua"/>
          <w:b/>
          <w:bCs/>
          <w:color w:val="000000"/>
        </w:rPr>
        <w:lastRenderedPageBreak/>
        <w:t>Table 3 Analysis of influencing factors for the diagnosis of sepsis</w:t>
      </w:r>
    </w:p>
    <w:tbl>
      <w:tblPr>
        <w:tblW w:w="8364" w:type="dxa"/>
        <w:tblInd w:w="108" w:type="dxa"/>
        <w:tblLook w:val="04A0" w:firstRow="1" w:lastRow="0" w:firstColumn="1" w:lastColumn="0" w:noHBand="0" w:noVBand="1"/>
      </w:tblPr>
      <w:tblGrid>
        <w:gridCol w:w="1409"/>
        <w:gridCol w:w="2277"/>
        <w:gridCol w:w="1134"/>
        <w:gridCol w:w="2268"/>
        <w:gridCol w:w="1276"/>
      </w:tblGrid>
      <w:tr w:rsidR="002F7B34" w:rsidRPr="006F0B8B" w14:paraId="700ADD9A" w14:textId="77777777" w:rsidTr="00A2203E">
        <w:trPr>
          <w:trHeight w:val="289"/>
        </w:trPr>
        <w:tc>
          <w:tcPr>
            <w:tcW w:w="1409" w:type="dxa"/>
            <w:tcBorders>
              <w:top w:val="single" w:sz="4" w:space="0" w:color="auto"/>
              <w:left w:val="nil"/>
              <w:bottom w:val="nil"/>
              <w:right w:val="nil"/>
            </w:tcBorders>
            <w:shd w:val="clear" w:color="auto" w:fill="auto"/>
            <w:hideMark/>
          </w:tcPr>
          <w:p w14:paraId="4C490FD3" w14:textId="77777777" w:rsidR="002F7B34" w:rsidRPr="00A2203E" w:rsidRDefault="002F7B34" w:rsidP="00854FA6">
            <w:pPr>
              <w:spacing w:line="360" w:lineRule="auto"/>
              <w:jc w:val="both"/>
              <w:rPr>
                <w:rFonts w:ascii="Book Antiqua" w:hAnsi="Book Antiqua" w:cs="宋体"/>
                <w:b/>
                <w:bCs/>
              </w:rPr>
            </w:pPr>
          </w:p>
        </w:tc>
        <w:tc>
          <w:tcPr>
            <w:tcW w:w="2277" w:type="dxa"/>
            <w:tcBorders>
              <w:top w:val="single" w:sz="4" w:space="0" w:color="auto"/>
              <w:left w:val="nil"/>
              <w:bottom w:val="single" w:sz="4" w:space="0" w:color="auto"/>
              <w:right w:val="nil"/>
            </w:tcBorders>
            <w:shd w:val="clear" w:color="auto" w:fill="auto"/>
            <w:hideMark/>
          </w:tcPr>
          <w:p w14:paraId="29F0F77B" w14:textId="77777777" w:rsidR="002F7B34" w:rsidRPr="006F0B8B" w:rsidRDefault="002F7B34" w:rsidP="00854FA6">
            <w:pPr>
              <w:spacing w:line="360" w:lineRule="auto"/>
              <w:jc w:val="both"/>
              <w:rPr>
                <w:rFonts w:ascii="Book Antiqua" w:hAnsi="Book Antiqua"/>
                <w:b/>
                <w:bCs/>
              </w:rPr>
            </w:pPr>
            <w:r w:rsidRPr="006F0B8B">
              <w:rPr>
                <w:rFonts w:ascii="Book Antiqua" w:hAnsi="Book Antiqua"/>
                <w:b/>
                <w:bCs/>
              </w:rPr>
              <w:t>Univariate</w:t>
            </w:r>
          </w:p>
        </w:tc>
        <w:tc>
          <w:tcPr>
            <w:tcW w:w="1134" w:type="dxa"/>
            <w:tcBorders>
              <w:top w:val="single" w:sz="4" w:space="0" w:color="auto"/>
              <w:left w:val="nil"/>
              <w:bottom w:val="single" w:sz="4" w:space="0" w:color="auto"/>
              <w:right w:val="nil"/>
            </w:tcBorders>
            <w:shd w:val="clear" w:color="auto" w:fill="auto"/>
            <w:hideMark/>
          </w:tcPr>
          <w:p w14:paraId="1C52FDC1" w14:textId="77777777" w:rsidR="002F7B34" w:rsidRPr="006F0B8B" w:rsidRDefault="002F7B34" w:rsidP="00854FA6">
            <w:pPr>
              <w:spacing w:line="360" w:lineRule="auto"/>
              <w:jc w:val="both"/>
              <w:rPr>
                <w:rFonts w:ascii="Book Antiqua" w:hAnsi="Book Antiqua"/>
                <w:b/>
                <w:bCs/>
              </w:rPr>
            </w:pPr>
          </w:p>
        </w:tc>
        <w:tc>
          <w:tcPr>
            <w:tcW w:w="2268" w:type="dxa"/>
            <w:tcBorders>
              <w:top w:val="single" w:sz="4" w:space="0" w:color="auto"/>
              <w:left w:val="nil"/>
              <w:bottom w:val="single" w:sz="4" w:space="0" w:color="auto"/>
              <w:right w:val="nil"/>
            </w:tcBorders>
            <w:shd w:val="clear" w:color="auto" w:fill="auto"/>
            <w:hideMark/>
          </w:tcPr>
          <w:p w14:paraId="36DDA74F" w14:textId="77777777" w:rsidR="002F7B34" w:rsidRPr="006F0B8B" w:rsidRDefault="002F7B34" w:rsidP="00854FA6">
            <w:pPr>
              <w:spacing w:line="360" w:lineRule="auto"/>
              <w:jc w:val="both"/>
              <w:rPr>
                <w:rFonts w:ascii="Book Antiqua" w:hAnsi="Book Antiqua"/>
                <w:b/>
                <w:bCs/>
              </w:rPr>
            </w:pPr>
            <w:r w:rsidRPr="006F0B8B">
              <w:rPr>
                <w:rFonts w:ascii="Book Antiqua" w:hAnsi="Book Antiqua"/>
                <w:b/>
                <w:bCs/>
              </w:rPr>
              <w:t>Multivariate</w:t>
            </w:r>
          </w:p>
        </w:tc>
        <w:tc>
          <w:tcPr>
            <w:tcW w:w="1276" w:type="dxa"/>
            <w:tcBorders>
              <w:top w:val="single" w:sz="4" w:space="0" w:color="auto"/>
              <w:left w:val="nil"/>
              <w:bottom w:val="single" w:sz="4" w:space="0" w:color="auto"/>
              <w:right w:val="nil"/>
            </w:tcBorders>
            <w:shd w:val="clear" w:color="auto" w:fill="auto"/>
            <w:hideMark/>
          </w:tcPr>
          <w:p w14:paraId="70686580" w14:textId="77777777" w:rsidR="002F7B34" w:rsidRPr="006F0B8B" w:rsidRDefault="002F7B34" w:rsidP="00854FA6">
            <w:pPr>
              <w:spacing w:line="360" w:lineRule="auto"/>
              <w:jc w:val="both"/>
              <w:rPr>
                <w:rFonts w:ascii="Book Antiqua" w:hAnsi="Book Antiqua"/>
                <w:b/>
                <w:bCs/>
              </w:rPr>
            </w:pPr>
          </w:p>
        </w:tc>
      </w:tr>
      <w:tr w:rsidR="002F7B34" w:rsidRPr="006F0B8B" w14:paraId="773786F9" w14:textId="77777777" w:rsidTr="00A2203E">
        <w:trPr>
          <w:trHeight w:val="327"/>
        </w:trPr>
        <w:tc>
          <w:tcPr>
            <w:tcW w:w="1409" w:type="dxa"/>
            <w:tcBorders>
              <w:top w:val="nil"/>
              <w:left w:val="nil"/>
              <w:bottom w:val="single" w:sz="4" w:space="0" w:color="auto"/>
              <w:right w:val="nil"/>
            </w:tcBorders>
            <w:shd w:val="clear" w:color="auto" w:fill="auto"/>
            <w:hideMark/>
          </w:tcPr>
          <w:p w14:paraId="6BE451C2" w14:textId="77777777" w:rsidR="002F7B34" w:rsidRPr="006F0B8B" w:rsidRDefault="002F7B34" w:rsidP="00854FA6">
            <w:pPr>
              <w:spacing w:line="360" w:lineRule="auto"/>
              <w:jc w:val="both"/>
              <w:rPr>
                <w:rFonts w:ascii="Book Antiqua" w:eastAsia="Times New Roman" w:hAnsi="Book Antiqua"/>
                <w:b/>
                <w:bCs/>
              </w:rPr>
            </w:pPr>
          </w:p>
        </w:tc>
        <w:tc>
          <w:tcPr>
            <w:tcW w:w="2277" w:type="dxa"/>
            <w:tcBorders>
              <w:top w:val="single" w:sz="4" w:space="0" w:color="auto"/>
              <w:left w:val="nil"/>
              <w:bottom w:val="single" w:sz="4" w:space="0" w:color="auto"/>
              <w:right w:val="nil"/>
            </w:tcBorders>
            <w:shd w:val="clear" w:color="auto" w:fill="auto"/>
            <w:hideMark/>
          </w:tcPr>
          <w:p w14:paraId="31216036" w14:textId="20BD77A7" w:rsidR="002F7B34" w:rsidRPr="006F0B8B" w:rsidRDefault="002F7B34" w:rsidP="00854FA6">
            <w:pPr>
              <w:spacing w:line="360" w:lineRule="auto"/>
              <w:jc w:val="both"/>
              <w:rPr>
                <w:rFonts w:ascii="Book Antiqua" w:hAnsi="Book Antiqua"/>
                <w:b/>
                <w:bCs/>
              </w:rPr>
            </w:pPr>
            <w:r w:rsidRPr="006F0B8B">
              <w:rPr>
                <w:rFonts w:ascii="Book Antiqua" w:hAnsi="Book Antiqua"/>
                <w:b/>
                <w:bCs/>
              </w:rPr>
              <w:t>OR (95%CI)</w:t>
            </w:r>
          </w:p>
        </w:tc>
        <w:tc>
          <w:tcPr>
            <w:tcW w:w="1134" w:type="dxa"/>
            <w:tcBorders>
              <w:top w:val="single" w:sz="4" w:space="0" w:color="auto"/>
              <w:left w:val="nil"/>
              <w:bottom w:val="single" w:sz="4" w:space="0" w:color="auto"/>
              <w:right w:val="nil"/>
            </w:tcBorders>
            <w:shd w:val="clear" w:color="auto" w:fill="auto"/>
            <w:hideMark/>
          </w:tcPr>
          <w:p w14:paraId="6874BE46" w14:textId="71D475CA" w:rsidR="002F7B34" w:rsidRPr="006F0B8B" w:rsidRDefault="002F7B34" w:rsidP="00854FA6">
            <w:pPr>
              <w:spacing w:line="360" w:lineRule="auto"/>
              <w:jc w:val="both"/>
              <w:rPr>
                <w:rFonts w:ascii="Book Antiqua" w:hAnsi="Book Antiqua"/>
                <w:b/>
                <w:bCs/>
                <w:i/>
                <w:iCs/>
              </w:rPr>
            </w:pPr>
            <w:r w:rsidRPr="006F0B8B">
              <w:rPr>
                <w:rFonts w:ascii="Book Antiqua" w:hAnsi="Book Antiqua"/>
                <w:b/>
                <w:bCs/>
                <w:i/>
                <w:iCs/>
              </w:rPr>
              <w:t>P</w:t>
            </w:r>
            <w:r w:rsidR="00EF3F08" w:rsidRPr="006F0B8B">
              <w:rPr>
                <w:rFonts w:ascii="Book Antiqua" w:hAnsi="Book Antiqua"/>
                <w:b/>
                <w:bCs/>
              </w:rPr>
              <w:t xml:space="preserve"> </w:t>
            </w:r>
            <w:r w:rsidRPr="006F0B8B">
              <w:rPr>
                <w:rFonts w:ascii="Book Antiqua" w:hAnsi="Book Antiqua"/>
                <w:b/>
                <w:bCs/>
              </w:rPr>
              <w:t>value</w:t>
            </w:r>
          </w:p>
        </w:tc>
        <w:tc>
          <w:tcPr>
            <w:tcW w:w="2268" w:type="dxa"/>
            <w:tcBorders>
              <w:top w:val="single" w:sz="4" w:space="0" w:color="auto"/>
              <w:left w:val="nil"/>
              <w:bottom w:val="single" w:sz="4" w:space="0" w:color="auto"/>
              <w:right w:val="nil"/>
            </w:tcBorders>
            <w:shd w:val="clear" w:color="auto" w:fill="auto"/>
            <w:hideMark/>
          </w:tcPr>
          <w:p w14:paraId="61B46848" w14:textId="6CD0AF7B" w:rsidR="002F7B34" w:rsidRPr="006F0B8B" w:rsidRDefault="002F7B34" w:rsidP="00854FA6">
            <w:pPr>
              <w:spacing w:line="360" w:lineRule="auto"/>
              <w:jc w:val="both"/>
              <w:rPr>
                <w:rFonts w:ascii="Book Antiqua" w:hAnsi="Book Antiqua"/>
                <w:b/>
                <w:bCs/>
              </w:rPr>
            </w:pPr>
            <w:r w:rsidRPr="006F0B8B">
              <w:rPr>
                <w:rFonts w:ascii="Book Antiqua" w:hAnsi="Book Antiqua"/>
                <w:b/>
                <w:bCs/>
              </w:rPr>
              <w:t>OR (95%CI)</w:t>
            </w:r>
          </w:p>
        </w:tc>
        <w:tc>
          <w:tcPr>
            <w:tcW w:w="1276" w:type="dxa"/>
            <w:tcBorders>
              <w:top w:val="single" w:sz="4" w:space="0" w:color="auto"/>
              <w:left w:val="nil"/>
              <w:bottom w:val="single" w:sz="4" w:space="0" w:color="auto"/>
              <w:right w:val="nil"/>
            </w:tcBorders>
            <w:shd w:val="clear" w:color="auto" w:fill="auto"/>
            <w:hideMark/>
          </w:tcPr>
          <w:p w14:paraId="61117EBA" w14:textId="30E35FD5" w:rsidR="002F7B34" w:rsidRPr="006F0B8B" w:rsidRDefault="002F7B34" w:rsidP="00854FA6">
            <w:pPr>
              <w:spacing w:line="360" w:lineRule="auto"/>
              <w:jc w:val="both"/>
              <w:rPr>
                <w:rFonts w:ascii="Book Antiqua" w:hAnsi="Book Antiqua"/>
                <w:b/>
                <w:bCs/>
                <w:i/>
                <w:iCs/>
              </w:rPr>
            </w:pPr>
            <w:r w:rsidRPr="006F0B8B">
              <w:rPr>
                <w:rFonts w:ascii="Book Antiqua" w:hAnsi="Book Antiqua"/>
                <w:b/>
                <w:bCs/>
                <w:i/>
                <w:iCs/>
              </w:rPr>
              <w:t>P</w:t>
            </w:r>
            <w:r w:rsidR="00E04E4E" w:rsidRPr="006F0B8B">
              <w:rPr>
                <w:rFonts w:ascii="Book Antiqua" w:hAnsi="Book Antiqua"/>
                <w:b/>
                <w:bCs/>
                <w:i/>
                <w:iCs/>
              </w:rPr>
              <w:t xml:space="preserve"> </w:t>
            </w:r>
            <w:r w:rsidRPr="006F0B8B">
              <w:rPr>
                <w:rFonts w:ascii="Book Antiqua" w:hAnsi="Book Antiqua"/>
                <w:b/>
                <w:bCs/>
              </w:rPr>
              <w:t>value</w:t>
            </w:r>
          </w:p>
        </w:tc>
      </w:tr>
      <w:tr w:rsidR="002F7B34" w:rsidRPr="006F0B8B" w14:paraId="5B217078" w14:textId="77777777" w:rsidTr="00A2203E">
        <w:trPr>
          <w:trHeight w:val="312"/>
        </w:trPr>
        <w:tc>
          <w:tcPr>
            <w:tcW w:w="1409" w:type="dxa"/>
            <w:tcBorders>
              <w:top w:val="single" w:sz="4" w:space="0" w:color="auto"/>
              <w:left w:val="nil"/>
              <w:bottom w:val="nil"/>
              <w:right w:val="nil"/>
            </w:tcBorders>
            <w:shd w:val="clear" w:color="auto" w:fill="auto"/>
            <w:hideMark/>
          </w:tcPr>
          <w:p w14:paraId="284203C2" w14:textId="7DDFB07C" w:rsidR="002F7B34" w:rsidRPr="006F0B8B" w:rsidRDefault="002F7B34" w:rsidP="00854FA6">
            <w:pPr>
              <w:spacing w:line="360" w:lineRule="auto"/>
              <w:jc w:val="both"/>
              <w:rPr>
                <w:rFonts w:ascii="Book Antiqua" w:hAnsi="Book Antiqua"/>
              </w:rPr>
            </w:pPr>
            <w:r w:rsidRPr="006F0B8B">
              <w:rPr>
                <w:rFonts w:ascii="Book Antiqua" w:hAnsi="Book Antiqua"/>
              </w:rPr>
              <w:t>WBC (×</w:t>
            </w:r>
            <w:r w:rsidR="00857048" w:rsidRPr="006F0B8B">
              <w:rPr>
                <w:rFonts w:ascii="Book Antiqua" w:hAnsi="Book Antiqua"/>
              </w:rPr>
              <w:t xml:space="preserve"> </w:t>
            </w:r>
            <w:r w:rsidRPr="006F0B8B">
              <w:rPr>
                <w:rFonts w:ascii="Book Antiqua" w:hAnsi="Book Antiqua"/>
              </w:rPr>
              <w:t>10</w:t>
            </w:r>
            <w:r w:rsidRPr="006F0B8B">
              <w:rPr>
                <w:rFonts w:ascii="Book Antiqua" w:hAnsi="Book Antiqua"/>
                <w:vertAlign w:val="superscript"/>
              </w:rPr>
              <w:t>9</w:t>
            </w:r>
            <w:r w:rsidRPr="006F0B8B">
              <w:rPr>
                <w:rFonts w:ascii="Book Antiqua" w:hAnsi="Book Antiqua"/>
              </w:rPr>
              <w:t>/L)</w:t>
            </w:r>
          </w:p>
        </w:tc>
        <w:tc>
          <w:tcPr>
            <w:tcW w:w="2277" w:type="dxa"/>
            <w:tcBorders>
              <w:top w:val="single" w:sz="4" w:space="0" w:color="auto"/>
              <w:left w:val="nil"/>
              <w:bottom w:val="nil"/>
              <w:right w:val="nil"/>
            </w:tcBorders>
            <w:shd w:val="clear" w:color="auto" w:fill="auto"/>
            <w:hideMark/>
          </w:tcPr>
          <w:p w14:paraId="0796E25A" w14:textId="77777777" w:rsidR="002F7B34" w:rsidRPr="006F0B8B" w:rsidRDefault="002F7B34" w:rsidP="00854FA6">
            <w:pPr>
              <w:spacing w:line="360" w:lineRule="auto"/>
              <w:jc w:val="both"/>
              <w:rPr>
                <w:rFonts w:ascii="Book Antiqua" w:hAnsi="Book Antiqua"/>
              </w:rPr>
            </w:pPr>
            <w:r w:rsidRPr="006F0B8B">
              <w:rPr>
                <w:rFonts w:ascii="Book Antiqua" w:hAnsi="Book Antiqua"/>
              </w:rPr>
              <w:t>1.066 (1.007-1.128)</w:t>
            </w:r>
          </w:p>
        </w:tc>
        <w:tc>
          <w:tcPr>
            <w:tcW w:w="1134" w:type="dxa"/>
            <w:tcBorders>
              <w:top w:val="single" w:sz="4" w:space="0" w:color="auto"/>
              <w:left w:val="nil"/>
              <w:bottom w:val="nil"/>
              <w:right w:val="nil"/>
            </w:tcBorders>
            <w:shd w:val="clear" w:color="auto" w:fill="auto"/>
            <w:hideMark/>
          </w:tcPr>
          <w:p w14:paraId="42764500" w14:textId="77777777" w:rsidR="002F7B34" w:rsidRPr="006F0B8B" w:rsidRDefault="002F7B34" w:rsidP="00854FA6">
            <w:pPr>
              <w:spacing w:line="360" w:lineRule="auto"/>
              <w:jc w:val="both"/>
              <w:rPr>
                <w:rFonts w:ascii="Book Antiqua" w:hAnsi="Book Antiqua"/>
              </w:rPr>
            </w:pPr>
            <w:r w:rsidRPr="006F0B8B">
              <w:rPr>
                <w:rFonts w:ascii="Book Antiqua" w:hAnsi="Book Antiqua"/>
              </w:rPr>
              <w:t>0.029</w:t>
            </w:r>
          </w:p>
        </w:tc>
        <w:tc>
          <w:tcPr>
            <w:tcW w:w="2268" w:type="dxa"/>
            <w:tcBorders>
              <w:top w:val="single" w:sz="4" w:space="0" w:color="auto"/>
              <w:left w:val="nil"/>
              <w:bottom w:val="nil"/>
              <w:right w:val="nil"/>
            </w:tcBorders>
            <w:shd w:val="clear" w:color="auto" w:fill="auto"/>
            <w:hideMark/>
          </w:tcPr>
          <w:p w14:paraId="4E41F494" w14:textId="77777777" w:rsidR="002F7B34" w:rsidRPr="006F0B8B" w:rsidRDefault="002F7B34" w:rsidP="00854FA6">
            <w:pPr>
              <w:spacing w:line="360" w:lineRule="auto"/>
              <w:jc w:val="both"/>
              <w:rPr>
                <w:rFonts w:ascii="Book Antiqua" w:hAnsi="Book Antiqua"/>
              </w:rPr>
            </w:pPr>
            <w:r w:rsidRPr="006F0B8B">
              <w:rPr>
                <w:rFonts w:ascii="Book Antiqua" w:hAnsi="Book Antiqua"/>
              </w:rPr>
              <w:t>0.875 (0.772-0.992)</w:t>
            </w:r>
          </w:p>
        </w:tc>
        <w:tc>
          <w:tcPr>
            <w:tcW w:w="1276" w:type="dxa"/>
            <w:tcBorders>
              <w:top w:val="single" w:sz="4" w:space="0" w:color="auto"/>
              <w:left w:val="nil"/>
              <w:bottom w:val="nil"/>
              <w:right w:val="nil"/>
            </w:tcBorders>
            <w:shd w:val="clear" w:color="auto" w:fill="auto"/>
            <w:hideMark/>
          </w:tcPr>
          <w:p w14:paraId="5350BAF7" w14:textId="77777777" w:rsidR="002F7B34" w:rsidRPr="006F0B8B" w:rsidRDefault="002F7B34" w:rsidP="00854FA6">
            <w:pPr>
              <w:spacing w:line="360" w:lineRule="auto"/>
              <w:jc w:val="both"/>
              <w:rPr>
                <w:rFonts w:ascii="Book Antiqua" w:hAnsi="Book Antiqua"/>
              </w:rPr>
            </w:pPr>
            <w:r w:rsidRPr="006F0B8B">
              <w:rPr>
                <w:rFonts w:ascii="Book Antiqua" w:hAnsi="Book Antiqua"/>
              </w:rPr>
              <w:t>0.037</w:t>
            </w:r>
          </w:p>
        </w:tc>
      </w:tr>
      <w:tr w:rsidR="002F7B34" w:rsidRPr="006F0B8B" w14:paraId="50908F5B" w14:textId="77777777" w:rsidTr="00854FA6">
        <w:trPr>
          <w:trHeight w:val="312"/>
        </w:trPr>
        <w:tc>
          <w:tcPr>
            <w:tcW w:w="1409" w:type="dxa"/>
            <w:tcBorders>
              <w:top w:val="nil"/>
              <w:left w:val="nil"/>
              <w:bottom w:val="nil"/>
              <w:right w:val="nil"/>
            </w:tcBorders>
            <w:shd w:val="clear" w:color="auto" w:fill="auto"/>
            <w:hideMark/>
          </w:tcPr>
          <w:p w14:paraId="2CE48429" w14:textId="77777777" w:rsidR="002F7B34" w:rsidRPr="006F0B8B" w:rsidRDefault="002F7B34" w:rsidP="00854FA6">
            <w:pPr>
              <w:spacing w:line="360" w:lineRule="auto"/>
              <w:jc w:val="both"/>
              <w:rPr>
                <w:rFonts w:ascii="Book Antiqua" w:hAnsi="Book Antiqua"/>
              </w:rPr>
            </w:pPr>
            <w:r w:rsidRPr="006F0B8B">
              <w:rPr>
                <w:rFonts w:ascii="Book Antiqua" w:hAnsi="Book Antiqua"/>
              </w:rPr>
              <w:t>NLCR</w:t>
            </w:r>
          </w:p>
        </w:tc>
        <w:tc>
          <w:tcPr>
            <w:tcW w:w="2277" w:type="dxa"/>
            <w:tcBorders>
              <w:top w:val="nil"/>
              <w:left w:val="nil"/>
              <w:bottom w:val="nil"/>
              <w:right w:val="nil"/>
            </w:tcBorders>
            <w:shd w:val="clear" w:color="auto" w:fill="auto"/>
            <w:hideMark/>
          </w:tcPr>
          <w:p w14:paraId="55AEE732" w14:textId="77777777" w:rsidR="002F7B34" w:rsidRPr="006F0B8B" w:rsidRDefault="002F7B34" w:rsidP="00854FA6">
            <w:pPr>
              <w:spacing w:line="360" w:lineRule="auto"/>
              <w:jc w:val="both"/>
              <w:rPr>
                <w:rFonts w:ascii="Book Antiqua" w:hAnsi="Book Antiqua"/>
              </w:rPr>
            </w:pPr>
            <w:r w:rsidRPr="006F0B8B">
              <w:rPr>
                <w:rFonts w:ascii="Book Antiqua" w:hAnsi="Book Antiqua"/>
              </w:rPr>
              <w:t>1.092 (1.051-1.135)</w:t>
            </w:r>
          </w:p>
        </w:tc>
        <w:tc>
          <w:tcPr>
            <w:tcW w:w="1134" w:type="dxa"/>
            <w:tcBorders>
              <w:top w:val="nil"/>
              <w:left w:val="nil"/>
              <w:bottom w:val="nil"/>
              <w:right w:val="nil"/>
            </w:tcBorders>
            <w:shd w:val="clear" w:color="auto" w:fill="auto"/>
            <w:hideMark/>
          </w:tcPr>
          <w:p w14:paraId="31E83BE3" w14:textId="782E1081"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354E3B52" w14:textId="77777777" w:rsidR="002F7B34" w:rsidRPr="006F0B8B" w:rsidRDefault="002F7B34" w:rsidP="00854FA6">
            <w:pPr>
              <w:spacing w:line="360" w:lineRule="auto"/>
              <w:jc w:val="both"/>
              <w:rPr>
                <w:rFonts w:ascii="Book Antiqua" w:hAnsi="Book Antiqua"/>
              </w:rPr>
            </w:pPr>
            <w:r w:rsidRPr="006F0B8B">
              <w:rPr>
                <w:rFonts w:ascii="Book Antiqua" w:hAnsi="Book Antiqua"/>
              </w:rPr>
              <w:t>1.145 (1.069-1.226)</w:t>
            </w:r>
          </w:p>
        </w:tc>
        <w:tc>
          <w:tcPr>
            <w:tcW w:w="1276" w:type="dxa"/>
            <w:tcBorders>
              <w:top w:val="nil"/>
              <w:left w:val="nil"/>
              <w:bottom w:val="nil"/>
              <w:right w:val="nil"/>
            </w:tcBorders>
            <w:shd w:val="clear" w:color="auto" w:fill="auto"/>
            <w:hideMark/>
          </w:tcPr>
          <w:p w14:paraId="15469A0D" w14:textId="2B445999"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0089C301" w14:textId="77777777" w:rsidTr="00854FA6">
        <w:trPr>
          <w:trHeight w:val="528"/>
        </w:trPr>
        <w:tc>
          <w:tcPr>
            <w:tcW w:w="1409" w:type="dxa"/>
            <w:tcBorders>
              <w:top w:val="nil"/>
              <w:left w:val="nil"/>
              <w:bottom w:val="nil"/>
              <w:right w:val="nil"/>
            </w:tcBorders>
            <w:shd w:val="clear" w:color="auto" w:fill="auto"/>
            <w:hideMark/>
          </w:tcPr>
          <w:p w14:paraId="54D87D75" w14:textId="77777777" w:rsidR="002F7B34" w:rsidRPr="006F0B8B" w:rsidRDefault="002F7B34" w:rsidP="00854FA6">
            <w:pPr>
              <w:spacing w:line="360" w:lineRule="auto"/>
              <w:jc w:val="both"/>
              <w:rPr>
                <w:rFonts w:ascii="Book Antiqua" w:hAnsi="Book Antiqua"/>
              </w:rPr>
            </w:pPr>
            <w:r w:rsidRPr="006F0B8B">
              <w:rPr>
                <w:rFonts w:ascii="Book Antiqua" w:hAnsi="Book Antiqua"/>
              </w:rPr>
              <w:t>INR</w:t>
            </w:r>
          </w:p>
        </w:tc>
        <w:tc>
          <w:tcPr>
            <w:tcW w:w="2277" w:type="dxa"/>
            <w:tcBorders>
              <w:top w:val="nil"/>
              <w:left w:val="nil"/>
              <w:bottom w:val="nil"/>
              <w:right w:val="nil"/>
            </w:tcBorders>
            <w:shd w:val="clear" w:color="auto" w:fill="auto"/>
            <w:hideMark/>
          </w:tcPr>
          <w:p w14:paraId="1051E4D2" w14:textId="6074B5B4" w:rsidR="002F7B34" w:rsidRPr="006F0B8B" w:rsidRDefault="002F7B34" w:rsidP="00854FA6">
            <w:pPr>
              <w:spacing w:line="360" w:lineRule="auto"/>
              <w:jc w:val="both"/>
              <w:rPr>
                <w:rFonts w:ascii="Book Antiqua" w:hAnsi="Book Antiqua"/>
              </w:rPr>
            </w:pPr>
            <w:r w:rsidRPr="006F0B8B">
              <w:rPr>
                <w:rFonts w:ascii="Book Antiqua" w:hAnsi="Book Antiqua"/>
              </w:rPr>
              <w:t>35.214 (12.887</w:t>
            </w:r>
            <w:r w:rsidR="00EE41A5" w:rsidRPr="006F0B8B">
              <w:rPr>
                <w:rFonts w:ascii="Book Antiqua" w:hAnsi="Book Antiqua"/>
              </w:rPr>
              <w:t>-</w:t>
            </w:r>
            <w:r w:rsidRPr="006F0B8B">
              <w:rPr>
                <w:rFonts w:ascii="Book Antiqua" w:hAnsi="Book Antiqua"/>
              </w:rPr>
              <w:t>96.223)</w:t>
            </w:r>
          </w:p>
        </w:tc>
        <w:tc>
          <w:tcPr>
            <w:tcW w:w="1134" w:type="dxa"/>
            <w:tcBorders>
              <w:top w:val="nil"/>
              <w:left w:val="nil"/>
              <w:bottom w:val="nil"/>
              <w:right w:val="nil"/>
            </w:tcBorders>
            <w:shd w:val="clear" w:color="auto" w:fill="auto"/>
            <w:hideMark/>
          </w:tcPr>
          <w:p w14:paraId="30C414AC" w14:textId="1A3C2179"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6D59CFCA" w14:textId="39EB353D" w:rsidR="002F7B34" w:rsidRPr="006F0B8B" w:rsidRDefault="002F7B34" w:rsidP="00854FA6">
            <w:pPr>
              <w:spacing w:line="360" w:lineRule="auto"/>
              <w:jc w:val="both"/>
              <w:rPr>
                <w:rFonts w:ascii="Book Antiqua" w:hAnsi="Book Antiqua"/>
              </w:rPr>
            </w:pPr>
            <w:r w:rsidRPr="006F0B8B">
              <w:rPr>
                <w:rFonts w:ascii="Book Antiqua" w:hAnsi="Book Antiqua"/>
              </w:rPr>
              <w:t>27.106 (5.038</w:t>
            </w:r>
            <w:r w:rsidR="00EE41A5" w:rsidRPr="006F0B8B">
              <w:rPr>
                <w:rFonts w:ascii="Book Antiqua" w:hAnsi="Book Antiqua"/>
              </w:rPr>
              <w:t>-</w:t>
            </w:r>
            <w:r w:rsidRPr="006F0B8B">
              <w:rPr>
                <w:rFonts w:ascii="Book Antiqua" w:hAnsi="Book Antiqua"/>
              </w:rPr>
              <w:t>145.825)</w:t>
            </w:r>
          </w:p>
        </w:tc>
        <w:tc>
          <w:tcPr>
            <w:tcW w:w="1276" w:type="dxa"/>
            <w:tcBorders>
              <w:top w:val="nil"/>
              <w:left w:val="nil"/>
              <w:bottom w:val="nil"/>
              <w:right w:val="nil"/>
            </w:tcBorders>
            <w:shd w:val="clear" w:color="auto" w:fill="auto"/>
            <w:hideMark/>
          </w:tcPr>
          <w:p w14:paraId="29857943" w14:textId="3FB8AFFD"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4D88C8EF" w14:textId="77777777" w:rsidTr="00854FA6">
        <w:trPr>
          <w:trHeight w:val="312"/>
        </w:trPr>
        <w:tc>
          <w:tcPr>
            <w:tcW w:w="1409" w:type="dxa"/>
            <w:tcBorders>
              <w:top w:val="nil"/>
              <w:left w:val="nil"/>
              <w:right w:val="nil"/>
            </w:tcBorders>
            <w:shd w:val="clear" w:color="auto" w:fill="auto"/>
            <w:hideMark/>
          </w:tcPr>
          <w:p w14:paraId="400AB1AA" w14:textId="7ADA0AF0" w:rsidR="002F7B34" w:rsidRPr="006F0B8B" w:rsidRDefault="002F7B34" w:rsidP="00854FA6">
            <w:pPr>
              <w:spacing w:line="360" w:lineRule="auto"/>
              <w:jc w:val="both"/>
              <w:rPr>
                <w:rFonts w:ascii="Book Antiqua" w:hAnsi="Book Antiqua"/>
              </w:rPr>
            </w:pPr>
            <w:r w:rsidRPr="006F0B8B">
              <w:rPr>
                <w:rFonts w:ascii="Book Antiqua" w:hAnsi="Book Antiqua"/>
              </w:rPr>
              <w:t>PLT (×</w:t>
            </w:r>
            <w:r w:rsidR="00BC7700" w:rsidRPr="006F0B8B">
              <w:rPr>
                <w:rFonts w:ascii="Book Antiqua" w:hAnsi="Book Antiqua"/>
              </w:rPr>
              <w:t xml:space="preserve"> </w:t>
            </w:r>
            <w:r w:rsidRPr="006F0B8B">
              <w:rPr>
                <w:rFonts w:ascii="Book Antiqua" w:hAnsi="Book Antiqua"/>
              </w:rPr>
              <w:t>10</w:t>
            </w:r>
            <w:r w:rsidRPr="006F0B8B">
              <w:rPr>
                <w:rFonts w:ascii="Book Antiqua" w:hAnsi="Book Antiqua"/>
                <w:vertAlign w:val="superscript"/>
              </w:rPr>
              <w:t>9</w:t>
            </w:r>
            <w:r w:rsidRPr="006F0B8B">
              <w:rPr>
                <w:rFonts w:ascii="Book Antiqua" w:hAnsi="Book Antiqua"/>
              </w:rPr>
              <w:t>/L)</w:t>
            </w:r>
          </w:p>
        </w:tc>
        <w:tc>
          <w:tcPr>
            <w:tcW w:w="2277" w:type="dxa"/>
            <w:tcBorders>
              <w:top w:val="nil"/>
              <w:left w:val="nil"/>
              <w:right w:val="nil"/>
            </w:tcBorders>
            <w:shd w:val="clear" w:color="auto" w:fill="auto"/>
            <w:hideMark/>
          </w:tcPr>
          <w:p w14:paraId="754E985A" w14:textId="77777777" w:rsidR="002F7B34" w:rsidRPr="006F0B8B" w:rsidRDefault="002F7B34" w:rsidP="00854FA6">
            <w:pPr>
              <w:spacing w:line="360" w:lineRule="auto"/>
              <w:jc w:val="both"/>
              <w:rPr>
                <w:rFonts w:ascii="Book Antiqua" w:hAnsi="Book Antiqua"/>
              </w:rPr>
            </w:pPr>
            <w:r w:rsidRPr="006F0B8B">
              <w:rPr>
                <w:rFonts w:ascii="Book Antiqua" w:hAnsi="Book Antiqua"/>
              </w:rPr>
              <w:t>0.985 (0.980-0.991)</w:t>
            </w:r>
          </w:p>
        </w:tc>
        <w:tc>
          <w:tcPr>
            <w:tcW w:w="1134" w:type="dxa"/>
            <w:tcBorders>
              <w:top w:val="nil"/>
              <w:left w:val="nil"/>
              <w:right w:val="nil"/>
            </w:tcBorders>
            <w:shd w:val="clear" w:color="auto" w:fill="auto"/>
            <w:hideMark/>
          </w:tcPr>
          <w:p w14:paraId="6337B8F1" w14:textId="0FDCD522"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right w:val="nil"/>
            </w:tcBorders>
            <w:shd w:val="clear" w:color="auto" w:fill="auto"/>
            <w:hideMark/>
          </w:tcPr>
          <w:p w14:paraId="6BBEE651" w14:textId="77777777" w:rsidR="002F7B34" w:rsidRPr="006F0B8B" w:rsidRDefault="002F7B34" w:rsidP="00854FA6">
            <w:pPr>
              <w:spacing w:line="360" w:lineRule="auto"/>
              <w:jc w:val="both"/>
              <w:rPr>
                <w:rFonts w:ascii="Book Antiqua" w:hAnsi="Book Antiqua"/>
              </w:rPr>
            </w:pPr>
            <w:r w:rsidRPr="006F0B8B">
              <w:rPr>
                <w:rFonts w:ascii="Book Antiqua" w:hAnsi="Book Antiqua"/>
              </w:rPr>
              <w:t>0.981 (0.97-0.991)</w:t>
            </w:r>
          </w:p>
        </w:tc>
        <w:tc>
          <w:tcPr>
            <w:tcW w:w="1276" w:type="dxa"/>
            <w:tcBorders>
              <w:top w:val="nil"/>
              <w:left w:val="nil"/>
              <w:right w:val="nil"/>
            </w:tcBorders>
            <w:shd w:val="clear" w:color="auto" w:fill="auto"/>
            <w:hideMark/>
          </w:tcPr>
          <w:p w14:paraId="1596996E" w14:textId="2ACE1998"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04D64074" w14:textId="77777777" w:rsidTr="00854FA6">
        <w:trPr>
          <w:trHeight w:val="312"/>
        </w:trPr>
        <w:tc>
          <w:tcPr>
            <w:tcW w:w="1409" w:type="dxa"/>
            <w:tcBorders>
              <w:top w:val="nil"/>
              <w:left w:val="nil"/>
              <w:bottom w:val="nil"/>
              <w:right w:val="nil"/>
            </w:tcBorders>
            <w:shd w:val="clear" w:color="auto" w:fill="auto"/>
            <w:hideMark/>
          </w:tcPr>
          <w:p w14:paraId="1391469A" w14:textId="77777777" w:rsidR="002F7B34" w:rsidRPr="006F0B8B" w:rsidRDefault="002F7B34" w:rsidP="00854FA6">
            <w:pPr>
              <w:spacing w:line="360" w:lineRule="auto"/>
              <w:jc w:val="both"/>
              <w:rPr>
                <w:rFonts w:ascii="Book Antiqua" w:hAnsi="Book Antiqua"/>
              </w:rPr>
            </w:pPr>
            <w:r w:rsidRPr="006F0B8B">
              <w:rPr>
                <w:rFonts w:ascii="Book Antiqua" w:hAnsi="Book Antiqua"/>
              </w:rPr>
              <w:t>PT (s)</w:t>
            </w:r>
          </w:p>
        </w:tc>
        <w:tc>
          <w:tcPr>
            <w:tcW w:w="2277" w:type="dxa"/>
            <w:tcBorders>
              <w:top w:val="nil"/>
              <w:left w:val="nil"/>
              <w:bottom w:val="nil"/>
              <w:right w:val="nil"/>
            </w:tcBorders>
            <w:shd w:val="clear" w:color="auto" w:fill="auto"/>
            <w:hideMark/>
          </w:tcPr>
          <w:p w14:paraId="474E4A40" w14:textId="77777777" w:rsidR="002F7B34" w:rsidRPr="006F0B8B" w:rsidRDefault="002F7B34" w:rsidP="00854FA6">
            <w:pPr>
              <w:spacing w:line="360" w:lineRule="auto"/>
              <w:jc w:val="both"/>
              <w:rPr>
                <w:rFonts w:ascii="Book Antiqua" w:hAnsi="Book Antiqua"/>
              </w:rPr>
            </w:pPr>
            <w:r w:rsidRPr="006F0B8B">
              <w:rPr>
                <w:rFonts w:ascii="Book Antiqua" w:hAnsi="Book Antiqua"/>
              </w:rPr>
              <w:t>1.868 (1.458-2.393)</w:t>
            </w:r>
          </w:p>
        </w:tc>
        <w:tc>
          <w:tcPr>
            <w:tcW w:w="1134" w:type="dxa"/>
            <w:tcBorders>
              <w:top w:val="nil"/>
              <w:left w:val="nil"/>
              <w:bottom w:val="nil"/>
              <w:right w:val="nil"/>
            </w:tcBorders>
            <w:shd w:val="clear" w:color="auto" w:fill="auto"/>
            <w:hideMark/>
          </w:tcPr>
          <w:p w14:paraId="21835DF5" w14:textId="73FA1636"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47B83846" w14:textId="77777777" w:rsidR="002F7B34" w:rsidRPr="006F0B8B" w:rsidRDefault="002F7B34" w:rsidP="00854FA6">
            <w:pPr>
              <w:spacing w:line="360" w:lineRule="auto"/>
              <w:jc w:val="both"/>
              <w:rPr>
                <w:rFonts w:ascii="Book Antiqua" w:hAnsi="Book Antiqua"/>
              </w:rPr>
            </w:pPr>
            <w:r w:rsidRPr="006F0B8B">
              <w:rPr>
                <w:rFonts w:ascii="Book Antiqua" w:hAnsi="Book Antiqua"/>
              </w:rPr>
              <w:t>1.475 (1.032-2.106)</w:t>
            </w:r>
          </w:p>
        </w:tc>
        <w:tc>
          <w:tcPr>
            <w:tcW w:w="1276" w:type="dxa"/>
            <w:tcBorders>
              <w:top w:val="nil"/>
              <w:left w:val="nil"/>
              <w:bottom w:val="nil"/>
              <w:right w:val="nil"/>
            </w:tcBorders>
            <w:shd w:val="clear" w:color="auto" w:fill="auto"/>
            <w:hideMark/>
          </w:tcPr>
          <w:p w14:paraId="0153BF15" w14:textId="77777777" w:rsidR="002F7B34" w:rsidRPr="006F0B8B" w:rsidRDefault="002F7B34" w:rsidP="00854FA6">
            <w:pPr>
              <w:spacing w:line="360" w:lineRule="auto"/>
              <w:jc w:val="both"/>
              <w:rPr>
                <w:rFonts w:ascii="Book Antiqua" w:hAnsi="Book Antiqua"/>
              </w:rPr>
            </w:pPr>
            <w:r w:rsidRPr="006F0B8B">
              <w:rPr>
                <w:rFonts w:ascii="Book Antiqua" w:hAnsi="Book Antiqua"/>
              </w:rPr>
              <w:t>0.033</w:t>
            </w:r>
          </w:p>
        </w:tc>
      </w:tr>
      <w:tr w:rsidR="002F7B34" w:rsidRPr="006F0B8B" w14:paraId="66B99691" w14:textId="77777777" w:rsidTr="00854FA6">
        <w:trPr>
          <w:trHeight w:val="312"/>
        </w:trPr>
        <w:tc>
          <w:tcPr>
            <w:tcW w:w="1409" w:type="dxa"/>
            <w:tcBorders>
              <w:top w:val="nil"/>
              <w:left w:val="nil"/>
              <w:bottom w:val="nil"/>
              <w:right w:val="nil"/>
            </w:tcBorders>
            <w:shd w:val="clear" w:color="auto" w:fill="auto"/>
            <w:hideMark/>
          </w:tcPr>
          <w:p w14:paraId="2A7361FB" w14:textId="77777777" w:rsidR="002F7B34" w:rsidRPr="006F0B8B" w:rsidRDefault="002F7B34" w:rsidP="00854FA6">
            <w:pPr>
              <w:spacing w:line="360" w:lineRule="auto"/>
              <w:jc w:val="both"/>
              <w:rPr>
                <w:rFonts w:ascii="Book Antiqua" w:hAnsi="Book Antiqua"/>
              </w:rPr>
            </w:pPr>
            <w:r w:rsidRPr="006F0B8B">
              <w:rPr>
                <w:rFonts w:ascii="Book Antiqua" w:hAnsi="Book Antiqua"/>
              </w:rPr>
              <w:t>APTT (s)</w:t>
            </w:r>
          </w:p>
        </w:tc>
        <w:tc>
          <w:tcPr>
            <w:tcW w:w="2277" w:type="dxa"/>
            <w:tcBorders>
              <w:top w:val="nil"/>
              <w:left w:val="nil"/>
              <w:bottom w:val="nil"/>
              <w:right w:val="nil"/>
            </w:tcBorders>
            <w:shd w:val="clear" w:color="auto" w:fill="auto"/>
            <w:hideMark/>
          </w:tcPr>
          <w:p w14:paraId="2782B63B" w14:textId="5AF02B40" w:rsidR="002F7B34" w:rsidRPr="006F0B8B" w:rsidRDefault="002F7B34" w:rsidP="00854FA6">
            <w:pPr>
              <w:spacing w:line="360" w:lineRule="auto"/>
              <w:jc w:val="both"/>
              <w:rPr>
                <w:rFonts w:ascii="Book Antiqua" w:hAnsi="Book Antiqua"/>
              </w:rPr>
            </w:pPr>
            <w:r w:rsidRPr="006F0B8B">
              <w:rPr>
                <w:rFonts w:ascii="Book Antiqua" w:hAnsi="Book Antiqua"/>
              </w:rPr>
              <w:t>1.091</w:t>
            </w:r>
            <w:r w:rsidR="006A379B" w:rsidRPr="006F0B8B">
              <w:rPr>
                <w:rFonts w:ascii="Book Antiqua" w:hAnsi="Book Antiqua"/>
              </w:rPr>
              <w:t xml:space="preserve"> </w:t>
            </w:r>
            <w:r w:rsidRPr="006F0B8B">
              <w:rPr>
                <w:rFonts w:ascii="Book Antiqua" w:hAnsi="Book Antiqua"/>
              </w:rPr>
              <w:t>(1.045-1.139)</w:t>
            </w:r>
          </w:p>
        </w:tc>
        <w:tc>
          <w:tcPr>
            <w:tcW w:w="1134" w:type="dxa"/>
            <w:tcBorders>
              <w:top w:val="nil"/>
              <w:left w:val="nil"/>
              <w:bottom w:val="nil"/>
              <w:right w:val="nil"/>
            </w:tcBorders>
            <w:shd w:val="clear" w:color="auto" w:fill="auto"/>
            <w:hideMark/>
          </w:tcPr>
          <w:p w14:paraId="5C95BA07" w14:textId="5C32FAD8"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770E96C3" w14:textId="77777777" w:rsidR="002F7B34" w:rsidRPr="006F0B8B" w:rsidRDefault="002F7B34" w:rsidP="00854FA6">
            <w:pPr>
              <w:spacing w:line="360" w:lineRule="auto"/>
              <w:jc w:val="both"/>
              <w:rPr>
                <w:rFonts w:ascii="Book Antiqua" w:hAnsi="Book Antiqua"/>
              </w:rPr>
            </w:pPr>
          </w:p>
        </w:tc>
        <w:tc>
          <w:tcPr>
            <w:tcW w:w="1276" w:type="dxa"/>
            <w:tcBorders>
              <w:top w:val="nil"/>
              <w:left w:val="nil"/>
              <w:bottom w:val="nil"/>
              <w:right w:val="nil"/>
            </w:tcBorders>
            <w:shd w:val="clear" w:color="auto" w:fill="auto"/>
            <w:hideMark/>
          </w:tcPr>
          <w:p w14:paraId="05BAB4E0" w14:textId="77777777" w:rsidR="002F7B34" w:rsidRPr="006F0B8B" w:rsidRDefault="002F7B34" w:rsidP="00854FA6">
            <w:pPr>
              <w:spacing w:line="360" w:lineRule="auto"/>
              <w:jc w:val="both"/>
              <w:rPr>
                <w:rFonts w:ascii="Book Antiqua" w:hAnsi="Book Antiqua"/>
              </w:rPr>
            </w:pPr>
            <w:r w:rsidRPr="006F0B8B">
              <w:rPr>
                <w:rFonts w:ascii="Book Antiqua" w:hAnsi="Book Antiqua"/>
              </w:rPr>
              <w:t>0.190</w:t>
            </w:r>
          </w:p>
        </w:tc>
      </w:tr>
      <w:tr w:rsidR="002F7B34" w:rsidRPr="006F0B8B" w14:paraId="31ECD00D" w14:textId="77777777" w:rsidTr="00854FA6">
        <w:trPr>
          <w:trHeight w:val="327"/>
        </w:trPr>
        <w:tc>
          <w:tcPr>
            <w:tcW w:w="1409" w:type="dxa"/>
            <w:tcBorders>
              <w:top w:val="nil"/>
              <w:left w:val="nil"/>
              <w:bottom w:val="single" w:sz="4" w:space="0" w:color="auto"/>
              <w:right w:val="nil"/>
            </w:tcBorders>
            <w:shd w:val="clear" w:color="auto" w:fill="auto"/>
            <w:hideMark/>
          </w:tcPr>
          <w:p w14:paraId="78D2246B" w14:textId="77777777" w:rsidR="002F7B34" w:rsidRPr="006F0B8B" w:rsidRDefault="002F7B34" w:rsidP="00854FA6">
            <w:pPr>
              <w:spacing w:line="360" w:lineRule="auto"/>
              <w:jc w:val="both"/>
              <w:rPr>
                <w:rFonts w:ascii="Book Antiqua" w:hAnsi="Book Antiqua"/>
              </w:rPr>
            </w:pPr>
            <w:proofErr w:type="spellStart"/>
            <w:r w:rsidRPr="006F0B8B">
              <w:rPr>
                <w:rFonts w:ascii="Book Antiqua" w:hAnsi="Book Antiqua"/>
              </w:rPr>
              <w:t>qSOFA</w:t>
            </w:r>
            <w:proofErr w:type="spellEnd"/>
          </w:p>
        </w:tc>
        <w:tc>
          <w:tcPr>
            <w:tcW w:w="2277" w:type="dxa"/>
            <w:tcBorders>
              <w:top w:val="nil"/>
              <w:left w:val="nil"/>
              <w:bottom w:val="single" w:sz="4" w:space="0" w:color="auto"/>
              <w:right w:val="nil"/>
            </w:tcBorders>
            <w:shd w:val="clear" w:color="auto" w:fill="auto"/>
            <w:hideMark/>
          </w:tcPr>
          <w:p w14:paraId="30CC24B8" w14:textId="77777777" w:rsidR="002F7B34" w:rsidRPr="006F0B8B" w:rsidRDefault="002F7B34" w:rsidP="00854FA6">
            <w:pPr>
              <w:spacing w:line="360" w:lineRule="auto"/>
              <w:jc w:val="both"/>
              <w:rPr>
                <w:rFonts w:ascii="Book Antiqua" w:hAnsi="Book Antiqua"/>
              </w:rPr>
            </w:pPr>
            <w:r w:rsidRPr="006F0B8B">
              <w:rPr>
                <w:rFonts w:ascii="Book Antiqua" w:hAnsi="Book Antiqua"/>
              </w:rPr>
              <w:t>2.122 (1.265-3.559)</w:t>
            </w:r>
          </w:p>
        </w:tc>
        <w:tc>
          <w:tcPr>
            <w:tcW w:w="1134" w:type="dxa"/>
            <w:tcBorders>
              <w:top w:val="nil"/>
              <w:left w:val="nil"/>
              <w:bottom w:val="single" w:sz="4" w:space="0" w:color="auto"/>
              <w:right w:val="nil"/>
            </w:tcBorders>
            <w:shd w:val="clear" w:color="auto" w:fill="auto"/>
            <w:hideMark/>
          </w:tcPr>
          <w:p w14:paraId="22A96676" w14:textId="77777777" w:rsidR="002F7B34" w:rsidRPr="006F0B8B" w:rsidRDefault="002F7B34" w:rsidP="00854FA6">
            <w:pPr>
              <w:spacing w:line="360" w:lineRule="auto"/>
              <w:jc w:val="both"/>
              <w:rPr>
                <w:rFonts w:ascii="Book Antiqua" w:hAnsi="Book Antiqua"/>
              </w:rPr>
            </w:pPr>
            <w:r w:rsidRPr="006F0B8B">
              <w:rPr>
                <w:rFonts w:ascii="Book Antiqua" w:hAnsi="Book Antiqua"/>
              </w:rPr>
              <w:t>0.004</w:t>
            </w:r>
          </w:p>
        </w:tc>
        <w:tc>
          <w:tcPr>
            <w:tcW w:w="2268" w:type="dxa"/>
            <w:tcBorders>
              <w:top w:val="nil"/>
              <w:left w:val="nil"/>
              <w:bottom w:val="single" w:sz="4" w:space="0" w:color="auto"/>
              <w:right w:val="nil"/>
            </w:tcBorders>
            <w:shd w:val="clear" w:color="auto" w:fill="auto"/>
            <w:hideMark/>
          </w:tcPr>
          <w:p w14:paraId="57CC7882" w14:textId="77777777" w:rsidR="002F7B34" w:rsidRPr="006F0B8B" w:rsidRDefault="002F7B34" w:rsidP="00854FA6">
            <w:pPr>
              <w:spacing w:line="360" w:lineRule="auto"/>
              <w:jc w:val="both"/>
              <w:rPr>
                <w:rFonts w:ascii="Book Antiqua" w:hAnsi="Book Antiqua"/>
              </w:rPr>
            </w:pPr>
          </w:p>
        </w:tc>
        <w:tc>
          <w:tcPr>
            <w:tcW w:w="1276" w:type="dxa"/>
            <w:tcBorders>
              <w:top w:val="nil"/>
              <w:left w:val="nil"/>
              <w:bottom w:val="single" w:sz="4" w:space="0" w:color="auto"/>
              <w:right w:val="nil"/>
            </w:tcBorders>
            <w:shd w:val="clear" w:color="auto" w:fill="auto"/>
            <w:hideMark/>
          </w:tcPr>
          <w:p w14:paraId="5A38038B" w14:textId="77777777" w:rsidR="002F7B34" w:rsidRPr="006F0B8B" w:rsidRDefault="002F7B34" w:rsidP="00854FA6">
            <w:pPr>
              <w:spacing w:line="360" w:lineRule="auto"/>
              <w:jc w:val="both"/>
              <w:rPr>
                <w:rFonts w:ascii="Book Antiqua" w:hAnsi="Book Antiqua"/>
              </w:rPr>
            </w:pPr>
            <w:r w:rsidRPr="006F0B8B">
              <w:rPr>
                <w:rFonts w:ascii="Book Antiqua" w:hAnsi="Book Antiqua"/>
              </w:rPr>
              <w:t>0.907</w:t>
            </w:r>
          </w:p>
        </w:tc>
      </w:tr>
    </w:tbl>
    <w:p w14:paraId="58EB21C3" w14:textId="5F97D64C" w:rsidR="002F7B34" w:rsidRPr="00D81DFB" w:rsidRDefault="00535329" w:rsidP="002F7B34">
      <w:pPr>
        <w:spacing w:line="360" w:lineRule="auto"/>
        <w:jc w:val="both"/>
        <w:rPr>
          <w:rFonts w:ascii="Book Antiqua" w:hAnsi="Book Antiqua"/>
        </w:rPr>
      </w:pPr>
      <w:r w:rsidRPr="006F0B8B">
        <w:rPr>
          <w:rFonts w:ascii="Book Antiqua" w:hAnsi="Book Antiqua"/>
        </w:rPr>
        <w:t>APTT: Activated partial thromboplastin time;</w:t>
      </w:r>
      <w:r>
        <w:rPr>
          <w:rFonts w:ascii="Book Antiqua" w:hAnsi="Book Antiqua"/>
        </w:rPr>
        <w:t xml:space="preserve"> </w:t>
      </w:r>
      <w:r w:rsidR="00A40923" w:rsidRPr="006F0B8B">
        <w:rPr>
          <w:rFonts w:ascii="Book Antiqua" w:hAnsi="Book Antiqua"/>
        </w:rPr>
        <w:t xml:space="preserve">CI: </w:t>
      </w:r>
      <w:r w:rsidR="00FC2770" w:rsidRPr="006F0B8B">
        <w:rPr>
          <w:rFonts w:ascii="Book Antiqua" w:hAnsi="Book Antiqua"/>
        </w:rPr>
        <w:t>C</w:t>
      </w:r>
      <w:r w:rsidR="00A40923" w:rsidRPr="006F0B8B">
        <w:rPr>
          <w:rFonts w:ascii="Book Antiqua" w:hAnsi="Book Antiqua"/>
        </w:rPr>
        <w:t xml:space="preserve">onfidence intervals; </w:t>
      </w:r>
      <w:r w:rsidRPr="006F0B8B">
        <w:rPr>
          <w:rFonts w:ascii="Book Antiqua" w:hAnsi="Book Antiqua"/>
        </w:rPr>
        <w:t>INR: International normalized ratio; NLCR: Neutrophil-lymphocyte count ratio;</w:t>
      </w:r>
      <w:r>
        <w:rPr>
          <w:rFonts w:ascii="Book Antiqua" w:hAnsi="Book Antiqua"/>
        </w:rPr>
        <w:t xml:space="preserve"> </w:t>
      </w:r>
      <w:r w:rsidRPr="006F0B8B">
        <w:rPr>
          <w:rFonts w:ascii="Book Antiqua" w:hAnsi="Book Antiqua"/>
        </w:rPr>
        <w:t xml:space="preserve">OR: Odds ratio; PLT: Platelet; PT: Prothrombin time; </w:t>
      </w:r>
      <w:proofErr w:type="spellStart"/>
      <w:r w:rsidRPr="006F0B8B">
        <w:rPr>
          <w:rFonts w:ascii="Book Antiqua" w:hAnsi="Book Antiqua"/>
        </w:rPr>
        <w:t>qSOFA</w:t>
      </w:r>
      <w:proofErr w:type="spellEnd"/>
      <w:r w:rsidRPr="006F0B8B">
        <w:rPr>
          <w:rFonts w:ascii="Book Antiqua" w:hAnsi="Book Antiqua"/>
        </w:rPr>
        <w:t>: Quick Sequential “Sepsis-related” Organ Failure</w:t>
      </w:r>
      <w:r w:rsidRPr="00D81DFB">
        <w:rPr>
          <w:rFonts w:ascii="Book Antiqua" w:hAnsi="Book Antiqua"/>
        </w:rPr>
        <w:t xml:space="preserve"> Assessment</w:t>
      </w:r>
      <w:r>
        <w:rPr>
          <w:rFonts w:ascii="Book Antiqua" w:hAnsi="Book Antiqua"/>
        </w:rPr>
        <w:t xml:space="preserve">; </w:t>
      </w:r>
      <w:r w:rsidR="00783B8B" w:rsidRPr="006F0B8B">
        <w:rPr>
          <w:rFonts w:ascii="Book Antiqua" w:hAnsi="Book Antiqua"/>
        </w:rPr>
        <w:t>WBC: White blood cell</w:t>
      </w:r>
      <w:r>
        <w:rPr>
          <w:rFonts w:ascii="Book Antiqua" w:hAnsi="Book Antiqua"/>
        </w:rPr>
        <w:t>.</w:t>
      </w:r>
      <w:r w:rsidR="00783B8B" w:rsidRPr="006F0B8B">
        <w:rPr>
          <w:rFonts w:ascii="Book Antiqua" w:hAnsi="Book Antiqua"/>
        </w:rPr>
        <w:t xml:space="preserve"> </w:t>
      </w:r>
    </w:p>
    <w:p w14:paraId="21128AE2" w14:textId="77777777" w:rsidR="00BD169C" w:rsidRDefault="00BD169C">
      <w:pPr>
        <w:spacing w:line="360" w:lineRule="auto"/>
        <w:jc w:val="both"/>
        <w:rPr>
          <w:rFonts w:ascii="Book Antiqua" w:eastAsia="Book Antiqua" w:hAnsi="Book Antiqua" w:cs="Book Antiqua"/>
          <w:color w:val="000000"/>
        </w:rPr>
        <w:sectPr w:rsidR="00BD169C">
          <w:pgSz w:w="12240" w:h="15840"/>
          <w:pgMar w:top="1440" w:right="1440" w:bottom="1440" w:left="1440" w:header="720" w:footer="720" w:gutter="0"/>
          <w:cols w:space="720"/>
          <w:docGrid w:linePitch="360"/>
        </w:sectPr>
      </w:pPr>
    </w:p>
    <w:p w14:paraId="00D4F4E2" w14:textId="6DD23BC2" w:rsidR="00BD169C" w:rsidRPr="00BD169C" w:rsidRDefault="00BD169C" w:rsidP="00BD169C">
      <w:pPr>
        <w:spacing w:line="360" w:lineRule="auto"/>
        <w:jc w:val="both"/>
        <w:rPr>
          <w:rFonts w:ascii="Book Antiqua" w:hAnsi="Book Antiqua"/>
          <w:b/>
          <w:bCs/>
        </w:rPr>
      </w:pPr>
      <w:r w:rsidRPr="00BD169C">
        <w:rPr>
          <w:rFonts w:ascii="Book Antiqua" w:hAnsi="Book Antiqua"/>
          <w:b/>
          <w:bCs/>
        </w:rPr>
        <w:lastRenderedPageBreak/>
        <w:t>Table 4 Performance characteristics of the single biomarker for diagnosing sepsis</w:t>
      </w:r>
    </w:p>
    <w:tbl>
      <w:tblPr>
        <w:tblW w:w="5000" w:type="pct"/>
        <w:tblLook w:val="04A0" w:firstRow="1" w:lastRow="0" w:firstColumn="1" w:lastColumn="0" w:noHBand="0" w:noVBand="1"/>
      </w:tblPr>
      <w:tblGrid>
        <w:gridCol w:w="1584"/>
        <w:gridCol w:w="1613"/>
        <w:gridCol w:w="1011"/>
        <w:gridCol w:w="1570"/>
        <w:gridCol w:w="1582"/>
        <w:gridCol w:w="1145"/>
        <w:gridCol w:w="1071"/>
      </w:tblGrid>
      <w:tr w:rsidR="00FA63E3" w:rsidRPr="005439C1" w14:paraId="4E83D137" w14:textId="77777777" w:rsidTr="00E80024">
        <w:trPr>
          <w:trHeight w:val="360"/>
        </w:trPr>
        <w:tc>
          <w:tcPr>
            <w:tcW w:w="827" w:type="pct"/>
            <w:tcBorders>
              <w:top w:val="single" w:sz="4" w:space="0" w:color="auto"/>
              <w:left w:val="nil"/>
              <w:bottom w:val="single" w:sz="4" w:space="0" w:color="auto"/>
              <w:right w:val="nil"/>
            </w:tcBorders>
            <w:shd w:val="clear" w:color="auto" w:fill="auto"/>
            <w:hideMark/>
          </w:tcPr>
          <w:p w14:paraId="04C325FF" w14:textId="77777777" w:rsidR="00BD169C" w:rsidRPr="00BD169C" w:rsidRDefault="00BD169C" w:rsidP="00854FA6">
            <w:pPr>
              <w:spacing w:line="360" w:lineRule="auto"/>
              <w:jc w:val="both"/>
              <w:rPr>
                <w:rFonts w:ascii="Book Antiqua" w:hAnsi="Book Antiqua"/>
                <w:b/>
                <w:bCs/>
              </w:rPr>
            </w:pPr>
          </w:p>
        </w:tc>
        <w:tc>
          <w:tcPr>
            <w:tcW w:w="842" w:type="pct"/>
            <w:tcBorders>
              <w:top w:val="single" w:sz="4" w:space="0" w:color="auto"/>
              <w:left w:val="nil"/>
              <w:bottom w:val="single" w:sz="4" w:space="0" w:color="auto"/>
              <w:right w:val="nil"/>
            </w:tcBorders>
            <w:shd w:val="clear" w:color="auto" w:fill="auto"/>
            <w:hideMark/>
          </w:tcPr>
          <w:p w14:paraId="4D955B57" w14:textId="62842A1B" w:rsidR="00BD169C" w:rsidRPr="00BD169C" w:rsidRDefault="00BD169C" w:rsidP="00854FA6">
            <w:pPr>
              <w:spacing w:line="360" w:lineRule="auto"/>
              <w:jc w:val="both"/>
              <w:rPr>
                <w:rFonts w:ascii="Book Antiqua" w:hAnsi="Book Antiqua"/>
                <w:b/>
                <w:bCs/>
              </w:rPr>
            </w:pPr>
            <w:r w:rsidRPr="00BD169C">
              <w:rPr>
                <w:rFonts w:ascii="Book Antiqua" w:hAnsi="Book Antiqua"/>
                <w:b/>
                <w:bCs/>
              </w:rPr>
              <w:t>AUC</w:t>
            </w:r>
            <w:r w:rsidR="00FA63E3">
              <w:rPr>
                <w:rFonts w:ascii="Book Antiqua" w:hAnsi="Book Antiqua"/>
                <w:b/>
                <w:bCs/>
              </w:rPr>
              <w:t xml:space="preserve"> </w:t>
            </w:r>
            <w:r w:rsidRPr="00BD169C">
              <w:rPr>
                <w:rFonts w:ascii="Book Antiqua" w:hAnsi="Book Antiqua"/>
                <w:b/>
                <w:bCs/>
              </w:rPr>
              <w:t>(95%CI)</w:t>
            </w:r>
          </w:p>
        </w:tc>
        <w:tc>
          <w:tcPr>
            <w:tcW w:w="528" w:type="pct"/>
            <w:tcBorders>
              <w:top w:val="single" w:sz="4" w:space="0" w:color="auto"/>
              <w:left w:val="nil"/>
              <w:bottom w:val="single" w:sz="4" w:space="0" w:color="auto"/>
              <w:right w:val="nil"/>
            </w:tcBorders>
            <w:shd w:val="clear" w:color="auto" w:fill="auto"/>
            <w:hideMark/>
          </w:tcPr>
          <w:p w14:paraId="5C8CCB7E" w14:textId="5C3251B9" w:rsidR="00BD169C" w:rsidRPr="00BD169C" w:rsidRDefault="00BD169C" w:rsidP="00854FA6">
            <w:pPr>
              <w:spacing w:line="360" w:lineRule="auto"/>
              <w:jc w:val="both"/>
              <w:rPr>
                <w:rFonts w:ascii="Book Antiqua" w:hAnsi="Book Antiqua"/>
                <w:b/>
                <w:bCs/>
              </w:rPr>
            </w:pPr>
            <w:r w:rsidRPr="00BD169C">
              <w:rPr>
                <w:rFonts w:ascii="Book Antiqua" w:hAnsi="Book Antiqua"/>
                <w:b/>
                <w:bCs/>
              </w:rPr>
              <w:t>Cut-off</w:t>
            </w:r>
            <w:r w:rsidR="00DD16A9">
              <w:rPr>
                <w:rFonts w:ascii="Book Antiqua" w:hAnsi="Book Antiqua" w:hint="eastAsia"/>
                <w:b/>
                <w:bCs/>
                <w:lang w:eastAsia="zh-CN"/>
              </w:rPr>
              <w:t xml:space="preserve"> </w:t>
            </w:r>
            <w:r w:rsidR="00DD16A9">
              <w:rPr>
                <w:rFonts w:ascii="Book Antiqua" w:hAnsi="Book Antiqua"/>
                <w:b/>
                <w:bCs/>
              </w:rPr>
              <w:t>v</w:t>
            </w:r>
            <w:r w:rsidRPr="00BD169C">
              <w:rPr>
                <w:rFonts w:ascii="Book Antiqua" w:hAnsi="Book Antiqua"/>
                <w:b/>
                <w:bCs/>
              </w:rPr>
              <w:t>alue</w:t>
            </w:r>
          </w:p>
        </w:tc>
        <w:tc>
          <w:tcPr>
            <w:tcW w:w="820" w:type="pct"/>
            <w:tcBorders>
              <w:top w:val="single" w:sz="4" w:space="0" w:color="auto"/>
              <w:left w:val="nil"/>
              <w:bottom w:val="single" w:sz="4" w:space="0" w:color="auto"/>
              <w:right w:val="nil"/>
            </w:tcBorders>
            <w:shd w:val="clear" w:color="auto" w:fill="auto"/>
            <w:hideMark/>
          </w:tcPr>
          <w:p w14:paraId="4177F56D" w14:textId="39076F32" w:rsidR="00BD169C" w:rsidRPr="00BD169C" w:rsidRDefault="00BD169C" w:rsidP="00854FA6">
            <w:pPr>
              <w:spacing w:line="360" w:lineRule="auto"/>
              <w:jc w:val="both"/>
              <w:rPr>
                <w:rFonts w:ascii="Book Antiqua" w:hAnsi="Book Antiqua"/>
                <w:b/>
                <w:bCs/>
              </w:rPr>
            </w:pPr>
            <w:r w:rsidRPr="00BD169C">
              <w:rPr>
                <w:rFonts w:ascii="Book Antiqua" w:hAnsi="Book Antiqua"/>
                <w:b/>
                <w:bCs/>
              </w:rPr>
              <w:t>Sensitivity</w:t>
            </w:r>
            <w:r w:rsidR="00FA63E3">
              <w:rPr>
                <w:rFonts w:ascii="Book Antiqua" w:hAnsi="Book Antiqua" w:hint="eastAsia"/>
                <w:b/>
                <w:bCs/>
                <w:lang w:eastAsia="zh-CN"/>
              </w:rPr>
              <w:t xml:space="preserve"> </w:t>
            </w:r>
            <w:r w:rsidRPr="00BD169C">
              <w:rPr>
                <w:rFonts w:ascii="Book Antiqua" w:hAnsi="Book Antiqua"/>
                <w:b/>
                <w:bCs/>
              </w:rPr>
              <w:t>(%)</w:t>
            </w:r>
          </w:p>
        </w:tc>
        <w:tc>
          <w:tcPr>
            <w:tcW w:w="826" w:type="pct"/>
            <w:tcBorders>
              <w:top w:val="single" w:sz="4" w:space="0" w:color="auto"/>
              <w:left w:val="nil"/>
              <w:bottom w:val="single" w:sz="4" w:space="0" w:color="auto"/>
              <w:right w:val="nil"/>
            </w:tcBorders>
            <w:shd w:val="clear" w:color="auto" w:fill="auto"/>
            <w:hideMark/>
          </w:tcPr>
          <w:p w14:paraId="0A355C36" w14:textId="0B10B0A1" w:rsidR="00BD169C" w:rsidRPr="00BD169C" w:rsidRDefault="00BD169C" w:rsidP="00854FA6">
            <w:pPr>
              <w:spacing w:line="360" w:lineRule="auto"/>
              <w:jc w:val="both"/>
              <w:rPr>
                <w:rFonts w:ascii="Book Antiqua" w:hAnsi="Book Antiqua"/>
                <w:b/>
                <w:bCs/>
              </w:rPr>
            </w:pPr>
            <w:r w:rsidRPr="00BD169C">
              <w:rPr>
                <w:rFonts w:ascii="Book Antiqua" w:hAnsi="Book Antiqua"/>
                <w:b/>
                <w:bCs/>
              </w:rPr>
              <w:t>Specificity</w:t>
            </w:r>
            <w:r w:rsidR="00FA63E3">
              <w:rPr>
                <w:rFonts w:ascii="Book Antiqua" w:hAnsi="Book Antiqua" w:hint="eastAsia"/>
                <w:b/>
                <w:bCs/>
                <w:lang w:eastAsia="zh-CN"/>
              </w:rPr>
              <w:t xml:space="preserve"> </w:t>
            </w:r>
            <w:r w:rsidRPr="00BD169C">
              <w:rPr>
                <w:rFonts w:ascii="Book Antiqua" w:hAnsi="Book Antiqua"/>
                <w:b/>
                <w:bCs/>
              </w:rPr>
              <w:t>(%)</w:t>
            </w:r>
          </w:p>
        </w:tc>
        <w:tc>
          <w:tcPr>
            <w:tcW w:w="598" w:type="pct"/>
            <w:tcBorders>
              <w:top w:val="single" w:sz="4" w:space="0" w:color="auto"/>
              <w:left w:val="nil"/>
              <w:bottom w:val="single" w:sz="4" w:space="0" w:color="auto"/>
              <w:right w:val="nil"/>
            </w:tcBorders>
            <w:shd w:val="clear" w:color="auto" w:fill="auto"/>
            <w:hideMark/>
          </w:tcPr>
          <w:p w14:paraId="3C1F2FE6" w14:textId="1A54C038" w:rsidR="00BD169C" w:rsidRPr="00BD169C" w:rsidRDefault="00BD169C" w:rsidP="00854FA6">
            <w:pPr>
              <w:spacing w:line="360" w:lineRule="auto"/>
              <w:jc w:val="both"/>
              <w:rPr>
                <w:rFonts w:ascii="Book Antiqua" w:hAnsi="Book Antiqua"/>
                <w:b/>
                <w:bCs/>
              </w:rPr>
            </w:pPr>
            <w:r w:rsidRPr="00BD169C">
              <w:rPr>
                <w:rFonts w:ascii="Book Antiqua" w:hAnsi="Book Antiqua"/>
                <w:b/>
                <w:bCs/>
              </w:rPr>
              <w:t>PPV</w:t>
            </w:r>
            <w:r w:rsidR="00FA63E3">
              <w:rPr>
                <w:rFonts w:ascii="Book Antiqua" w:hAnsi="Book Antiqua"/>
                <w:b/>
                <w:bCs/>
              </w:rPr>
              <w:t xml:space="preserve"> </w:t>
            </w:r>
            <w:r w:rsidRPr="00BD169C">
              <w:rPr>
                <w:rFonts w:ascii="Book Antiqua" w:hAnsi="Book Antiqua"/>
                <w:b/>
                <w:bCs/>
              </w:rPr>
              <w:t>(%)</w:t>
            </w:r>
          </w:p>
        </w:tc>
        <w:tc>
          <w:tcPr>
            <w:tcW w:w="559" w:type="pct"/>
            <w:tcBorders>
              <w:top w:val="single" w:sz="4" w:space="0" w:color="auto"/>
              <w:left w:val="nil"/>
              <w:bottom w:val="single" w:sz="4" w:space="0" w:color="auto"/>
              <w:right w:val="nil"/>
            </w:tcBorders>
            <w:shd w:val="clear" w:color="auto" w:fill="auto"/>
            <w:hideMark/>
          </w:tcPr>
          <w:p w14:paraId="137D71CF" w14:textId="405EF2DE" w:rsidR="00BD169C" w:rsidRPr="00BD169C" w:rsidRDefault="00BD169C" w:rsidP="00854FA6">
            <w:pPr>
              <w:spacing w:line="360" w:lineRule="auto"/>
              <w:jc w:val="both"/>
              <w:rPr>
                <w:rFonts w:ascii="Book Antiqua" w:hAnsi="Book Antiqua"/>
                <w:b/>
                <w:bCs/>
              </w:rPr>
            </w:pPr>
            <w:r w:rsidRPr="00BD169C">
              <w:rPr>
                <w:rFonts w:ascii="Book Antiqua" w:hAnsi="Book Antiqua"/>
                <w:b/>
                <w:bCs/>
              </w:rPr>
              <w:t>NPV</w:t>
            </w:r>
            <w:r w:rsidR="00FA63E3">
              <w:rPr>
                <w:rFonts w:ascii="Book Antiqua" w:hAnsi="Book Antiqua"/>
                <w:b/>
                <w:bCs/>
              </w:rPr>
              <w:t xml:space="preserve"> </w:t>
            </w:r>
            <w:r w:rsidRPr="00BD169C">
              <w:rPr>
                <w:rFonts w:ascii="Book Antiqua" w:hAnsi="Book Antiqua"/>
                <w:b/>
                <w:bCs/>
              </w:rPr>
              <w:t>(%)</w:t>
            </w:r>
          </w:p>
        </w:tc>
      </w:tr>
      <w:tr w:rsidR="00FA63E3" w:rsidRPr="005439C1" w14:paraId="3B89CD9C" w14:textId="77777777" w:rsidTr="00E80024">
        <w:trPr>
          <w:trHeight w:val="312"/>
        </w:trPr>
        <w:tc>
          <w:tcPr>
            <w:tcW w:w="827" w:type="pct"/>
            <w:tcBorders>
              <w:top w:val="single" w:sz="4" w:space="0" w:color="auto"/>
              <w:left w:val="nil"/>
              <w:bottom w:val="nil"/>
              <w:right w:val="nil"/>
            </w:tcBorders>
            <w:shd w:val="clear" w:color="auto" w:fill="auto"/>
            <w:hideMark/>
          </w:tcPr>
          <w:p w14:paraId="31FDFB9B" w14:textId="42A7B35A" w:rsidR="00BD169C" w:rsidRPr="005439C1" w:rsidRDefault="00BD169C" w:rsidP="00854FA6">
            <w:pPr>
              <w:spacing w:line="360" w:lineRule="auto"/>
              <w:jc w:val="both"/>
              <w:rPr>
                <w:rFonts w:ascii="Book Antiqua" w:hAnsi="Book Antiqua"/>
              </w:rPr>
            </w:pPr>
            <w:r w:rsidRPr="005439C1">
              <w:rPr>
                <w:rFonts w:ascii="Book Antiqua" w:hAnsi="Book Antiqua"/>
              </w:rPr>
              <w:t>WBC</w:t>
            </w:r>
            <w:r w:rsidR="00FA63E3">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10</w:t>
            </w:r>
            <w:r w:rsidRPr="00FA63E3">
              <w:rPr>
                <w:rFonts w:ascii="Book Antiqua" w:hAnsi="Book Antiqua"/>
                <w:vertAlign w:val="superscript"/>
              </w:rPr>
              <w:t>9</w:t>
            </w:r>
            <w:r w:rsidRPr="005439C1">
              <w:rPr>
                <w:rFonts w:ascii="Book Antiqua" w:hAnsi="Book Antiqua"/>
              </w:rPr>
              <w:t>/L)</w:t>
            </w:r>
          </w:p>
        </w:tc>
        <w:tc>
          <w:tcPr>
            <w:tcW w:w="842" w:type="pct"/>
            <w:tcBorders>
              <w:top w:val="single" w:sz="4" w:space="0" w:color="auto"/>
              <w:left w:val="nil"/>
              <w:bottom w:val="nil"/>
              <w:right w:val="nil"/>
            </w:tcBorders>
            <w:shd w:val="clear" w:color="auto" w:fill="auto"/>
            <w:hideMark/>
          </w:tcPr>
          <w:p w14:paraId="77AA2DDD" w14:textId="369853A5" w:rsidR="00BD169C" w:rsidRPr="005439C1" w:rsidRDefault="00BD169C" w:rsidP="00854FA6">
            <w:pPr>
              <w:spacing w:line="360" w:lineRule="auto"/>
              <w:jc w:val="both"/>
              <w:rPr>
                <w:rFonts w:ascii="Book Antiqua" w:hAnsi="Book Antiqua"/>
              </w:rPr>
            </w:pPr>
            <w:r w:rsidRPr="005439C1">
              <w:rPr>
                <w:rFonts w:ascii="Book Antiqua" w:hAnsi="Book Antiqua"/>
              </w:rPr>
              <w:t>0.599</w:t>
            </w:r>
            <w:r w:rsidR="00FA63E3">
              <w:rPr>
                <w:rFonts w:ascii="Book Antiqua" w:hAnsi="Book Antiqua"/>
              </w:rPr>
              <w:t xml:space="preserve"> </w:t>
            </w:r>
            <w:r w:rsidRPr="005439C1">
              <w:rPr>
                <w:rFonts w:ascii="Book Antiqua" w:hAnsi="Book Antiqua"/>
              </w:rPr>
              <w:t>(0.508-0.684)</w:t>
            </w:r>
          </w:p>
        </w:tc>
        <w:tc>
          <w:tcPr>
            <w:tcW w:w="528" w:type="pct"/>
            <w:tcBorders>
              <w:top w:val="single" w:sz="4" w:space="0" w:color="auto"/>
              <w:left w:val="nil"/>
              <w:bottom w:val="nil"/>
              <w:right w:val="nil"/>
            </w:tcBorders>
            <w:shd w:val="clear" w:color="auto" w:fill="auto"/>
            <w:hideMark/>
          </w:tcPr>
          <w:p w14:paraId="56AE7F34" w14:textId="77777777" w:rsidR="00BD169C" w:rsidRPr="005439C1" w:rsidRDefault="00BD169C" w:rsidP="00854FA6">
            <w:pPr>
              <w:spacing w:line="360" w:lineRule="auto"/>
              <w:jc w:val="both"/>
              <w:rPr>
                <w:rFonts w:ascii="Book Antiqua" w:hAnsi="Book Antiqua"/>
              </w:rPr>
            </w:pPr>
            <w:r w:rsidRPr="005439C1">
              <w:rPr>
                <w:rFonts w:ascii="Book Antiqua" w:hAnsi="Book Antiqua"/>
              </w:rPr>
              <w:t>11.29</w:t>
            </w:r>
          </w:p>
        </w:tc>
        <w:tc>
          <w:tcPr>
            <w:tcW w:w="820" w:type="pct"/>
            <w:tcBorders>
              <w:top w:val="single" w:sz="4" w:space="0" w:color="auto"/>
              <w:left w:val="nil"/>
              <w:bottom w:val="nil"/>
              <w:right w:val="nil"/>
            </w:tcBorders>
            <w:shd w:val="clear" w:color="auto" w:fill="auto"/>
            <w:hideMark/>
          </w:tcPr>
          <w:p w14:paraId="7F52DAE8" w14:textId="77777777" w:rsidR="00BD169C" w:rsidRPr="005439C1" w:rsidRDefault="00BD169C" w:rsidP="00854FA6">
            <w:pPr>
              <w:spacing w:line="360" w:lineRule="auto"/>
              <w:jc w:val="both"/>
              <w:rPr>
                <w:rFonts w:ascii="Book Antiqua" w:hAnsi="Book Antiqua"/>
              </w:rPr>
            </w:pPr>
            <w:r w:rsidRPr="005439C1">
              <w:rPr>
                <w:rFonts w:ascii="Book Antiqua" w:hAnsi="Book Antiqua"/>
              </w:rPr>
              <w:t>48.57</w:t>
            </w:r>
          </w:p>
        </w:tc>
        <w:tc>
          <w:tcPr>
            <w:tcW w:w="826" w:type="pct"/>
            <w:tcBorders>
              <w:top w:val="single" w:sz="4" w:space="0" w:color="auto"/>
              <w:left w:val="nil"/>
              <w:bottom w:val="nil"/>
              <w:right w:val="nil"/>
            </w:tcBorders>
            <w:shd w:val="clear" w:color="auto" w:fill="auto"/>
            <w:hideMark/>
          </w:tcPr>
          <w:p w14:paraId="28A50180" w14:textId="77777777" w:rsidR="00BD169C" w:rsidRPr="005439C1" w:rsidRDefault="00BD169C" w:rsidP="00854FA6">
            <w:pPr>
              <w:spacing w:line="360" w:lineRule="auto"/>
              <w:jc w:val="both"/>
              <w:rPr>
                <w:rFonts w:ascii="Book Antiqua" w:hAnsi="Book Antiqua"/>
              </w:rPr>
            </w:pPr>
            <w:r w:rsidRPr="005439C1">
              <w:rPr>
                <w:rFonts w:ascii="Book Antiqua" w:hAnsi="Book Antiqua"/>
              </w:rPr>
              <w:t>72.41</w:t>
            </w:r>
          </w:p>
        </w:tc>
        <w:tc>
          <w:tcPr>
            <w:tcW w:w="598" w:type="pct"/>
            <w:tcBorders>
              <w:top w:val="single" w:sz="4" w:space="0" w:color="auto"/>
              <w:left w:val="nil"/>
              <w:bottom w:val="nil"/>
              <w:right w:val="nil"/>
            </w:tcBorders>
            <w:shd w:val="clear" w:color="auto" w:fill="auto"/>
            <w:hideMark/>
          </w:tcPr>
          <w:p w14:paraId="5D3751DB" w14:textId="77777777" w:rsidR="00BD169C" w:rsidRPr="005439C1" w:rsidRDefault="00BD169C" w:rsidP="00854FA6">
            <w:pPr>
              <w:spacing w:line="360" w:lineRule="auto"/>
              <w:jc w:val="both"/>
              <w:rPr>
                <w:rFonts w:ascii="Book Antiqua" w:hAnsi="Book Antiqua"/>
              </w:rPr>
            </w:pPr>
            <w:r w:rsidRPr="005439C1">
              <w:rPr>
                <w:rFonts w:ascii="Book Antiqua" w:hAnsi="Book Antiqua"/>
              </w:rPr>
              <w:t>68</w:t>
            </w:r>
          </w:p>
        </w:tc>
        <w:tc>
          <w:tcPr>
            <w:tcW w:w="559" w:type="pct"/>
            <w:tcBorders>
              <w:top w:val="single" w:sz="4" w:space="0" w:color="auto"/>
              <w:left w:val="nil"/>
              <w:bottom w:val="nil"/>
              <w:right w:val="nil"/>
            </w:tcBorders>
            <w:shd w:val="clear" w:color="auto" w:fill="auto"/>
            <w:hideMark/>
          </w:tcPr>
          <w:p w14:paraId="2E4C2DE7" w14:textId="77777777" w:rsidR="00BD169C" w:rsidRPr="005439C1" w:rsidRDefault="00BD169C" w:rsidP="00854FA6">
            <w:pPr>
              <w:spacing w:line="360" w:lineRule="auto"/>
              <w:jc w:val="both"/>
              <w:rPr>
                <w:rFonts w:ascii="Book Antiqua" w:hAnsi="Book Antiqua"/>
              </w:rPr>
            </w:pPr>
            <w:r w:rsidRPr="005439C1">
              <w:rPr>
                <w:rFonts w:ascii="Book Antiqua" w:hAnsi="Book Antiqua"/>
              </w:rPr>
              <w:t>53.8</w:t>
            </w:r>
          </w:p>
        </w:tc>
      </w:tr>
      <w:tr w:rsidR="00FA63E3" w:rsidRPr="005439C1" w14:paraId="3A11EACB" w14:textId="77777777" w:rsidTr="00E80024">
        <w:trPr>
          <w:trHeight w:val="312"/>
        </w:trPr>
        <w:tc>
          <w:tcPr>
            <w:tcW w:w="827" w:type="pct"/>
            <w:tcBorders>
              <w:top w:val="nil"/>
              <w:left w:val="nil"/>
              <w:bottom w:val="nil"/>
              <w:right w:val="nil"/>
            </w:tcBorders>
            <w:shd w:val="clear" w:color="auto" w:fill="auto"/>
            <w:hideMark/>
          </w:tcPr>
          <w:p w14:paraId="30A1B995" w14:textId="77777777" w:rsidR="00BD169C" w:rsidRPr="005439C1" w:rsidRDefault="00BD169C" w:rsidP="00854FA6">
            <w:pPr>
              <w:spacing w:line="360" w:lineRule="auto"/>
              <w:jc w:val="both"/>
              <w:rPr>
                <w:rFonts w:ascii="Book Antiqua" w:hAnsi="Book Antiqua"/>
              </w:rPr>
            </w:pPr>
            <w:r w:rsidRPr="005439C1">
              <w:rPr>
                <w:rFonts w:ascii="Book Antiqua" w:hAnsi="Book Antiqua"/>
              </w:rPr>
              <w:t>NLCR</w:t>
            </w:r>
          </w:p>
        </w:tc>
        <w:tc>
          <w:tcPr>
            <w:tcW w:w="842" w:type="pct"/>
            <w:tcBorders>
              <w:top w:val="nil"/>
              <w:left w:val="nil"/>
              <w:bottom w:val="nil"/>
              <w:right w:val="nil"/>
            </w:tcBorders>
            <w:shd w:val="clear" w:color="auto" w:fill="auto"/>
            <w:hideMark/>
          </w:tcPr>
          <w:p w14:paraId="47594FC9" w14:textId="0CCDB384" w:rsidR="00BD169C" w:rsidRPr="005439C1" w:rsidRDefault="00BD169C" w:rsidP="00854FA6">
            <w:pPr>
              <w:spacing w:line="360" w:lineRule="auto"/>
              <w:jc w:val="both"/>
              <w:rPr>
                <w:rFonts w:ascii="Book Antiqua" w:hAnsi="Book Antiqua"/>
              </w:rPr>
            </w:pPr>
            <w:r w:rsidRPr="005439C1">
              <w:rPr>
                <w:rFonts w:ascii="Book Antiqua" w:hAnsi="Book Antiqua"/>
              </w:rPr>
              <w:t>0.83</w:t>
            </w:r>
            <w:r w:rsidR="00FA63E3">
              <w:rPr>
                <w:rFonts w:ascii="Book Antiqua" w:hAnsi="Book Antiqua"/>
              </w:rPr>
              <w:t xml:space="preserve"> </w:t>
            </w:r>
            <w:r w:rsidRPr="005439C1">
              <w:rPr>
                <w:rFonts w:ascii="Book Antiqua" w:hAnsi="Book Antiqua"/>
              </w:rPr>
              <w:t>(0.754-0.891)</w:t>
            </w:r>
          </w:p>
        </w:tc>
        <w:tc>
          <w:tcPr>
            <w:tcW w:w="528" w:type="pct"/>
            <w:tcBorders>
              <w:top w:val="nil"/>
              <w:left w:val="nil"/>
              <w:bottom w:val="nil"/>
              <w:right w:val="nil"/>
            </w:tcBorders>
            <w:shd w:val="clear" w:color="auto" w:fill="auto"/>
            <w:hideMark/>
          </w:tcPr>
          <w:p w14:paraId="4856B6DF" w14:textId="77777777" w:rsidR="00BD169C" w:rsidRPr="005439C1" w:rsidRDefault="00BD169C" w:rsidP="00854FA6">
            <w:pPr>
              <w:spacing w:line="360" w:lineRule="auto"/>
              <w:jc w:val="both"/>
              <w:rPr>
                <w:rFonts w:ascii="Book Antiqua" w:hAnsi="Book Antiqua"/>
              </w:rPr>
            </w:pPr>
            <w:r w:rsidRPr="005439C1">
              <w:rPr>
                <w:rFonts w:ascii="Book Antiqua" w:hAnsi="Book Antiqua"/>
              </w:rPr>
              <w:t>11.86</w:t>
            </w:r>
          </w:p>
        </w:tc>
        <w:tc>
          <w:tcPr>
            <w:tcW w:w="820" w:type="pct"/>
            <w:tcBorders>
              <w:top w:val="nil"/>
              <w:left w:val="nil"/>
              <w:bottom w:val="nil"/>
              <w:right w:val="nil"/>
            </w:tcBorders>
            <w:shd w:val="clear" w:color="auto" w:fill="auto"/>
            <w:hideMark/>
          </w:tcPr>
          <w:p w14:paraId="41B27595" w14:textId="77777777" w:rsidR="00BD169C" w:rsidRPr="005439C1" w:rsidRDefault="00BD169C" w:rsidP="00854FA6">
            <w:pPr>
              <w:spacing w:line="360" w:lineRule="auto"/>
              <w:jc w:val="both"/>
              <w:rPr>
                <w:rFonts w:ascii="Book Antiqua" w:hAnsi="Book Antiqua"/>
              </w:rPr>
            </w:pPr>
            <w:r w:rsidRPr="005439C1">
              <w:rPr>
                <w:rFonts w:ascii="Book Antiqua" w:hAnsi="Book Antiqua"/>
              </w:rPr>
              <w:t>81.43</w:t>
            </w:r>
          </w:p>
        </w:tc>
        <w:tc>
          <w:tcPr>
            <w:tcW w:w="826" w:type="pct"/>
            <w:tcBorders>
              <w:top w:val="nil"/>
              <w:left w:val="nil"/>
              <w:bottom w:val="nil"/>
              <w:right w:val="nil"/>
            </w:tcBorders>
            <w:shd w:val="clear" w:color="auto" w:fill="auto"/>
            <w:hideMark/>
          </w:tcPr>
          <w:p w14:paraId="7655B688" w14:textId="77777777" w:rsidR="00BD169C" w:rsidRPr="005439C1" w:rsidRDefault="00BD169C" w:rsidP="00854FA6">
            <w:pPr>
              <w:spacing w:line="360" w:lineRule="auto"/>
              <w:jc w:val="both"/>
              <w:rPr>
                <w:rFonts w:ascii="Book Antiqua" w:hAnsi="Book Antiqua"/>
              </w:rPr>
            </w:pPr>
            <w:r w:rsidRPr="005439C1">
              <w:rPr>
                <w:rFonts w:ascii="Book Antiqua" w:hAnsi="Book Antiqua"/>
              </w:rPr>
              <w:t>77.59</w:t>
            </w:r>
          </w:p>
        </w:tc>
        <w:tc>
          <w:tcPr>
            <w:tcW w:w="598" w:type="pct"/>
            <w:tcBorders>
              <w:top w:val="nil"/>
              <w:left w:val="nil"/>
              <w:bottom w:val="nil"/>
              <w:right w:val="nil"/>
            </w:tcBorders>
            <w:shd w:val="clear" w:color="auto" w:fill="auto"/>
            <w:hideMark/>
          </w:tcPr>
          <w:p w14:paraId="514884B4" w14:textId="77777777" w:rsidR="00BD169C" w:rsidRPr="005439C1" w:rsidRDefault="00BD169C" w:rsidP="00854FA6">
            <w:pPr>
              <w:spacing w:line="360" w:lineRule="auto"/>
              <w:jc w:val="both"/>
              <w:rPr>
                <w:rFonts w:ascii="Book Antiqua" w:hAnsi="Book Antiqua"/>
              </w:rPr>
            </w:pPr>
            <w:r w:rsidRPr="005439C1">
              <w:rPr>
                <w:rFonts w:ascii="Book Antiqua" w:hAnsi="Book Antiqua"/>
              </w:rPr>
              <w:t>81.4</w:t>
            </w:r>
          </w:p>
        </w:tc>
        <w:tc>
          <w:tcPr>
            <w:tcW w:w="559" w:type="pct"/>
            <w:tcBorders>
              <w:top w:val="nil"/>
              <w:left w:val="nil"/>
              <w:bottom w:val="nil"/>
              <w:right w:val="nil"/>
            </w:tcBorders>
            <w:shd w:val="clear" w:color="auto" w:fill="auto"/>
            <w:hideMark/>
          </w:tcPr>
          <w:p w14:paraId="6617CC9F" w14:textId="77777777" w:rsidR="00BD169C" w:rsidRPr="005439C1" w:rsidRDefault="00BD169C" w:rsidP="00854FA6">
            <w:pPr>
              <w:spacing w:line="360" w:lineRule="auto"/>
              <w:jc w:val="both"/>
              <w:rPr>
                <w:rFonts w:ascii="Book Antiqua" w:hAnsi="Book Antiqua"/>
              </w:rPr>
            </w:pPr>
            <w:r w:rsidRPr="005439C1">
              <w:rPr>
                <w:rFonts w:ascii="Book Antiqua" w:hAnsi="Book Antiqua"/>
              </w:rPr>
              <w:t>77.6</w:t>
            </w:r>
          </w:p>
        </w:tc>
      </w:tr>
      <w:tr w:rsidR="00FA63E3" w:rsidRPr="005439C1" w14:paraId="6138C71E" w14:textId="77777777" w:rsidTr="00E80024">
        <w:trPr>
          <w:trHeight w:val="312"/>
        </w:trPr>
        <w:tc>
          <w:tcPr>
            <w:tcW w:w="827" w:type="pct"/>
            <w:tcBorders>
              <w:top w:val="nil"/>
              <w:left w:val="nil"/>
              <w:bottom w:val="nil"/>
              <w:right w:val="nil"/>
            </w:tcBorders>
            <w:shd w:val="clear" w:color="auto" w:fill="auto"/>
            <w:hideMark/>
          </w:tcPr>
          <w:p w14:paraId="5C695153" w14:textId="472433A0" w:rsidR="00BD169C" w:rsidRPr="005439C1" w:rsidRDefault="00BD169C" w:rsidP="00854FA6">
            <w:pPr>
              <w:spacing w:line="360" w:lineRule="auto"/>
              <w:jc w:val="both"/>
              <w:rPr>
                <w:rFonts w:ascii="Book Antiqua" w:hAnsi="Book Antiqua"/>
              </w:rPr>
            </w:pPr>
            <w:r w:rsidRPr="005439C1">
              <w:rPr>
                <w:rFonts w:ascii="Book Antiqua" w:hAnsi="Book Antiqua"/>
              </w:rPr>
              <w:t>INR</w:t>
            </w:r>
            <w:r w:rsidR="00B12524">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10</w:t>
            </w:r>
            <w:r w:rsidRPr="00FA63E3">
              <w:rPr>
                <w:rFonts w:ascii="Book Antiqua" w:hAnsi="Book Antiqua"/>
                <w:vertAlign w:val="superscript"/>
              </w:rPr>
              <w:t>9</w:t>
            </w:r>
            <w:r w:rsidRPr="005439C1">
              <w:rPr>
                <w:rFonts w:ascii="Book Antiqua" w:hAnsi="Book Antiqua"/>
              </w:rPr>
              <w:t>/L)</w:t>
            </w:r>
          </w:p>
        </w:tc>
        <w:tc>
          <w:tcPr>
            <w:tcW w:w="842" w:type="pct"/>
            <w:tcBorders>
              <w:top w:val="nil"/>
              <w:left w:val="nil"/>
              <w:bottom w:val="nil"/>
              <w:right w:val="nil"/>
            </w:tcBorders>
            <w:shd w:val="clear" w:color="auto" w:fill="auto"/>
            <w:hideMark/>
          </w:tcPr>
          <w:p w14:paraId="4F61C65A" w14:textId="4A6C88DF" w:rsidR="00BD169C" w:rsidRPr="005439C1" w:rsidRDefault="00BD169C" w:rsidP="00854FA6">
            <w:pPr>
              <w:spacing w:line="360" w:lineRule="auto"/>
              <w:jc w:val="both"/>
              <w:rPr>
                <w:rFonts w:ascii="Book Antiqua" w:hAnsi="Book Antiqua"/>
              </w:rPr>
            </w:pPr>
            <w:r w:rsidRPr="005439C1">
              <w:rPr>
                <w:rFonts w:ascii="Book Antiqua" w:hAnsi="Book Antiqua"/>
              </w:rPr>
              <w:t>0.918</w:t>
            </w:r>
            <w:r w:rsidR="00FA63E3">
              <w:rPr>
                <w:rFonts w:ascii="Book Antiqua" w:hAnsi="Book Antiqua"/>
              </w:rPr>
              <w:t xml:space="preserve"> </w:t>
            </w:r>
            <w:r w:rsidRPr="005439C1">
              <w:rPr>
                <w:rFonts w:ascii="Book Antiqua" w:hAnsi="Book Antiqua"/>
              </w:rPr>
              <w:t>(0.857-0.959)</w:t>
            </w:r>
          </w:p>
        </w:tc>
        <w:tc>
          <w:tcPr>
            <w:tcW w:w="528" w:type="pct"/>
            <w:tcBorders>
              <w:top w:val="nil"/>
              <w:left w:val="nil"/>
              <w:bottom w:val="nil"/>
              <w:right w:val="nil"/>
            </w:tcBorders>
            <w:shd w:val="clear" w:color="auto" w:fill="auto"/>
            <w:hideMark/>
          </w:tcPr>
          <w:p w14:paraId="7503456E" w14:textId="77777777" w:rsidR="00BD169C" w:rsidRPr="005439C1" w:rsidRDefault="00BD169C" w:rsidP="00854FA6">
            <w:pPr>
              <w:spacing w:line="360" w:lineRule="auto"/>
              <w:jc w:val="both"/>
              <w:rPr>
                <w:rFonts w:ascii="Book Antiqua" w:hAnsi="Book Antiqua"/>
              </w:rPr>
            </w:pPr>
            <w:r w:rsidRPr="005439C1">
              <w:rPr>
                <w:rFonts w:ascii="Book Antiqua" w:hAnsi="Book Antiqua"/>
              </w:rPr>
              <w:t>1.22</w:t>
            </w:r>
          </w:p>
        </w:tc>
        <w:tc>
          <w:tcPr>
            <w:tcW w:w="820" w:type="pct"/>
            <w:tcBorders>
              <w:top w:val="nil"/>
              <w:left w:val="nil"/>
              <w:bottom w:val="nil"/>
              <w:right w:val="nil"/>
            </w:tcBorders>
            <w:shd w:val="clear" w:color="auto" w:fill="auto"/>
            <w:hideMark/>
          </w:tcPr>
          <w:p w14:paraId="198B8BE4" w14:textId="77777777" w:rsidR="00BD169C" w:rsidRPr="005439C1" w:rsidRDefault="00BD169C" w:rsidP="00854FA6">
            <w:pPr>
              <w:spacing w:line="360" w:lineRule="auto"/>
              <w:jc w:val="both"/>
              <w:rPr>
                <w:rFonts w:ascii="Book Antiqua" w:hAnsi="Book Antiqua"/>
              </w:rPr>
            </w:pPr>
            <w:r w:rsidRPr="005439C1">
              <w:rPr>
                <w:rFonts w:ascii="Book Antiqua" w:hAnsi="Book Antiqua"/>
              </w:rPr>
              <w:t>90</w:t>
            </w:r>
          </w:p>
        </w:tc>
        <w:tc>
          <w:tcPr>
            <w:tcW w:w="826" w:type="pct"/>
            <w:tcBorders>
              <w:top w:val="nil"/>
              <w:left w:val="nil"/>
              <w:bottom w:val="nil"/>
              <w:right w:val="nil"/>
            </w:tcBorders>
            <w:shd w:val="clear" w:color="auto" w:fill="auto"/>
            <w:hideMark/>
          </w:tcPr>
          <w:p w14:paraId="19827848" w14:textId="77777777" w:rsidR="00BD169C" w:rsidRPr="005439C1" w:rsidRDefault="00BD169C" w:rsidP="00854FA6">
            <w:pPr>
              <w:spacing w:line="360" w:lineRule="auto"/>
              <w:jc w:val="both"/>
              <w:rPr>
                <w:rFonts w:ascii="Book Antiqua" w:hAnsi="Book Antiqua"/>
              </w:rPr>
            </w:pPr>
            <w:r w:rsidRPr="005439C1">
              <w:rPr>
                <w:rFonts w:ascii="Book Antiqua" w:hAnsi="Book Antiqua"/>
              </w:rPr>
              <w:t>84.48</w:t>
            </w:r>
          </w:p>
        </w:tc>
        <w:tc>
          <w:tcPr>
            <w:tcW w:w="598" w:type="pct"/>
            <w:tcBorders>
              <w:top w:val="nil"/>
              <w:left w:val="nil"/>
              <w:bottom w:val="nil"/>
              <w:right w:val="nil"/>
            </w:tcBorders>
            <w:shd w:val="clear" w:color="auto" w:fill="auto"/>
            <w:hideMark/>
          </w:tcPr>
          <w:p w14:paraId="3D4D1C73" w14:textId="77777777" w:rsidR="00BD169C" w:rsidRPr="005439C1" w:rsidRDefault="00BD169C" w:rsidP="00854FA6">
            <w:pPr>
              <w:spacing w:line="360" w:lineRule="auto"/>
              <w:jc w:val="both"/>
              <w:rPr>
                <w:rFonts w:ascii="Book Antiqua" w:hAnsi="Book Antiqua"/>
              </w:rPr>
            </w:pPr>
            <w:r w:rsidRPr="005439C1">
              <w:rPr>
                <w:rFonts w:ascii="Book Antiqua" w:hAnsi="Book Antiqua"/>
              </w:rPr>
              <w:t>87.5</w:t>
            </w:r>
          </w:p>
        </w:tc>
        <w:tc>
          <w:tcPr>
            <w:tcW w:w="559" w:type="pct"/>
            <w:tcBorders>
              <w:top w:val="nil"/>
              <w:left w:val="nil"/>
              <w:bottom w:val="nil"/>
              <w:right w:val="nil"/>
            </w:tcBorders>
            <w:shd w:val="clear" w:color="auto" w:fill="auto"/>
            <w:hideMark/>
          </w:tcPr>
          <w:p w14:paraId="52494DC1" w14:textId="77777777" w:rsidR="00BD169C" w:rsidRPr="005439C1" w:rsidRDefault="00BD169C" w:rsidP="00854FA6">
            <w:pPr>
              <w:spacing w:line="360" w:lineRule="auto"/>
              <w:jc w:val="both"/>
              <w:rPr>
                <w:rFonts w:ascii="Book Antiqua" w:hAnsi="Book Antiqua"/>
              </w:rPr>
            </w:pPr>
            <w:r w:rsidRPr="005439C1">
              <w:rPr>
                <w:rFonts w:ascii="Book Antiqua" w:hAnsi="Book Antiqua"/>
              </w:rPr>
              <w:t>87.5</w:t>
            </w:r>
          </w:p>
        </w:tc>
      </w:tr>
      <w:tr w:rsidR="00FA63E3" w:rsidRPr="005439C1" w14:paraId="423A93D7" w14:textId="77777777" w:rsidTr="00E80024">
        <w:trPr>
          <w:trHeight w:val="312"/>
        </w:trPr>
        <w:tc>
          <w:tcPr>
            <w:tcW w:w="827" w:type="pct"/>
            <w:tcBorders>
              <w:top w:val="nil"/>
              <w:left w:val="nil"/>
              <w:bottom w:val="nil"/>
              <w:right w:val="nil"/>
            </w:tcBorders>
            <w:shd w:val="clear" w:color="auto" w:fill="auto"/>
            <w:hideMark/>
          </w:tcPr>
          <w:p w14:paraId="5A3BBA37" w14:textId="77777777" w:rsidR="00BD169C" w:rsidRPr="005439C1" w:rsidRDefault="00BD169C" w:rsidP="00854FA6">
            <w:pPr>
              <w:spacing w:line="360" w:lineRule="auto"/>
              <w:jc w:val="both"/>
              <w:rPr>
                <w:rFonts w:ascii="Book Antiqua" w:hAnsi="Book Antiqua"/>
              </w:rPr>
            </w:pPr>
            <w:r w:rsidRPr="005439C1">
              <w:rPr>
                <w:rFonts w:ascii="Book Antiqua" w:hAnsi="Book Antiqua"/>
              </w:rPr>
              <w:t>PLT</w:t>
            </w:r>
          </w:p>
        </w:tc>
        <w:tc>
          <w:tcPr>
            <w:tcW w:w="842" w:type="pct"/>
            <w:tcBorders>
              <w:top w:val="nil"/>
              <w:left w:val="nil"/>
              <w:bottom w:val="nil"/>
              <w:right w:val="nil"/>
            </w:tcBorders>
            <w:shd w:val="clear" w:color="auto" w:fill="auto"/>
            <w:hideMark/>
          </w:tcPr>
          <w:p w14:paraId="4063B489" w14:textId="40CBBC83" w:rsidR="00BD169C" w:rsidRPr="005439C1" w:rsidRDefault="00BD169C" w:rsidP="00854FA6">
            <w:pPr>
              <w:spacing w:line="360" w:lineRule="auto"/>
              <w:jc w:val="both"/>
              <w:rPr>
                <w:rFonts w:ascii="Book Antiqua" w:hAnsi="Book Antiqua"/>
              </w:rPr>
            </w:pPr>
            <w:r w:rsidRPr="005439C1">
              <w:rPr>
                <w:rFonts w:ascii="Book Antiqua" w:hAnsi="Book Antiqua"/>
              </w:rPr>
              <w:t>0.841</w:t>
            </w:r>
            <w:r w:rsidR="00FA63E3">
              <w:rPr>
                <w:rFonts w:ascii="Book Antiqua" w:hAnsi="Book Antiqua"/>
              </w:rPr>
              <w:t xml:space="preserve"> </w:t>
            </w:r>
            <w:r w:rsidRPr="005439C1">
              <w:rPr>
                <w:rFonts w:ascii="Book Antiqua" w:hAnsi="Book Antiqua"/>
              </w:rPr>
              <w:t>(0.766-0.9)</w:t>
            </w:r>
          </w:p>
        </w:tc>
        <w:tc>
          <w:tcPr>
            <w:tcW w:w="528" w:type="pct"/>
            <w:tcBorders>
              <w:top w:val="nil"/>
              <w:left w:val="nil"/>
              <w:bottom w:val="nil"/>
              <w:right w:val="nil"/>
            </w:tcBorders>
            <w:shd w:val="clear" w:color="auto" w:fill="auto"/>
            <w:hideMark/>
          </w:tcPr>
          <w:p w14:paraId="4C11BC78" w14:textId="77777777" w:rsidR="00BD169C" w:rsidRPr="005439C1" w:rsidRDefault="00BD169C" w:rsidP="00854FA6">
            <w:pPr>
              <w:spacing w:line="360" w:lineRule="auto"/>
              <w:jc w:val="both"/>
              <w:rPr>
                <w:rFonts w:ascii="Book Antiqua" w:hAnsi="Book Antiqua"/>
              </w:rPr>
            </w:pPr>
            <w:r w:rsidRPr="005439C1">
              <w:rPr>
                <w:rFonts w:ascii="Book Antiqua" w:hAnsi="Book Antiqua"/>
              </w:rPr>
              <w:t>180</w:t>
            </w:r>
          </w:p>
        </w:tc>
        <w:tc>
          <w:tcPr>
            <w:tcW w:w="820" w:type="pct"/>
            <w:tcBorders>
              <w:top w:val="nil"/>
              <w:left w:val="nil"/>
              <w:bottom w:val="nil"/>
              <w:right w:val="nil"/>
            </w:tcBorders>
            <w:shd w:val="clear" w:color="auto" w:fill="auto"/>
            <w:hideMark/>
          </w:tcPr>
          <w:p w14:paraId="5F78131F" w14:textId="77777777" w:rsidR="00BD169C" w:rsidRPr="005439C1" w:rsidRDefault="00BD169C" w:rsidP="00854FA6">
            <w:pPr>
              <w:spacing w:line="360" w:lineRule="auto"/>
              <w:jc w:val="both"/>
              <w:rPr>
                <w:rFonts w:ascii="Book Antiqua" w:hAnsi="Book Antiqua"/>
              </w:rPr>
            </w:pPr>
            <w:r w:rsidRPr="005439C1">
              <w:rPr>
                <w:rFonts w:ascii="Book Antiqua" w:hAnsi="Book Antiqua"/>
              </w:rPr>
              <w:t>80</w:t>
            </w:r>
          </w:p>
        </w:tc>
        <w:tc>
          <w:tcPr>
            <w:tcW w:w="826" w:type="pct"/>
            <w:tcBorders>
              <w:top w:val="nil"/>
              <w:left w:val="nil"/>
              <w:bottom w:val="nil"/>
              <w:right w:val="nil"/>
            </w:tcBorders>
            <w:shd w:val="clear" w:color="auto" w:fill="auto"/>
            <w:hideMark/>
          </w:tcPr>
          <w:p w14:paraId="1C8269B3" w14:textId="77777777" w:rsidR="00BD169C" w:rsidRPr="005439C1" w:rsidRDefault="00BD169C" w:rsidP="00854FA6">
            <w:pPr>
              <w:spacing w:line="360" w:lineRule="auto"/>
              <w:jc w:val="both"/>
              <w:rPr>
                <w:rFonts w:ascii="Book Antiqua" w:hAnsi="Book Antiqua"/>
              </w:rPr>
            </w:pPr>
            <w:r w:rsidRPr="005439C1">
              <w:rPr>
                <w:rFonts w:ascii="Book Antiqua" w:hAnsi="Book Antiqua"/>
              </w:rPr>
              <w:t>82.76</w:t>
            </w:r>
          </w:p>
        </w:tc>
        <w:tc>
          <w:tcPr>
            <w:tcW w:w="598" w:type="pct"/>
            <w:tcBorders>
              <w:top w:val="nil"/>
              <w:left w:val="nil"/>
              <w:bottom w:val="nil"/>
              <w:right w:val="nil"/>
            </w:tcBorders>
            <w:shd w:val="clear" w:color="auto" w:fill="auto"/>
            <w:hideMark/>
          </w:tcPr>
          <w:p w14:paraId="521DBEE9" w14:textId="77777777" w:rsidR="00BD169C" w:rsidRPr="005439C1" w:rsidRDefault="00BD169C" w:rsidP="00854FA6">
            <w:pPr>
              <w:spacing w:line="360" w:lineRule="auto"/>
              <w:jc w:val="both"/>
              <w:rPr>
                <w:rFonts w:ascii="Book Antiqua" w:hAnsi="Book Antiqua"/>
              </w:rPr>
            </w:pPr>
            <w:r w:rsidRPr="005439C1">
              <w:rPr>
                <w:rFonts w:ascii="Book Antiqua" w:hAnsi="Book Antiqua"/>
              </w:rPr>
              <w:t>84.8</w:t>
            </w:r>
          </w:p>
        </w:tc>
        <w:tc>
          <w:tcPr>
            <w:tcW w:w="559" w:type="pct"/>
            <w:tcBorders>
              <w:top w:val="nil"/>
              <w:left w:val="nil"/>
              <w:bottom w:val="nil"/>
              <w:right w:val="nil"/>
            </w:tcBorders>
            <w:shd w:val="clear" w:color="auto" w:fill="auto"/>
            <w:hideMark/>
          </w:tcPr>
          <w:p w14:paraId="5A31C40A" w14:textId="77777777" w:rsidR="00BD169C" w:rsidRPr="005439C1" w:rsidRDefault="00BD169C" w:rsidP="00854FA6">
            <w:pPr>
              <w:spacing w:line="360" w:lineRule="auto"/>
              <w:jc w:val="both"/>
              <w:rPr>
                <w:rFonts w:ascii="Book Antiqua" w:hAnsi="Book Antiqua"/>
              </w:rPr>
            </w:pPr>
            <w:r w:rsidRPr="005439C1">
              <w:rPr>
                <w:rFonts w:ascii="Book Antiqua" w:hAnsi="Book Antiqua"/>
              </w:rPr>
              <w:t>77.4</w:t>
            </w:r>
          </w:p>
        </w:tc>
      </w:tr>
      <w:tr w:rsidR="00FA63E3" w:rsidRPr="005439C1" w14:paraId="69252256" w14:textId="77777777" w:rsidTr="00E80024">
        <w:trPr>
          <w:trHeight w:val="312"/>
        </w:trPr>
        <w:tc>
          <w:tcPr>
            <w:tcW w:w="827" w:type="pct"/>
            <w:tcBorders>
              <w:top w:val="nil"/>
              <w:left w:val="nil"/>
              <w:right w:val="nil"/>
            </w:tcBorders>
            <w:shd w:val="clear" w:color="auto" w:fill="auto"/>
            <w:hideMark/>
          </w:tcPr>
          <w:p w14:paraId="5C4681A3" w14:textId="4F7F4F39" w:rsidR="00BD169C" w:rsidRPr="005439C1" w:rsidRDefault="00BD169C" w:rsidP="00854FA6">
            <w:pPr>
              <w:spacing w:line="360" w:lineRule="auto"/>
              <w:jc w:val="both"/>
              <w:rPr>
                <w:rFonts w:ascii="Book Antiqua" w:hAnsi="Book Antiqua"/>
              </w:rPr>
            </w:pPr>
            <w:r w:rsidRPr="005439C1">
              <w:rPr>
                <w:rFonts w:ascii="Book Antiqua" w:hAnsi="Book Antiqua"/>
              </w:rPr>
              <w:t>PT (</w:t>
            </w:r>
            <w:r w:rsidR="00BC7700">
              <w:rPr>
                <w:rFonts w:ascii="Book Antiqua" w:hAnsi="Book Antiqua"/>
              </w:rPr>
              <w:t>s</w:t>
            </w:r>
            <w:r w:rsidRPr="005439C1">
              <w:rPr>
                <w:rFonts w:ascii="Book Antiqua" w:hAnsi="Book Antiqua"/>
              </w:rPr>
              <w:t>)</w:t>
            </w:r>
          </w:p>
        </w:tc>
        <w:tc>
          <w:tcPr>
            <w:tcW w:w="842" w:type="pct"/>
            <w:tcBorders>
              <w:top w:val="nil"/>
              <w:left w:val="nil"/>
              <w:right w:val="nil"/>
            </w:tcBorders>
            <w:shd w:val="clear" w:color="auto" w:fill="auto"/>
            <w:hideMark/>
          </w:tcPr>
          <w:p w14:paraId="17E81E96" w14:textId="630BBDD6" w:rsidR="00BD169C" w:rsidRPr="005439C1" w:rsidRDefault="00BD169C" w:rsidP="00854FA6">
            <w:pPr>
              <w:spacing w:line="360" w:lineRule="auto"/>
              <w:jc w:val="both"/>
              <w:rPr>
                <w:rFonts w:ascii="Book Antiqua" w:hAnsi="Book Antiqua"/>
              </w:rPr>
            </w:pPr>
            <w:r w:rsidRPr="005439C1">
              <w:rPr>
                <w:rFonts w:ascii="Book Antiqua" w:hAnsi="Book Antiqua"/>
              </w:rPr>
              <w:t>0.868</w:t>
            </w:r>
            <w:r w:rsidR="00FA63E3">
              <w:rPr>
                <w:rFonts w:ascii="Book Antiqua" w:hAnsi="Book Antiqua"/>
              </w:rPr>
              <w:t xml:space="preserve"> </w:t>
            </w:r>
            <w:r w:rsidRPr="005439C1">
              <w:rPr>
                <w:rFonts w:ascii="Book Antiqua" w:hAnsi="Book Antiqua"/>
              </w:rPr>
              <w:t>(0.796-0.921)</w:t>
            </w:r>
          </w:p>
        </w:tc>
        <w:tc>
          <w:tcPr>
            <w:tcW w:w="528" w:type="pct"/>
            <w:tcBorders>
              <w:top w:val="nil"/>
              <w:left w:val="nil"/>
              <w:right w:val="nil"/>
            </w:tcBorders>
            <w:shd w:val="clear" w:color="auto" w:fill="auto"/>
            <w:hideMark/>
          </w:tcPr>
          <w:p w14:paraId="3EEA2833" w14:textId="77777777" w:rsidR="00BD169C" w:rsidRPr="005439C1" w:rsidRDefault="00BD169C" w:rsidP="00854FA6">
            <w:pPr>
              <w:spacing w:line="360" w:lineRule="auto"/>
              <w:jc w:val="both"/>
              <w:rPr>
                <w:rFonts w:ascii="Book Antiqua" w:hAnsi="Book Antiqua"/>
              </w:rPr>
            </w:pPr>
            <w:r w:rsidRPr="005439C1">
              <w:rPr>
                <w:rFonts w:ascii="Book Antiqua" w:hAnsi="Book Antiqua"/>
              </w:rPr>
              <w:t>15.3</w:t>
            </w:r>
          </w:p>
        </w:tc>
        <w:tc>
          <w:tcPr>
            <w:tcW w:w="820" w:type="pct"/>
            <w:tcBorders>
              <w:top w:val="nil"/>
              <w:left w:val="nil"/>
              <w:right w:val="nil"/>
            </w:tcBorders>
            <w:shd w:val="clear" w:color="auto" w:fill="auto"/>
            <w:hideMark/>
          </w:tcPr>
          <w:p w14:paraId="3814FFD9" w14:textId="77777777" w:rsidR="00BD169C" w:rsidRPr="005439C1" w:rsidRDefault="00BD169C" w:rsidP="00854FA6">
            <w:pPr>
              <w:spacing w:line="360" w:lineRule="auto"/>
              <w:jc w:val="both"/>
              <w:rPr>
                <w:rFonts w:ascii="Book Antiqua" w:hAnsi="Book Antiqua"/>
              </w:rPr>
            </w:pPr>
            <w:r w:rsidRPr="005439C1">
              <w:rPr>
                <w:rFonts w:ascii="Book Antiqua" w:hAnsi="Book Antiqua"/>
              </w:rPr>
              <w:t>80</w:t>
            </w:r>
          </w:p>
        </w:tc>
        <w:tc>
          <w:tcPr>
            <w:tcW w:w="826" w:type="pct"/>
            <w:tcBorders>
              <w:top w:val="nil"/>
              <w:left w:val="nil"/>
              <w:right w:val="nil"/>
            </w:tcBorders>
            <w:shd w:val="clear" w:color="auto" w:fill="auto"/>
            <w:hideMark/>
          </w:tcPr>
          <w:p w14:paraId="18A80113" w14:textId="77777777" w:rsidR="00BD169C" w:rsidRPr="005439C1" w:rsidRDefault="00BD169C" w:rsidP="00854FA6">
            <w:pPr>
              <w:spacing w:line="360" w:lineRule="auto"/>
              <w:jc w:val="both"/>
              <w:rPr>
                <w:rFonts w:ascii="Book Antiqua" w:hAnsi="Book Antiqua"/>
              </w:rPr>
            </w:pPr>
            <w:r w:rsidRPr="005439C1">
              <w:rPr>
                <w:rFonts w:ascii="Book Antiqua" w:hAnsi="Book Antiqua"/>
              </w:rPr>
              <w:t>87.93</w:t>
            </w:r>
          </w:p>
        </w:tc>
        <w:tc>
          <w:tcPr>
            <w:tcW w:w="598" w:type="pct"/>
            <w:tcBorders>
              <w:top w:val="nil"/>
              <w:left w:val="nil"/>
              <w:right w:val="nil"/>
            </w:tcBorders>
            <w:shd w:val="clear" w:color="auto" w:fill="auto"/>
            <w:hideMark/>
          </w:tcPr>
          <w:p w14:paraId="003DF632" w14:textId="77777777" w:rsidR="00BD169C" w:rsidRPr="005439C1" w:rsidRDefault="00BD169C" w:rsidP="00854FA6">
            <w:pPr>
              <w:spacing w:line="360" w:lineRule="auto"/>
              <w:jc w:val="both"/>
              <w:rPr>
                <w:rFonts w:ascii="Book Antiqua" w:hAnsi="Book Antiqua"/>
              </w:rPr>
            </w:pPr>
            <w:r w:rsidRPr="005439C1">
              <w:rPr>
                <w:rFonts w:ascii="Book Antiqua" w:hAnsi="Book Antiqua"/>
              </w:rPr>
              <w:t>88.9</w:t>
            </w:r>
          </w:p>
        </w:tc>
        <w:tc>
          <w:tcPr>
            <w:tcW w:w="559" w:type="pct"/>
            <w:tcBorders>
              <w:top w:val="nil"/>
              <w:left w:val="nil"/>
              <w:right w:val="nil"/>
            </w:tcBorders>
            <w:shd w:val="clear" w:color="auto" w:fill="auto"/>
            <w:hideMark/>
          </w:tcPr>
          <w:p w14:paraId="641A89CB" w14:textId="77777777" w:rsidR="00BD169C" w:rsidRPr="005439C1" w:rsidRDefault="00BD169C" w:rsidP="00854FA6">
            <w:pPr>
              <w:spacing w:line="360" w:lineRule="auto"/>
              <w:jc w:val="both"/>
              <w:rPr>
                <w:rFonts w:ascii="Book Antiqua" w:hAnsi="Book Antiqua"/>
              </w:rPr>
            </w:pPr>
            <w:r w:rsidRPr="005439C1">
              <w:rPr>
                <w:rFonts w:ascii="Book Antiqua" w:hAnsi="Book Antiqua"/>
              </w:rPr>
              <w:t>78.5</w:t>
            </w:r>
          </w:p>
        </w:tc>
      </w:tr>
      <w:tr w:rsidR="00FA63E3" w:rsidRPr="005439C1" w14:paraId="1E353BE9" w14:textId="77777777" w:rsidTr="00E80024">
        <w:trPr>
          <w:trHeight w:val="327"/>
        </w:trPr>
        <w:tc>
          <w:tcPr>
            <w:tcW w:w="827" w:type="pct"/>
            <w:tcBorders>
              <w:top w:val="nil"/>
              <w:left w:val="nil"/>
              <w:bottom w:val="single" w:sz="4" w:space="0" w:color="auto"/>
              <w:right w:val="nil"/>
            </w:tcBorders>
            <w:shd w:val="clear" w:color="auto" w:fill="auto"/>
            <w:hideMark/>
          </w:tcPr>
          <w:p w14:paraId="50A3338E" w14:textId="5AB7F6CB" w:rsidR="00BD169C" w:rsidRPr="005439C1" w:rsidRDefault="00BD169C" w:rsidP="00854FA6">
            <w:pPr>
              <w:spacing w:line="360" w:lineRule="auto"/>
              <w:jc w:val="both"/>
              <w:rPr>
                <w:rFonts w:ascii="Book Antiqua" w:hAnsi="Book Antiqua"/>
              </w:rPr>
            </w:pPr>
            <w:proofErr w:type="spellStart"/>
            <w:r w:rsidRPr="005439C1">
              <w:rPr>
                <w:rFonts w:ascii="Book Antiqua" w:hAnsi="Book Antiqua"/>
              </w:rPr>
              <w:t>qSOFA</w:t>
            </w:r>
            <w:proofErr w:type="spellEnd"/>
            <w:r w:rsidR="00FA63E3">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2</w:t>
            </w:r>
          </w:p>
        </w:tc>
        <w:tc>
          <w:tcPr>
            <w:tcW w:w="842" w:type="pct"/>
            <w:tcBorders>
              <w:top w:val="nil"/>
              <w:left w:val="nil"/>
              <w:bottom w:val="single" w:sz="4" w:space="0" w:color="auto"/>
              <w:right w:val="nil"/>
            </w:tcBorders>
            <w:shd w:val="clear" w:color="auto" w:fill="auto"/>
            <w:hideMark/>
          </w:tcPr>
          <w:p w14:paraId="1FFDA129" w14:textId="547EA930" w:rsidR="00BD169C" w:rsidRPr="005439C1" w:rsidRDefault="00BD169C" w:rsidP="00854FA6">
            <w:pPr>
              <w:spacing w:line="360" w:lineRule="auto"/>
              <w:jc w:val="both"/>
              <w:rPr>
                <w:rFonts w:ascii="Book Antiqua" w:hAnsi="Book Antiqua"/>
              </w:rPr>
            </w:pPr>
            <w:r w:rsidRPr="005439C1">
              <w:rPr>
                <w:rFonts w:ascii="Book Antiqua" w:hAnsi="Book Antiqua"/>
              </w:rPr>
              <w:t>0.638</w:t>
            </w:r>
            <w:r w:rsidR="00FA63E3">
              <w:rPr>
                <w:rFonts w:ascii="Book Antiqua" w:hAnsi="Book Antiqua"/>
              </w:rPr>
              <w:t xml:space="preserve"> </w:t>
            </w:r>
            <w:r w:rsidRPr="005439C1">
              <w:rPr>
                <w:rFonts w:ascii="Book Antiqua" w:hAnsi="Book Antiqua"/>
              </w:rPr>
              <w:t>(0.548-0.721)</w:t>
            </w:r>
          </w:p>
        </w:tc>
        <w:tc>
          <w:tcPr>
            <w:tcW w:w="528" w:type="pct"/>
            <w:tcBorders>
              <w:top w:val="nil"/>
              <w:left w:val="nil"/>
              <w:bottom w:val="single" w:sz="4" w:space="0" w:color="auto"/>
              <w:right w:val="nil"/>
            </w:tcBorders>
            <w:shd w:val="clear" w:color="auto" w:fill="auto"/>
            <w:hideMark/>
          </w:tcPr>
          <w:p w14:paraId="601C5BD0" w14:textId="77777777" w:rsidR="00BD169C" w:rsidRPr="005439C1" w:rsidRDefault="00BD169C" w:rsidP="00854FA6">
            <w:pPr>
              <w:spacing w:line="360" w:lineRule="auto"/>
              <w:jc w:val="both"/>
              <w:rPr>
                <w:rFonts w:ascii="Book Antiqua" w:hAnsi="Book Antiqua"/>
              </w:rPr>
            </w:pPr>
          </w:p>
        </w:tc>
        <w:tc>
          <w:tcPr>
            <w:tcW w:w="820" w:type="pct"/>
            <w:tcBorders>
              <w:top w:val="nil"/>
              <w:left w:val="nil"/>
              <w:bottom w:val="single" w:sz="4" w:space="0" w:color="auto"/>
              <w:right w:val="nil"/>
            </w:tcBorders>
            <w:shd w:val="clear" w:color="auto" w:fill="auto"/>
            <w:hideMark/>
          </w:tcPr>
          <w:p w14:paraId="3AFB2410" w14:textId="77777777" w:rsidR="00BD169C" w:rsidRPr="005439C1" w:rsidRDefault="00BD169C" w:rsidP="00854FA6">
            <w:pPr>
              <w:spacing w:line="360" w:lineRule="auto"/>
              <w:jc w:val="both"/>
              <w:rPr>
                <w:rFonts w:ascii="Book Antiqua" w:hAnsi="Book Antiqua"/>
              </w:rPr>
            </w:pPr>
            <w:r w:rsidRPr="005439C1">
              <w:rPr>
                <w:rFonts w:ascii="Book Antiqua" w:hAnsi="Book Antiqua"/>
              </w:rPr>
              <w:t>28.57</w:t>
            </w:r>
          </w:p>
        </w:tc>
        <w:tc>
          <w:tcPr>
            <w:tcW w:w="826" w:type="pct"/>
            <w:tcBorders>
              <w:top w:val="nil"/>
              <w:left w:val="nil"/>
              <w:bottom w:val="single" w:sz="4" w:space="0" w:color="auto"/>
              <w:right w:val="nil"/>
            </w:tcBorders>
            <w:shd w:val="clear" w:color="auto" w:fill="auto"/>
            <w:hideMark/>
          </w:tcPr>
          <w:p w14:paraId="4FA34A0F" w14:textId="77777777" w:rsidR="00BD169C" w:rsidRPr="005439C1" w:rsidRDefault="00BD169C" w:rsidP="00854FA6">
            <w:pPr>
              <w:spacing w:line="360" w:lineRule="auto"/>
              <w:jc w:val="both"/>
              <w:rPr>
                <w:rFonts w:ascii="Book Antiqua" w:hAnsi="Book Antiqua"/>
              </w:rPr>
            </w:pPr>
            <w:r w:rsidRPr="005439C1">
              <w:rPr>
                <w:rFonts w:ascii="Book Antiqua" w:hAnsi="Book Antiqua"/>
              </w:rPr>
              <w:t>79.31</w:t>
            </w:r>
          </w:p>
        </w:tc>
        <w:tc>
          <w:tcPr>
            <w:tcW w:w="598" w:type="pct"/>
            <w:tcBorders>
              <w:top w:val="nil"/>
              <w:left w:val="nil"/>
              <w:bottom w:val="single" w:sz="4" w:space="0" w:color="auto"/>
              <w:right w:val="nil"/>
            </w:tcBorders>
            <w:shd w:val="clear" w:color="auto" w:fill="auto"/>
            <w:hideMark/>
          </w:tcPr>
          <w:p w14:paraId="465D0FE5" w14:textId="77777777" w:rsidR="00BD169C" w:rsidRPr="005439C1" w:rsidRDefault="00BD169C" w:rsidP="00854FA6">
            <w:pPr>
              <w:spacing w:line="360" w:lineRule="auto"/>
              <w:jc w:val="both"/>
              <w:rPr>
                <w:rFonts w:ascii="Book Antiqua" w:hAnsi="Book Antiqua"/>
              </w:rPr>
            </w:pPr>
            <w:r w:rsidRPr="005439C1">
              <w:rPr>
                <w:rFonts w:ascii="Book Antiqua" w:hAnsi="Book Antiqua"/>
              </w:rPr>
              <w:t>62.5</w:t>
            </w:r>
          </w:p>
        </w:tc>
        <w:tc>
          <w:tcPr>
            <w:tcW w:w="559" w:type="pct"/>
            <w:tcBorders>
              <w:top w:val="nil"/>
              <w:left w:val="nil"/>
              <w:bottom w:val="single" w:sz="4" w:space="0" w:color="auto"/>
              <w:right w:val="nil"/>
            </w:tcBorders>
            <w:shd w:val="clear" w:color="auto" w:fill="auto"/>
            <w:hideMark/>
          </w:tcPr>
          <w:p w14:paraId="7B3793FD" w14:textId="77777777" w:rsidR="00BD169C" w:rsidRPr="005439C1" w:rsidRDefault="00BD169C" w:rsidP="00854FA6">
            <w:pPr>
              <w:spacing w:line="360" w:lineRule="auto"/>
              <w:jc w:val="both"/>
              <w:rPr>
                <w:rFonts w:ascii="Book Antiqua" w:hAnsi="Book Antiqua"/>
              </w:rPr>
            </w:pPr>
            <w:r w:rsidRPr="005439C1">
              <w:rPr>
                <w:rFonts w:ascii="Book Antiqua" w:hAnsi="Book Antiqua"/>
              </w:rPr>
              <w:t>47.9</w:t>
            </w:r>
          </w:p>
        </w:tc>
      </w:tr>
    </w:tbl>
    <w:p w14:paraId="1DDE910B" w14:textId="5983F7BE" w:rsidR="00FC45BD" w:rsidRDefault="00DD16A9">
      <w:pPr>
        <w:spacing w:line="360" w:lineRule="auto"/>
        <w:jc w:val="both"/>
        <w:rPr>
          <w:rFonts w:ascii="Book Antiqua" w:hAnsi="Book Antiqua"/>
        </w:rPr>
      </w:pPr>
      <w:r>
        <w:rPr>
          <w:rFonts w:ascii="Book Antiqua" w:eastAsia="Book Antiqua" w:hAnsi="Book Antiqua" w:cs="Book Antiqua"/>
          <w:color w:val="000000"/>
        </w:rPr>
        <w:t>AUC: Area under curves;</w:t>
      </w:r>
      <w:r>
        <w:rPr>
          <w:rFonts w:ascii="Book Antiqua" w:hAnsi="Book Antiqua"/>
        </w:rPr>
        <w:t xml:space="preserve"> </w:t>
      </w:r>
      <w:r w:rsidR="00535329" w:rsidRPr="00BD169C">
        <w:rPr>
          <w:rFonts w:ascii="Book Antiqua" w:hAnsi="Book Antiqua"/>
        </w:rPr>
        <w:t xml:space="preserve">INR: </w:t>
      </w:r>
      <w:r w:rsidR="00535329">
        <w:rPr>
          <w:rFonts w:ascii="Book Antiqua" w:hAnsi="Book Antiqua"/>
        </w:rPr>
        <w:t>I</w:t>
      </w:r>
      <w:r w:rsidR="00535329" w:rsidRPr="007F5754">
        <w:rPr>
          <w:rFonts w:ascii="Book Antiqua" w:hAnsi="Book Antiqua"/>
        </w:rPr>
        <w:t>nternational normalized ratio</w:t>
      </w:r>
      <w:r w:rsidR="00535329" w:rsidRPr="00BD169C">
        <w:rPr>
          <w:rFonts w:ascii="Book Antiqua" w:hAnsi="Book Antiqua"/>
        </w:rPr>
        <w:t xml:space="preserve">; NLCR: </w:t>
      </w:r>
      <w:r w:rsidR="00535329">
        <w:rPr>
          <w:rFonts w:ascii="Book Antiqua" w:hAnsi="Book Antiqua"/>
        </w:rPr>
        <w:t>N</w:t>
      </w:r>
      <w:r w:rsidR="00535329" w:rsidRPr="00BD169C">
        <w:rPr>
          <w:rFonts w:ascii="Book Antiqua" w:hAnsi="Book Antiqua"/>
        </w:rPr>
        <w:t xml:space="preserve">eutrophil-lymphocyte count ratio; NPV: </w:t>
      </w:r>
      <w:r w:rsidR="00535329">
        <w:rPr>
          <w:rFonts w:ascii="Book Antiqua" w:hAnsi="Book Antiqua"/>
        </w:rPr>
        <w:t>N</w:t>
      </w:r>
      <w:r w:rsidR="00535329" w:rsidRPr="00BD169C">
        <w:rPr>
          <w:rFonts w:ascii="Book Antiqua" w:hAnsi="Book Antiqua"/>
        </w:rPr>
        <w:t>egative predictive value</w:t>
      </w:r>
      <w:r w:rsidR="00535329">
        <w:rPr>
          <w:rFonts w:ascii="Book Antiqua" w:hAnsi="Book Antiqua"/>
        </w:rPr>
        <w:t xml:space="preserve">; </w:t>
      </w:r>
      <w:r w:rsidR="00535329" w:rsidRPr="00BD169C">
        <w:rPr>
          <w:rFonts w:ascii="Book Antiqua" w:hAnsi="Book Antiqua"/>
        </w:rPr>
        <w:t xml:space="preserve">PLT: </w:t>
      </w:r>
      <w:r w:rsidR="00535329">
        <w:rPr>
          <w:rFonts w:ascii="Book Antiqua" w:hAnsi="Book Antiqua"/>
        </w:rPr>
        <w:t>P</w:t>
      </w:r>
      <w:r w:rsidR="00535329" w:rsidRPr="00BD169C">
        <w:rPr>
          <w:rFonts w:ascii="Book Antiqua" w:hAnsi="Book Antiqua"/>
        </w:rPr>
        <w:t xml:space="preserve">latelet; PT: </w:t>
      </w:r>
      <w:r w:rsidR="00535329">
        <w:rPr>
          <w:rFonts w:ascii="Book Antiqua" w:hAnsi="Book Antiqua"/>
        </w:rPr>
        <w:t>P</w:t>
      </w:r>
      <w:r w:rsidR="00535329" w:rsidRPr="00BD169C">
        <w:rPr>
          <w:rFonts w:ascii="Book Antiqua" w:hAnsi="Book Antiqua"/>
        </w:rPr>
        <w:t xml:space="preserve">rothrombin time; </w:t>
      </w:r>
      <w:r w:rsidR="00543C92" w:rsidRPr="00BD169C">
        <w:rPr>
          <w:rFonts w:ascii="Book Antiqua" w:hAnsi="Book Antiqua"/>
        </w:rPr>
        <w:t>PPV</w:t>
      </w:r>
      <w:bookmarkStart w:id="8" w:name="OLE_LINK20"/>
      <w:r w:rsidR="00543C92" w:rsidRPr="00BD169C">
        <w:rPr>
          <w:rFonts w:ascii="Book Antiqua" w:hAnsi="Book Antiqua"/>
        </w:rPr>
        <w:t xml:space="preserve">: </w:t>
      </w:r>
      <w:r w:rsidR="00543C92">
        <w:rPr>
          <w:rFonts w:ascii="Book Antiqua" w:hAnsi="Book Antiqua"/>
        </w:rPr>
        <w:t>P</w:t>
      </w:r>
      <w:r w:rsidR="00543C92" w:rsidRPr="00BD169C">
        <w:rPr>
          <w:rFonts w:ascii="Book Antiqua" w:hAnsi="Book Antiqua"/>
        </w:rPr>
        <w:t>redictive positive value</w:t>
      </w:r>
      <w:bookmarkEnd w:id="8"/>
      <w:r w:rsidR="00543C92">
        <w:rPr>
          <w:rFonts w:ascii="Book Antiqua" w:hAnsi="Book Antiqua"/>
        </w:rPr>
        <w:t xml:space="preserve">; </w:t>
      </w:r>
      <w:proofErr w:type="spellStart"/>
      <w:r w:rsidR="00BD169C" w:rsidRPr="00BD169C">
        <w:rPr>
          <w:rFonts w:ascii="Book Antiqua" w:hAnsi="Book Antiqua"/>
        </w:rPr>
        <w:t>qSOFA</w:t>
      </w:r>
      <w:proofErr w:type="spellEnd"/>
      <w:r w:rsidR="00BD169C" w:rsidRPr="00BD169C">
        <w:rPr>
          <w:rFonts w:ascii="Book Antiqua" w:hAnsi="Book Antiqua"/>
        </w:rPr>
        <w:t xml:space="preserve">: </w:t>
      </w:r>
      <w:r w:rsidR="00C930FF">
        <w:rPr>
          <w:rFonts w:ascii="Book Antiqua" w:hAnsi="Book Antiqua"/>
        </w:rPr>
        <w:t>Q</w:t>
      </w:r>
      <w:r w:rsidR="00BD169C" w:rsidRPr="00BD169C">
        <w:rPr>
          <w:rFonts w:ascii="Book Antiqua" w:hAnsi="Book Antiqua"/>
        </w:rPr>
        <w:t xml:space="preserve">uick Sequential </w:t>
      </w:r>
      <w:r w:rsidR="00BC7700">
        <w:rPr>
          <w:rFonts w:ascii="Book Antiqua" w:hAnsi="Book Antiqua"/>
        </w:rPr>
        <w:t>“</w:t>
      </w:r>
      <w:r w:rsidR="00BD169C" w:rsidRPr="00BD169C">
        <w:rPr>
          <w:rFonts w:ascii="Book Antiqua" w:hAnsi="Book Antiqua"/>
        </w:rPr>
        <w:t>Sepsis-related</w:t>
      </w:r>
      <w:r w:rsidR="00BC7700">
        <w:rPr>
          <w:rFonts w:ascii="Book Antiqua" w:hAnsi="Book Antiqua"/>
        </w:rPr>
        <w:t>”</w:t>
      </w:r>
      <w:r w:rsidR="00BC7700" w:rsidRPr="00BD169C">
        <w:rPr>
          <w:rFonts w:ascii="Book Antiqua" w:hAnsi="Book Antiqua"/>
        </w:rPr>
        <w:t xml:space="preserve"> </w:t>
      </w:r>
      <w:r w:rsidR="00BD169C" w:rsidRPr="00BD169C">
        <w:rPr>
          <w:rFonts w:ascii="Book Antiqua" w:hAnsi="Book Antiqua"/>
        </w:rPr>
        <w:t>Organ Failure Assessment</w:t>
      </w:r>
      <w:r w:rsidR="00535329">
        <w:rPr>
          <w:rFonts w:ascii="Book Antiqua" w:hAnsi="Book Antiqua"/>
        </w:rPr>
        <w:t xml:space="preserve">; </w:t>
      </w:r>
      <w:r w:rsidR="00535329" w:rsidRPr="005439C1">
        <w:rPr>
          <w:rFonts w:ascii="Book Antiqua" w:hAnsi="Book Antiqua"/>
        </w:rPr>
        <w:t>WBC</w:t>
      </w:r>
      <w:r w:rsidR="00535329">
        <w:rPr>
          <w:rFonts w:ascii="Book Antiqua" w:hAnsi="Book Antiqua"/>
        </w:rPr>
        <w:t>: W</w:t>
      </w:r>
      <w:r w:rsidR="00535329" w:rsidRPr="00783B8B">
        <w:rPr>
          <w:rFonts w:ascii="Book Antiqua" w:hAnsi="Book Antiqua"/>
        </w:rPr>
        <w:t>hite blood cell</w:t>
      </w:r>
      <w:r w:rsidR="00535329">
        <w:rPr>
          <w:rFonts w:ascii="Book Antiqua" w:hAnsi="Book Antiqua"/>
        </w:rPr>
        <w:t>; 95%</w:t>
      </w:r>
      <w:r w:rsidR="00535329" w:rsidRPr="00BD169C">
        <w:rPr>
          <w:rFonts w:ascii="Book Antiqua" w:hAnsi="Book Antiqua"/>
        </w:rPr>
        <w:t xml:space="preserve">CI: </w:t>
      </w:r>
      <w:r w:rsidR="00535329">
        <w:rPr>
          <w:rFonts w:ascii="Book Antiqua" w:hAnsi="Book Antiqua"/>
        </w:rPr>
        <w:t>95% c</w:t>
      </w:r>
      <w:r w:rsidR="00535329" w:rsidRPr="00BD169C">
        <w:rPr>
          <w:rFonts w:ascii="Book Antiqua" w:hAnsi="Book Antiqua"/>
        </w:rPr>
        <w:t>onfidence intervals</w:t>
      </w:r>
      <w:r w:rsidR="00535329">
        <w:rPr>
          <w:rFonts w:ascii="Book Antiqua" w:hAnsi="Book Antiqua"/>
        </w:rPr>
        <w:t>.</w:t>
      </w:r>
    </w:p>
    <w:p w14:paraId="36C40CAA" w14:textId="77777777" w:rsidR="00FC45BD" w:rsidRDefault="00FC45BD">
      <w:pPr>
        <w:rPr>
          <w:rFonts w:ascii="Book Antiqua" w:hAnsi="Book Antiqua"/>
        </w:rPr>
      </w:pPr>
      <w:r>
        <w:rPr>
          <w:rFonts w:ascii="Book Antiqua" w:hAnsi="Book Antiqua"/>
        </w:rPr>
        <w:br w:type="page"/>
      </w:r>
    </w:p>
    <w:p w14:paraId="1303F473" w14:textId="77777777" w:rsidR="00FC45BD" w:rsidRDefault="00FC45BD" w:rsidP="00FC45BD">
      <w:pPr>
        <w:jc w:val="center"/>
        <w:rPr>
          <w:rFonts w:ascii="Book Antiqua" w:hAnsi="Book Antiqua"/>
        </w:rPr>
      </w:pPr>
    </w:p>
    <w:p w14:paraId="19C593EE" w14:textId="77777777" w:rsidR="00FC45BD" w:rsidRDefault="00FC45BD" w:rsidP="00FC45BD">
      <w:pPr>
        <w:jc w:val="center"/>
        <w:rPr>
          <w:rFonts w:ascii="Book Antiqua" w:hAnsi="Book Antiqua"/>
        </w:rPr>
      </w:pPr>
    </w:p>
    <w:p w14:paraId="4BC8D51F" w14:textId="77777777" w:rsidR="00FC45BD" w:rsidRDefault="00FC45BD" w:rsidP="00FC45BD">
      <w:pPr>
        <w:jc w:val="center"/>
        <w:rPr>
          <w:rFonts w:ascii="Book Antiqua" w:hAnsi="Book Antiqua"/>
        </w:rPr>
      </w:pPr>
    </w:p>
    <w:p w14:paraId="72A4E0EC" w14:textId="77777777" w:rsidR="00FC45BD" w:rsidRDefault="00FC45BD" w:rsidP="00FC45BD">
      <w:pPr>
        <w:jc w:val="center"/>
        <w:rPr>
          <w:rFonts w:ascii="Book Antiqua" w:hAnsi="Book Antiqua"/>
        </w:rPr>
      </w:pPr>
    </w:p>
    <w:p w14:paraId="3A55B5B2" w14:textId="77777777" w:rsidR="00FC45BD" w:rsidRDefault="00FC45BD" w:rsidP="00FC45BD">
      <w:pPr>
        <w:jc w:val="center"/>
        <w:rPr>
          <w:rFonts w:ascii="Book Antiqua" w:hAnsi="Book Antiqua"/>
        </w:rPr>
      </w:pPr>
    </w:p>
    <w:p w14:paraId="0528402A" w14:textId="77777777" w:rsidR="00FC45BD" w:rsidRDefault="00FC45BD" w:rsidP="00FC45BD">
      <w:pPr>
        <w:jc w:val="center"/>
        <w:rPr>
          <w:rFonts w:ascii="Book Antiqua" w:hAnsi="Book Antiqua"/>
        </w:rPr>
      </w:pPr>
      <w:r>
        <w:rPr>
          <w:rFonts w:ascii="Book Antiqua" w:hAnsi="Book Antiqua"/>
          <w:noProof/>
        </w:rPr>
        <w:drawing>
          <wp:inline distT="0" distB="0" distL="0" distR="0" wp14:anchorId="2DB19B01" wp14:editId="119448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323E35" w14:textId="77777777" w:rsidR="00FC45BD" w:rsidRDefault="00FC45BD" w:rsidP="00FC45BD">
      <w:pPr>
        <w:jc w:val="center"/>
        <w:rPr>
          <w:rFonts w:ascii="Book Antiqua" w:hAnsi="Book Antiqua"/>
        </w:rPr>
      </w:pPr>
    </w:p>
    <w:p w14:paraId="468964E0" w14:textId="77777777" w:rsidR="00FC45BD" w:rsidRPr="00763D22" w:rsidRDefault="00FC45BD" w:rsidP="00FC45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FEFB553" w14:textId="77777777" w:rsidR="00FC45BD" w:rsidRPr="00763D22" w:rsidRDefault="00FC45BD" w:rsidP="00FC45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0C03B9" w14:textId="77777777" w:rsidR="00FC45BD" w:rsidRPr="00763D22" w:rsidRDefault="00FC45BD" w:rsidP="00FC45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F7B07D" w14:textId="77777777" w:rsidR="00FC45BD" w:rsidRPr="00763D22" w:rsidRDefault="00FC45BD" w:rsidP="00FC45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3A94E9" w14:textId="77777777" w:rsidR="00FC45BD" w:rsidRPr="00763D22" w:rsidRDefault="00FC45BD" w:rsidP="00FC45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6F7EE4" w14:textId="77777777" w:rsidR="00FC45BD" w:rsidRPr="00763D22" w:rsidRDefault="00FC45BD" w:rsidP="00FC45B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863DF46" w14:textId="77777777" w:rsidR="00FC45BD" w:rsidRDefault="00FC45BD" w:rsidP="00FC45BD">
      <w:pPr>
        <w:jc w:val="center"/>
        <w:rPr>
          <w:rFonts w:ascii="Book Antiqua" w:hAnsi="Book Antiqua"/>
        </w:rPr>
      </w:pPr>
    </w:p>
    <w:p w14:paraId="4A79503A" w14:textId="77777777" w:rsidR="00FC45BD" w:rsidRDefault="00FC45BD" w:rsidP="00FC45BD">
      <w:pPr>
        <w:jc w:val="center"/>
        <w:rPr>
          <w:rFonts w:ascii="Book Antiqua" w:hAnsi="Book Antiqua"/>
        </w:rPr>
      </w:pPr>
    </w:p>
    <w:p w14:paraId="2B07AC12" w14:textId="77777777" w:rsidR="00FC45BD" w:rsidRDefault="00FC45BD" w:rsidP="00FC45BD">
      <w:pPr>
        <w:jc w:val="center"/>
        <w:rPr>
          <w:rFonts w:ascii="Book Antiqua" w:hAnsi="Book Antiqua"/>
        </w:rPr>
      </w:pPr>
    </w:p>
    <w:p w14:paraId="6060F0B3" w14:textId="77777777" w:rsidR="00FC45BD" w:rsidRDefault="00FC45BD" w:rsidP="00FC45BD">
      <w:pPr>
        <w:jc w:val="center"/>
        <w:rPr>
          <w:rFonts w:ascii="Book Antiqua" w:hAnsi="Book Antiqua"/>
        </w:rPr>
      </w:pPr>
      <w:r>
        <w:rPr>
          <w:rFonts w:ascii="Book Antiqua" w:hAnsi="Book Antiqua"/>
          <w:noProof/>
        </w:rPr>
        <w:drawing>
          <wp:inline distT="0" distB="0" distL="0" distR="0" wp14:anchorId="00A11BB9" wp14:editId="3FB13E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FEEBC8" w14:textId="77777777" w:rsidR="00FC45BD" w:rsidRDefault="00FC45BD" w:rsidP="00FC45BD">
      <w:pPr>
        <w:jc w:val="center"/>
        <w:rPr>
          <w:rFonts w:ascii="Book Antiqua" w:hAnsi="Book Antiqua"/>
        </w:rPr>
      </w:pPr>
    </w:p>
    <w:p w14:paraId="2BA80896" w14:textId="77777777" w:rsidR="00FC45BD" w:rsidRDefault="00FC45BD" w:rsidP="00FC45BD">
      <w:pPr>
        <w:jc w:val="center"/>
        <w:rPr>
          <w:rFonts w:ascii="Book Antiqua" w:hAnsi="Book Antiqua"/>
        </w:rPr>
      </w:pPr>
    </w:p>
    <w:p w14:paraId="685E2D6C" w14:textId="77777777" w:rsidR="00FC45BD" w:rsidRDefault="00FC45BD" w:rsidP="00FC45BD">
      <w:pPr>
        <w:jc w:val="center"/>
        <w:rPr>
          <w:rFonts w:ascii="Book Antiqua" w:hAnsi="Book Antiqua"/>
        </w:rPr>
      </w:pPr>
    </w:p>
    <w:p w14:paraId="00016B4B" w14:textId="77777777" w:rsidR="00FC45BD" w:rsidRDefault="00FC45BD" w:rsidP="00FC45BD">
      <w:pPr>
        <w:jc w:val="center"/>
        <w:rPr>
          <w:rFonts w:ascii="Book Antiqua" w:hAnsi="Book Antiqua"/>
        </w:rPr>
      </w:pPr>
    </w:p>
    <w:p w14:paraId="517DD4AB" w14:textId="77777777" w:rsidR="00FC45BD" w:rsidRDefault="00FC45BD" w:rsidP="00FC45BD">
      <w:pPr>
        <w:jc w:val="center"/>
        <w:rPr>
          <w:rFonts w:ascii="Book Antiqua" w:hAnsi="Book Antiqua"/>
        </w:rPr>
      </w:pPr>
    </w:p>
    <w:p w14:paraId="63547558" w14:textId="77777777" w:rsidR="00FC45BD" w:rsidRDefault="00FC45BD" w:rsidP="00FC45BD">
      <w:pPr>
        <w:jc w:val="center"/>
        <w:rPr>
          <w:rFonts w:ascii="Book Antiqua" w:hAnsi="Book Antiqua"/>
        </w:rPr>
      </w:pPr>
    </w:p>
    <w:p w14:paraId="3A2694C6" w14:textId="77777777" w:rsidR="00FC45BD" w:rsidRDefault="00FC45BD" w:rsidP="00FC45BD">
      <w:pPr>
        <w:jc w:val="center"/>
        <w:rPr>
          <w:rFonts w:ascii="Book Antiqua" w:hAnsi="Book Antiqua"/>
        </w:rPr>
      </w:pPr>
    </w:p>
    <w:p w14:paraId="752647AB" w14:textId="77777777" w:rsidR="00FC45BD" w:rsidRDefault="00FC45BD" w:rsidP="00FC45BD">
      <w:pPr>
        <w:jc w:val="center"/>
        <w:rPr>
          <w:rFonts w:ascii="Book Antiqua" w:hAnsi="Book Antiqua"/>
        </w:rPr>
      </w:pPr>
    </w:p>
    <w:p w14:paraId="58985FDC" w14:textId="77777777" w:rsidR="00FC45BD" w:rsidRDefault="00FC45BD" w:rsidP="00FC45BD">
      <w:pPr>
        <w:jc w:val="center"/>
        <w:rPr>
          <w:rFonts w:ascii="Book Antiqua" w:hAnsi="Book Antiqua"/>
        </w:rPr>
      </w:pPr>
    </w:p>
    <w:p w14:paraId="68A2549C" w14:textId="77777777" w:rsidR="00FC45BD" w:rsidRPr="00763D22" w:rsidRDefault="00FC45BD" w:rsidP="00FC45BD">
      <w:pPr>
        <w:jc w:val="right"/>
        <w:rPr>
          <w:rFonts w:ascii="Book Antiqua" w:hAnsi="Book Antiqua"/>
          <w:color w:val="000000" w:themeColor="text1"/>
        </w:rPr>
      </w:pPr>
    </w:p>
    <w:p w14:paraId="3694CEC5" w14:textId="77777777" w:rsidR="00FC45BD" w:rsidRPr="00763D22" w:rsidRDefault="00FC45BD" w:rsidP="00FC45B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10138FE5" w14:textId="77777777" w:rsidR="00A77B3E" w:rsidRPr="006F0B8B" w:rsidRDefault="00A77B3E">
      <w:pPr>
        <w:spacing w:line="360" w:lineRule="auto"/>
        <w:jc w:val="both"/>
        <w:rPr>
          <w:rFonts w:ascii="Book Antiqua" w:hAnsi="Book Antiqua" w:hint="eastAsia"/>
          <w:lang w:eastAsia="zh-CN"/>
        </w:rPr>
      </w:pPr>
    </w:p>
    <w:sectPr w:rsidR="00A77B3E" w:rsidRPr="006F0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D012" w14:textId="77777777" w:rsidR="00343711" w:rsidRDefault="00343711" w:rsidP="00F00EC0">
      <w:r>
        <w:separator/>
      </w:r>
    </w:p>
  </w:endnote>
  <w:endnote w:type="continuationSeparator" w:id="0">
    <w:p w14:paraId="7C5E3E42" w14:textId="77777777" w:rsidR="00343711" w:rsidRDefault="00343711" w:rsidP="00F0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BBC4" w14:textId="3F0ACBA9" w:rsidR="00F00EC0" w:rsidRPr="00F00EC0" w:rsidRDefault="00F00EC0" w:rsidP="00F00EC0">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C45BD">
      <w:rPr>
        <w:rFonts w:ascii="Book Antiqua" w:hAnsi="Book Antiqua"/>
        <w:noProof/>
        <w:sz w:val="24"/>
        <w:szCs w:val="24"/>
      </w:rPr>
      <w:t>31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C45BD">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BF26" w14:textId="77777777" w:rsidR="00343711" w:rsidRDefault="00343711" w:rsidP="00F00EC0">
      <w:r>
        <w:separator/>
      </w:r>
    </w:p>
  </w:footnote>
  <w:footnote w:type="continuationSeparator" w:id="0">
    <w:p w14:paraId="6937FF8B" w14:textId="77777777" w:rsidR="00343711" w:rsidRDefault="00343711" w:rsidP="00F00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81"/>
    <w:rsid w:val="00016C45"/>
    <w:rsid w:val="00016DA3"/>
    <w:rsid w:val="00027BAB"/>
    <w:rsid w:val="00031D58"/>
    <w:rsid w:val="00032CCB"/>
    <w:rsid w:val="000353BD"/>
    <w:rsid w:val="00046235"/>
    <w:rsid w:val="00057EF4"/>
    <w:rsid w:val="00064C89"/>
    <w:rsid w:val="00072273"/>
    <w:rsid w:val="00085D83"/>
    <w:rsid w:val="000A1435"/>
    <w:rsid w:val="000C3F9E"/>
    <w:rsid w:val="000C5999"/>
    <w:rsid w:val="000D3834"/>
    <w:rsid w:val="000E2E73"/>
    <w:rsid w:val="000F13E4"/>
    <w:rsid w:val="000F360A"/>
    <w:rsid w:val="001064F8"/>
    <w:rsid w:val="0010717C"/>
    <w:rsid w:val="001101F8"/>
    <w:rsid w:val="00144A6A"/>
    <w:rsid w:val="001465B6"/>
    <w:rsid w:val="001550C2"/>
    <w:rsid w:val="001722F7"/>
    <w:rsid w:val="001C2405"/>
    <w:rsid w:val="001C4A7F"/>
    <w:rsid w:val="001D515C"/>
    <w:rsid w:val="001D63B2"/>
    <w:rsid w:val="001E7A64"/>
    <w:rsid w:val="001F0F01"/>
    <w:rsid w:val="001F4B20"/>
    <w:rsid w:val="001F69B1"/>
    <w:rsid w:val="00202BF8"/>
    <w:rsid w:val="00204302"/>
    <w:rsid w:val="00226D28"/>
    <w:rsid w:val="00233CB7"/>
    <w:rsid w:val="00246766"/>
    <w:rsid w:val="00246963"/>
    <w:rsid w:val="002542FE"/>
    <w:rsid w:val="00256749"/>
    <w:rsid w:val="00257995"/>
    <w:rsid w:val="002634E6"/>
    <w:rsid w:val="00296422"/>
    <w:rsid w:val="00297DCE"/>
    <w:rsid w:val="002A4760"/>
    <w:rsid w:val="002A73D8"/>
    <w:rsid w:val="002B21D6"/>
    <w:rsid w:val="002C0E7D"/>
    <w:rsid w:val="002C5019"/>
    <w:rsid w:val="002E4EDB"/>
    <w:rsid w:val="002F045A"/>
    <w:rsid w:val="002F325B"/>
    <w:rsid w:val="002F3629"/>
    <w:rsid w:val="002F7267"/>
    <w:rsid w:val="002F7B34"/>
    <w:rsid w:val="00301367"/>
    <w:rsid w:val="00303118"/>
    <w:rsid w:val="00307663"/>
    <w:rsid w:val="00311F14"/>
    <w:rsid w:val="003138E5"/>
    <w:rsid w:val="00320B10"/>
    <w:rsid w:val="00320E58"/>
    <w:rsid w:val="00327307"/>
    <w:rsid w:val="00330F3D"/>
    <w:rsid w:val="00335DCD"/>
    <w:rsid w:val="003369CF"/>
    <w:rsid w:val="00343711"/>
    <w:rsid w:val="003457D0"/>
    <w:rsid w:val="003541B1"/>
    <w:rsid w:val="00360506"/>
    <w:rsid w:val="0036525D"/>
    <w:rsid w:val="00366032"/>
    <w:rsid w:val="00367E58"/>
    <w:rsid w:val="00372C82"/>
    <w:rsid w:val="00383678"/>
    <w:rsid w:val="00390E4E"/>
    <w:rsid w:val="003943CB"/>
    <w:rsid w:val="003A396A"/>
    <w:rsid w:val="003A57B4"/>
    <w:rsid w:val="003D0F65"/>
    <w:rsid w:val="003D7D9E"/>
    <w:rsid w:val="003E3BFE"/>
    <w:rsid w:val="003E45E2"/>
    <w:rsid w:val="003E6288"/>
    <w:rsid w:val="003F675C"/>
    <w:rsid w:val="00422A23"/>
    <w:rsid w:val="00431509"/>
    <w:rsid w:val="004400DF"/>
    <w:rsid w:val="004424B9"/>
    <w:rsid w:val="00443CF2"/>
    <w:rsid w:val="00472B9D"/>
    <w:rsid w:val="004824A3"/>
    <w:rsid w:val="00486D7D"/>
    <w:rsid w:val="004924C1"/>
    <w:rsid w:val="004A48EF"/>
    <w:rsid w:val="004C56B1"/>
    <w:rsid w:val="004C5B5E"/>
    <w:rsid w:val="004D50DF"/>
    <w:rsid w:val="004D58B3"/>
    <w:rsid w:val="004E29A1"/>
    <w:rsid w:val="004E6CF2"/>
    <w:rsid w:val="0050427C"/>
    <w:rsid w:val="00512AED"/>
    <w:rsid w:val="00523F8F"/>
    <w:rsid w:val="00535329"/>
    <w:rsid w:val="00543C92"/>
    <w:rsid w:val="00546E39"/>
    <w:rsid w:val="00556C9A"/>
    <w:rsid w:val="005601A4"/>
    <w:rsid w:val="00560781"/>
    <w:rsid w:val="0056443A"/>
    <w:rsid w:val="00566788"/>
    <w:rsid w:val="00574A22"/>
    <w:rsid w:val="00575FD8"/>
    <w:rsid w:val="00580C10"/>
    <w:rsid w:val="00596CC1"/>
    <w:rsid w:val="005A0D56"/>
    <w:rsid w:val="005C094A"/>
    <w:rsid w:val="005D6842"/>
    <w:rsid w:val="005E51C8"/>
    <w:rsid w:val="005E7D01"/>
    <w:rsid w:val="005F2FE6"/>
    <w:rsid w:val="0060688A"/>
    <w:rsid w:val="006201B1"/>
    <w:rsid w:val="00626EDA"/>
    <w:rsid w:val="00631758"/>
    <w:rsid w:val="00652872"/>
    <w:rsid w:val="00652CFE"/>
    <w:rsid w:val="0065613C"/>
    <w:rsid w:val="00657C72"/>
    <w:rsid w:val="00664B2A"/>
    <w:rsid w:val="00687078"/>
    <w:rsid w:val="006A379B"/>
    <w:rsid w:val="006A6B6D"/>
    <w:rsid w:val="006B0344"/>
    <w:rsid w:val="006C1FD4"/>
    <w:rsid w:val="006C3259"/>
    <w:rsid w:val="006C635F"/>
    <w:rsid w:val="006D55E4"/>
    <w:rsid w:val="006F0B8B"/>
    <w:rsid w:val="00701963"/>
    <w:rsid w:val="00703C13"/>
    <w:rsid w:val="007055A0"/>
    <w:rsid w:val="00740490"/>
    <w:rsid w:val="00754407"/>
    <w:rsid w:val="00760540"/>
    <w:rsid w:val="00773D26"/>
    <w:rsid w:val="007749CC"/>
    <w:rsid w:val="00781856"/>
    <w:rsid w:val="00783B8B"/>
    <w:rsid w:val="00796D44"/>
    <w:rsid w:val="007A5FB8"/>
    <w:rsid w:val="007A63EF"/>
    <w:rsid w:val="007A6D4A"/>
    <w:rsid w:val="007B2804"/>
    <w:rsid w:val="007B78A6"/>
    <w:rsid w:val="007C507F"/>
    <w:rsid w:val="007C56CE"/>
    <w:rsid w:val="007E2D65"/>
    <w:rsid w:val="007F5754"/>
    <w:rsid w:val="00803897"/>
    <w:rsid w:val="00811EA4"/>
    <w:rsid w:val="00812578"/>
    <w:rsid w:val="0082053F"/>
    <w:rsid w:val="00847252"/>
    <w:rsid w:val="00854FA6"/>
    <w:rsid w:val="00857048"/>
    <w:rsid w:val="00860480"/>
    <w:rsid w:val="008640C1"/>
    <w:rsid w:val="0086543E"/>
    <w:rsid w:val="00877749"/>
    <w:rsid w:val="00884854"/>
    <w:rsid w:val="0089464A"/>
    <w:rsid w:val="00896D17"/>
    <w:rsid w:val="008A7956"/>
    <w:rsid w:val="008B2396"/>
    <w:rsid w:val="008C5CEA"/>
    <w:rsid w:val="008F19B0"/>
    <w:rsid w:val="008F1C9F"/>
    <w:rsid w:val="008F3AED"/>
    <w:rsid w:val="008F50E7"/>
    <w:rsid w:val="008F6AA6"/>
    <w:rsid w:val="00903B72"/>
    <w:rsid w:val="00913F27"/>
    <w:rsid w:val="00916E9E"/>
    <w:rsid w:val="00923873"/>
    <w:rsid w:val="009253D3"/>
    <w:rsid w:val="00930637"/>
    <w:rsid w:val="00933D1B"/>
    <w:rsid w:val="0093550F"/>
    <w:rsid w:val="00935804"/>
    <w:rsid w:val="0094193C"/>
    <w:rsid w:val="00956C2D"/>
    <w:rsid w:val="0097061D"/>
    <w:rsid w:val="00970DB1"/>
    <w:rsid w:val="00992FAF"/>
    <w:rsid w:val="009A6246"/>
    <w:rsid w:val="009A7DE3"/>
    <w:rsid w:val="009B139A"/>
    <w:rsid w:val="009C24F7"/>
    <w:rsid w:val="009C4A7C"/>
    <w:rsid w:val="009D5851"/>
    <w:rsid w:val="009E52A9"/>
    <w:rsid w:val="009E7FDF"/>
    <w:rsid w:val="009F2A23"/>
    <w:rsid w:val="009F7758"/>
    <w:rsid w:val="00A00D71"/>
    <w:rsid w:val="00A048B3"/>
    <w:rsid w:val="00A070A6"/>
    <w:rsid w:val="00A10003"/>
    <w:rsid w:val="00A2203E"/>
    <w:rsid w:val="00A346E1"/>
    <w:rsid w:val="00A40923"/>
    <w:rsid w:val="00A421C0"/>
    <w:rsid w:val="00A536BD"/>
    <w:rsid w:val="00A56731"/>
    <w:rsid w:val="00A64E6A"/>
    <w:rsid w:val="00A72FE7"/>
    <w:rsid w:val="00A77B3E"/>
    <w:rsid w:val="00A803A6"/>
    <w:rsid w:val="00A811EB"/>
    <w:rsid w:val="00AA13FB"/>
    <w:rsid w:val="00AA7AED"/>
    <w:rsid w:val="00AB11B0"/>
    <w:rsid w:val="00AB57F5"/>
    <w:rsid w:val="00AC1958"/>
    <w:rsid w:val="00AC5C82"/>
    <w:rsid w:val="00AC7DA9"/>
    <w:rsid w:val="00AE2CAB"/>
    <w:rsid w:val="00AF3599"/>
    <w:rsid w:val="00B113CA"/>
    <w:rsid w:val="00B12524"/>
    <w:rsid w:val="00B2172E"/>
    <w:rsid w:val="00B227B9"/>
    <w:rsid w:val="00B23CB2"/>
    <w:rsid w:val="00B43464"/>
    <w:rsid w:val="00B47627"/>
    <w:rsid w:val="00B563F9"/>
    <w:rsid w:val="00B63A57"/>
    <w:rsid w:val="00B70541"/>
    <w:rsid w:val="00B70B04"/>
    <w:rsid w:val="00B738B9"/>
    <w:rsid w:val="00B93BB0"/>
    <w:rsid w:val="00B94C95"/>
    <w:rsid w:val="00BA0039"/>
    <w:rsid w:val="00BA0C51"/>
    <w:rsid w:val="00BB4A06"/>
    <w:rsid w:val="00BC52F0"/>
    <w:rsid w:val="00BC7700"/>
    <w:rsid w:val="00BD169C"/>
    <w:rsid w:val="00BD29E6"/>
    <w:rsid w:val="00BD6138"/>
    <w:rsid w:val="00BE31F5"/>
    <w:rsid w:val="00BF0A39"/>
    <w:rsid w:val="00C056EE"/>
    <w:rsid w:val="00C11393"/>
    <w:rsid w:val="00C210B4"/>
    <w:rsid w:val="00C4598B"/>
    <w:rsid w:val="00C50376"/>
    <w:rsid w:val="00C83B43"/>
    <w:rsid w:val="00C930FF"/>
    <w:rsid w:val="00C96476"/>
    <w:rsid w:val="00C966AE"/>
    <w:rsid w:val="00CA2A55"/>
    <w:rsid w:val="00CA66A8"/>
    <w:rsid w:val="00CA6A57"/>
    <w:rsid w:val="00CB06B6"/>
    <w:rsid w:val="00CB661D"/>
    <w:rsid w:val="00CB6B2A"/>
    <w:rsid w:val="00CB79D3"/>
    <w:rsid w:val="00CD7238"/>
    <w:rsid w:val="00CF26BE"/>
    <w:rsid w:val="00CF6980"/>
    <w:rsid w:val="00CF74F7"/>
    <w:rsid w:val="00D0396C"/>
    <w:rsid w:val="00D17A17"/>
    <w:rsid w:val="00D17C7D"/>
    <w:rsid w:val="00D2644B"/>
    <w:rsid w:val="00D27A25"/>
    <w:rsid w:val="00D43495"/>
    <w:rsid w:val="00D575A4"/>
    <w:rsid w:val="00D61792"/>
    <w:rsid w:val="00D61A43"/>
    <w:rsid w:val="00D640E0"/>
    <w:rsid w:val="00D81DFB"/>
    <w:rsid w:val="00D85CFE"/>
    <w:rsid w:val="00D87D0A"/>
    <w:rsid w:val="00D94329"/>
    <w:rsid w:val="00DB005B"/>
    <w:rsid w:val="00DC074C"/>
    <w:rsid w:val="00DC35B5"/>
    <w:rsid w:val="00DD0BB2"/>
    <w:rsid w:val="00DD16A9"/>
    <w:rsid w:val="00DE61C4"/>
    <w:rsid w:val="00DF47F4"/>
    <w:rsid w:val="00DF7ED8"/>
    <w:rsid w:val="00E04E4E"/>
    <w:rsid w:val="00E161A9"/>
    <w:rsid w:val="00E22D89"/>
    <w:rsid w:val="00E22EAB"/>
    <w:rsid w:val="00E27DD0"/>
    <w:rsid w:val="00E30EC3"/>
    <w:rsid w:val="00E31AE3"/>
    <w:rsid w:val="00E34752"/>
    <w:rsid w:val="00E50E7F"/>
    <w:rsid w:val="00E561B7"/>
    <w:rsid w:val="00E6176F"/>
    <w:rsid w:val="00E80024"/>
    <w:rsid w:val="00E94AA9"/>
    <w:rsid w:val="00EA64A7"/>
    <w:rsid w:val="00EB2F7E"/>
    <w:rsid w:val="00EB73C9"/>
    <w:rsid w:val="00EC7A4B"/>
    <w:rsid w:val="00EE41A5"/>
    <w:rsid w:val="00EE4337"/>
    <w:rsid w:val="00EE608A"/>
    <w:rsid w:val="00EF3F08"/>
    <w:rsid w:val="00EF65FB"/>
    <w:rsid w:val="00F00EC0"/>
    <w:rsid w:val="00F065B1"/>
    <w:rsid w:val="00F10E28"/>
    <w:rsid w:val="00F202F1"/>
    <w:rsid w:val="00F31F61"/>
    <w:rsid w:val="00F368C2"/>
    <w:rsid w:val="00F453FB"/>
    <w:rsid w:val="00F80069"/>
    <w:rsid w:val="00F83AA1"/>
    <w:rsid w:val="00F8439A"/>
    <w:rsid w:val="00F85853"/>
    <w:rsid w:val="00F94957"/>
    <w:rsid w:val="00F95913"/>
    <w:rsid w:val="00F96B85"/>
    <w:rsid w:val="00FA63E3"/>
    <w:rsid w:val="00FA7BE2"/>
    <w:rsid w:val="00FB7DB2"/>
    <w:rsid w:val="00FC2770"/>
    <w:rsid w:val="00FC45BD"/>
    <w:rsid w:val="00FC4FF9"/>
    <w:rsid w:val="00FC6A58"/>
    <w:rsid w:val="00FD2AD5"/>
    <w:rsid w:val="00FE03ED"/>
    <w:rsid w:val="00FE61A6"/>
    <w:rsid w:val="00FF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EC0"/>
    <w:rPr>
      <w:sz w:val="18"/>
      <w:szCs w:val="18"/>
    </w:rPr>
  </w:style>
  <w:style w:type="paragraph" w:styleId="a4">
    <w:name w:val="footer"/>
    <w:basedOn w:val="a"/>
    <w:link w:val="Char0"/>
    <w:unhideWhenUsed/>
    <w:rsid w:val="00F00EC0"/>
    <w:pPr>
      <w:tabs>
        <w:tab w:val="center" w:pos="4153"/>
        <w:tab w:val="right" w:pos="8306"/>
      </w:tabs>
      <w:snapToGrid w:val="0"/>
    </w:pPr>
    <w:rPr>
      <w:sz w:val="18"/>
      <w:szCs w:val="18"/>
    </w:rPr>
  </w:style>
  <w:style w:type="character" w:customStyle="1" w:styleId="Char0">
    <w:name w:val="页脚 Char"/>
    <w:basedOn w:val="a0"/>
    <w:link w:val="a4"/>
    <w:rsid w:val="00F00EC0"/>
    <w:rPr>
      <w:sz w:val="18"/>
      <w:szCs w:val="18"/>
    </w:rPr>
  </w:style>
  <w:style w:type="character" w:styleId="a5">
    <w:name w:val="annotation reference"/>
    <w:basedOn w:val="a0"/>
    <w:semiHidden/>
    <w:unhideWhenUsed/>
    <w:rsid w:val="001F69B1"/>
    <w:rPr>
      <w:sz w:val="21"/>
      <w:szCs w:val="21"/>
    </w:rPr>
  </w:style>
  <w:style w:type="paragraph" w:styleId="a6">
    <w:name w:val="annotation text"/>
    <w:basedOn w:val="a"/>
    <w:link w:val="Char1"/>
    <w:semiHidden/>
    <w:unhideWhenUsed/>
    <w:rsid w:val="001F69B1"/>
  </w:style>
  <w:style w:type="character" w:customStyle="1" w:styleId="Char1">
    <w:name w:val="批注文字 Char"/>
    <w:basedOn w:val="a0"/>
    <w:link w:val="a6"/>
    <w:semiHidden/>
    <w:rsid w:val="001F69B1"/>
    <w:rPr>
      <w:sz w:val="24"/>
      <w:szCs w:val="24"/>
    </w:rPr>
  </w:style>
  <w:style w:type="paragraph" w:styleId="a7">
    <w:name w:val="annotation subject"/>
    <w:basedOn w:val="a6"/>
    <w:next w:val="a6"/>
    <w:link w:val="Char2"/>
    <w:semiHidden/>
    <w:unhideWhenUsed/>
    <w:rsid w:val="001F69B1"/>
    <w:rPr>
      <w:b/>
      <w:bCs/>
    </w:rPr>
  </w:style>
  <w:style w:type="character" w:customStyle="1" w:styleId="Char2">
    <w:name w:val="批注主题 Char"/>
    <w:basedOn w:val="Char1"/>
    <w:link w:val="a7"/>
    <w:semiHidden/>
    <w:rsid w:val="001F69B1"/>
    <w:rPr>
      <w:b/>
      <w:bCs/>
      <w:sz w:val="24"/>
      <w:szCs w:val="24"/>
    </w:rPr>
  </w:style>
  <w:style w:type="character" w:styleId="a8">
    <w:name w:val="Hyperlink"/>
    <w:basedOn w:val="a0"/>
    <w:uiPriority w:val="99"/>
    <w:semiHidden/>
    <w:unhideWhenUsed/>
    <w:rsid w:val="0050427C"/>
    <w:rPr>
      <w:color w:val="0000FF"/>
      <w:u w:val="single"/>
    </w:rPr>
  </w:style>
  <w:style w:type="paragraph" w:styleId="a9">
    <w:name w:val="Revision"/>
    <w:hidden/>
    <w:uiPriority w:val="99"/>
    <w:semiHidden/>
    <w:rsid w:val="0050427C"/>
    <w:rPr>
      <w:sz w:val="24"/>
      <w:szCs w:val="24"/>
    </w:rPr>
  </w:style>
  <w:style w:type="paragraph" w:styleId="aa">
    <w:name w:val="Balloon Text"/>
    <w:basedOn w:val="a"/>
    <w:link w:val="Char3"/>
    <w:rsid w:val="00BB4A06"/>
    <w:rPr>
      <w:sz w:val="18"/>
      <w:szCs w:val="18"/>
    </w:rPr>
  </w:style>
  <w:style w:type="character" w:customStyle="1" w:styleId="Char3">
    <w:name w:val="批注框文本 Char"/>
    <w:basedOn w:val="a0"/>
    <w:link w:val="aa"/>
    <w:rsid w:val="00BB4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EC0"/>
    <w:rPr>
      <w:sz w:val="18"/>
      <w:szCs w:val="18"/>
    </w:rPr>
  </w:style>
  <w:style w:type="paragraph" w:styleId="a4">
    <w:name w:val="footer"/>
    <w:basedOn w:val="a"/>
    <w:link w:val="Char0"/>
    <w:unhideWhenUsed/>
    <w:rsid w:val="00F00EC0"/>
    <w:pPr>
      <w:tabs>
        <w:tab w:val="center" w:pos="4153"/>
        <w:tab w:val="right" w:pos="8306"/>
      </w:tabs>
      <w:snapToGrid w:val="0"/>
    </w:pPr>
    <w:rPr>
      <w:sz w:val="18"/>
      <w:szCs w:val="18"/>
    </w:rPr>
  </w:style>
  <w:style w:type="character" w:customStyle="1" w:styleId="Char0">
    <w:name w:val="页脚 Char"/>
    <w:basedOn w:val="a0"/>
    <w:link w:val="a4"/>
    <w:rsid w:val="00F00EC0"/>
    <w:rPr>
      <w:sz w:val="18"/>
      <w:szCs w:val="18"/>
    </w:rPr>
  </w:style>
  <w:style w:type="character" w:styleId="a5">
    <w:name w:val="annotation reference"/>
    <w:basedOn w:val="a0"/>
    <w:semiHidden/>
    <w:unhideWhenUsed/>
    <w:rsid w:val="001F69B1"/>
    <w:rPr>
      <w:sz w:val="21"/>
      <w:szCs w:val="21"/>
    </w:rPr>
  </w:style>
  <w:style w:type="paragraph" w:styleId="a6">
    <w:name w:val="annotation text"/>
    <w:basedOn w:val="a"/>
    <w:link w:val="Char1"/>
    <w:semiHidden/>
    <w:unhideWhenUsed/>
    <w:rsid w:val="001F69B1"/>
  </w:style>
  <w:style w:type="character" w:customStyle="1" w:styleId="Char1">
    <w:name w:val="批注文字 Char"/>
    <w:basedOn w:val="a0"/>
    <w:link w:val="a6"/>
    <w:semiHidden/>
    <w:rsid w:val="001F69B1"/>
    <w:rPr>
      <w:sz w:val="24"/>
      <w:szCs w:val="24"/>
    </w:rPr>
  </w:style>
  <w:style w:type="paragraph" w:styleId="a7">
    <w:name w:val="annotation subject"/>
    <w:basedOn w:val="a6"/>
    <w:next w:val="a6"/>
    <w:link w:val="Char2"/>
    <w:semiHidden/>
    <w:unhideWhenUsed/>
    <w:rsid w:val="001F69B1"/>
    <w:rPr>
      <w:b/>
      <w:bCs/>
    </w:rPr>
  </w:style>
  <w:style w:type="character" w:customStyle="1" w:styleId="Char2">
    <w:name w:val="批注主题 Char"/>
    <w:basedOn w:val="Char1"/>
    <w:link w:val="a7"/>
    <w:semiHidden/>
    <w:rsid w:val="001F69B1"/>
    <w:rPr>
      <w:b/>
      <w:bCs/>
      <w:sz w:val="24"/>
      <w:szCs w:val="24"/>
    </w:rPr>
  </w:style>
  <w:style w:type="character" w:styleId="a8">
    <w:name w:val="Hyperlink"/>
    <w:basedOn w:val="a0"/>
    <w:uiPriority w:val="99"/>
    <w:semiHidden/>
    <w:unhideWhenUsed/>
    <w:rsid w:val="0050427C"/>
    <w:rPr>
      <w:color w:val="0000FF"/>
      <w:u w:val="single"/>
    </w:rPr>
  </w:style>
  <w:style w:type="paragraph" w:styleId="a9">
    <w:name w:val="Revision"/>
    <w:hidden/>
    <w:uiPriority w:val="99"/>
    <w:semiHidden/>
    <w:rsid w:val="0050427C"/>
    <w:rPr>
      <w:sz w:val="24"/>
      <w:szCs w:val="24"/>
    </w:rPr>
  </w:style>
  <w:style w:type="paragraph" w:styleId="aa">
    <w:name w:val="Balloon Text"/>
    <w:basedOn w:val="a"/>
    <w:link w:val="Char3"/>
    <w:rsid w:val="00BB4A06"/>
    <w:rPr>
      <w:sz w:val="18"/>
      <w:szCs w:val="18"/>
    </w:rPr>
  </w:style>
  <w:style w:type="character" w:customStyle="1" w:styleId="Char3">
    <w:name w:val="批注框文本 Char"/>
    <w:basedOn w:val="a0"/>
    <w:link w:val="aa"/>
    <w:rsid w:val="00BB4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DFDD-4738-413D-B6AF-66425F81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YXJ</dc:creator>
  <cp:keywords/>
  <dc:description/>
  <cp:lastModifiedBy>邢燕霞</cp:lastModifiedBy>
  <cp:revision>7</cp:revision>
  <dcterms:created xsi:type="dcterms:W3CDTF">2021-07-27T03:25:00Z</dcterms:created>
  <dcterms:modified xsi:type="dcterms:W3CDTF">2021-08-26T13:25:00Z</dcterms:modified>
</cp:coreProperties>
</file>